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25F" w:rsidRDefault="0052425F" w:rsidP="0052425F">
      <w:pPr>
        <w:spacing w:line="240" w:lineRule="auto"/>
        <w:jc w:val="left"/>
        <w:rPr>
          <w:rFonts w:hint="cs"/>
          <w:szCs w:val="6"/>
          <w:rtl/>
        </w:rPr>
        <w:sectPr w:rsidR="0052425F" w:rsidSect="0052425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tl/>
        </w:rPr>
        <w:commentReference w:id="0"/>
      </w:r>
    </w:p>
    <w:p w:rsidR="00CD3849" w:rsidRDefault="00F42962" w:rsidP="00F4296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اللجنة المعنية بالقضاء على التمييز ضد المرأة</w:t>
      </w:r>
      <w:r w:rsidR="0008419B">
        <w:t xml:space="preserve"> </w:t>
      </w:r>
    </w:p>
    <w:p w:rsidR="00F42962" w:rsidRPr="00F42962" w:rsidRDefault="00F42962" w:rsidP="00F42962">
      <w:pPr>
        <w:pStyle w:val="SingleTxt"/>
        <w:spacing w:after="0" w:line="120" w:lineRule="exact"/>
        <w:rPr>
          <w:rFonts w:hint="cs"/>
          <w:sz w:val="10"/>
          <w:rtl/>
        </w:rPr>
      </w:pPr>
    </w:p>
    <w:p w:rsidR="00DA0F98" w:rsidRDefault="00F42962" w:rsidP="00394B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r w:rsidR="00F5724D">
        <w:rPr>
          <w:rFonts w:hint="cs"/>
          <w:rtl/>
        </w:rPr>
        <w:t xml:space="preserve"> </w:t>
      </w:r>
    </w:p>
    <w:p w:rsidR="00F42962" w:rsidRPr="00F42962" w:rsidRDefault="00F42962" w:rsidP="00F42962">
      <w:pPr>
        <w:pStyle w:val="SingleTxt"/>
        <w:spacing w:after="0" w:line="120" w:lineRule="exact"/>
        <w:rPr>
          <w:rFonts w:hint="cs"/>
          <w:sz w:val="10"/>
          <w:rtl/>
        </w:rPr>
      </w:pPr>
    </w:p>
    <w:p w:rsidR="00DA0F98" w:rsidRDefault="00F42962" w:rsidP="00F4296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التقريران الأول والثاني الدوريان الموحدان المقدمان من الدول الأطراف</w:t>
      </w:r>
    </w:p>
    <w:p w:rsidR="00F42962" w:rsidRPr="00F42962" w:rsidRDefault="00F42962" w:rsidP="00F42962">
      <w:pPr>
        <w:pStyle w:val="SingleTxt"/>
        <w:spacing w:after="0" w:line="120" w:lineRule="exact"/>
        <w:rPr>
          <w:rFonts w:hint="cs"/>
          <w:sz w:val="10"/>
          <w:rtl/>
        </w:rPr>
      </w:pPr>
    </w:p>
    <w:p w:rsidR="00F42962" w:rsidRDefault="00F42962" w:rsidP="00F42962">
      <w:pPr>
        <w:framePr w:w="9792" w:h="432" w:hSpace="180" w:wrap="around" w:vAnchor="page" w:hAnchor="page" w:x="1200" w:y="12903"/>
        <w:jc w:val="lowKashida"/>
        <w:rPr>
          <w:rFonts w:hint="cs"/>
          <w:rtl/>
        </w:rPr>
      </w:pPr>
      <w:r w:rsidRPr="00F42962">
        <w:rPr>
          <w:noProof/>
          <w:w w:val="100"/>
          <w:szCs w:val="6"/>
        </w:rPr>
        <w:pict>
          <v:line id="_x0000_s2082" style="position:absolute;left:0;text-align:left;z-index:10" from="375.75pt,18pt" to="447.75pt,18pt"/>
        </w:pict>
      </w:r>
    </w:p>
    <w:p w:rsidR="00F42962" w:rsidRPr="00F42962" w:rsidRDefault="00F42962" w:rsidP="005D2EDF">
      <w:pPr>
        <w:framePr w:w="9792" w:h="432" w:hSpace="180" w:wrap="around" w:vAnchor="page" w:hAnchor="page" w:x="1200" w:y="12903"/>
        <w:ind w:right="1339"/>
        <w:jc w:val="lowKashida"/>
        <w:rPr>
          <w:szCs w:val="6"/>
        </w:rPr>
      </w:pPr>
      <w:r>
        <w:rPr>
          <w:rFonts w:hint="cs"/>
          <w:rtl/>
        </w:rPr>
        <w:tab/>
      </w:r>
      <w:r>
        <w:rPr>
          <w:rFonts w:hint="cs"/>
          <w:rtl/>
        </w:rPr>
        <w:tab/>
        <w:t>*</w:t>
      </w:r>
      <w:r w:rsidRPr="00714C24">
        <w:rPr>
          <w:rFonts w:hint="cs"/>
          <w:sz w:val="30"/>
          <w:rtl/>
        </w:rPr>
        <w:tab/>
      </w:r>
      <w:r w:rsidR="005D2EDF">
        <w:rPr>
          <w:rFonts w:hint="cs"/>
          <w:sz w:val="30"/>
          <w:rtl/>
        </w:rPr>
        <w:t>هذه الوثيقة صادرة دون تحرير رسمي.</w:t>
      </w:r>
    </w:p>
    <w:p w:rsidR="00F42962" w:rsidRDefault="00394B9D" w:rsidP="00394B9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ماليزيا*</w:t>
      </w:r>
      <w:r w:rsidR="009A3BF6">
        <w:rPr>
          <w:rFonts w:hint="cs"/>
          <w:rtl/>
        </w:rPr>
        <w:t xml:space="preserve"> </w:t>
      </w:r>
    </w:p>
    <w:p w:rsidR="00394B9D" w:rsidRPr="00394B9D" w:rsidRDefault="00394B9D" w:rsidP="00394B9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A6FEC">
        <w:rPr>
          <w:rFonts w:hint="cs"/>
          <w:rtl/>
        </w:rPr>
        <w:t xml:space="preserve"> </w:t>
      </w:r>
    </w:p>
    <w:p w:rsidR="00DA0F98" w:rsidRDefault="00DA0F98" w:rsidP="00F42962">
      <w:pPr>
        <w:pStyle w:val="HCh"/>
        <w:tabs>
          <w:tab w:val="right" w:pos="1022"/>
          <w:tab w:val="right" w:pos="1195"/>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547"/>
        <w:jc w:val="both"/>
        <w:rPr>
          <w:rFonts w:hint="cs"/>
          <w:rtl/>
        </w:rPr>
      </w:pPr>
      <w:r>
        <w:rPr>
          <w:rtl/>
        </w:rPr>
        <w:br w:type="page"/>
      </w:r>
      <w:r>
        <w:rPr>
          <w:rFonts w:hint="cs"/>
          <w:rtl/>
        </w:rPr>
        <w:t>الجزء الأول</w:t>
      </w:r>
    </w:p>
    <w:p w:rsidR="00DA0F98" w:rsidRPr="00F42962" w:rsidRDefault="00DA0F98"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7"/>
          <w:szCs w:val="26"/>
          <w:rtl/>
        </w:rPr>
      </w:pPr>
      <w:r>
        <w:rPr>
          <w:rFonts w:hint="cs"/>
          <w:rtl/>
        </w:rPr>
        <w:tab/>
      </w:r>
      <w:r>
        <w:rPr>
          <w:rFonts w:hint="cs"/>
          <w:rtl/>
        </w:rPr>
        <w:tab/>
        <w:t>السياق الماليزي</w:t>
      </w:r>
    </w:p>
    <w:p w:rsidR="00DA0F98" w:rsidRDefault="00DA0F98"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أساسية عامة</w:t>
      </w:r>
    </w:p>
    <w:p w:rsidR="00DA0F98" w:rsidRDefault="00DA0F98" w:rsidP="00ED0D2B">
      <w:pPr>
        <w:pStyle w:val="SingleTxt"/>
        <w:rPr>
          <w:rFonts w:hint="cs"/>
          <w:rtl/>
        </w:rPr>
      </w:pPr>
      <w:r>
        <w:rPr>
          <w:rFonts w:hint="cs"/>
          <w:rtl/>
        </w:rPr>
        <w:t>1 -</w:t>
      </w:r>
      <w:r>
        <w:rPr>
          <w:rFonts w:hint="cs"/>
          <w:rtl/>
        </w:rPr>
        <w:tab/>
        <w:t>يتكون البلد المعروف باسم</w:t>
      </w:r>
      <w:r w:rsidR="00E255CA">
        <w:rPr>
          <w:rFonts w:hint="cs"/>
          <w:rtl/>
        </w:rPr>
        <w:t xml:space="preserve"> ماليزيا من ثلاث عشرة ولاية وثلاثة أقاليم اتحادية. ويتكون من </w:t>
      </w:r>
      <w:r w:rsidR="00ED0D2B">
        <w:rPr>
          <w:rFonts w:hint="cs"/>
          <w:rtl/>
        </w:rPr>
        <w:t xml:space="preserve">شطرين هما </w:t>
      </w:r>
      <w:r w:rsidR="00E255CA">
        <w:rPr>
          <w:rFonts w:hint="cs"/>
          <w:rtl/>
        </w:rPr>
        <w:t>شبه جزيرة الملايو والجزء ا</w:t>
      </w:r>
      <w:r w:rsidR="00ED0D2B">
        <w:rPr>
          <w:rFonts w:hint="cs"/>
          <w:rtl/>
        </w:rPr>
        <w:t>لشمالي</w:t>
      </w:r>
      <w:r w:rsidR="00E255CA">
        <w:rPr>
          <w:rFonts w:hint="cs"/>
          <w:rtl/>
        </w:rPr>
        <w:t xml:space="preserve"> من جزيرة كاليمانتان</w:t>
      </w:r>
      <w:r w:rsidR="00ED0D2B">
        <w:rPr>
          <w:rFonts w:hint="cs"/>
          <w:rtl/>
        </w:rPr>
        <w:t xml:space="preserve"> ويفصل بينهما بحر الصين الجنوبي</w:t>
      </w:r>
      <w:r w:rsidR="00E255CA">
        <w:rPr>
          <w:rFonts w:hint="cs"/>
          <w:rtl/>
        </w:rPr>
        <w:t xml:space="preserve">. والبلدان المجاورة لماليزيا هي تايلند وكمبوديا وفييت نام </w:t>
      </w:r>
      <w:r w:rsidR="00ED0D2B">
        <w:rPr>
          <w:rFonts w:hint="cs"/>
          <w:rtl/>
        </w:rPr>
        <w:t xml:space="preserve">من الشمال، </w:t>
      </w:r>
      <w:r w:rsidR="00E255CA">
        <w:rPr>
          <w:rFonts w:hint="cs"/>
          <w:rtl/>
        </w:rPr>
        <w:t>والفلبين من الشرق</w:t>
      </w:r>
      <w:r w:rsidR="00ED0D2B">
        <w:rPr>
          <w:rFonts w:hint="cs"/>
          <w:rtl/>
        </w:rPr>
        <w:t>،</w:t>
      </w:r>
      <w:r w:rsidR="00E255CA">
        <w:rPr>
          <w:rFonts w:hint="cs"/>
          <w:rtl/>
        </w:rPr>
        <w:t xml:space="preserve"> وإندونيسيا  وسنغافورة من الجنوب. وإلى  الغرب من ماليزيا يقع مضيق ملاقا الذي يفصلها عن جزيرة سومطرة</w:t>
      </w:r>
      <w:r w:rsidR="00B84EA3">
        <w:rPr>
          <w:rFonts w:hint="cs"/>
          <w:rtl/>
        </w:rPr>
        <w:t>.</w:t>
      </w:r>
    </w:p>
    <w:p w:rsidR="00B84EA3" w:rsidRDefault="00B84EA3" w:rsidP="00A71FC6">
      <w:pPr>
        <w:pStyle w:val="SingleTxt"/>
        <w:rPr>
          <w:rFonts w:hint="cs"/>
          <w:rtl/>
        </w:rPr>
      </w:pPr>
      <w:r>
        <w:rPr>
          <w:rFonts w:hint="cs"/>
          <w:rtl/>
        </w:rPr>
        <w:t>2 -</w:t>
      </w:r>
      <w:r>
        <w:rPr>
          <w:rFonts w:hint="cs"/>
          <w:rtl/>
        </w:rPr>
        <w:tab/>
        <w:t>وتقع ماليزيا بأسرها ضمن المنطقة الاستوائية التي تتسم بمناخ حار رطب ومتقلب طيلة السنة. وتتحك</w:t>
      </w:r>
      <w:r w:rsidR="001D04AD">
        <w:rPr>
          <w:rFonts w:hint="cs"/>
          <w:rtl/>
        </w:rPr>
        <w:t>م بالنظام المناخي للبلد الرياح الموسمية التي تأتي إليه من الشمال الشرقي والجنوب الغربي وتجلب معها كميات غزيرة من الأمطار فتغذي الحياة النباتية للغابات المدارية المطرية الموجودة فيه بكثرة وتغطي مساحات شاسعة منه. وتمتاز المناطق الساحلية</w:t>
      </w:r>
      <w:r w:rsidR="00CC1A5F">
        <w:rPr>
          <w:rFonts w:hint="cs"/>
          <w:rtl/>
        </w:rPr>
        <w:t xml:space="preserve"> بالأشجار الاستوائية والأراضي الرطبة المدارية والتلال الرملية.</w:t>
      </w:r>
    </w:p>
    <w:p w:rsidR="00CC1A5F" w:rsidRDefault="00CC1A5F" w:rsidP="00B97045">
      <w:pPr>
        <w:pStyle w:val="SingleTxt"/>
        <w:rPr>
          <w:rFonts w:hint="cs"/>
          <w:i/>
          <w:iCs/>
          <w:rtl/>
        </w:rPr>
      </w:pPr>
      <w:r>
        <w:rPr>
          <w:rFonts w:hint="cs"/>
          <w:rtl/>
        </w:rPr>
        <w:t>3 -</w:t>
      </w:r>
      <w:r>
        <w:rPr>
          <w:rFonts w:hint="cs"/>
          <w:rtl/>
        </w:rPr>
        <w:tab/>
        <w:t>وكانت الرياح الموسمية عاملا هاما أمام السفن الشراعية حين كان يأتي على متنها إلى أرخبيل الملاي</w:t>
      </w:r>
      <w:r w:rsidR="003D5ECD">
        <w:rPr>
          <w:rFonts w:hint="cs"/>
          <w:rtl/>
        </w:rPr>
        <w:t>و</w:t>
      </w:r>
      <w:r>
        <w:rPr>
          <w:rFonts w:hint="cs"/>
          <w:rtl/>
        </w:rPr>
        <w:t xml:space="preserve"> التجار والمستوطنون والمستعمرون، ولا سيما من الشمال والغرب والجنوب. وقد أسهم في تشكيل الخليط السكاني المتعدد الأعراق للبلد الصينيون والهنود والتايلنديون والعرب، وفي وقت لاحق الأوروبيون، وبخاصة منهم البرتغاليون والهولنديون والبريطانيون وذلك إلى جانب </w:t>
      </w:r>
      <w:r w:rsidR="003D5ECD">
        <w:rPr>
          <w:rFonts w:hint="cs"/>
          <w:rtl/>
        </w:rPr>
        <w:t xml:space="preserve">خليطة </w:t>
      </w:r>
      <w:r>
        <w:rPr>
          <w:rFonts w:hint="cs"/>
          <w:rtl/>
        </w:rPr>
        <w:t>الشعوب الأصلية للبلد، ولا سيما أبناء الملايو والآروميون، أهالي البلد الأصليون (أوران</w:t>
      </w:r>
      <w:r w:rsidR="003D5ECD">
        <w:rPr>
          <w:rFonts w:hint="cs"/>
          <w:rtl/>
        </w:rPr>
        <w:t>غ</w:t>
      </w:r>
      <w:r>
        <w:rPr>
          <w:rFonts w:hint="cs"/>
          <w:rtl/>
        </w:rPr>
        <w:t xml:space="preserve"> أسلاي)، والسكان الأصليون لإقليمي صباح و</w:t>
      </w:r>
      <w:r w:rsidR="00B97045">
        <w:rPr>
          <w:rFonts w:hint="cs"/>
          <w:rtl/>
        </w:rPr>
        <w:t>ساراواك</w:t>
      </w:r>
      <w:r>
        <w:rPr>
          <w:rFonts w:hint="cs"/>
          <w:rtl/>
        </w:rPr>
        <w:t xml:space="preserve">، مثل </w:t>
      </w:r>
      <w:r w:rsidR="00B97045">
        <w:rPr>
          <w:rFonts w:hint="cs"/>
          <w:i/>
          <w:iCs/>
          <w:rtl/>
        </w:rPr>
        <w:t>منانغ</w:t>
      </w:r>
      <w:r w:rsidRPr="00CC1A5F">
        <w:rPr>
          <w:rFonts w:hint="cs"/>
          <w:i/>
          <w:iCs/>
          <w:rtl/>
        </w:rPr>
        <w:t>كباو، ود</w:t>
      </w:r>
      <w:r w:rsidR="00B97045">
        <w:rPr>
          <w:rFonts w:hint="cs"/>
          <w:i/>
          <w:iCs/>
          <w:rtl/>
        </w:rPr>
        <w:t>ا</w:t>
      </w:r>
      <w:r w:rsidRPr="00CC1A5F">
        <w:rPr>
          <w:rFonts w:hint="cs"/>
          <w:i/>
          <w:iCs/>
          <w:rtl/>
        </w:rPr>
        <w:t>ياك وبينان وكدازان ومروت وسينو</w:t>
      </w:r>
      <w:r w:rsidR="00B97045">
        <w:rPr>
          <w:rFonts w:hint="cs"/>
          <w:i/>
          <w:iCs/>
          <w:rtl/>
        </w:rPr>
        <w:t>ي</w:t>
      </w:r>
      <w:r w:rsidRPr="00CC1A5F">
        <w:rPr>
          <w:rFonts w:hint="cs"/>
          <w:i/>
          <w:iCs/>
          <w:rtl/>
        </w:rPr>
        <w:t xml:space="preserve"> وني</w:t>
      </w:r>
      <w:r w:rsidR="00B97045">
        <w:rPr>
          <w:rFonts w:hint="cs"/>
          <w:i/>
          <w:iCs/>
          <w:rtl/>
        </w:rPr>
        <w:t>غ</w:t>
      </w:r>
      <w:r w:rsidRPr="00CC1A5F">
        <w:rPr>
          <w:rFonts w:hint="cs"/>
          <w:i/>
          <w:iCs/>
          <w:rtl/>
        </w:rPr>
        <w:t>ريتو</w:t>
      </w:r>
      <w:r>
        <w:rPr>
          <w:rFonts w:hint="cs"/>
          <w:i/>
          <w:iCs/>
          <w:rtl/>
        </w:rPr>
        <w:t>.</w:t>
      </w:r>
    </w:p>
    <w:p w:rsidR="00CC1A5F" w:rsidRDefault="00CC1A5F" w:rsidP="00B97045">
      <w:pPr>
        <w:pStyle w:val="SingleTxt"/>
        <w:rPr>
          <w:rFonts w:hint="cs"/>
          <w:rtl/>
        </w:rPr>
      </w:pPr>
      <w:r w:rsidRPr="00CC1A5F">
        <w:rPr>
          <w:rFonts w:hint="cs"/>
          <w:rtl/>
        </w:rPr>
        <w:t>4 -</w:t>
      </w:r>
      <w:r w:rsidRPr="00CC1A5F">
        <w:rPr>
          <w:rFonts w:hint="cs"/>
          <w:rtl/>
        </w:rPr>
        <w:tab/>
        <w:t>ويعر</w:t>
      </w:r>
      <w:r w:rsidR="00B97045">
        <w:rPr>
          <w:rFonts w:hint="cs"/>
          <w:rtl/>
        </w:rPr>
        <w:t>ف</w:t>
      </w:r>
      <w:r w:rsidRPr="00CC1A5F">
        <w:rPr>
          <w:rFonts w:hint="cs"/>
          <w:rtl/>
        </w:rPr>
        <w:t xml:space="preserve"> أبناء الملايو</w:t>
      </w:r>
      <w:r>
        <w:rPr>
          <w:rFonts w:hint="cs"/>
          <w:rtl/>
        </w:rPr>
        <w:t xml:space="preserve"> وغيرهم من الشعوب الأصلية مجتمعة باسم بوميبوترا (أبناء الوطن). وتتميز جماعات البوميبوترا المختلفة بخصائص مشتركة مـتأصلة الجذور في اقتصاد زراعي </w:t>
      </w:r>
      <w:r>
        <w:rPr>
          <w:rtl/>
        </w:rPr>
        <w:t>–</w:t>
      </w:r>
      <w:r>
        <w:rPr>
          <w:rFonts w:hint="cs"/>
          <w:rtl/>
        </w:rPr>
        <w:t xml:space="preserve"> بحري ومجتمع قروي تقوم القيادة فيه عموما على توافق الآراء وتبنى المواقف فيه على الاعتقاد بوجود عالم روحي شامل للجميع. واكتست الثقافة الروحية لأبناء الملايو بثوب الثقافة الهندوسية ثم انضوت فيما بعد تحت لواء الإسلام.</w:t>
      </w:r>
    </w:p>
    <w:p w:rsidR="00CC1A5F" w:rsidRDefault="00EC65E9" w:rsidP="00B97045">
      <w:pPr>
        <w:pStyle w:val="SingleTxt"/>
        <w:rPr>
          <w:rFonts w:hint="cs"/>
          <w:rtl/>
        </w:rPr>
      </w:pPr>
      <w:r>
        <w:rPr>
          <w:rFonts w:hint="cs"/>
          <w:rtl/>
        </w:rPr>
        <w:t>5 -</w:t>
      </w:r>
      <w:r>
        <w:rPr>
          <w:rFonts w:hint="cs"/>
          <w:rtl/>
        </w:rPr>
        <w:tab/>
        <w:t>والشعوب غير الأصلية (غير المنتمية إلى البوميبوترا) هم أحفاد المستوطنين المهاجرين في وقت لاحق. و</w:t>
      </w:r>
      <w:r w:rsidR="00B97045">
        <w:rPr>
          <w:rFonts w:hint="cs"/>
          <w:rtl/>
        </w:rPr>
        <w:t xml:space="preserve">إبان </w:t>
      </w:r>
      <w:r>
        <w:rPr>
          <w:rFonts w:hint="cs"/>
          <w:rtl/>
        </w:rPr>
        <w:t xml:space="preserve">الإدارة الاستعمارية البريطانية، جاء </w:t>
      </w:r>
      <w:r w:rsidR="00B97045">
        <w:rPr>
          <w:rFonts w:hint="cs"/>
          <w:rtl/>
        </w:rPr>
        <w:t>ال</w:t>
      </w:r>
      <w:r>
        <w:rPr>
          <w:rFonts w:hint="cs"/>
          <w:rtl/>
        </w:rPr>
        <w:t>صينيون إلى الملايو (كان البلد يعرف آنذاك بهذا الاسم) بصفة عمال في مناجم القصدير وتجار وعمال مساندة. وجلب البريطانيون</w:t>
      </w:r>
      <w:r w:rsidR="00734F8F">
        <w:rPr>
          <w:rFonts w:hint="cs"/>
          <w:rtl/>
        </w:rPr>
        <w:t xml:space="preserve"> الهنود، وبخاصة منهم التامليون و</w:t>
      </w:r>
      <w:r w:rsidR="00B97045">
        <w:rPr>
          <w:rFonts w:hint="cs"/>
          <w:rtl/>
        </w:rPr>
        <w:t>ال</w:t>
      </w:r>
      <w:r w:rsidR="00734F8F">
        <w:rPr>
          <w:rFonts w:hint="cs"/>
          <w:rtl/>
        </w:rPr>
        <w:t xml:space="preserve">تليجوسيون بصفة عمال مستقدمين للعمل لأجل معين في </w:t>
      </w:r>
      <w:r w:rsidR="00B97045">
        <w:rPr>
          <w:rFonts w:hint="cs"/>
          <w:rtl/>
        </w:rPr>
        <w:t>م</w:t>
      </w:r>
      <w:r w:rsidR="00734F8F">
        <w:rPr>
          <w:rFonts w:hint="cs"/>
          <w:rtl/>
        </w:rPr>
        <w:t>زارع المطاط و</w:t>
      </w:r>
      <w:r w:rsidR="00B97045">
        <w:rPr>
          <w:rFonts w:hint="cs"/>
          <w:rtl/>
        </w:rPr>
        <w:t>أشجار زيت ال</w:t>
      </w:r>
      <w:r w:rsidR="00734F8F">
        <w:rPr>
          <w:rFonts w:hint="cs"/>
          <w:rtl/>
        </w:rPr>
        <w:t>نخيل وكذلك بصفة معلمين ومهن</w:t>
      </w:r>
      <w:r w:rsidR="00B97045">
        <w:rPr>
          <w:rFonts w:hint="cs"/>
          <w:rtl/>
        </w:rPr>
        <w:t>ي</w:t>
      </w:r>
      <w:r w:rsidR="00734F8F">
        <w:rPr>
          <w:rFonts w:hint="cs"/>
          <w:rtl/>
        </w:rPr>
        <w:t>ين آخرين.</w:t>
      </w:r>
    </w:p>
    <w:p w:rsidR="00734F8F" w:rsidRDefault="00734F8F" w:rsidP="00B97045">
      <w:pPr>
        <w:pStyle w:val="SingleTxt"/>
        <w:rPr>
          <w:rFonts w:hint="cs"/>
          <w:rtl/>
        </w:rPr>
      </w:pPr>
      <w:r>
        <w:rPr>
          <w:rFonts w:hint="cs"/>
          <w:rtl/>
        </w:rPr>
        <w:t>6 -</w:t>
      </w:r>
      <w:r>
        <w:rPr>
          <w:rFonts w:hint="cs"/>
          <w:rtl/>
        </w:rPr>
        <w:tab/>
        <w:t>وجاء المهاجرون ومعهم تقاليدهم الاجتماعية والدينية والثقافية. ومن ثم لدينا التقاليد الهندوسية والبوذية والقيم الكونفوش</w:t>
      </w:r>
      <w:r w:rsidR="00B97045">
        <w:rPr>
          <w:rFonts w:hint="cs"/>
          <w:rtl/>
        </w:rPr>
        <w:t>ي</w:t>
      </w:r>
      <w:r>
        <w:rPr>
          <w:rFonts w:hint="cs"/>
          <w:rtl/>
        </w:rPr>
        <w:t>وسية والطاوية</w:t>
      </w:r>
      <w:r w:rsidR="00B97045">
        <w:rPr>
          <w:rFonts w:hint="cs"/>
          <w:rtl/>
        </w:rPr>
        <w:t>،</w:t>
      </w:r>
      <w:r>
        <w:rPr>
          <w:rFonts w:hint="cs"/>
          <w:rtl/>
        </w:rPr>
        <w:t xml:space="preserve"> والمسيحية بطوائفها المختلفة</w:t>
      </w:r>
      <w:r w:rsidR="00B97045">
        <w:rPr>
          <w:rFonts w:hint="cs"/>
          <w:rtl/>
        </w:rPr>
        <w:t>،</w:t>
      </w:r>
      <w:r>
        <w:rPr>
          <w:rFonts w:hint="cs"/>
          <w:rtl/>
        </w:rPr>
        <w:t xml:space="preserve"> والممارسات الدينية والقانونية لمذهب السيخ والدين الإسلامي. واليوم يعتبر الإسلام الدين الرسمي للبلد</w:t>
      </w:r>
      <w:r w:rsidR="00B97045">
        <w:rPr>
          <w:rFonts w:hint="cs"/>
          <w:rtl/>
        </w:rPr>
        <w:t>،</w:t>
      </w:r>
      <w:r>
        <w:rPr>
          <w:rFonts w:hint="cs"/>
          <w:rtl/>
        </w:rPr>
        <w:t xml:space="preserve"> وشكل المسلمون أكبر مجموعة دينية بمفردها أي نسبة 60.4 في المائة في عام 2000. ومع ذلك، فإن الحق في حرية العبادة مصون بموجب الدستور ويمارس أتباع الأديان الأخرى معتقداتهم بحرية في ماليزيا.</w:t>
      </w:r>
    </w:p>
    <w:p w:rsidR="00B97045" w:rsidRPr="00B97045" w:rsidRDefault="00B97045" w:rsidP="00B97045">
      <w:pPr>
        <w:pStyle w:val="SingleTxt"/>
        <w:spacing w:after="0" w:line="120" w:lineRule="exact"/>
        <w:rPr>
          <w:rFonts w:hint="cs"/>
          <w:sz w:val="10"/>
          <w:rtl/>
        </w:rPr>
      </w:pPr>
    </w:p>
    <w:p w:rsidR="00B97045" w:rsidRDefault="00B97045" w:rsidP="00B97045">
      <w:pPr>
        <w:pStyle w:val="SingleTxt"/>
        <w:rPr>
          <w:rFonts w:hint="cs"/>
          <w:rtl/>
        </w:rPr>
      </w:pPr>
      <w:r w:rsidRPr="00B97045">
        <w:rPr>
          <w:rFonts w:hint="cs"/>
          <w:b/>
          <w:bCs/>
          <w:rtl/>
        </w:rPr>
        <w:t>الجدول 1-1: تصنيف السك</w:t>
      </w:r>
      <w:r>
        <w:rPr>
          <w:rFonts w:hint="cs"/>
          <w:b/>
          <w:bCs/>
          <w:rtl/>
        </w:rPr>
        <w:t>ــــــ</w:t>
      </w:r>
      <w:r w:rsidRPr="00B97045">
        <w:rPr>
          <w:rFonts w:hint="cs"/>
          <w:b/>
          <w:bCs/>
          <w:rtl/>
        </w:rPr>
        <w:t>ان بحسب الطوائف الدينية استنادا إلى تعداد السكان لعام 2000</w:t>
      </w:r>
      <w:r w:rsidRPr="00FC2F8B">
        <w:rPr>
          <w:rFonts w:hint="cs"/>
          <w:rtl/>
        </w:rPr>
        <w:t>.</w:t>
      </w:r>
    </w:p>
    <w:p w:rsidR="00641A30" w:rsidRPr="00641A30" w:rsidRDefault="00641A30" w:rsidP="00641A30">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390"/>
        <w:gridCol w:w="1930"/>
      </w:tblGrid>
      <w:tr w:rsidR="00734F8F" w:rsidRPr="00734F8F">
        <w:tblPrEx>
          <w:tblCellMar>
            <w:top w:w="0" w:type="dxa"/>
            <w:bottom w:w="0" w:type="dxa"/>
          </w:tblCellMar>
        </w:tblPrEx>
        <w:trPr>
          <w:cantSplit/>
          <w:tblHeader/>
        </w:trPr>
        <w:tc>
          <w:tcPr>
            <w:tcW w:w="5390" w:type="dxa"/>
            <w:tcBorders>
              <w:top w:val="single" w:sz="4" w:space="0" w:color="auto"/>
              <w:bottom w:val="single" w:sz="12" w:space="0" w:color="auto"/>
            </w:tcBorders>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40"/>
              <w:jc w:val="center"/>
              <w:rPr>
                <w:rFonts w:hint="cs"/>
                <w:i/>
                <w:iCs/>
                <w:sz w:val="16"/>
                <w:szCs w:val="24"/>
                <w:rtl/>
              </w:rPr>
            </w:pPr>
            <w:r w:rsidRPr="00734F8F">
              <w:rPr>
                <w:rFonts w:hint="cs"/>
                <w:i/>
                <w:iCs/>
                <w:sz w:val="16"/>
                <w:szCs w:val="24"/>
                <w:rtl/>
              </w:rPr>
              <w:t>الديانة</w:t>
            </w:r>
          </w:p>
        </w:tc>
        <w:tc>
          <w:tcPr>
            <w:tcW w:w="1930" w:type="dxa"/>
            <w:tcBorders>
              <w:top w:val="single" w:sz="4" w:space="0" w:color="auto"/>
              <w:bottom w:val="single" w:sz="12" w:space="0" w:color="auto"/>
            </w:tcBorders>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144"/>
              <w:jc w:val="center"/>
              <w:rPr>
                <w:rFonts w:hint="cs"/>
                <w:i/>
                <w:iCs/>
                <w:sz w:val="16"/>
                <w:szCs w:val="24"/>
                <w:rtl/>
              </w:rPr>
            </w:pPr>
            <w:r w:rsidRPr="00734F8F">
              <w:rPr>
                <w:rFonts w:hint="cs"/>
                <w:i/>
                <w:iCs/>
                <w:sz w:val="16"/>
                <w:szCs w:val="24"/>
                <w:rtl/>
              </w:rPr>
              <w:t>النسبة المئوية</w:t>
            </w:r>
          </w:p>
        </w:tc>
      </w:tr>
      <w:tr w:rsidR="00734F8F" w:rsidRPr="00734F8F">
        <w:tblPrEx>
          <w:tblCellMar>
            <w:top w:w="0" w:type="dxa"/>
            <w:bottom w:w="0" w:type="dxa"/>
          </w:tblCellMar>
        </w:tblPrEx>
        <w:trPr>
          <w:cantSplit/>
          <w:trHeight w:hRule="exact" w:val="115"/>
          <w:tblHeader/>
        </w:trPr>
        <w:tc>
          <w:tcPr>
            <w:tcW w:w="5390" w:type="dxa"/>
            <w:tcBorders>
              <w:top w:val="single" w:sz="12" w:space="0" w:color="auto"/>
            </w:tcBorders>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40"/>
              <w:rPr>
                <w:rFonts w:hint="cs"/>
                <w:sz w:val="16"/>
                <w:szCs w:val="24"/>
                <w:rtl/>
              </w:rPr>
            </w:pPr>
          </w:p>
        </w:tc>
        <w:tc>
          <w:tcPr>
            <w:tcW w:w="1930" w:type="dxa"/>
            <w:tcBorders>
              <w:top w:val="single" w:sz="12" w:space="0" w:color="auto"/>
            </w:tcBorders>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144"/>
              <w:jc w:val="lowKashida"/>
              <w:rPr>
                <w:rFonts w:hint="cs"/>
                <w:sz w:val="16"/>
                <w:szCs w:val="24"/>
                <w:rtl/>
              </w:rPr>
            </w:pPr>
          </w:p>
        </w:tc>
      </w:tr>
      <w:tr w:rsidR="00734F8F" w:rsidRPr="00734F8F">
        <w:tblPrEx>
          <w:tblCellMar>
            <w:top w:w="0" w:type="dxa"/>
            <w:bottom w:w="0" w:type="dxa"/>
          </w:tblCellMar>
        </w:tblPrEx>
        <w:trPr>
          <w:cantSplit/>
        </w:trPr>
        <w:tc>
          <w:tcPr>
            <w:tcW w:w="5390" w:type="dxa"/>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المسلمون</w:t>
            </w:r>
          </w:p>
        </w:tc>
        <w:tc>
          <w:tcPr>
            <w:tcW w:w="1930" w:type="dxa"/>
            <w:shd w:val="clear" w:color="auto" w:fill="auto"/>
            <w:vAlign w:val="bottom"/>
          </w:tcPr>
          <w:p w:rsidR="00734F8F" w:rsidRPr="00734F8F" w:rsidRDefault="00734F8F"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60.4</w:t>
            </w:r>
          </w:p>
        </w:tc>
      </w:tr>
      <w:tr w:rsidR="00734F8F" w:rsidRPr="00734F8F">
        <w:tblPrEx>
          <w:tblCellMar>
            <w:top w:w="0" w:type="dxa"/>
            <w:bottom w:w="0" w:type="dxa"/>
          </w:tblCellMar>
        </w:tblPrEx>
        <w:trPr>
          <w:cantSplit/>
        </w:trPr>
        <w:tc>
          <w:tcPr>
            <w:tcW w:w="539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البوذيون</w:t>
            </w:r>
          </w:p>
        </w:tc>
        <w:tc>
          <w:tcPr>
            <w:tcW w:w="193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19.2</w:t>
            </w:r>
          </w:p>
        </w:tc>
      </w:tr>
      <w:tr w:rsidR="00734F8F" w:rsidRPr="00734F8F">
        <w:tblPrEx>
          <w:tblCellMar>
            <w:top w:w="0" w:type="dxa"/>
            <w:bottom w:w="0" w:type="dxa"/>
          </w:tblCellMar>
        </w:tblPrEx>
        <w:trPr>
          <w:cantSplit/>
        </w:trPr>
        <w:tc>
          <w:tcPr>
            <w:tcW w:w="539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الكونفوشيوسيون والطاويون</w:t>
            </w:r>
          </w:p>
        </w:tc>
        <w:tc>
          <w:tcPr>
            <w:tcW w:w="193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2.6</w:t>
            </w:r>
          </w:p>
        </w:tc>
      </w:tr>
      <w:tr w:rsidR="00734F8F" w:rsidRPr="00734F8F">
        <w:tblPrEx>
          <w:tblCellMar>
            <w:top w:w="0" w:type="dxa"/>
            <w:bottom w:w="0" w:type="dxa"/>
          </w:tblCellMar>
        </w:tblPrEx>
        <w:trPr>
          <w:cantSplit/>
        </w:trPr>
        <w:tc>
          <w:tcPr>
            <w:tcW w:w="539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المسيحيون</w:t>
            </w:r>
          </w:p>
        </w:tc>
        <w:tc>
          <w:tcPr>
            <w:tcW w:w="1930" w:type="dxa"/>
            <w:shd w:val="clear" w:color="auto" w:fill="auto"/>
            <w:vAlign w:val="bottom"/>
          </w:tcPr>
          <w:p w:rsidR="00734F8F" w:rsidRDefault="00734F8F"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9.1</w:t>
            </w:r>
          </w:p>
        </w:tc>
      </w:tr>
      <w:tr w:rsidR="00734F8F" w:rsidRPr="00734F8F">
        <w:tblPrEx>
          <w:tblCellMar>
            <w:top w:w="0" w:type="dxa"/>
            <w:bottom w:w="0" w:type="dxa"/>
          </w:tblCellMar>
        </w:tblPrEx>
        <w:trPr>
          <w:cantSplit/>
        </w:trPr>
        <w:tc>
          <w:tcPr>
            <w:tcW w:w="5390" w:type="dxa"/>
            <w:shd w:val="clear" w:color="auto" w:fill="auto"/>
            <w:vAlign w:val="bottom"/>
          </w:tcPr>
          <w:p w:rsidR="00734F8F"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الهندوس</w:t>
            </w:r>
          </w:p>
        </w:tc>
        <w:tc>
          <w:tcPr>
            <w:tcW w:w="1930" w:type="dxa"/>
            <w:shd w:val="clear" w:color="auto" w:fill="auto"/>
            <w:vAlign w:val="bottom"/>
          </w:tcPr>
          <w:p w:rsidR="00734F8F"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6.3</w:t>
            </w:r>
          </w:p>
        </w:tc>
      </w:tr>
      <w:tr w:rsidR="00C74C10" w:rsidRPr="00734F8F">
        <w:tblPrEx>
          <w:tblCellMar>
            <w:top w:w="0" w:type="dxa"/>
            <w:bottom w:w="0" w:type="dxa"/>
          </w:tblCellMar>
        </w:tblPrEx>
        <w:trPr>
          <w:cantSplit/>
        </w:trPr>
        <w:tc>
          <w:tcPr>
            <w:tcW w:w="539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أتباع المذاهب الشعبية والقبلية</w:t>
            </w:r>
          </w:p>
        </w:tc>
        <w:tc>
          <w:tcPr>
            <w:tcW w:w="193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0.8</w:t>
            </w:r>
          </w:p>
        </w:tc>
      </w:tr>
      <w:tr w:rsidR="00C74C10" w:rsidRPr="00734F8F">
        <w:tblPrEx>
          <w:tblCellMar>
            <w:top w:w="0" w:type="dxa"/>
            <w:bottom w:w="0" w:type="dxa"/>
          </w:tblCellMar>
        </w:tblPrEx>
        <w:trPr>
          <w:cantSplit/>
        </w:trPr>
        <w:tc>
          <w:tcPr>
            <w:tcW w:w="539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بلا ديانة</w:t>
            </w:r>
          </w:p>
        </w:tc>
        <w:tc>
          <w:tcPr>
            <w:tcW w:w="193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0.8</w:t>
            </w:r>
          </w:p>
        </w:tc>
      </w:tr>
      <w:tr w:rsidR="00C74C10" w:rsidRPr="00734F8F">
        <w:tblPrEx>
          <w:tblCellMar>
            <w:top w:w="0" w:type="dxa"/>
            <w:bottom w:w="0" w:type="dxa"/>
          </w:tblCellMar>
        </w:tblPrEx>
        <w:trPr>
          <w:cantSplit/>
        </w:trPr>
        <w:tc>
          <w:tcPr>
            <w:tcW w:w="539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آخرون</w:t>
            </w:r>
          </w:p>
        </w:tc>
        <w:tc>
          <w:tcPr>
            <w:tcW w:w="1930" w:type="dxa"/>
            <w:shd w:val="clear" w:color="auto" w:fill="auto"/>
            <w:vAlign w:val="bottom"/>
          </w:tcPr>
          <w:p w:rsidR="00C74C10"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0.4</w:t>
            </w:r>
          </w:p>
        </w:tc>
      </w:tr>
      <w:tr w:rsidR="00C74C10" w:rsidRPr="00734F8F">
        <w:tblPrEx>
          <w:tblCellMar>
            <w:top w:w="0" w:type="dxa"/>
            <w:bottom w:w="0" w:type="dxa"/>
          </w:tblCellMar>
        </w:tblPrEx>
        <w:trPr>
          <w:cantSplit/>
        </w:trPr>
        <w:tc>
          <w:tcPr>
            <w:tcW w:w="5390" w:type="dxa"/>
            <w:tcBorders>
              <w:bottom w:val="single" w:sz="4" w:space="0" w:color="auto"/>
            </w:tcBorders>
            <w:shd w:val="clear" w:color="auto" w:fill="auto"/>
            <w:vAlign w:val="bottom"/>
          </w:tcPr>
          <w:p w:rsidR="00C74C10"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غير مصنفين</w:t>
            </w:r>
          </w:p>
        </w:tc>
        <w:tc>
          <w:tcPr>
            <w:tcW w:w="1930" w:type="dxa"/>
            <w:tcBorders>
              <w:bottom w:val="single" w:sz="4" w:space="0" w:color="auto"/>
            </w:tcBorders>
            <w:shd w:val="clear" w:color="auto" w:fill="auto"/>
            <w:vAlign w:val="bottom"/>
          </w:tcPr>
          <w:p w:rsidR="00C74C10"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0.3</w:t>
            </w:r>
          </w:p>
        </w:tc>
      </w:tr>
      <w:tr w:rsidR="00C74C10" w:rsidRPr="00734F8F">
        <w:tblPrEx>
          <w:tblCellMar>
            <w:top w:w="0" w:type="dxa"/>
            <w:bottom w:w="0" w:type="dxa"/>
          </w:tblCellMar>
        </w:tblPrEx>
        <w:trPr>
          <w:cantSplit/>
        </w:trPr>
        <w:tc>
          <w:tcPr>
            <w:tcW w:w="5390" w:type="dxa"/>
            <w:tcBorders>
              <w:top w:val="single" w:sz="4" w:space="0" w:color="auto"/>
              <w:bottom w:val="single" w:sz="12" w:space="0" w:color="auto"/>
            </w:tcBorders>
            <w:shd w:val="clear" w:color="auto" w:fill="auto"/>
            <w:vAlign w:val="bottom"/>
          </w:tcPr>
          <w:p w:rsidR="00C74C10" w:rsidRDefault="00C74C10" w:rsidP="003A7A8C">
            <w:pPr>
              <w:tabs>
                <w:tab w:val="left" w:pos="288"/>
                <w:tab w:val="left" w:pos="576"/>
                <w:tab w:val="left" w:pos="864"/>
                <w:tab w:val="left" w:pos="1152"/>
              </w:tabs>
              <w:spacing w:after="80" w:line="280" w:lineRule="exact"/>
              <w:ind w:right="40"/>
              <w:rPr>
                <w:rFonts w:hint="cs"/>
                <w:sz w:val="16"/>
                <w:szCs w:val="24"/>
                <w:rtl/>
              </w:rPr>
            </w:pPr>
            <w:r>
              <w:rPr>
                <w:rFonts w:hint="cs"/>
                <w:sz w:val="16"/>
                <w:szCs w:val="24"/>
                <w:rtl/>
              </w:rPr>
              <w:t>السكان</w:t>
            </w:r>
          </w:p>
        </w:tc>
        <w:tc>
          <w:tcPr>
            <w:tcW w:w="1930" w:type="dxa"/>
            <w:tcBorders>
              <w:top w:val="single" w:sz="4" w:space="0" w:color="auto"/>
              <w:bottom w:val="single" w:sz="12" w:space="0" w:color="auto"/>
            </w:tcBorders>
            <w:shd w:val="clear" w:color="auto" w:fill="auto"/>
            <w:vAlign w:val="bottom"/>
          </w:tcPr>
          <w:p w:rsidR="00C74C10" w:rsidRDefault="00C74C10" w:rsidP="003A7A8C">
            <w:pPr>
              <w:tabs>
                <w:tab w:val="left" w:pos="288"/>
                <w:tab w:val="left" w:pos="576"/>
                <w:tab w:val="left" w:pos="864"/>
                <w:tab w:val="left" w:pos="1152"/>
              </w:tabs>
              <w:spacing w:after="80" w:line="280" w:lineRule="exact"/>
              <w:ind w:right="144"/>
              <w:jc w:val="center"/>
              <w:rPr>
                <w:rFonts w:hint="cs"/>
                <w:sz w:val="16"/>
                <w:szCs w:val="24"/>
                <w:rtl/>
              </w:rPr>
            </w:pPr>
            <w:r>
              <w:rPr>
                <w:rFonts w:hint="cs"/>
                <w:sz w:val="16"/>
                <w:szCs w:val="24"/>
                <w:rtl/>
              </w:rPr>
              <w:t>690 274 23</w:t>
            </w:r>
          </w:p>
        </w:tc>
      </w:tr>
    </w:tbl>
    <w:p w:rsidR="00641A30" w:rsidRPr="00641A30" w:rsidRDefault="00641A30" w:rsidP="00641A30">
      <w:pPr>
        <w:pStyle w:val="SingleTxt"/>
        <w:spacing w:after="0" w:line="120" w:lineRule="exact"/>
        <w:rPr>
          <w:rFonts w:hint="cs"/>
          <w:sz w:val="10"/>
          <w:rtl/>
        </w:rPr>
      </w:pPr>
    </w:p>
    <w:p w:rsidR="00C74C10" w:rsidRDefault="00C74C10"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السكان والمؤشرات الديموغرافية</w:t>
      </w:r>
    </w:p>
    <w:p w:rsidR="00C74C10" w:rsidRDefault="00C74C10" w:rsidP="00B62EFF">
      <w:pPr>
        <w:pStyle w:val="SingleTxt"/>
        <w:rPr>
          <w:rFonts w:hint="cs"/>
          <w:rtl/>
        </w:rPr>
      </w:pPr>
      <w:r>
        <w:rPr>
          <w:rFonts w:hint="cs"/>
          <w:rtl/>
        </w:rPr>
        <w:t>7 -</w:t>
      </w:r>
      <w:r>
        <w:rPr>
          <w:rFonts w:hint="cs"/>
          <w:rtl/>
        </w:rPr>
        <w:tab/>
        <w:t xml:space="preserve">ارتفع عدد سكان ماليزيا بمعدل سنوي متوسط </w:t>
      </w:r>
      <w:r w:rsidR="00B62EFF">
        <w:rPr>
          <w:rFonts w:hint="cs"/>
          <w:rtl/>
        </w:rPr>
        <w:t>قدره</w:t>
      </w:r>
      <w:r>
        <w:rPr>
          <w:rFonts w:hint="cs"/>
          <w:rtl/>
        </w:rPr>
        <w:t xml:space="preserve"> 2.4 في المائة خلال فترة الخطة الماليزية السابعة (1995-2000) فبلغ 23.27 مليون نسمة في عام 2000. و</w:t>
      </w:r>
      <w:r w:rsidR="00B62EFF">
        <w:rPr>
          <w:rFonts w:hint="cs"/>
          <w:rtl/>
        </w:rPr>
        <w:t>بلغ</w:t>
      </w:r>
      <w:r>
        <w:rPr>
          <w:rFonts w:hint="cs"/>
          <w:rtl/>
        </w:rPr>
        <w:t xml:space="preserve"> عدد السكان في منتصف عام 2002 </w:t>
      </w:r>
      <w:r w:rsidR="00B62EFF">
        <w:rPr>
          <w:rFonts w:hint="cs"/>
          <w:rtl/>
        </w:rPr>
        <w:t>حوالي</w:t>
      </w:r>
      <w:r>
        <w:rPr>
          <w:rFonts w:hint="cs"/>
          <w:rtl/>
        </w:rPr>
        <w:t xml:space="preserve"> 24.37 مليون نسمة. كما يقدر أن يصل عدد السكان إلى 26.04 مليون نسمة بحلول عام 2005، أي بمعدل زيادة سنوي متوسط نسبته 2.3 في المائة. ومن المتوقع أن يكون معدل النمو أقل من ذلك خلال فترة </w:t>
      </w:r>
      <w:r w:rsidR="00B62EFF">
        <w:rPr>
          <w:rFonts w:hint="cs"/>
          <w:rtl/>
        </w:rPr>
        <w:t>ال</w:t>
      </w:r>
      <w:r>
        <w:rPr>
          <w:rFonts w:hint="cs"/>
          <w:rtl/>
        </w:rPr>
        <w:t xml:space="preserve">خطة </w:t>
      </w:r>
      <w:r w:rsidR="00B62EFF">
        <w:rPr>
          <w:rFonts w:hint="cs"/>
          <w:rtl/>
        </w:rPr>
        <w:t>السابعة</w:t>
      </w:r>
      <w:r>
        <w:rPr>
          <w:rFonts w:hint="cs"/>
          <w:rtl/>
        </w:rPr>
        <w:t xml:space="preserve"> بسبب الانخفاض في عدد المواليد في ضوء مواصلة المرأة، بأعداد متزايدة، تحصيل التعليم وتلقي التدريب. وفي عام 2000، بلغت نسبة الإناث من السكان حوالي 49.1 في المائة.</w:t>
      </w:r>
    </w:p>
    <w:p w:rsidR="00C74C10" w:rsidRDefault="00C74C10" w:rsidP="00A71FC6">
      <w:pPr>
        <w:pStyle w:val="SingleTxt"/>
        <w:rPr>
          <w:rFonts w:hint="cs"/>
          <w:rtl/>
        </w:rPr>
      </w:pPr>
      <w:r>
        <w:rPr>
          <w:rFonts w:hint="cs"/>
          <w:rtl/>
        </w:rPr>
        <w:t>8 -</w:t>
      </w:r>
      <w:r>
        <w:rPr>
          <w:rFonts w:hint="cs"/>
          <w:rtl/>
        </w:rPr>
        <w:tab/>
        <w:t>وتعتبر غالبية سكان ماليزيا، حسب ما يتضح من الجدول 1-2، من صغار السن نسبيا حيث يدخل معظمهم ضمن الفئة العمرية من 15 إلى 64 سنة وتدخل نسبة ضئيلة منهم</w:t>
      </w:r>
      <w:r w:rsidR="00C1336A">
        <w:rPr>
          <w:rFonts w:hint="cs"/>
          <w:rtl/>
        </w:rPr>
        <w:t xml:space="preserve"> في الفئة العمرية من 65 فما فوق.</w:t>
      </w:r>
    </w:p>
    <w:p w:rsidR="00641A30" w:rsidRPr="00641A30" w:rsidRDefault="00641A30" w:rsidP="00641A30">
      <w:pPr>
        <w:pStyle w:val="SingleTxt"/>
        <w:spacing w:after="0" w:line="120" w:lineRule="exact"/>
        <w:rPr>
          <w:rFonts w:hint="cs"/>
          <w:sz w:val="10"/>
          <w:rtl/>
        </w:rPr>
      </w:pPr>
    </w:p>
    <w:p w:rsidR="00C1336A" w:rsidRDefault="00C1336A"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1-2: تصنيف السكان بحسب الفئة العمرية والجنس، 2000</w:t>
      </w:r>
    </w:p>
    <w:p w:rsidR="00641A30" w:rsidRPr="00641A30" w:rsidRDefault="00641A30" w:rsidP="00641A30">
      <w:pPr>
        <w:pStyle w:val="SingleTxt"/>
        <w:spacing w:after="0" w:line="120" w:lineRule="exact"/>
        <w:rPr>
          <w:rFonts w:hint="cs"/>
          <w:sz w:val="10"/>
          <w:rtl/>
        </w:rPr>
      </w:pPr>
    </w:p>
    <w:tbl>
      <w:tblPr>
        <w:bidiVisual/>
        <w:tblW w:w="7432" w:type="dxa"/>
        <w:jc w:val="center"/>
        <w:tblInd w:w="2420" w:type="dxa"/>
        <w:tblLayout w:type="fixed"/>
        <w:tblCellMar>
          <w:left w:w="0" w:type="dxa"/>
          <w:right w:w="0" w:type="dxa"/>
        </w:tblCellMar>
        <w:tblLook w:val="0000" w:firstRow="0" w:lastRow="0" w:firstColumn="0" w:lastColumn="0" w:noHBand="0" w:noVBand="0"/>
      </w:tblPr>
      <w:tblGrid>
        <w:gridCol w:w="1534"/>
        <w:gridCol w:w="1339"/>
        <w:gridCol w:w="927"/>
        <w:gridCol w:w="1339"/>
        <w:gridCol w:w="1030"/>
        <w:gridCol w:w="1263"/>
      </w:tblGrid>
      <w:tr w:rsidR="00605212" w:rsidRPr="00C1336A">
        <w:tblPrEx>
          <w:tblCellMar>
            <w:top w:w="0" w:type="dxa"/>
            <w:bottom w:w="0" w:type="dxa"/>
          </w:tblCellMar>
        </w:tblPrEx>
        <w:trPr>
          <w:cantSplit/>
          <w:tblHeader/>
          <w:jc w:val="center"/>
        </w:trPr>
        <w:tc>
          <w:tcPr>
            <w:tcW w:w="1534" w:type="dxa"/>
            <w:vMerge w:val="restart"/>
            <w:tcBorders>
              <w:top w:val="single" w:sz="4" w:space="0" w:color="auto"/>
            </w:tcBorders>
            <w:shd w:val="clear" w:color="auto" w:fill="auto"/>
            <w:tcMar>
              <w:left w:w="0" w:type="dxa"/>
              <w:right w:w="0" w:type="dxa"/>
            </w:tcMar>
            <w:vAlign w:val="bottom"/>
          </w:tcPr>
          <w:p w:rsidR="00605212" w:rsidRPr="00C1336A" w:rsidRDefault="00605212" w:rsidP="00217B35">
            <w:pPr>
              <w:spacing w:after="80" w:line="280" w:lineRule="exact"/>
              <w:ind w:left="170" w:right="170"/>
              <w:rPr>
                <w:rFonts w:hint="cs"/>
                <w:i/>
                <w:iCs/>
                <w:sz w:val="16"/>
                <w:szCs w:val="24"/>
                <w:rtl/>
              </w:rPr>
            </w:pPr>
            <w:r w:rsidRPr="00C1336A">
              <w:rPr>
                <w:rFonts w:hint="cs"/>
                <w:i/>
                <w:iCs/>
                <w:sz w:val="16"/>
                <w:szCs w:val="24"/>
                <w:rtl/>
              </w:rPr>
              <w:t>الفئة العمرية</w:t>
            </w:r>
          </w:p>
        </w:tc>
        <w:tc>
          <w:tcPr>
            <w:tcW w:w="5898" w:type="dxa"/>
            <w:gridSpan w:val="5"/>
            <w:tcBorders>
              <w:top w:val="single" w:sz="4" w:space="0" w:color="auto"/>
              <w:bottom w:val="single" w:sz="4" w:space="0" w:color="auto"/>
            </w:tcBorders>
            <w:shd w:val="clear" w:color="auto" w:fill="auto"/>
            <w:vAlign w:val="bottom"/>
          </w:tcPr>
          <w:p w:rsidR="00605212" w:rsidRPr="00C1336A" w:rsidRDefault="00605212" w:rsidP="00217B35">
            <w:pPr>
              <w:spacing w:after="80" w:line="280" w:lineRule="exact"/>
              <w:ind w:left="170" w:right="170"/>
              <w:jc w:val="center"/>
              <w:rPr>
                <w:rFonts w:hint="cs"/>
                <w:i/>
                <w:iCs/>
                <w:sz w:val="16"/>
                <w:szCs w:val="24"/>
                <w:rtl/>
              </w:rPr>
            </w:pPr>
            <w:r w:rsidRPr="00C1336A">
              <w:rPr>
                <w:rFonts w:hint="cs"/>
                <w:i/>
                <w:iCs/>
                <w:sz w:val="16"/>
                <w:szCs w:val="24"/>
                <w:rtl/>
              </w:rPr>
              <w:t>الجنس</w:t>
            </w:r>
          </w:p>
        </w:tc>
      </w:tr>
      <w:tr w:rsidR="002D27EA" w:rsidRPr="00C1336A">
        <w:tblPrEx>
          <w:tblCellMar>
            <w:top w:w="0" w:type="dxa"/>
            <w:bottom w:w="0" w:type="dxa"/>
          </w:tblCellMar>
        </w:tblPrEx>
        <w:trPr>
          <w:cantSplit/>
          <w:tblHeader/>
          <w:jc w:val="center"/>
        </w:trPr>
        <w:tc>
          <w:tcPr>
            <w:tcW w:w="1534" w:type="dxa"/>
            <w:vMerge/>
            <w:tcBorders>
              <w:bottom w:val="single" w:sz="12" w:space="0" w:color="auto"/>
            </w:tcBorders>
            <w:shd w:val="clear" w:color="auto" w:fill="auto"/>
            <w:vAlign w:val="bottom"/>
          </w:tcPr>
          <w:p w:rsidR="00605212" w:rsidRPr="00C1336A" w:rsidRDefault="00605212" w:rsidP="00217B35">
            <w:pPr>
              <w:spacing w:after="80" w:line="280" w:lineRule="exact"/>
              <w:ind w:left="170" w:right="17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605212" w:rsidRPr="00C1336A" w:rsidRDefault="00605212" w:rsidP="00217B35">
            <w:pPr>
              <w:spacing w:after="80" w:line="280" w:lineRule="exact"/>
              <w:ind w:left="170" w:right="170"/>
              <w:jc w:val="lowKashida"/>
              <w:rPr>
                <w:rFonts w:hint="cs"/>
                <w:i/>
                <w:iCs/>
                <w:sz w:val="16"/>
                <w:szCs w:val="24"/>
                <w:rtl/>
              </w:rPr>
            </w:pPr>
            <w:r w:rsidRPr="00C1336A">
              <w:rPr>
                <w:rFonts w:hint="cs"/>
                <w:i/>
                <w:iCs/>
                <w:sz w:val="16"/>
                <w:szCs w:val="24"/>
                <w:rtl/>
              </w:rPr>
              <w:t>الذكور (مليون شخص)</w:t>
            </w:r>
          </w:p>
        </w:tc>
        <w:tc>
          <w:tcPr>
            <w:tcW w:w="927" w:type="dxa"/>
            <w:tcBorders>
              <w:top w:val="single" w:sz="4" w:space="0" w:color="auto"/>
              <w:bottom w:val="single" w:sz="12" w:space="0" w:color="auto"/>
            </w:tcBorders>
            <w:shd w:val="clear" w:color="auto" w:fill="auto"/>
            <w:vAlign w:val="bottom"/>
          </w:tcPr>
          <w:p w:rsidR="00605212" w:rsidRPr="00C1336A" w:rsidRDefault="00605212" w:rsidP="00217B35">
            <w:pPr>
              <w:spacing w:after="80" w:line="280" w:lineRule="exact"/>
              <w:ind w:left="170" w:right="170"/>
              <w:jc w:val="lowKashida"/>
              <w:rPr>
                <w:rFonts w:hint="cs"/>
                <w:i/>
                <w:iCs/>
                <w:sz w:val="16"/>
                <w:szCs w:val="24"/>
                <w:rtl/>
              </w:rPr>
            </w:pPr>
            <w:r w:rsidRPr="00C1336A">
              <w:rPr>
                <w:rFonts w:hint="cs"/>
                <w:i/>
                <w:iCs/>
                <w:sz w:val="16"/>
                <w:szCs w:val="24"/>
                <w:rtl/>
              </w:rPr>
              <w:t>النسبة ال</w:t>
            </w:r>
            <w:r>
              <w:rPr>
                <w:rFonts w:hint="cs"/>
                <w:i/>
                <w:iCs/>
                <w:sz w:val="16"/>
                <w:szCs w:val="24"/>
                <w:rtl/>
              </w:rPr>
              <w:t>م</w:t>
            </w:r>
            <w:r w:rsidRPr="00C1336A">
              <w:rPr>
                <w:rFonts w:hint="cs"/>
                <w:i/>
                <w:iCs/>
                <w:sz w:val="16"/>
                <w:szCs w:val="24"/>
                <w:rtl/>
              </w:rPr>
              <w:t>ئوي</w:t>
            </w:r>
            <w:r w:rsidR="002D27EA">
              <w:rPr>
                <w:rFonts w:hint="cs"/>
                <w:i/>
                <w:iCs/>
                <w:sz w:val="16"/>
                <w:szCs w:val="24"/>
                <w:rtl/>
              </w:rPr>
              <w:t>ـــــــ</w:t>
            </w:r>
            <w:r w:rsidRPr="00C1336A">
              <w:rPr>
                <w:rFonts w:hint="cs"/>
                <w:i/>
                <w:iCs/>
                <w:sz w:val="16"/>
                <w:szCs w:val="24"/>
                <w:rtl/>
              </w:rPr>
              <w:t>ة</w:t>
            </w:r>
          </w:p>
        </w:tc>
        <w:tc>
          <w:tcPr>
            <w:tcW w:w="1339" w:type="dxa"/>
            <w:tcBorders>
              <w:top w:val="single" w:sz="4" w:space="0" w:color="auto"/>
              <w:bottom w:val="single" w:sz="12" w:space="0" w:color="auto"/>
            </w:tcBorders>
            <w:shd w:val="clear" w:color="auto" w:fill="auto"/>
            <w:vAlign w:val="bottom"/>
          </w:tcPr>
          <w:p w:rsidR="00605212" w:rsidRPr="00C1336A" w:rsidRDefault="00605212" w:rsidP="00217B35">
            <w:pPr>
              <w:spacing w:after="80" w:line="280" w:lineRule="exact"/>
              <w:ind w:left="170" w:right="170"/>
              <w:jc w:val="lowKashida"/>
              <w:rPr>
                <w:rFonts w:hint="cs"/>
                <w:i/>
                <w:iCs/>
                <w:sz w:val="16"/>
                <w:szCs w:val="24"/>
                <w:rtl/>
              </w:rPr>
            </w:pPr>
            <w:r w:rsidRPr="00C1336A">
              <w:rPr>
                <w:rFonts w:hint="cs"/>
                <w:i/>
                <w:iCs/>
                <w:sz w:val="16"/>
                <w:szCs w:val="24"/>
                <w:rtl/>
              </w:rPr>
              <w:t>الإناث (مليون شخص)</w:t>
            </w:r>
          </w:p>
        </w:tc>
        <w:tc>
          <w:tcPr>
            <w:tcW w:w="1030" w:type="dxa"/>
            <w:tcBorders>
              <w:top w:val="single" w:sz="4" w:space="0" w:color="auto"/>
              <w:bottom w:val="single" w:sz="12" w:space="0" w:color="auto"/>
            </w:tcBorders>
            <w:shd w:val="clear" w:color="auto" w:fill="auto"/>
            <w:vAlign w:val="bottom"/>
          </w:tcPr>
          <w:p w:rsidR="00605212" w:rsidRPr="00C1336A" w:rsidRDefault="00605212" w:rsidP="00217B35">
            <w:pPr>
              <w:spacing w:after="80" w:line="280" w:lineRule="exact"/>
              <w:ind w:left="170" w:right="170"/>
              <w:jc w:val="lowKashida"/>
              <w:rPr>
                <w:rFonts w:hint="cs"/>
                <w:i/>
                <w:iCs/>
                <w:sz w:val="16"/>
                <w:szCs w:val="24"/>
                <w:rtl/>
              </w:rPr>
            </w:pPr>
            <w:r w:rsidRPr="00C1336A">
              <w:rPr>
                <w:rFonts w:hint="cs"/>
                <w:i/>
                <w:iCs/>
                <w:sz w:val="16"/>
                <w:szCs w:val="24"/>
                <w:rtl/>
              </w:rPr>
              <w:t>النسبة المئوي</w:t>
            </w:r>
            <w:r w:rsidR="002D27EA">
              <w:rPr>
                <w:rFonts w:hint="cs"/>
                <w:i/>
                <w:iCs/>
                <w:sz w:val="16"/>
                <w:szCs w:val="24"/>
                <w:rtl/>
              </w:rPr>
              <w:t>ـــــــ</w:t>
            </w:r>
            <w:r w:rsidRPr="00C1336A">
              <w:rPr>
                <w:rFonts w:hint="cs"/>
                <w:i/>
                <w:iCs/>
                <w:sz w:val="16"/>
                <w:szCs w:val="24"/>
                <w:rtl/>
              </w:rPr>
              <w:t>ة</w:t>
            </w:r>
          </w:p>
        </w:tc>
        <w:tc>
          <w:tcPr>
            <w:tcW w:w="1263" w:type="dxa"/>
            <w:tcBorders>
              <w:top w:val="single" w:sz="4" w:space="0" w:color="auto"/>
              <w:bottom w:val="single" w:sz="12" w:space="0" w:color="auto"/>
            </w:tcBorders>
            <w:shd w:val="clear" w:color="auto" w:fill="auto"/>
            <w:vAlign w:val="bottom"/>
          </w:tcPr>
          <w:p w:rsidR="00605212" w:rsidRPr="00C1336A" w:rsidRDefault="00605212" w:rsidP="00217B35">
            <w:pPr>
              <w:spacing w:after="80" w:line="280" w:lineRule="exact"/>
              <w:ind w:left="170" w:right="170"/>
              <w:jc w:val="lowKashida"/>
              <w:rPr>
                <w:rFonts w:hint="cs"/>
                <w:i/>
                <w:iCs/>
                <w:sz w:val="16"/>
                <w:szCs w:val="24"/>
                <w:rtl/>
              </w:rPr>
            </w:pPr>
            <w:r w:rsidRPr="00C1336A">
              <w:rPr>
                <w:rFonts w:hint="cs"/>
                <w:i/>
                <w:iCs/>
                <w:sz w:val="16"/>
                <w:szCs w:val="24"/>
                <w:rtl/>
              </w:rPr>
              <w:t>المجموع (مليون شخص)</w:t>
            </w:r>
          </w:p>
        </w:tc>
      </w:tr>
      <w:tr w:rsidR="002D27EA" w:rsidRPr="00C1336A">
        <w:tblPrEx>
          <w:tblCellMar>
            <w:top w:w="0" w:type="dxa"/>
            <w:bottom w:w="0" w:type="dxa"/>
          </w:tblCellMar>
        </w:tblPrEx>
        <w:trPr>
          <w:cantSplit/>
          <w:trHeight w:hRule="exact" w:val="115"/>
          <w:tblHeader/>
          <w:jc w:val="center"/>
        </w:trPr>
        <w:tc>
          <w:tcPr>
            <w:tcW w:w="1534" w:type="dxa"/>
            <w:tcBorders>
              <w:top w:val="single" w:sz="12" w:space="0" w:color="auto"/>
            </w:tcBorders>
            <w:shd w:val="clear" w:color="auto" w:fill="auto"/>
            <w:vAlign w:val="bottom"/>
          </w:tcPr>
          <w:p w:rsidR="00C1336A" w:rsidRPr="00C1336A" w:rsidRDefault="00C1336A" w:rsidP="00217B35">
            <w:pPr>
              <w:spacing w:after="80" w:line="280" w:lineRule="exact"/>
              <w:ind w:left="170" w:right="170"/>
              <w:rPr>
                <w:rFonts w:hint="cs"/>
                <w:sz w:val="16"/>
                <w:szCs w:val="24"/>
                <w:rtl/>
              </w:rPr>
            </w:pPr>
          </w:p>
        </w:tc>
        <w:tc>
          <w:tcPr>
            <w:tcW w:w="1339" w:type="dxa"/>
            <w:tcBorders>
              <w:top w:val="single" w:sz="12" w:space="0" w:color="auto"/>
            </w:tcBorders>
            <w:shd w:val="clear" w:color="auto" w:fill="auto"/>
            <w:vAlign w:val="bottom"/>
          </w:tcPr>
          <w:p w:rsidR="00C1336A" w:rsidRPr="00C1336A" w:rsidRDefault="00C1336A" w:rsidP="00217B35">
            <w:pPr>
              <w:spacing w:after="80" w:line="280" w:lineRule="exact"/>
              <w:ind w:left="170" w:right="170"/>
              <w:jc w:val="lowKashida"/>
              <w:rPr>
                <w:rFonts w:hint="cs"/>
                <w:sz w:val="16"/>
                <w:szCs w:val="24"/>
                <w:rtl/>
              </w:rPr>
            </w:pPr>
          </w:p>
        </w:tc>
        <w:tc>
          <w:tcPr>
            <w:tcW w:w="927" w:type="dxa"/>
            <w:tcBorders>
              <w:top w:val="single" w:sz="12" w:space="0" w:color="auto"/>
            </w:tcBorders>
            <w:shd w:val="clear" w:color="auto" w:fill="auto"/>
            <w:vAlign w:val="bottom"/>
          </w:tcPr>
          <w:p w:rsidR="00C1336A" w:rsidRPr="00C1336A" w:rsidRDefault="00C1336A" w:rsidP="00217B35">
            <w:pPr>
              <w:spacing w:after="80" w:line="280" w:lineRule="exact"/>
              <w:ind w:left="170" w:right="170"/>
              <w:jc w:val="lowKashida"/>
              <w:rPr>
                <w:rFonts w:hint="cs"/>
                <w:sz w:val="16"/>
                <w:szCs w:val="24"/>
                <w:rtl/>
              </w:rPr>
            </w:pPr>
          </w:p>
        </w:tc>
        <w:tc>
          <w:tcPr>
            <w:tcW w:w="1339" w:type="dxa"/>
            <w:tcBorders>
              <w:top w:val="single" w:sz="12" w:space="0" w:color="auto"/>
            </w:tcBorders>
            <w:shd w:val="clear" w:color="auto" w:fill="auto"/>
            <w:vAlign w:val="bottom"/>
          </w:tcPr>
          <w:p w:rsidR="00C1336A" w:rsidRPr="00C1336A" w:rsidRDefault="00C1336A" w:rsidP="00217B35">
            <w:pPr>
              <w:spacing w:after="80" w:line="280" w:lineRule="exact"/>
              <w:ind w:left="170" w:right="170"/>
              <w:jc w:val="lowKashida"/>
              <w:rPr>
                <w:rFonts w:hint="cs"/>
                <w:sz w:val="16"/>
                <w:szCs w:val="24"/>
                <w:rtl/>
              </w:rPr>
            </w:pPr>
          </w:p>
        </w:tc>
        <w:tc>
          <w:tcPr>
            <w:tcW w:w="1030" w:type="dxa"/>
            <w:tcBorders>
              <w:top w:val="single" w:sz="12" w:space="0" w:color="auto"/>
            </w:tcBorders>
            <w:shd w:val="clear" w:color="auto" w:fill="auto"/>
            <w:vAlign w:val="bottom"/>
          </w:tcPr>
          <w:p w:rsidR="00C1336A" w:rsidRPr="00C1336A" w:rsidRDefault="00C1336A" w:rsidP="00217B35">
            <w:pPr>
              <w:spacing w:after="80" w:line="280" w:lineRule="exact"/>
              <w:ind w:left="170" w:right="170"/>
              <w:jc w:val="lowKashida"/>
              <w:rPr>
                <w:rFonts w:hint="cs"/>
                <w:sz w:val="16"/>
                <w:szCs w:val="24"/>
                <w:rtl/>
              </w:rPr>
            </w:pPr>
          </w:p>
        </w:tc>
        <w:tc>
          <w:tcPr>
            <w:tcW w:w="1263" w:type="dxa"/>
            <w:tcBorders>
              <w:top w:val="single" w:sz="12" w:space="0" w:color="auto"/>
            </w:tcBorders>
            <w:shd w:val="clear" w:color="auto" w:fill="auto"/>
            <w:vAlign w:val="bottom"/>
          </w:tcPr>
          <w:p w:rsidR="00C1336A" w:rsidRPr="00C1336A" w:rsidRDefault="00C1336A" w:rsidP="00217B35">
            <w:pPr>
              <w:spacing w:after="80" w:line="280" w:lineRule="exact"/>
              <w:ind w:left="170" w:right="170"/>
              <w:jc w:val="lowKashida"/>
              <w:rPr>
                <w:rFonts w:hint="cs"/>
                <w:sz w:val="16"/>
                <w:szCs w:val="24"/>
                <w:rtl/>
              </w:rPr>
            </w:pP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0-4</w:t>
            </w:r>
          </w:p>
        </w:tc>
        <w:tc>
          <w:tcPr>
            <w:tcW w:w="1339" w:type="dxa"/>
            <w:shd w:val="clear" w:color="auto" w:fill="auto"/>
            <w:vAlign w:val="bottom"/>
          </w:tcPr>
          <w:p w:rsidR="00C1336A" w:rsidRPr="00C1336A" w:rsidRDefault="00605212" w:rsidP="003A7A8C">
            <w:pPr>
              <w:spacing w:before="40" w:after="80" w:line="280" w:lineRule="exact"/>
              <w:ind w:left="170" w:right="170"/>
              <w:jc w:val="lowKashida"/>
              <w:rPr>
                <w:rFonts w:hint="cs"/>
                <w:sz w:val="16"/>
                <w:szCs w:val="24"/>
                <w:rtl/>
              </w:rPr>
            </w:pPr>
            <w:r>
              <w:rPr>
                <w:rFonts w:hint="cs"/>
                <w:sz w:val="16"/>
                <w:szCs w:val="24"/>
                <w:rtl/>
              </w:rPr>
              <w:t>347.6 1</w:t>
            </w:r>
          </w:p>
        </w:tc>
        <w:tc>
          <w:tcPr>
            <w:tcW w:w="927"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51.57</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265.1 1</w:t>
            </w:r>
          </w:p>
        </w:tc>
        <w:tc>
          <w:tcPr>
            <w:tcW w:w="1030"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48.42</w:t>
            </w:r>
          </w:p>
        </w:tc>
        <w:tc>
          <w:tcPr>
            <w:tcW w:w="1263"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612.7 2</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5-9</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365.0 1</w:t>
            </w:r>
          </w:p>
        </w:tc>
        <w:tc>
          <w:tcPr>
            <w:tcW w:w="927"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51.57</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281.5 1</w:t>
            </w:r>
          </w:p>
        </w:tc>
        <w:tc>
          <w:tcPr>
            <w:tcW w:w="1030"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48.42</w:t>
            </w:r>
          </w:p>
        </w:tc>
        <w:tc>
          <w:tcPr>
            <w:tcW w:w="1263"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646.5 2</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10-14</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276.3 1</w:t>
            </w:r>
          </w:p>
        </w:tc>
        <w:tc>
          <w:tcPr>
            <w:tcW w:w="927"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51.22</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215.4 1</w:t>
            </w:r>
          </w:p>
        </w:tc>
        <w:tc>
          <w:tcPr>
            <w:tcW w:w="1030"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48.77</w:t>
            </w:r>
          </w:p>
        </w:tc>
        <w:tc>
          <w:tcPr>
            <w:tcW w:w="1263"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491.8 2</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15-19</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195.8 1</w:t>
            </w:r>
          </w:p>
        </w:tc>
        <w:tc>
          <w:tcPr>
            <w:tcW w:w="927"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50.52</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171.2 1</w:t>
            </w:r>
          </w:p>
        </w:tc>
        <w:tc>
          <w:tcPr>
            <w:tcW w:w="1030"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49.48</w:t>
            </w:r>
          </w:p>
        </w:tc>
        <w:tc>
          <w:tcPr>
            <w:tcW w:w="1263"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367.0 2</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20-24</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050.9 1</w:t>
            </w:r>
          </w:p>
        </w:tc>
        <w:tc>
          <w:tcPr>
            <w:tcW w:w="927"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50.34</w:t>
            </w:r>
          </w:p>
        </w:tc>
        <w:tc>
          <w:tcPr>
            <w:tcW w:w="1339"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036.3 1</w:t>
            </w:r>
          </w:p>
        </w:tc>
        <w:tc>
          <w:tcPr>
            <w:tcW w:w="1030"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49.65</w:t>
            </w:r>
          </w:p>
        </w:tc>
        <w:tc>
          <w:tcPr>
            <w:tcW w:w="1263" w:type="dxa"/>
            <w:shd w:val="clear" w:color="auto" w:fill="auto"/>
            <w:vAlign w:val="bottom"/>
          </w:tcPr>
          <w:p w:rsidR="00C1336A" w:rsidRPr="00C1336A" w:rsidRDefault="00605212" w:rsidP="00217B35">
            <w:pPr>
              <w:spacing w:after="80" w:line="280" w:lineRule="exact"/>
              <w:ind w:left="170" w:right="170"/>
              <w:jc w:val="lowKashida"/>
              <w:rPr>
                <w:rFonts w:hint="cs"/>
                <w:sz w:val="16"/>
                <w:szCs w:val="24"/>
                <w:rtl/>
              </w:rPr>
            </w:pPr>
            <w:r>
              <w:rPr>
                <w:rFonts w:hint="cs"/>
                <w:sz w:val="16"/>
                <w:szCs w:val="24"/>
                <w:rtl/>
              </w:rPr>
              <w:t>087.2 2</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605212" w:rsidP="00217B35">
            <w:pPr>
              <w:spacing w:after="80" w:line="280" w:lineRule="exact"/>
              <w:ind w:left="170" w:right="170"/>
              <w:rPr>
                <w:rFonts w:hint="cs"/>
                <w:sz w:val="16"/>
                <w:szCs w:val="24"/>
                <w:rtl/>
              </w:rPr>
            </w:pPr>
            <w:r>
              <w:rPr>
                <w:rFonts w:hint="cs"/>
                <w:sz w:val="16"/>
                <w:szCs w:val="24"/>
                <w:rtl/>
              </w:rPr>
              <w:t>25-</w:t>
            </w:r>
            <w:r w:rsidR="007202A0">
              <w:rPr>
                <w:rFonts w:hint="cs"/>
                <w:sz w:val="16"/>
                <w:szCs w:val="24"/>
                <w:rtl/>
              </w:rPr>
              <w:t>29</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972.7</w:t>
            </w:r>
          </w:p>
        </w:tc>
        <w:tc>
          <w:tcPr>
            <w:tcW w:w="927"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50.63</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948.4</w:t>
            </w:r>
          </w:p>
        </w:tc>
        <w:tc>
          <w:tcPr>
            <w:tcW w:w="1030"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49.36</w:t>
            </w:r>
          </w:p>
        </w:tc>
        <w:tc>
          <w:tcPr>
            <w:tcW w:w="1263"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921.1 1</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7202A0" w:rsidP="00217B35">
            <w:pPr>
              <w:spacing w:after="80" w:line="280" w:lineRule="exact"/>
              <w:ind w:left="170" w:right="170"/>
              <w:rPr>
                <w:rFonts w:hint="cs"/>
                <w:sz w:val="16"/>
                <w:szCs w:val="24"/>
                <w:rtl/>
              </w:rPr>
            </w:pPr>
            <w:r>
              <w:rPr>
                <w:rFonts w:hint="cs"/>
                <w:sz w:val="16"/>
                <w:szCs w:val="24"/>
                <w:rtl/>
              </w:rPr>
              <w:t>30-34</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915.8</w:t>
            </w:r>
          </w:p>
        </w:tc>
        <w:tc>
          <w:tcPr>
            <w:tcW w:w="927"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50.87</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884.4</w:t>
            </w:r>
          </w:p>
        </w:tc>
        <w:tc>
          <w:tcPr>
            <w:tcW w:w="1030"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49.13</w:t>
            </w:r>
          </w:p>
        </w:tc>
        <w:tc>
          <w:tcPr>
            <w:tcW w:w="1263"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800.2 1</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7202A0" w:rsidP="00217B35">
            <w:pPr>
              <w:spacing w:after="80" w:line="280" w:lineRule="exact"/>
              <w:ind w:left="170" w:right="170"/>
              <w:rPr>
                <w:rFonts w:hint="cs"/>
                <w:sz w:val="16"/>
                <w:szCs w:val="24"/>
                <w:rtl/>
              </w:rPr>
            </w:pPr>
            <w:r>
              <w:rPr>
                <w:rFonts w:hint="cs"/>
                <w:sz w:val="16"/>
                <w:szCs w:val="24"/>
                <w:rtl/>
              </w:rPr>
              <w:t>35-39</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866.2</w:t>
            </w:r>
          </w:p>
        </w:tc>
        <w:tc>
          <w:tcPr>
            <w:tcW w:w="927"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50.80</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838.8</w:t>
            </w:r>
          </w:p>
        </w:tc>
        <w:tc>
          <w:tcPr>
            <w:tcW w:w="1030"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49.19</w:t>
            </w:r>
          </w:p>
        </w:tc>
        <w:tc>
          <w:tcPr>
            <w:tcW w:w="1263"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705.0 1</w:t>
            </w:r>
          </w:p>
        </w:tc>
      </w:tr>
      <w:tr w:rsidR="007202A0" w:rsidRPr="00C1336A">
        <w:tblPrEx>
          <w:tblCellMar>
            <w:top w:w="0" w:type="dxa"/>
            <w:bottom w:w="0" w:type="dxa"/>
          </w:tblCellMar>
        </w:tblPrEx>
        <w:trPr>
          <w:cantSplit/>
          <w:jc w:val="center"/>
        </w:trPr>
        <w:tc>
          <w:tcPr>
            <w:tcW w:w="1534" w:type="dxa"/>
            <w:shd w:val="clear" w:color="auto" w:fill="auto"/>
            <w:vAlign w:val="bottom"/>
          </w:tcPr>
          <w:p w:rsidR="00C1336A" w:rsidRPr="00C1336A" w:rsidRDefault="007202A0" w:rsidP="00217B35">
            <w:pPr>
              <w:spacing w:after="80" w:line="280" w:lineRule="exact"/>
              <w:ind w:left="170" w:right="170"/>
              <w:rPr>
                <w:rFonts w:hint="cs"/>
                <w:sz w:val="16"/>
                <w:szCs w:val="24"/>
                <w:rtl/>
              </w:rPr>
            </w:pPr>
            <w:r>
              <w:rPr>
                <w:rFonts w:hint="cs"/>
                <w:sz w:val="16"/>
                <w:szCs w:val="24"/>
                <w:rtl/>
              </w:rPr>
              <w:t>40-44</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764.7</w:t>
            </w:r>
          </w:p>
        </w:tc>
        <w:tc>
          <w:tcPr>
            <w:tcW w:w="927"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51.40</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722.8</w:t>
            </w:r>
          </w:p>
        </w:tc>
        <w:tc>
          <w:tcPr>
            <w:tcW w:w="1030"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48.59</w:t>
            </w:r>
          </w:p>
        </w:tc>
        <w:tc>
          <w:tcPr>
            <w:tcW w:w="1263"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487.5 1</w:t>
            </w:r>
          </w:p>
        </w:tc>
      </w:tr>
      <w:tr w:rsidR="002D27EA" w:rsidRPr="00C1336A">
        <w:tblPrEx>
          <w:tblCellMar>
            <w:top w:w="0" w:type="dxa"/>
            <w:bottom w:w="0" w:type="dxa"/>
          </w:tblCellMar>
        </w:tblPrEx>
        <w:trPr>
          <w:cantSplit/>
          <w:jc w:val="center"/>
        </w:trPr>
        <w:tc>
          <w:tcPr>
            <w:tcW w:w="1534" w:type="dxa"/>
            <w:shd w:val="clear" w:color="auto" w:fill="auto"/>
            <w:vAlign w:val="bottom"/>
          </w:tcPr>
          <w:p w:rsidR="00C1336A" w:rsidRPr="00C1336A" w:rsidRDefault="007202A0" w:rsidP="00217B35">
            <w:pPr>
              <w:spacing w:after="80" w:line="280" w:lineRule="exact"/>
              <w:ind w:left="170" w:right="170"/>
              <w:rPr>
                <w:rFonts w:hint="cs"/>
                <w:sz w:val="16"/>
                <w:szCs w:val="24"/>
                <w:rtl/>
              </w:rPr>
            </w:pPr>
            <w:r>
              <w:rPr>
                <w:rFonts w:hint="cs"/>
                <w:sz w:val="16"/>
                <w:szCs w:val="24"/>
                <w:rtl/>
              </w:rPr>
              <w:t>45-49</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604.8</w:t>
            </w:r>
          </w:p>
        </w:tc>
        <w:tc>
          <w:tcPr>
            <w:tcW w:w="927"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51.75</w:t>
            </w:r>
          </w:p>
        </w:tc>
        <w:tc>
          <w:tcPr>
            <w:tcW w:w="1339"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563.7</w:t>
            </w:r>
          </w:p>
        </w:tc>
        <w:tc>
          <w:tcPr>
            <w:tcW w:w="1030"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48.24</w:t>
            </w:r>
          </w:p>
        </w:tc>
        <w:tc>
          <w:tcPr>
            <w:tcW w:w="1263" w:type="dxa"/>
            <w:shd w:val="clear" w:color="auto" w:fill="auto"/>
            <w:vAlign w:val="bottom"/>
          </w:tcPr>
          <w:p w:rsidR="00C1336A" w:rsidRPr="00C1336A" w:rsidRDefault="007202A0" w:rsidP="00217B35">
            <w:pPr>
              <w:spacing w:after="80" w:line="280" w:lineRule="exact"/>
              <w:ind w:left="170" w:right="170"/>
              <w:jc w:val="lowKashida"/>
              <w:rPr>
                <w:rFonts w:hint="cs"/>
                <w:sz w:val="16"/>
                <w:szCs w:val="24"/>
                <w:rtl/>
              </w:rPr>
            </w:pPr>
            <w:r>
              <w:rPr>
                <w:rFonts w:hint="cs"/>
                <w:sz w:val="16"/>
                <w:szCs w:val="24"/>
                <w:rtl/>
              </w:rPr>
              <w:t>168.5 1</w:t>
            </w:r>
          </w:p>
        </w:tc>
      </w:tr>
      <w:tr w:rsidR="002D27EA" w:rsidRPr="00C1336A">
        <w:tblPrEx>
          <w:tblCellMar>
            <w:top w:w="0" w:type="dxa"/>
            <w:bottom w:w="0" w:type="dxa"/>
          </w:tblCellMar>
        </w:tblPrEx>
        <w:trPr>
          <w:cantSplit/>
          <w:jc w:val="center"/>
        </w:trPr>
        <w:tc>
          <w:tcPr>
            <w:tcW w:w="1534" w:type="dxa"/>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50-54</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480.3</w:t>
            </w:r>
          </w:p>
        </w:tc>
        <w:tc>
          <w:tcPr>
            <w:tcW w:w="927"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52.27</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438.6</w:t>
            </w:r>
          </w:p>
        </w:tc>
        <w:tc>
          <w:tcPr>
            <w:tcW w:w="1030"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47.73</w:t>
            </w:r>
          </w:p>
        </w:tc>
        <w:tc>
          <w:tcPr>
            <w:tcW w:w="1263"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918.9</w:t>
            </w:r>
          </w:p>
        </w:tc>
      </w:tr>
      <w:tr w:rsidR="002D27EA" w:rsidRPr="00C1336A">
        <w:tblPrEx>
          <w:tblCellMar>
            <w:top w:w="0" w:type="dxa"/>
            <w:bottom w:w="0" w:type="dxa"/>
          </w:tblCellMar>
        </w:tblPrEx>
        <w:trPr>
          <w:cantSplit/>
          <w:jc w:val="center"/>
        </w:trPr>
        <w:tc>
          <w:tcPr>
            <w:tcW w:w="1534" w:type="dxa"/>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55-59</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320.1</w:t>
            </w:r>
          </w:p>
        </w:tc>
        <w:tc>
          <w:tcPr>
            <w:tcW w:w="927"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51.91</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296.5</w:t>
            </w:r>
          </w:p>
        </w:tc>
        <w:tc>
          <w:tcPr>
            <w:tcW w:w="1030"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48.08</w:t>
            </w:r>
          </w:p>
        </w:tc>
        <w:tc>
          <w:tcPr>
            <w:tcW w:w="1263"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616.6</w:t>
            </w:r>
          </w:p>
        </w:tc>
      </w:tr>
      <w:tr w:rsidR="002D27EA" w:rsidRPr="00C1336A">
        <w:tblPrEx>
          <w:tblCellMar>
            <w:top w:w="0" w:type="dxa"/>
            <w:bottom w:w="0" w:type="dxa"/>
          </w:tblCellMar>
        </w:tblPrEx>
        <w:trPr>
          <w:cantSplit/>
          <w:jc w:val="center"/>
        </w:trPr>
        <w:tc>
          <w:tcPr>
            <w:tcW w:w="1534" w:type="dxa"/>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60-64</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274.2</w:t>
            </w:r>
          </w:p>
        </w:tc>
        <w:tc>
          <w:tcPr>
            <w:tcW w:w="927"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49.76</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276.8</w:t>
            </w:r>
          </w:p>
        </w:tc>
        <w:tc>
          <w:tcPr>
            <w:tcW w:w="1030"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50.23</w:t>
            </w:r>
          </w:p>
        </w:tc>
        <w:tc>
          <w:tcPr>
            <w:tcW w:w="1263"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551.0</w:t>
            </w:r>
          </w:p>
        </w:tc>
      </w:tr>
      <w:tr w:rsidR="002D27EA" w:rsidRPr="00C1336A">
        <w:tblPrEx>
          <w:tblCellMar>
            <w:top w:w="0" w:type="dxa"/>
            <w:bottom w:w="0" w:type="dxa"/>
          </w:tblCellMar>
        </w:tblPrEx>
        <w:trPr>
          <w:cantSplit/>
          <w:jc w:val="center"/>
        </w:trPr>
        <w:tc>
          <w:tcPr>
            <w:tcW w:w="1534" w:type="dxa"/>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65-69</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164.9</w:t>
            </w:r>
          </w:p>
        </w:tc>
        <w:tc>
          <w:tcPr>
            <w:tcW w:w="927"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47.56</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181.8</w:t>
            </w:r>
          </w:p>
        </w:tc>
        <w:tc>
          <w:tcPr>
            <w:tcW w:w="1030"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52.43</w:t>
            </w:r>
          </w:p>
        </w:tc>
        <w:tc>
          <w:tcPr>
            <w:tcW w:w="1263"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346.7</w:t>
            </w:r>
          </w:p>
        </w:tc>
      </w:tr>
      <w:tr w:rsidR="002D27EA" w:rsidRPr="00C1336A">
        <w:tblPrEx>
          <w:tblCellMar>
            <w:top w:w="0" w:type="dxa"/>
            <w:bottom w:w="0" w:type="dxa"/>
          </w:tblCellMar>
        </w:tblPrEx>
        <w:trPr>
          <w:cantSplit/>
          <w:jc w:val="center"/>
        </w:trPr>
        <w:tc>
          <w:tcPr>
            <w:tcW w:w="1534" w:type="dxa"/>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70-74</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125.9</w:t>
            </w:r>
          </w:p>
        </w:tc>
        <w:tc>
          <w:tcPr>
            <w:tcW w:w="927"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47.67</w:t>
            </w:r>
          </w:p>
        </w:tc>
        <w:tc>
          <w:tcPr>
            <w:tcW w:w="1339"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138.2</w:t>
            </w:r>
          </w:p>
        </w:tc>
        <w:tc>
          <w:tcPr>
            <w:tcW w:w="1030"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52.33</w:t>
            </w:r>
          </w:p>
        </w:tc>
        <w:tc>
          <w:tcPr>
            <w:tcW w:w="1263" w:type="dxa"/>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264.1</w:t>
            </w:r>
          </w:p>
        </w:tc>
      </w:tr>
      <w:tr w:rsidR="002D27EA" w:rsidRPr="00C1336A">
        <w:tblPrEx>
          <w:tblCellMar>
            <w:top w:w="0" w:type="dxa"/>
            <w:bottom w:w="0" w:type="dxa"/>
          </w:tblCellMar>
        </w:tblPrEx>
        <w:trPr>
          <w:cantSplit/>
          <w:jc w:val="center"/>
        </w:trPr>
        <w:tc>
          <w:tcPr>
            <w:tcW w:w="1534" w:type="dxa"/>
            <w:tcBorders>
              <w:bottom w:val="single" w:sz="4" w:space="0" w:color="auto"/>
            </w:tcBorders>
            <w:shd w:val="clear" w:color="auto" w:fill="auto"/>
            <w:vAlign w:val="bottom"/>
          </w:tcPr>
          <w:p w:rsidR="007202A0" w:rsidRDefault="007202A0" w:rsidP="00217B35">
            <w:pPr>
              <w:spacing w:after="80" w:line="280" w:lineRule="exact"/>
              <w:ind w:left="170" w:right="170"/>
              <w:rPr>
                <w:rFonts w:hint="cs"/>
                <w:sz w:val="16"/>
                <w:szCs w:val="24"/>
                <w:rtl/>
              </w:rPr>
            </w:pPr>
            <w:r>
              <w:rPr>
                <w:rFonts w:hint="cs"/>
                <w:sz w:val="16"/>
                <w:szCs w:val="24"/>
                <w:rtl/>
              </w:rPr>
              <w:t>75 +</w:t>
            </w:r>
          </w:p>
        </w:tc>
        <w:tc>
          <w:tcPr>
            <w:tcW w:w="1339" w:type="dxa"/>
            <w:tcBorders>
              <w:bottom w:val="single" w:sz="4" w:space="0" w:color="auto"/>
            </w:tcBorders>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128.1</w:t>
            </w:r>
          </w:p>
        </w:tc>
        <w:tc>
          <w:tcPr>
            <w:tcW w:w="927" w:type="dxa"/>
            <w:tcBorders>
              <w:bottom w:val="single" w:sz="4" w:space="0" w:color="auto"/>
            </w:tcBorders>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44.20</w:t>
            </w:r>
          </w:p>
        </w:tc>
        <w:tc>
          <w:tcPr>
            <w:tcW w:w="1339" w:type="dxa"/>
            <w:tcBorders>
              <w:bottom w:val="single" w:sz="4" w:space="0" w:color="auto"/>
            </w:tcBorders>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161.7</w:t>
            </w:r>
          </w:p>
        </w:tc>
        <w:tc>
          <w:tcPr>
            <w:tcW w:w="1030" w:type="dxa"/>
            <w:tcBorders>
              <w:bottom w:val="single" w:sz="4" w:space="0" w:color="auto"/>
            </w:tcBorders>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55.79</w:t>
            </w:r>
          </w:p>
        </w:tc>
        <w:tc>
          <w:tcPr>
            <w:tcW w:w="1263" w:type="dxa"/>
            <w:tcBorders>
              <w:bottom w:val="single" w:sz="4" w:space="0" w:color="auto"/>
            </w:tcBorders>
            <w:shd w:val="clear" w:color="auto" w:fill="auto"/>
            <w:vAlign w:val="bottom"/>
          </w:tcPr>
          <w:p w:rsidR="007202A0" w:rsidRDefault="007202A0" w:rsidP="00217B35">
            <w:pPr>
              <w:spacing w:after="80" w:line="280" w:lineRule="exact"/>
              <w:ind w:left="170" w:right="170"/>
              <w:jc w:val="lowKashida"/>
              <w:rPr>
                <w:rFonts w:hint="cs"/>
                <w:sz w:val="16"/>
                <w:szCs w:val="24"/>
                <w:rtl/>
              </w:rPr>
            </w:pPr>
            <w:r>
              <w:rPr>
                <w:rFonts w:hint="cs"/>
                <w:sz w:val="16"/>
                <w:szCs w:val="24"/>
                <w:rtl/>
              </w:rPr>
              <w:t>289.8</w:t>
            </w:r>
          </w:p>
        </w:tc>
      </w:tr>
      <w:tr w:rsidR="002D27EA" w:rsidRPr="00C1336A">
        <w:tblPrEx>
          <w:tblCellMar>
            <w:top w:w="0" w:type="dxa"/>
            <w:bottom w:w="0" w:type="dxa"/>
          </w:tblCellMar>
        </w:tblPrEx>
        <w:trPr>
          <w:cantSplit/>
          <w:jc w:val="center"/>
        </w:trPr>
        <w:tc>
          <w:tcPr>
            <w:tcW w:w="1534"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rPr>
                <w:rFonts w:hint="cs"/>
                <w:b/>
                <w:bCs/>
                <w:sz w:val="16"/>
                <w:szCs w:val="24"/>
                <w:rtl/>
              </w:rPr>
            </w:pPr>
            <w:r w:rsidRPr="002D27EA">
              <w:rPr>
                <w:rFonts w:hint="cs"/>
                <w:b/>
                <w:bCs/>
                <w:sz w:val="16"/>
                <w:szCs w:val="24"/>
                <w:rtl/>
              </w:rPr>
              <w:t>المجموع</w:t>
            </w:r>
          </w:p>
        </w:tc>
        <w:tc>
          <w:tcPr>
            <w:tcW w:w="1339"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jc w:val="lowKashida"/>
              <w:rPr>
                <w:rFonts w:hint="cs"/>
                <w:b/>
                <w:bCs/>
                <w:sz w:val="16"/>
                <w:szCs w:val="24"/>
                <w:rtl/>
              </w:rPr>
            </w:pPr>
            <w:r w:rsidRPr="002D27EA">
              <w:rPr>
                <w:rFonts w:hint="cs"/>
                <w:b/>
                <w:bCs/>
                <w:sz w:val="16"/>
                <w:szCs w:val="24"/>
                <w:rtl/>
              </w:rPr>
              <w:t>853.4 11</w:t>
            </w:r>
          </w:p>
        </w:tc>
        <w:tc>
          <w:tcPr>
            <w:tcW w:w="927"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jc w:val="lowKashida"/>
              <w:rPr>
                <w:rFonts w:hint="cs"/>
                <w:b/>
                <w:bCs/>
                <w:sz w:val="16"/>
                <w:szCs w:val="24"/>
                <w:rtl/>
              </w:rPr>
            </w:pPr>
            <w:r w:rsidRPr="002D27EA">
              <w:rPr>
                <w:rFonts w:hint="cs"/>
                <w:b/>
                <w:bCs/>
                <w:sz w:val="16"/>
                <w:szCs w:val="24"/>
                <w:rtl/>
              </w:rPr>
              <w:t>50.93</w:t>
            </w:r>
          </w:p>
        </w:tc>
        <w:tc>
          <w:tcPr>
            <w:tcW w:w="1339"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jc w:val="lowKashida"/>
              <w:rPr>
                <w:rFonts w:hint="cs"/>
                <w:b/>
                <w:bCs/>
                <w:sz w:val="16"/>
                <w:szCs w:val="24"/>
                <w:rtl/>
              </w:rPr>
            </w:pPr>
            <w:r w:rsidRPr="002D27EA">
              <w:rPr>
                <w:rFonts w:hint="cs"/>
                <w:b/>
                <w:bCs/>
                <w:sz w:val="16"/>
                <w:szCs w:val="24"/>
                <w:rtl/>
              </w:rPr>
              <w:t>421.3 11</w:t>
            </w:r>
          </w:p>
        </w:tc>
        <w:tc>
          <w:tcPr>
            <w:tcW w:w="1030"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jc w:val="lowKashida"/>
              <w:rPr>
                <w:rFonts w:hint="cs"/>
                <w:b/>
                <w:bCs/>
                <w:sz w:val="16"/>
                <w:szCs w:val="24"/>
                <w:rtl/>
              </w:rPr>
            </w:pPr>
            <w:r w:rsidRPr="002D27EA">
              <w:rPr>
                <w:rFonts w:hint="cs"/>
                <w:b/>
                <w:bCs/>
                <w:sz w:val="16"/>
                <w:szCs w:val="24"/>
                <w:rtl/>
              </w:rPr>
              <w:t>49.07</w:t>
            </w:r>
          </w:p>
        </w:tc>
        <w:tc>
          <w:tcPr>
            <w:tcW w:w="1263" w:type="dxa"/>
            <w:tcBorders>
              <w:top w:val="single" w:sz="4" w:space="0" w:color="auto"/>
              <w:bottom w:val="single" w:sz="12" w:space="0" w:color="auto"/>
            </w:tcBorders>
            <w:shd w:val="clear" w:color="auto" w:fill="auto"/>
            <w:vAlign w:val="bottom"/>
          </w:tcPr>
          <w:p w:rsidR="007202A0" w:rsidRPr="002D27EA" w:rsidRDefault="007202A0" w:rsidP="00217B35">
            <w:pPr>
              <w:spacing w:after="80" w:line="280" w:lineRule="exact"/>
              <w:ind w:left="170" w:right="170"/>
              <w:jc w:val="lowKashida"/>
              <w:rPr>
                <w:rFonts w:hint="cs"/>
                <w:b/>
                <w:bCs/>
                <w:sz w:val="16"/>
                <w:szCs w:val="24"/>
                <w:rtl/>
              </w:rPr>
            </w:pPr>
            <w:r w:rsidRPr="002D27EA">
              <w:rPr>
                <w:rFonts w:hint="cs"/>
                <w:b/>
                <w:bCs/>
                <w:sz w:val="16"/>
                <w:szCs w:val="24"/>
                <w:rtl/>
              </w:rPr>
              <w:t>274.7 23</w:t>
            </w:r>
          </w:p>
        </w:tc>
      </w:tr>
    </w:tbl>
    <w:p w:rsidR="00641A30" w:rsidRPr="00641A30" w:rsidRDefault="00641A30" w:rsidP="00641A30">
      <w:pPr>
        <w:pStyle w:val="SingleTxt"/>
        <w:spacing w:after="0" w:line="120" w:lineRule="exact"/>
        <w:rPr>
          <w:rFonts w:hint="cs"/>
          <w:sz w:val="10"/>
          <w:rtl/>
        </w:rPr>
      </w:pPr>
    </w:p>
    <w:p w:rsidR="00C1336A" w:rsidRDefault="00FC2F8B" w:rsidP="00A71FC6">
      <w:pPr>
        <w:pStyle w:val="FootnoteText"/>
        <w:tabs>
          <w:tab w:val="clear" w:pos="418"/>
          <w:tab w:val="right" w:pos="1915"/>
          <w:tab w:val="left" w:pos="2016"/>
          <w:tab w:val="left" w:pos="2491"/>
          <w:tab w:val="left" w:pos="2966"/>
          <w:tab w:val="left" w:pos="3442"/>
          <w:tab w:val="left" w:pos="3917"/>
        </w:tabs>
        <w:spacing w:after="80" w:line="400" w:lineRule="exact"/>
        <w:ind w:left="2030" w:right="1267" w:hanging="763"/>
        <w:rPr>
          <w:rFonts w:hint="cs"/>
          <w:rtl/>
        </w:rPr>
      </w:pPr>
      <w:r>
        <w:rPr>
          <w:rFonts w:hint="cs"/>
          <w:rtl/>
        </w:rPr>
        <w:t>المصدر: إدارة الإحصاءات، ماليزيا.</w:t>
      </w:r>
    </w:p>
    <w:p w:rsidR="00E7232B" w:rsidRPr="00E7232B" w:rsidRDefault="00E7232B" w:rsidP="00E7232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C2F8B" w:rsidRPr="00E7232B" w:rsidRDefault="003A7A8C" w:rsidP="00E7232B">
      <w:pPr>
        <w:pStyle w:val="SingleTxt"/>
        <w:rPr>
          <w:rFonts w:hint="cs"/>
          <w:b/>
          <w:bCs/>
          <w:rtl/>
        </w:rPr>
      </w:pPr>
      <w:r>
        <w:rPr>
          <w:b/>
          <w:bCs/>
          <w:rtl/>
        </w:rPr>
        <w:br w:type="page"/>
      </w:r>
      <w:r w:rsidR="00FC2F8B" w:rsidRPr="00E7232B">
        <w:rPr>
          <w:rFonts w:hint="cs"/>
          <w:b/>
          <w:bCs/>
          <w:rtl/>
        </w:rPr>
        <w:t>الجدول 1-3: تصنيف السكان بحسب الفئة العرقية والجنس، 2000</w:t>
      </w:r>
    </w:p>
    <w:p w:rsidR="00641A30" w:rsidRPr="00641A30" w:rsidRDefault="00641A30" w:rsidP="00641A30">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C2F8B" w:rsidRPr="00FC2F8B">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i/>
                <w:iCs/>
                <w:sz w:val="16"/>
                <w:szCs w:val="24"/>
                <w:rtl/>
              </w:rPr>
            </w:pPr>
            <w:r w:rsidRPr="00FC2F8B">
              <w:rPr>
                <w:rFonts w:hint="cs"/>
                <w:i/>
                <w:iCs/>
                <w:sz w:val="16"/>
                <w:szCs w:val="24"/>
                <w:rtl/>
              </w:rPr>
              <w:t>الفئة العرقية</w:t>
            </w:r>
          </w:p>
        </w:tc>
        <w:tc>
          <w:tcPr>
            <w:tcW w:w="3660" w:type="dxa"/>
            <w:gridSpan w:val="2"/>
            <w:tcBorders>
              <w:top w:val="single" w:sz="4" w:space="0" w:color="auto"/>
              <w:bottom w:val="single" w:sz="4"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center"/>
              <w:rPr>
                <w:rFonts w:hint="cs"/>
                <w:i/>
                <w:iCs/>
                <w:sz w:val="16"/>
                <w:szCs w:val="24"/>
                <w:rtl/>
              </w:rPr>
            </w:pPr>
            <w:r w:rsidRPr="00FC2F8B">
              <w:rPr>
                <w:rFonts w:hint="cs"/>
                <w:i/>
                <w:iCs/>
                <w:sz w:val="16"/>
                <w:szCs w:val="24"/>
                <w:rtl/>
              </w:rPr>
              <w:t>الجنس</w:t>
            </w:r>
          </w:p>
        </w:tc>
        <w:tc>
          <w:tcPr>
            <w:tcW w:w="1830" w:type="dxa"/>
            <w:tcBorders>
              <w:top w:val="single" w:sz="4" w:space="0" w:color="auto"/>
              <w:bottom w:val="single" w:sz="4"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i/>
                <w:iCs/>
                <w:sz w:val="16"/>
                <w:szCs w:val="24"/>
                <w:rtl/>
              </w:rPr>
            </w:pPr>
          </w:p>
        </w:tc>
      </w:tr>
      <w:tr w:rsidR="00FC2F8B" w:rsidRPr="00FC2F8B">
        <w:tblPrEx>
          <w:tblCellMar>
            <w:top w:w="0" w:type="dxa"/>
            <w:bottom w:w="0" w:type="dxa"/>
          </w:tblCellMar>
        </w:tblPrEx>
        <w:trPr>
          <w:cantSplit/>
          <w:tblHeader/>
        </w:trPr>
        <w:tc>
          <w:tcPr>
            <w:tcW w:w="1830" w:type="dxa"/>
            <w:vMerge/>
            <w:tcBorders>
              <w:bottom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i/>
                <w:iCs/>
                <w:sz w:val="16"/>
                <w:szCs w:val="24"/>
                <w:rtl/>
              </w:rPr>
            </w:pPr>
            <w:r w:rsidRPr="00FC2F8B">
              <w:rPr>
                <w:rFonts w:hint="cs"/>
                <w:i/>
                <w:iCs/>
                <w:sz w:val="16"/>
                <w:szCs w:val="24"/>
                <w:rtl/>
              </w:rPr>
              <w:t>الذكور (مليون شخص)</w:t>
            </w:r>
          </w:p>
        </w:tc>
        <w:tc>
          <w:tcPr>
            <w:tcW w:w="1830" w:type="dxa"/>
            <w:tcBorders>
              <w:top w:val="single" w:sz="4" w:space="0" w:color="auto"/>
              <w:bottom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i/>
                <w:iCs/>
                <w:sz w:val="16"/>
                <w:szCs w:val="24"/>
                <w:rtl/>
              </w:rPr>
            </w:pPr>
            <w:r w:rsidRPr="00FC2F8B">
              <w:rPr>
                <w:rFonts w:hint="cs"/>
                <w:i/>
                <w:iCs/>
                <w:sz w:val="16"/>
                <w:szCs w:val="24"/>
                <w:rtl/>
              </w:rPr>
              <w:t>الإناث (مليون شخص)</w:t>
            </w:r>
          </w:p>
        </w:tc>
        <w:tc>
          <w:tcPr>
            <w:tcW w:w="1830" w:type="dxa"/>
            <w:tcBorders>
              <w:top w:val="single" w:sz="4" w:space="0" w:color="auto"/>
              <w:bottom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i/>
                <w:iCs/>
                <w:sz w:val="16"/>
                <w:szCs w:val="24"/>
                <w:rtl/>
              </w:rPr>
            </w:pPr>
            <w:r w:rsidRPr="00FC2F8B">
              <w:rPr>
                <w:rFonts w:hint="cs"/>
                <w:i/>
                <w:iCs/>
                <w:sz w:val="16"/>
                <w:szCs w:val="24"/>
                <w:rtl/>
              </w:rPr>
              <w:t>المجموع (مليون شخص)</w:t>
            </w:r>
          </w:p>
        </w:tc>
      </w:tr>
      <w:tr w:rsidR="00FC2F8B" w:rsidRPr="00FC2F8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sz w:val="16"/>
                <w:szCs w:val="24"/>
                <w:rtl/>
              </w:rPr>
            </w:pPr>
          </w:p>
        </w:tc>
        <w:tc>
          <w:tcPr>
            <w:tcW w:w="1830" w:type="dxa"/>
            <w:tcBorders>
              <w:top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sz w:val="16"/>
                <w:szCs w:val="24"/>
                <w:rtl/>
              </w:rPr>
            </w:pPr>
          </w:p>
        </w:tc>
        <w:tc>
          <w:tcPr>
            <w:tcW w:w="1830" w:type="dxa"/>
            <w:tcBorders>
              <w:top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sz w:val="16"/>
                <w:szCs w:val="24"/>
                <w:rtl/>
              </w:rPr>
            </w:pPr>
          </w:p>
        </w:tc>
        <w:tc>
          <w:tcPr>
            <w:tcW w:w="1830" w:type="dxa"/>
            <w:tcBorders>
              <w:top w:val="single" w:sz="12" w:space="0" w:color="auto"/>
            </w:tcBorders>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44"/>
              <w:jc w:val="lowKashida"/>
              <w:rPr>
                <w:rFonts w:hint="cs"/>
                <w:sz w:val="16"/>
                <w:szCs w:val="24"/>
                <w:rtl/>
              </w:rPr>
            </w:pPr>
          </w:p>
        </w:tc>
      </w:tr>
      <w:tr w:rsidR="00FC2F8B" w:rsidRPr="00FC2F8B">
        <w:tblPrEx>
          <w:tblCellMar>
            <w:top w:w="0" w:type="dxa"/>
            <w:bottom w:w="0" w:type="dxa"/>
          </w:tblCellMar>
        </w:tblPrEx>
        <w:trPr>
          <w:cantSplit/>
        </w:trPr>
        <w:tc>
          <w:tcPr>
            <w:tcW w:w="1830" w:type="dxa"/>
            <w:shd w:val="clear" w:color="auto" w:fill="auto"/>
            <w:vAlign w:val="bottom"/>
          </w:tcPr>
          <w:p w:rsidR="00FC2F8B" w:rsidRPr="00E03453" w:rsidRDefault="00FC2F8B" w:rsidP="00217B35">
            <w:pPr>
              <w:tabs>
                <w:tab w:val="left" w:pos="288"/>
                <w:tab w:val="left" w:pos="576"/>
                <w:tab w:val="left" w:pos="864"/>
                <w:tab w:val="left" w:pos="1152"/>
              </w:tabs>
              <w:spacing w:after="80" w:line="280" w:lineRule="exact"/>
              <w:ind w:left="170" w:right="170"/>
              <w:rPr>
                <w:rFonts w:hint="cs"/>
                <w:b/>
                <w:bCs/>
                <w:sz w:val="16"/>
                <w:szCs w:val="24"/>
                <w:rtl/>
              </w:rPr>
            </w:pPr>
            <w:r w:rsidRPr="00E03453">
              <w:rPr>
                <w:rFonts w:hint="cs"/>
                <w:b/>
                <w:bCs/>
                <w:sz w:val="16"/>
                <w:szCs w:val="24"/>
                <w:rtl/>
              </w:rPr>
              <w:t>المواطنون الماليزيون:</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854.7 10</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667.6 10</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522.3 21</w:t>
            </w:r>
          </w:p>
        </w:tc>
      </w:tr>
      <w:tr w:rsidR="00FC2F8B" w:rsidRPr="00FC2F8B">
        <w:tblPrEx>
          <w:tblCellMar>
            <w:top w:w="0" w:type="dxa"/>
            <w:bottom w:w="0" w:type="dxa"/>
          </w:tblCellMar>
        </w:tblPrEx>
        <w:trPr>
          <w:cantSplit/>
        </w:trPr>
        <w:tc>
          <w:tcPr>
            <w:tcW w:w="1830" w:type="dxa"/>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بوميبوترا</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181.0 7</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067.2 7</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248.2 14</w:t>
            </w:r>
          </w:p>
        </w:tc>
      </w:tr>
      <w:tr w:rsidR="00FC2F8B" w:rsidRPr="00FC2F8B">
        <w:tblPrEx>
          <w:tblCellMar>
            <w:top w:w="0" w:type="dxa"/>
            <w:bottom w:w="0" w:type="dxa"/>
          </w:tblCellMar>
        </w:tblPrEx>
        <w:trPr>
          <w:cantSplit/>
        </w:trPr>
        <w:tc>
          <w:tcPr>
            <w:tcW w:w="1830" w:type="dxa"/>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الصينيون</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913.7 2</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778.2 2</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691.9 5</w:t>
            </w:r>
          </w:p>
        </w:tc>
      </w:tr>
      <w:tr w:rsidR="00FC2F8B" w:rsidRPr="00FC2F8B">
        <w:tblPrEx>
          <w:tblCellMar>
            <w:top w:w="0" w:type="dxa"/>
            <w:bottom w:w="0" w:type="dxa"/>
          </w:tblCellMar>
        </w:tblPrEx>
        <w:trPr>
          <w:cantSplit/>
        </w:trPr>
        <w:tc>
          <w:tcPr>
            <w:tcW w:w="1830" w:type="dxa"/>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الهنود</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843.1</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837.0</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680.1 1</w:t>
            </w:r>
          </w:p>
        </w:tc>
      </w:tr>
      <w:tr w:rsidR="00FC2F8B" w:rsidRPr="00FC2F8B">
        <w:tblPrEx>
          <w:tblCellMar>
            <w:top w:w="0" w:type="dxa"/>
            <w:bottom w:w="0" w:type="dxa"/>
          </w:tblCellMar>
        </w:tblPrEx>
        <w:trPr>
          <w:cantSplit/>
        </w:trPr>
        <w:tc>
          <w:tcPr>
            <w:tcW w:w="1830" w:type="dxa"/>
            <w:shd w:val="clear" w:color="auto" w:fill="auto"/>
            <w:vAlign w:val="bottom"/>
          </w:tcPr>
          <w:p w:rsidR="00FC2F8B" w:rsidRPr="00FC2F8B" w:rsidRDefault="00FC2F8B" w:rsidP="00217B35">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آخرون</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135.3</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134.4</w:t>
            </w:r>
          </w:p>
        </w:tc>
        <w:tc>
          <w:tcPr>
            <w:tcW w:w="1830" w:type="dxa"/>
            <w:shd w:val="clear" w:color="auto" w:fill="auto"/>
            <w:vAlign w:val="bottom"/>
          </w:tcPr>
          <w:p w:rsidR="00FC2F8B" w:rsidRPr="00FC2F8B" w:rsidRDefault="00E03453" w:rsidP="00217B35">
            <w:pPr>
              <w:tabs>
                <w:tab w:val="left" w:pos="288"/>
                <w:tab w:val="left" w:pos="576"/>
                <w:tab w:val="left" w:pos="864"/>
                <w:tab w:val="left" w:pos="1152"/>
              </w:tabs>
              <w:spacing w:after="80" w:line="280" w:lineRule="exact"/>
              <w:ind w:left="170" w:right="144"/>
              <w:jc w:val="lowKashida"/>
              <w:rPr>
                <w:rFonts w:hint="cs"/>
                <w:sz w:val="16"/>
                <w:szCs w:val="24"/>
                <w:rtl/>
              </w:rPr>
            </w:pPr>
            <w:r>
              <w:rPr>
                <w:rFonts w:hint="cs"/>
                <w:sz w:val="16"/>
                <w:szCs w:val="24"/>
                <w:rtl/>
              </w:rPr>
              <w:t>269.7</w:t>
            </w:r>
          </w:p>
        </w:tc>
      </w:tr>
      <w:tr w:rsidR="00FC2F8B" w:rsidRPr="00FC2F8B">
        <w:tblPrEx>
          <w:tblCellMar>
            <w:top w:w="0" w:type="dxa"/>
            <w:bottom w:w="0" w:type="dxa"/>
          </w:tblCellMar>
        </w:tblPrEx>
        <w:trPr>
          <w:cantSplit/>
        </w:trPr>
        <w:tc>
          <w:tcPr>
            <w:tcW w:w="1830" w:type="dxa"/>
            <w:shd w:val="clear" w:color="auto" w:fill="auto"/>
            <w:vAlign w:val="bottom"/>
          </w:tcPr>
          <w:p w:rsidR="00FC2F8B" w:rsidRPr="00E03453" w:rsidRDefault="00FC2F8B" w:rsidP="00217B35">
            <w:pPr>
              <w:tabs>
                <w:tab w:val="left" w:pos="288"/>
                <w:tab w:val="left" w:pos="576"/>
                <w:tab w:val="left" w:pos="864"/>
                <w:tab w:val="left" w:pos="1152"/>
              </w:tabs>
              <w:spacing w:after="80" w:line="280" w:lineRule="exact"/>
              <w:ind w:left="170" w:right="170"/>
              <w:rPr>
                <w:rFonts w:hint="cs"/>
                <w:b/>
                <w:bCs/>
                <w:sz w:val="16"/>
                <w:szCs w:val="24"/>
                <w:rtl/>
              </w:rPr>
            </w:pPr>
            <w:r w:rsidRPr="00E03453">
              <w:rPr>
                <w:rFonts w:hint="cs"/>
                <w:b/>
                <w:bCs/>
                <w:sz w:val="16"/>
                <w:szCs w:val="24"/>
                <w:rtl/>
              </w:rPr>
              <w:t>السكان غير الماليزيين</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780.3</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604.4</w:t>
            </w:r>
          </w:p>
        </w:tc>
        <w:tc>
          <w:tcPr>
            <w:tcW w:w="1830" w:type="dxa"/>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384.8 1</w:t>
            </w:r>
          </w:p>
        </w:tc>
      </w:tr>
      <w:tr w:rsidR="00FC2F8B" w:rsidRPr="00FC2F8B">
        <w:tblPrEx>
          <w:tblCellMar>
            <w:top w:w="0" w:type="dxa"/>
            <w:bottom w:w="0" w:type="dxa"/>
          </w:tblCellMar>
        </w:tblPrEx>
        <w:trPr>
          <w:cantSplit/>
        </w:trPr>
        <w:tc>
          <w:tcPr>
            <w:tcW w:w="1830" w:type="dxa"/>
            <w:tcBorders>
              <w:bottom w:val="single" w:sz="12" w:space="0" w:color="auto"/>
            </w:tcBorders>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70"/>
              <w:rPr>
                <w:rFonts w:hint="cs"/>
                <w:b/>
                <w:bCs/>
                <w:sz w:val="16"/>
                <w:szCs w:val="24"/>
                <w:rtl/>
              </w:rPr>
            </w:pPr>
            <w:r w:rsidRPr="00E03453">
              <w:rPr>
                <w:rFonts w:hint="cs"/>
                <w:b/>
                <w:bCs/>
                <w:sz w:val="16"/>
                <w:szCs w:val="24"/>
                <w:rtl/>
              </w:rPr>
              <w:t>المجموع</w:t>
            </w:r>
          </w:p>
        </w:tc>
        <w:tc>
          <w:tcPr>
            <w:tcW w:w="1830" w:type="dxa"/>
            <w:tcBorders>
              <w:bottom w:val="single" w:sz="12" w:space="0" w:color="auto"/>
            </w:tcBorders>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853.4 11</w:t>
            </w:r>
          </w:p>
        </w:tc>
        <w:tc>
          <w:tcPr>
            <w:tcW w:w="1830" w:type="dxa"/>
            <w:tcBorders>
              <w:bottom w:val="single" w:sz="12" w:space="0" w:color="auto"/>
            </w:tcBorders>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421.3 11</w:t>
            </w:r>
          </w:p>
        </w:tc>
        <w:tc>
          <w:tcPr>
            <w:tcW w:w="1830" w:type="dxa"/>
            <w:tcBorders>
              <w:bottom w:val="single" w:sz="12" w:space="0" w:color="auto"/>
            </w:tcBorders>
            <w:shd w:val="clear" w:color="auto" w:fill="auto"/>
            <w:vAlign w:val="bottom"/>
          </w:tcPr>
          <w:p w:rsidR="00FC2F8B" w:rsidRPr="00E03453" w:rsidRDefault="00E03453" w:rsidP="00217B35">
            <w:pPr>
              <w:tabs>
                <w:tab w:val="left" w:pos="288"/>
                <w:tab w:val="left" w:pos="576"/>
                <w:tab w:val="left" w:pos="864"/>
                <w:tab w:val="left" w:pos="1152"/>
              </w:tabs>
              <w:spacing w:after="80" w:line="280" w:lineRule="exact"/>
              <w:ind w:left="170" w:right="144"/>
              <w:jc w:val="lowKashida"/>
              <w:rPr>
                <w:rFonts w:hint="cs"/>
                <w:b/>
                <w:bCs/>
                <w:sz w:val="16"/>
                <w:szCs w:val="24"/>
                <w:rtl/>
              </w:rPr>
            </w:pPr>
            <w:r>
              <w:rPr>
                <w:rFonts w:hint="cs"/>
                <w:b/>
                <w:bCs/>
                <w:sz w:val="16"/>
                <w:szCs w:val="24"/>
                <w:rtl/>
              </w:rPr>
              <w:t>274.7 23</w:t>
            </w:r>
          </w:p>
        </w:tc>
      </w:tr>
    </w:tbl>
    <w:p w:rsidR="00641A30" w:rsidRPr="00641A30" w:rsidRDefault="00641A30" w:rsidP="00641A30">
      <w:pPr>
        <w:pStyle w:val="SingleTxt"/>
        <w:spacing w:after="0" w:line="120" w:lineRule="exact"/>
        <w:rPr>
          <w:rFonts w:hint="cs"/>
          <w:sz w:val="10"/>
          <w:rtl/>
        </w:rPr>
      </w:pPr>
    </w:p>
    <w:p w:rsidR="00FC2F8B" w:rsidRDefault="00E03453" w:rsidP="00A71FC6">
      <w:pPr>
        <w:pStyle w:val="FootnoteText"/>
        <w:tabs>
          <w:tab w:val="clear" w:pos="418"/>
          <w:tab w:val="right" w:pos="1915"/>
          <w:tab w:val="left" w:pos="2016"/>
          <w:tab w:val="left" w:pos="2491"/>
          <w:tab w:val="left" w:pos="2966"/>
          <w:tab w:val="left" w:pos="3442"/>
          <w:tab w:val="left" w:pos="3917"/>
        </w:tabs>
        <w:spacing w:after="80" w:line="400" w:lineRule="exact"/>
        <w:ind w:left="2030" w:right="1267" w:hanging="763"/>
        <w:rPr>
          <w:rFonts w:hint="cs"/>
          <w:rtl/>
        </w:rPr>
      </w:pPr>
      <w:r>
        <w:rPr>
          <w:rFonts w:hint="cs"/>
          <w:rtl/>
        </w:rPr>
        <w:t>المصدر: إدارة الإحصاءات، ماليزيا.</w:t>
      </w:r>
    </w:p>
    <w:p w:rsidR="00641A30" w:rsidRPr="00641A30" w:rsidRDefault="00641A30" w:rsidP="00641A3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E03453" w:rsidRDefault="00E03453" w:rsidP="003A7A8C">
      <w:pPr>
        <w:pStyle w:val="SingleTxt"/>
        <w:rPr>
          <w:rFonts w:hint="cs"/>
          <w:rtl/>
        </w:rPr>
      </w:pPr>
      <w:r>
        <w:rPr>
          <w:rFonts w:hint="cs"/>
          <w:rtl/>
        </w:rPr>
        <w:t>9 -</w:t>
      </w:r>
      <w:r>
        <w:rPr>
          <w:rFonts w:hint="cs"/>
          <w:rtl/>
        </w:rPr>
        <w:tab/>
        <w:t xml:space="preserve">انخفض، منذ عام 1980، معدل الخصوبة ومعدل الوفيات. وانخفض معدل  المواليد الأولي من نسبة 30.6 في </w:t>
      </w:r>
      <w:r w:rsidR="003A7A8C">
        <w:rPr>
          <w:rFonts w:hint="cs"/>
          <w:rtl/>
        </w:rPr>
        <w:t xml:space="preserve">الألف </w:t>
      </w:r>
      <w:r>
        <w:rPr>
          <w:rFonts w:hint="cs"/>
          <w:rtl/>
        </w:rPr>
        <w:t xml:space="preserve">في عام 1980 إلى 26.8 في </w:t>
      </w:r>
      <w:r w:rsidR="003A7A8C">
        <w:rPr>
          <w:rFonts w:hint="cs"/>
          <w:rtl/>
        </w:rPr>
        <w:t xml:space="preserve">الألف </w:t>
      </w:r>
      <w:r>
        <w:rPr>
          <w:rFonts w:hint="cs"/>
          <w:rtl/>
        </w:rPr>
        <w:t xml:space="preserve">عام 1990 ثم إلى 24.4 في </w:t>
      </w:r>
      <w:r w:rsidR="003A7A8C">
        <w:rPr>
          <w:rFonts w:hint="cs"/>
          <w:rtl/>
        </w:rPr>
        <w:t xml:space="preserve">الألف </w:t>
      </w:r>
      <w:r>
        <w:rPr>
          <w:rFonts w:hint="cs"/>
          <w:rtl/>
        </w:rPr>
        <w:t>في عام 1999</w:t>
      </w:r>
      <w:r w:rsidR="003A7A8C">
        <w:rPr>
          <w:rFonts w:hint="cs"/>
          <w:rtl/>
        </w:rPr>
        <w:t>،</w:t>
      </w:r>
      <w:r>
        <w:rPr>
          <w:rFonts w:hint="cs"/>
          <w:rtl/>
        </w:rPr>
        <w:t xml:space="preserve"> فيما انخفض معدل الوفيات الأولي من 5.3 في </w:t>
      </w:r>
      <w:r w:rsidR="003A7A8C">
        <w:rPr>
          <w:rFonts w:hint="cs"/>
          <w:rtl/>
        </w:rPr>
        <w:t xml:space="preserve">الألف </w:t>
      </w:r>
      <w:r>
        <w:rPr>
          <w:rFonts w:hint="cs"/>
          <w:rtl/>
        </w:rPr>
        <w:t xml:space="preserve">في عام 1980 إلى 4.7 في </w:t>
      </w:r>
      <w:r w:rsidR="003A7A8C">
        <w:rPr>
          <w:rFonts w:hint="cs"/>
          <w:rtl/>
        </w:rPr>
        <w:t xml:space="preserve">الألف </w:t>
      </w:r>
      <w:r>
        <w:rPr>
          <w:rFonts w:hint="cs"/>
          <w:rtl/>
        </w:rPr>
        <w:t>في عام 1995 و</w:t>
      </w:r>
      <w:r>
        <w:rPr>
          <w:rFonts w:hint="eastAsia"/>
          <w:rtl/>
        </w:rPr>
        <w:t> </w:t>
      </w:r>
      <w:r>
        <w:rPr>
          <w:rFonts w:hint="cs"/>
          <w:rtl/>
        </w:rPr>
        <w:t xml:space="preserve">4.6 في </w:t>
      </w:r>
      <w:r w:rsidR="003A7A8C">
        <w:rPr>
          <w:rFonts w:hint="cs"/>
          <w:rtl/>
        </w:rPr>
        <w:t xml:space="preserve">الألف </w:t>
      </w:r>
      <w:r>
        <w:rPr>
          <w:rFonts w:hint="cs"/>
          <w:rtl/>
        </w:rPr>
        <w:t xml:space="preserve">في عام 1999. وانخفض معدل الخصوبة الإجمالي من 4.2 لكل امرأة في عام 1980 إلى 3.4 لكل امرأة في عام 1995. وانخفضت معدلات وفيات الرضع من 23.8 في كل </w:t>
      </w:r>
      <w:r w:rsidR="003A7A8C">
        <w:rPr>
          <w:rFonts w:hint="cs"/>
          <w:rtl/>
        </w:rPr>
        <w:t>ألف</w:t>
      </w:r>
      <w:r>
        <w:rPr>
          <w:rFonts w:hint="cs"/>
          <w:rtl/>
        </w:rPr>
        <w:t xml:space="preserve"> من المواليد الأحياء في عام 1980 إلى 10.3 و 7.9 في </w:t>
      </w:r>
      <w:r w:rsidR="003A7A8C">
        <w:rPr>
          <w:rFonts w:hint="cs"/>
          <w:rtl/>
        </w:rPr>
        <w:t xml:space="preserve">كل ألف </w:t>
      </w:r>
      <w:r>
        <w:rPr>
          <w:rFonts w:hint="cs"/>
          <w:rtl/>
        </w:rPr>
        <w:t xml:space="preserve">من المواليد الأحياء في عامي 1995 و 2000 على التوالي. وارتفع معدل العمر المتوقع لكل من الرجال والنساء </w:t>
      </w:r>
      <w:r>
        <w:rPr>
          <w:rtl/>
        </w:rPr>
        <w:t>–</w:t>
      </w:r>
      <w:r>
        <w:rPr>
          <w:rFonts w:hint="cs"/>
          <w:rtl/>
        </w:rPr>
        <w:t xml:space="preserve"> حيث كان العمر المتوقع للمرأة في عام 1980، 71 سنة وللرجل 66 ونصف سنة</w:t>
      </w:r>
      <w:r w:rsidR="002D79BD">
        <w:rPr>
          <w:rFonts w:hint="cs"/>
          <w:rtl/>
        </w:rPr>
        <w:t xml:space="preserve"> فأصبح العمر المتوقع لكل منهما في عام 2000</w:t>
      </w:r>
      <w:r w:rsidR="003A7A8C">
        <w:rPr>
          <w:rFonts w:hint="cs"/>
          <w:rtl/>
        </w:rPr>
        <w:t>،</w:t>
      </w:r>
      <w:r w:rsidR="002D79BD">
        <w:rPr>
          <w:rFonts w:hint="cs"/>
          <w:rtl/>
        </w:rPr>
        <w:t xml:space="preserve"> 75 سنة للمرأة و 70.2 سنة للرجل.</w:t>
      </w:r>
    </w:p>
    <w:p w:rsidR="003A7A8C" w:rsidRPr="003A7A8C" w:rsidRDefault="003A7A8C" w:rsidP="003A7A8C">
      <w:pPr>
        <w:pStyle w:val="SingleTxt"/>
        <w:spacing w:after="0" w:line="120" w:lineRule="exact"/>
        <w:rPr>
          <w:rFonts w:hint="cs"/>
          <w:sz w:val="10"/>
          <w:rtl/>
        </w:rPr>
      </w:pPr>
    </w:p>
    <w:p w:rsidR="001401C0" w:rsidRDefault="001401C0"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الاقتصاد</w:t>
      </w:r>
    </w:p>
    <w:p w:rsidR="001401C0" w:rsidRDefault="001401C0" w:rsidP="003A7A8C">
      <w:pPr>
        <w:pStyle w:val="SingleTxt"/>
        <w:rPr>
          <w:rFonts w:hint="cs"/>
          <w:rtl/>
        </w:rPr>
      </w:pPr>
      <w:r>
        <w:rPr>
          <w:rFonts w:hint="cs"/>
          <w:rtl/>
        </w:rPr>
        <w:t>10 -</w:t>
      </w:r>
      <w:r>
        <w:rPr>
          <w:rFonts w:hint="cs"/>
          <w:rtl/>
        </w:rPr>
        <w:tab/>
        <w:t xml:space="preserve">حددت سلسلة من الخطط الخمسية معالم المسار العام للتطور الاقتصادي للبلد. ففي خلال الفترة 1971-1990، استرشدت التنمية الوطنية بالسياسة الاقتصادية الجديدة التي ركزت على النمو المقترن بالإنصاف. واتبعت السياسة الاقتصادية الجديدة استراتيجية ذات شقين يتمثلان في: ’1‘ تخفيض حالات الفقر المدقع والقضاء عليه في نهاية المطاف من خلال رفع مستويات الدخل وزيادة فرص العمل أمام جميع الماليزيين؛ ’2‘ وإعادة هيكلة المجتمع بغية تصحيح حالات الاختلال الاقتصادي </w:t>
      </w:r>
      <w:r w:rsidR="003A7A8C">
        <w:rPr>
          <w:rFonts w:hint="cs"/>
          <w:rtl/>
        </w:rPr>
        <w:t>ب</w:t>
      </w:r>
      <w:r>
        <w:rPr>
          <w:rFonts w:hint="cs"/>
          <w:rtl/>
        </w:rPr>
        <w:t>ما من شأنه تخفيض حالات تطابق العرق مع الوظيفة الاقتصادية.</w:t>
      </w:r>
    </w:p>
    <w:p w:rsidR="001401C0" w:rsidRDefault="001401C0" w:rsidP="00A71FC6">
      <w:pPr>
        <w:pStyle w:val="SingleTxt"/>
        <w:rPr>
          <w:rFonts w:hint="cs"/>
          <w:rtl/>
        </w:rPr>
      </w:pPr>
      <w:r>
        <w:rPr>
          <w:rFonts w:hint="cs"/>
          <w:rtl/>
        </w:rPr>
        <w:t>11 -</w:t>
      </w:r>
      <w:r>
        <w:rPr>
          <w:rFonts w:hint="cs"/>
          <w:rtl/>
        </w:rPr>
        <w:tab/>
        <w:t xml:space="preserve">وقد حققت ماليزيا خلال العقدين اللذين أعقبا عام 1970 تقدما ملحوظا في النمو الاقتصادي فضلا عن الوفاء بأهدافها الاجتماعية. وتمكن البلد من مواصلة وتيرة التنمية حيث تنامى الناتج المحلي الإجمالي بمعدل وسطي قدره 6.7 في المائة في السنة في حين </w:t>
      </w:r>
      <w:r w:rsidR="003A7A8C">
        <w:rPr>
          <w:rFonts w:hint="cs"/>
          <w:rtl/>
        </w:rPr>
        <w:t>ان</w:t>
      </w:r>
      <w:r>
        <w:rPr>
          <w:rFonts w:hint="cs"/>
          <w:rtl/>
        </w:rPr>
        <w:t>خفضت حالات الفقر من 49.3 في المائة في عام 1970 إلى 16.7 في المائة في عام 1990.</w:t>
      </w:r>
    </w:p>
    <w:p w:rsidR="001401C0" w:rsidRDefault="001401C0" w:rsidP="00A71FC6">
      <w:pPr>
        <w:pStyle w:val="SingleTxt"/>
        <w:rPr>
          <w:rFonts w:hint="cs"/>
          <w:rtl/>
        </w:rPr>
      </w:pPr>
      <w:r>
        <w:rPr>
          <w:rFonts w:hint="cs"/>
          <w:rtl/>
        </w:rPr>
        <w:t>12 -</w:t>
      </w:r>
      <w:r>
        <w:rPr>
          <w:rFonts w:hint="cs"/>
          <w:rtl/>
        </w:rPr>
        <w:tab/>
        <w:t>واحتفظت سياسة التنمية الوطنية (1991-2000) التي أعقبت السياسة الاقتصادية الجديدة بالعناصر الرئيسية لتلك السياسة وأدخلت عليها العديد من التوجهات الجديدة الرامية إلى تحقيق تنمية متوازنة. وركزت تلك التوجهات على الجوانب غير المادية من التنمية الوطنية، وبخاصة تعزيز القيم الاجتماعية والروحية وحماية البيئة والإيكولوجيا.</w:t>
      </w:r>
    </w:p>
    <w:p w:rsidR="001401C0" w:rsidRDefault="001401C0" w:rsidP="003A7A8C">
      <w:pPr>
        <w:pStyle w:val="SingleTxt"/>
        <w:rPr>
          <w:rFonts w:hint="cs"/>
          <w:rtl/>
        </w:rPr>
      </w:pPr>
      <w:r>
        <w:rPr>
          <w:rFonts w:hint="cs"/>
          <w:rtl/>
        </w:rPr>
        <w:t>13 -</w:t>
      </w:r>
      <w:r>
        <w:rPr>
          <w:rFonts w:hint="cs"/>
          <w:rtl/>
        </w:rPr>
        <w:tab/>
        <w:t>وبالإضافة إلى ذلك، فإن الخط</w:t>
      </w:r>
      <w:r w:rsidR="003A7A8C">
        <w:rPr>
          <w:rFonts w:hint="cs"/>
          <w:rtl/>
        </w:rPr>
        <w:t>ة</w:t>
      </w:r>
      <w:r>
        <w:rPr>
          <w:rFonts w:hint="cs"/>
          <w:rtl/>
        </w:rPr>
        <w:t xml:space="preserve"> المعنون</w:t>
      </w:r>
      <w:r w:rsidR="003A7A8C">
        <w:rPr>
          <w:rFonts w:hint="cs"/>
          <w:rtl/>
        </w:rPr>
        <w:t>ة</w:t>
      </w:r>
      <w:r>
        <w:rPr>
          <w:rFonts w:hint="cs"/>
          <w:rtl/>
        </w:rPr>
        <w:t xml:space="preserve"> </w:t>
      </w:r>
      <w:r w:rsidR="003A7A8C">
        <w:rPr>
          <w:rFonts w:hint="eastAsia"/>
          <w:rtl/>
        </w:rPr>
        <w:t>”الرؤية 20</w:t>
      </w:r>
      <w:r>
        <w:rPr>
          <w:rFonts w:hint="eastAsia"/>
          <w:rtl/>
        </w:rPr>
        <w:t>20</w:t>
      </w:r>
      <w:r>
        <w:rPr>
          <w:rFonts w:hint="cs"/>
          <w:rtl/>
        </w:rPr>
        <w:t>“ التي تلخص مدى التقدم الذي ينبغي للبلد أن يحققه بحلول عام 2020 تعتبر خطة رئيسية لرسم مستقبل البلد</w:t>
      </w:r>
      <w:r w:rsidR="00C47646">
        <w:rPr>
          <w:rFonts w:hint="cs"/>
          <w:rtl/>
        </w:rPr>
        <w:t>. فهي تدعو في جوهرها إلى تحقيق تنمية كلية وتتوخى أن يعيش الماليزيون في عام 2020 في وئام في بلد حيوي ونشط اقتصاديا وفي مجتمع يتمتع بقيم معنوية وأخلاقية عالية، مجتمع ديمقراطي متحرر متسامح و</w:t>
      </w:r>
      <w:r w:rsidR="003A7A8C">
        <w:rPr>
          <w:rFonts w:hint="cs"/>
          <w:rtl/>
        </w:rPr>
        <w:t>رؤوف</w:t>
      </w:r>
      <w:r w:rsidR="00C47646">
        <w:rPr>
          <w:rFonts w:hint="cs"/>
          <w:rtl/>
        </w:rPr>
        <w:t xml:space="preserve"> وتقدمي ومزدهر.</w:t>
      </w:r>
    </w:p>
    <w:p w:rsidR="00C47646" w:rsidRDefault="00C47646" w:rsidP="00A71FC6">
      <w:pPr>
        <w:pStyle w:val="SingleTxt"/>
        <w:rPr>
          <w:rFonts w:hint="cs"/>
          <w:rtl/>
        </w:rPr>
      </w:pPr>
      <w:r>
        <w:rPr>
          <w:rFonts w:hint="cs"/>
          <w:rtl/>
        </w:rPr>
        <w:t>14 -</w:t>
      </w:r>
      <w:r>
        <w:rPr>
          <w:rFonts w:hint="cs"/>
          <w:rtl/>
        </w:rPr>
        <w:tab/>
        <w:t>وكان أداء الاقتصاد الكلي خلال الفترة الأولية من سياسة التنمية الوطنية مثيرا للإعجاب. فقد اتسع نطاق الاقتصاد بمعدل وسطي نسبته 8.2 في المائة. بيد أن معدل النمو انخفض في بداية الأزمة الاقتصادية إلى نسبة 7.3 في عام 1997 وانخفض الناتج المحلي الإجمالي بنسبة 7.5 في المائة في عام 1998.</w:t>
      </w:r>
    </w:p>
    <w:p w:rsidR="00C47646" w:rsidRDefault="00C47646" w:rsidP="00A71FC6">
      <w:pPr>
        <w:pStyle w:val="SingleTxt"/>
        <w:rPr>
          <w:rFonts w:hint="cs"/>
          <w:rtl/>
        </w:rPr>
      </w:pPr>
      <w:r>
        <w:rPr>
          <w:rFonts w:hint="cs"/>
          <w:rtl/>
        </w:rPr>
        <w:t>15 -</w:t>
      </w:r>
      <w:r>
        <w:rPr>
          <w:rFonts w:hint="cs"/>
          <w:rtl/>
        </w:rPr>
        <w:tab/>
        <w:t xml:space="preserve">وتواصل انخفاض عدد حالات الفقر من نسبة 8.7 في المائة في عام 1995 إلى 6.1 في المائة في عام 1997 و 7.5 في المائة في عام 1999. غير أن الهبوط الاقتصادي أسفر عن ارتفاع عدد حالات الفقر إلى نسبة 8 في المائة في عام 1998. وبغية التصدي لهذه الأزمة، صاغت الحكومة الخطة الوطنية للانتعاش الاقتصادي في </w:t>
      </w:r>
      <w:r>
        <w:rPr>
          <w:rtl/>
        </w:rPr>
        <w:t xml:space="preserve">تموز/يوليه </w:t>
      </w:r>
      <w:r>
        <w:rPr>
          <w:rFonts w:hint="cs"/>
          <w:rtl/>
        </w:rPr>
        <w:t>1998. واشتملت هذه الخطة على اتخاذ تدابير منها اعتماد نظام مناسب لأسعار صرف العملات الأجنبية وزيادة الاحتياطيات الأجنبية وتعزيز النظام المصرفي ومواصلة خطة العمل الاقتصادية الاجتماعية الرامية إلى توفير برامج اجتماعية ملائمة للأشخاص المتضررين من الأزمة. وتشير آخر الأرقام إلى أن ماليزيا في سبيلها إلى الانتعاش.</w:t>
      </w:r>
    </w:p>
    <w:p w:rsidR="00C47646" w:rsidRDefault="00C47646" w:rsidP="003A7A8C">
      <w:pPr>
        <w:pStyle w:val="SingleTxt"/>
        <w:rPr>
          <w:rFonts w:hint="cs"/>
          <w:rtl/>
        </w:rPr>
      </w:pPr>
      <w:r>
        <w:rPr>
          <w:rFonts w:hint="cs"/>
          <w:rtl/>
        </w:rPr>
        <w:t>16 -</w:t>
      </w:r>
      <w:r>
        <w:rPr>
          <w:rFonts w:hint="cs"/>
          <w:rtl/>
        </w:rPr>
        <w:tab/>
        <w:t xml:space="preserve">ومن المتوقع أن ينمو الاقتصاد الماليزي بمعدل وسطي قدره 7.5 في المائة في السنة وبمعدل تضخم منخفض واستقرار في الأسعار خلال الفترة من 2001 إلى 2005. وسوف يساند هذا النمو ازدياد الطلب المحلي المقترن بانتعاش قوي في الاستثمارات الخاصة. وسوف يظل </w:t>
      </w:r>
      <w:r w:rsidR="003A7A8C">
        <w:rPr>
          <w:rFonts w:hint="cs"/>
          <w:rtl/>
        </w:rPr>
        <w:t xml:space="preserve">الاستثمار </w:t>
      </w:r>
      <w:r>
        <w:rPr>
          <w:rFonts w:hint="cs"/>
          <w:rtl/>
        </w:rPr>
        <w:t>الأجنبي عاملا هاما  وبخاصة لرفع مستوى التكنولوجيا والمهارات والخبرات الإدارية.</w:t>
      </w:r>
    </w:p>
    <w:p w:rsidR="00641A30" w:rsidRPr="00641A30" w:rsidRDefault="00641A30" w:rsidP="00641A30">
      <w:pPr>
        <w:pStyle w:val="SingleTxt"/>
        <w:spacing w:after="0" w:line="120" w:lineRule="exact"/>
        <w:rPr>
          <w:rFonts w:hint="cs"/>
          <w:sz w:val="10"/>
          <w:rtl/>
        </w:rPr>
      </w:pPr>
    </w:p>
    <w:p w:rsidR="00C47646" w:rsidRDefault="00C47646"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ومعدلات محو الأمية</w:t>
      </w:r>
    </w:p>
    <w:p w:rsidR="00C47646" w:rsidRDefault="00C47646" w:rsidP="003A7A8C">
      <w:pPr>
        <w:pStyle w:val="SingleTxt"/>
        <w:rPr>
          <w:rFonts w:hint="cs"/>
          <w:rtl/>
        </w:rPr>
      </w:pPr>
      <w:r>
        <w:rPr>
          <w:rFonts w:hint="cs"/>
          <w:rtl/>
        </w:rPr>
        <w:t>17 -</w:t>
      </w:r>
      <w:r>
        <w:rPr>
          <w:rFonts w:hint="cs"/>
          <w:rtl/>
        </w:rPr>
        <w:tab/>
        <w:t>أولي التعليم والتدريب على المهارات أولويا عليا في عملية بناء الدولة بهدف توفير مجموعة كافية من العمال المثقفين والمزودين بمهارات عالية والمتلهفين للعمل بشدة ومواطنين متحلين بروح المسؤولية ومتمتعين بقيم معنوية وأخلاقية عالية. وهناك تدابير لزيادة إمكانية الانتفاع من التعليم والتدريب وزيادة المشاركة فيهما، وبخاصة أمام المجموعات المنخفضة الدخل والمجتمعات الريفية. وبالإضافة إلى ذلك، شددت الخطتان السادسة والسابعة على تعزيز فرص التعليم في ميداني العلم والتكنولوجيا</w:t>
      </w:r>
      <w:r w:rsidR="00F91D4D">
        <w:rPr>
          <w:rFonts w:hint="cs"/>
          <w:rtl/>
        </w:rPr>
        <w:t>.</w:t>
      </w:r>
    </w:p>
    <w:p w:rsidR="00641A30" w:rsidRPr="00641A30" w:rsidRDefault="00641A30" w:rsidP="00641A30">
      <w:pPr>
        <w:pStyle w:val="SingleTxt"/>
        <w:spacing w:after="0" w:line="120" w:lineRule="exact"/>
        <w:rPr>
          <w:rFonts w:hint="cs"/>
          <w:sz w:val="10"/>
          <w:rtl/>
        </w:rPr>
      </w:pPr>
    </w:p>
    <w:p w:rsidR="00F91D4D" w:rsidRDefault="00F91D4D"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1-4: النسبة المئوية لالتحاق الطلاب في المدارس</w:t>
      </w:r>
      <w:r w:rsidR="003A7A8C">
        <w:rPr>
          <w:rFonts w:hint="cs"/>
          <w:rtl/>
        </w:rPr>
        <w:t>،</w:t>
      </w:r>
      <w:r>
        <w:rPr>
          <w:rFonts w:hint="cs"/>
          <w:rtl/>
        </w:rPr>
        <w:t xml:space="preserve"> مبوبة بحسب نوع الجنس والمؤسسة، 2001</w:t>
      </w:r>
    </w:p>
    <w:p w:rsidR="00641A30" w:rsidRPr="00641A30" w:rsidRDefault="00641A30" w:rsidP="00641A30">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F91D4D" w:rsidRPr="00F91D4D">
        <w:tblPrEx>
          <w:tblCellMar>
            <w:top w:w="0" w:type="dxa"/>
            <w:bottom w:w="0" w:type="dxa"/>
          </w:tblCellMar>
        </w:tblPrEx>
        <w:trPr>
          <w:cantSplit/>
          <w:tblHeader/>
        </w:trPr>
        <w:tc>
          <w:tcPr>
            <w:tcW w:w="2440" w:type="dxa"/>
            <w:vMerge w:val="restart"/>
            <w:tcBorders>
              <w:top w:val="single" w:sz="4"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i/>
                <w:iCs/>
                <w:sz w:val="16"/>
                <w:szCs w:val="24"/>
                <w:rtl/>
              </w:rPr>
            </w:pPr>
            <w:r w:rsidRPr="00F91D4D">
              <w:rPr>
                <w:rFonts w:hint="cs"/>
                <w:i/>
                <w:iCs/>
                <w:sz w:val="16"/>
                <w:szCs w:val="24"/>
                <w:rtl/>
              </w:rPr>
              <w:t>نوع المؤسسة</w:t>
            </w:r>
          </w:p>
        </w:tc>
        <w:tc>
          <w:tcPr>
            <w:tcW w:w="4880" w:type="dxa"/>
            <w:gridSpan w:val="2"/>
            <w:tcBorders>
              <w:top w:val="single" w:sz="4" w:space="0" w:color="auto"/>
              <w:bottom w:val="single" w:sz="4"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i/>
                <w:iCs/>
                <w:sz w:val="16"/>
                <w:szCs w:val="24"/>
                <w:rtl/>
              </w:rPr>
            </w:pPr>
            <w:r w:rsidRPr="00F91D4D">
              <w:rPr>
                <w:rFonts w:hint="cs"/>
                <w:i/>
                <w:iCs/>
                <w:sz w:val="16"/>
                <w:szCs w:val="24"/>
                <w:rtl/>
              </w:rPr>
              <w:t>2001</w:t>
            </w:r>
          </w:p>
        </w:tc>
      </w:tr>
      <w:tr w:rsidR="00F91D4D" w:rsidRPr="00F91D4D">
        <w:tblPrEx>
          <w:tblCellMar>
            <w:top w:w="0" w:type="dxa"/>
            <w:bottom w:w="0" w:type="dxa"/>
          </w:tblCellMar>
        </w:tblPrEx>
        <w:trPr>
          <w:cantSplit/>
          <w:tblHeader/>
        </w:trPr>
        <w:tc>
          <w:tcPr>
            <w:tcW w:w="2440" w:type="dxa"/>
            <w:vMerge/>
            <w:tcBorders>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i/>
                <w:iCs/>
                <w:sz w:val="16"/>
                <w:szCs w:val="24"/>
                <w:rtl/>
              </w:rPr>
            </w:pPr>
          </w:p>
        </w:tc>
        <w:tc>
          <w:tcPr>
            <w:tcW w:w="2440" w:type="dxa"/>
            <w:tcBorders>
              <w:top w:val="single" w:sz="4" w:space="0" w:color="auto"/>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i/>
                <w:iCs/>
                <w:sz w:val="16"/>
                <w:szCs w:val="24"/>
                <w:rtl/>
              </w:rPr>
            </w:pPr>
            <w:r w:rsidRPr="00F91D4D">
              <w:rPr>
                <w:rFonts w:hint="cs"/>
                <w:i/>
                <w:iCs/>
                <w:sz w:val="16"/>
                <w:szCs w:val="24"/>
                <w:rtl/>
              </w:rPr>
              <w:t>ذكور</w:t>
            </w:r>
          </w:p>
        </w:tc>
        <w:tc>
          <w:tcPr>
            <w:tcW w:w="2440" w:type="dxa"/>
            <w:tcBorders>
              <w:top w:val="single" w:sz="4" w:space="0" w:color="auto"/>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i/>
                <w:iCs/>
                <w:sz w:val="16"/>
                <w:szCs w:val="24"/>
                <w:rtl/>
              </w:rPr>
            </w:pPr>
            <w:r w:rsidRPr="00F91D4D">
              <w:rPr>
                <w:rFonts w:hint="cs"/>
                <w:i/>
                <w:iCs/>
                <w:sz w:val="16"/>
                <w:szCs w:val="24"/>
                <w:rtl/>
              </w:rPr>
              <w:t>الإناث</w:t>
            </w:r>
          </w:p>
        </w:tc>
      </w:tr>
      <w:tr w:rsidR="00F91D4D" w:rsidRPr="00F91D4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sz w:val="16"/>
                <w:szCs w:val="24"/>
                <w:rtl/>
              </w:rPr>
            </w:pPr>
          </w:p>
        </w:tc>
        <w:tc>
          <w:tcPr>
            <w:tcW w:w="2440" w:type="dxa"/>
            <w:tcBorders>
              <w:top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p>
        </w:tc>
        <w:tc>
          <w:tcPr>
            <w:tcW w:w="2440" w:type="dxa"/>
            <w:tcBorders>
              <w:top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p>
        </w:tc>
      </w:tr>
      <w:tr w:rsidR="00F91D4D" w:rsidRPr="00F91D4D">
        <w:tblPrEx>
          <w:tblCellMar>
            <w:top w:w="0" w:type="dxa"/>
            <w:bottom w:w="0" w:type="dxa"/>
          </w:tblCellMar>
        </w:tblPrEx>
        <w:trPr>
          <w:cantSplit/>
        </w:trPr>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المدارس الابتدائية</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51.4</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48.6</w:t>
            </w:r>
          </w:p>
        </w:tc>
      </w:tr>
      <w:tr w:rsidR="00F91D4D" w:rsidRPr="00F91D4D">
        <w:tblPrEx>
          <w:tblCellMar>
            <w:top w:w="0" w:type="dxa"/>
            <w:bottom w:w="0" w:type="dxa"/>
          </w:tblCellMar>
        </w:tblPrEx>
        <w:trPr>
          <w:cantSplit/>
        </w:trPr>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المدارس الثانوية</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49.5</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50.5</w:t>
            </w:r>
          </w:p>
        </w:tc>
      </w:tr>
      <w:tr w:rsidR="00F91D4D" w:rsidRPr="00F91D4D">
        <w:tblPrEx>
          <w:tblCellMar>
            <w:top w:w="0" w:type="dxa"/>
            <w:bottom w:w="0" w:type="dxa"/>
          </w:tblCellMar>
        </w:tblPrEx>
        <w:trPr>
          <w:cantSplit/>
        </w:trPr>
        <w:tc>
          <w:tcPr>
            <w:tcW w:w="2440" w:type="dxa"/>
            <w:shd w:val="clear" w:color="auto" w:fill="auto"/>
            <w:vAlign w:val="bottom"/>
          </w:tcPr>
          <w:p w:rsidR="00F91D4D" w:rsidRPr="00F91D4D" w:rsidRDefault="003A7A8C" w:rsidP="003A7A8C">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معاهد الفنون التقنية</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61.2</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38.8</w:t>
            </w:r>
          </w:p>
        </w:tc>
      </w:tr>
      <w:tr w:rsidR="00F91D4D" w:rsidRPr="00F91D4D">
        <w:tblPrEx>
          <w:tblCellMar>
            <w:top w:w="0" w:type="dxa"/>
            <w:bottom w:w="0" w:type="dxa"/>
          </w:tblCellMar>
        </w:tblPrEx>
        <w:trPr>
          <w:cantSplit/>
        </w:trPr>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كلية المعلمين</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32.5</w:t>
            </w:r>
          </w:p>
        </w:tc>
        <w:tc>
          <w:tcPr>
            <w:tcW w:w="2440" w:type="dxa"/>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67.5</w:t>
            </w:r>
          </w:p>
        </w:tc>
      </w:tr>
      <w:tr w:rsidR="00F91D4D" w:rsidRPr="00F91D4D">
        <w:tblPrEx>
          <w:tblCellMar>
            <w:top w:w="0" w:type="dxa"/>
            <w:bottom w:w="0" w:type="dxa"/>
          </w:tblCellMar>
        </w:tblPrEx>
        <w:trPr>
          <w:cantSplit/>
        </w:trPr>
        <w:tc>
          <w:tcPr>
            <w:tcW w:w="2440" w:type="dxa"/>
            <w:tcBorders>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rPr>
                <w:rFonts w:hint="cs"/>
                <w:sz w:val="16"/>
                <w:szCs w:val="24"/>
                <w:rtl/>
              </w:rPr>
            </w:pPr>
            <w:r>
              <w:rPr>
                <w:rFonts w:hint="cs"/>
                <w:sz w:val="16"/>
                <w:szCs w:val="24"/>
                <w:rtl/>
              </w:rPr>
              <w:t>الجامعة</w:t>
            </w:r>
          </w:p>
        </w:tc>
        <w:tc>
          <w:tcPr>
            <w:tcW w:w="2440" w:type="dxa"/>
            <w:tcBorders>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42.2</w:t>
            </w:r>
          </w:p>
        </w:tc>
        <w:tc>
          <w:tcPr>
            <w:tcW w:w="2440" w:type="dxa"/>
            <w:tcBorders>
              <w:bottom w:val="single" w:sz="12" w:space="0" w:color="auto"/>
            </w:tcBorders>
            <w:shd w:val="clear" w:color="auto" w:fill="auto"/>
            <w:vAlign w:val="bottom"/>
          </w:tcPr>
          <w:p w:rsidR="00F91D4D" w:rsidRPr="00F91D4D" w:rsidRDefault="00F91D4D" w:rsidP="003A7A8C">
            <w:pPr>
              <w:tabs>
                <w:tab w:val="left" w:pos="288"/>
                <w:tab w:val="left" w:pos="576"/>
                <w:tab w:val="left" w:pos="864"/>
                <w:tab w:val="left" w:pos="1152"/>
              </w:tabs>
              <w:spacing w:after="80" w:line="280" w:lineRule="exact"/>
              <w:ind w:left="170" w:right="170"/>
              <w:jc w:val="center"/>
              <w:rPr>
                <w:rFonts w:hint="cs"/>
                <w:sz w:val="16"/>
                <w:szCs w:val="24"/>
                <w:rtl/>
              </w:rPr>
            </w:pPr>
            <w:r>
              <w:rPr>
                <w:rFonts w:hint="cs"/>
                <w:sz w:val="16"/>
                <w:szCs w:val="24"/>
                <w:rtl/>
              </w:rPr>
              <w:t>57.8</w:t>
            </w:r>
          </w:p>
        </w:tc>
      </w:tr>
    </w:tbl>
    <w:p w:rsidR="00641A30" w:rsidRPr="00641A30" w:rsidRDefault="00641A30" w:rsidP="00641A30">
      <w:pPr>
        <w:pStyle w:val="SingleTxt"/>
        <w:spacing w:after="0" w:line="120" w:lineRule="exact"/>
        <w:rPr>
          <w:rFonts w:hint="cs"/>
          <w:sz w:val="10"/>
          <w:rtl/>
        </w:rPr>
      </w:pPr>
    </w:p>
    <w:p w:rsidR="00F91D4D" w:rsidRDefault="00756B6A" w:rsidP="00A71FC6">
      <w:pPr>
        <w:pStyle w:val="FootnoteText"/>
        <w:tabs>
          <w:tab w:val="clear" w:pos="418"/>
          <w:tab w:val="right" w:pos="1915"/>
          <w:tab w:val="left" w:pos="2016"/>
          <w:tab w:val="left" w:pos="2491"/>
          <w:tab w:val="left" w:pos="2966"/>
          <w:tab w:val="left" w:pos="3442"/>
          <w:tab w:val="left" w:pos="3917"/>
        </w:tabs>
        <w:spacing w:after="80" w:line="400" w:lineRule="exact"/>
        <w:ind w:left="2030" w:right="1267" w:hanging="763"/>
        <w:rPr>
          <w:rFonts w:hint="cs"/>
          <w:rtl/>
        </w:rPr>
      </w:pPr>
      <w:r>
        <w:rPr>
          <w:rFonts w:hint="cs"/>
          <w:rtl/>
        </w:rPr>
        <w:t xml:space="preserve">المصدر: </w:t>
      </w:r>
      <w:r w:rsidR="0014328E">
        <w:rPr>
          <w:rFonts w:hint="cs"/>
          <w:rtl/>
        </w:rPr>
        <w:t>وزارة التربية</w:t>
      </w:r>
      <w:r>
        <w:rPr>
          <w:rFonts w:hint="cs"/>
          <w:rtl/>
        </w:rPr>
        <w:t>، 2001.</w:t>
      </w:r>
    </w:p>
    <w:p w:rsidR="003A7A8C" w:rsidRPr="003A7A8C" w:rsidRDefault="003A7A8C" w:rsidP="003A7A8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756B6A" w:rsidRDefault="00756B6A" w:rsidP="003A7A8C">
      <w:pPr>
        <w:pStyle w:val="SingleTxt"/>
        <w:rPr>
          <w:rFonts w:hint="cs"/>
          <w:rtl/>
        </w:rPr>
      </w:pPr>
      <w:r>
        <w:rPr>
          <w:rFonts w:hint="cs"/>
          <w:rtl/>
        </w:rPr>
        <w:t>18 -</w:t>
      </w:r>
      <w:r>
        <w:rPr>
          <w:rFonts w:hint="cs"/>
          <w:rtl/>
        </w:rPr>
        <w:tab/>
      </w:r>
      <w:r w:rsidR="00BB3A78">
        <w:rPr>
          <w:rFonts w:hint="cs"/>
          <w:rtl/>
        </w:rPr>
        <w:t xml:space="preserve"> ويعتبر معدل محو الأمية مؤشرا جيدا على التقدم المحرز في مجال التنمية البشرية</w:t>
      </w:r>
      <w:r w:rsidR="00173D36">
        <w:rPr>
          <w:rFonts w:hint="cs"/>
          <w:rtl/>
        </w:rPr>
        <w:t>. و</w:t>
      </w:r>
      <w:r w:rsidR="003A7A8C">
        <w:rPr>
          <w:rFonts w:hint="cs"/>
          <w:rtl/>
        </w:rPr>
        <w:t>ب</w:t>
      </w:r>
      <w:r w:rsidR="00173D36">
        <w:rPr>
          <w:rFonts w:hint="cs"/>
          <w:rtl/>
        </w:rPr>
        <w:t xml:space="preserve">استخدام عدد السكان الذين يزيد عمرهم عن 10 سنوات فما فوق والذين التحقوا في المدارس في أي ما وقت مضى من عمرهم كمؤشر على معدل محو الأمية </w:t>
      </w:r>
      <w:r w:rsidR="003A7A8C">
        <w:rPr>
          <w:rFonts w:hint="cs"/>
          <w:rtl/>
        </w:rPr>
        <w:t xml:space="preserve">تبين </w:t>
      </w:r>
      <w:r w:rsidR="00173D36">
        <w:rPr>
          <w:rFonts w:hint="cs"/>
          <w:rtl/>
        </w:rPr>
        <w:t>أن هذا المعدل بلغ في عام 199</w:t>
      </w:r>
      <w:r w:rsidR="003A7A8C">
        <w:rPr>
          <w:rFonts w:hint="cs"/>
          <w:rtl/>
        </w:rPr>
        <w:t>1</w:t>
      </w:r>
      <w:r w:rsidR="00173D36">
        <w:rPr>
          <w:rFonts w:hint="cs"/>
          <w:rtl/>
        </w:rPr>
        <w:t xml:space="preserve"> نسبة 85 في المائة بالمقارنة مع 72 في المائة في عام 1980. وتجدر الإشارة إلى الزيادة التي تحققت في مستويات محو الأمية في صفوف ا</w:t>
      </w:r>
      <w:r w:rsidR="003A7A8C">
        <w:rPr>
          <w:rFonts w:hint="cs"/>
          <w:rtl/>
        </w:rPr>
        <w:t>لإناث وتضييق الفجوة الفاصلة بين</w:t>
      </w:r>
      <w:r w:rsidR="00173D36">
        <w:rPr>
          <w:rFonts w:hint="cs"/>
          <w:rtl/>
        </w:rPr>
        <w:t xml:space="preserve"> الجنسين في نسبة الأشخاص الذين سبق لهم الالتحاق في المدارس في أي ما وقت مضى من عمرهم. وفي حين لم تتجاوز نسبة الإناث اللائي يبلغ عمرهن 10 سنوات فما فوق واللائي التحقن في المدارس في أي ما وقت مضى من عمرهن 64 في المائة في عام 1980، فقد ارتفعت هذه النسبة إلى 80 في المائة في عام 1991. أما بالنسبة للذكور، فقد ارتفعت النسبة من 80.1 في المائة في عام 1980 إلى 90 في المائة في عام 1991. (تعداد السكان لعام 1991).</w:t>
      </w:r>
    </w:p>
    <w:p w:rsidR="00173D36" w:rsidRDefault="00173D36" w:rsidP="00A71FC6">
      <w:pPr>
        <w:pStyle w:val="SingleTxt"/>
        <w:rPr>
          <w:rFonts w:hint="cs"/>
          <w:rtl/>
        </w:rPr>
      </w:pPr>
      <w:r>
        <w:rPr>
          <w:rFonts w:hint="cs"/>
          <w:rtl/>
        </w:rPr>
        <w:t>19 -</w:t>
      </w:r>
      <w:r>
        <w:rPr>
          <w:rFonts w:hint="cs"/>
          <w:rtl/>
        </w:rPr>
        <w:tab/>
        <w:t>ونتيجة لذلك، انخفض الفرق في معدل محو الأمية بين الجنسين إلى 10 نقاط مئوية في عام 1991 بالمقارنة مع 16 نقطة مئوية في عام 1980. وتواصل تحسين معدل محو الأمية الإجمالي فبلغ 93.8 في المائة في عام 2000 نتيجة الجهود المستمرة الرامية إلى توسيع نطاق فرص التعليم أمام جميع المواطنين.</w:t>
      </w:r>
    </w:p>
    <w:p w:rsidR="00641A30" w:rsidRPr="00641A30" w:rsidRDefault="00641A30" w:rsidP="00641A30">
      <w:pPr>
        <w:pStyle w:val="SingleTxt"/>
        <w:spacing w:after="0" w:line="120" w:lineRule="exact"/>
        <w:rPr>
          <w:rFonts w:hint="cs"/>
          <w:sz w:val="10"/>
          <w:rtl/>
        </w:rPr>
      </w:pPr>
    </w:p>
    <w:p w:rsidR="00173D36" w:rsidRDefault="00173D36" w:rsidP="002C6E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w:t>
      </w:r>
      <w:r w:rsidR="002C6E44">
        <w:rPr>
          <w:rFonts w:hint="cs"/>
          <w:rtl/>
        </w:rPr>
        <w:t>ة</w:t>
      </w:r>
      <w:r>
        <w:rPr>
          <w:rFonts w:hint="cs"/>
          <w:rtl/>
        </w:rPr>
        <w:t xml:space="preserve"> العاملة وفرص العمل</w:t>
      </w:r>
    </w:p>
    <w:p w:rsidR="00173D36" w:rsidRDefault="00173D36" w:rsidP="002C6E44">
      <w:pPr>
        <w:pStyle w:val="SingleTxt"/>
        <w:rPr>
          <w:rFonts w:hint="cs"/>
          <w:rtl/>
        </w:rPr>
      </w:pPr>
      <w:r>
        <w:rPr>
          <w:rFonts w:hint="cs"/>
          <w:rtl/>
        </w:rPr>
        <w:t>20 -</w:t>
      </w:r>
      <w:r>
        <w:rPr>
          <w:rFonts w:hint="cs"/>
          <w:rtl/>
        </w:rPr>
        <w:tab/>
        <w:t xml:space="preserve">استمر ارتفاع معدل </w:t>
      </w:r>
      <w:r w:rsidR="002C6E44">
        <w:rPr>
          <w:rFonts w:hint="cs"/>
          <w:rtl/>
        </w:rPr>
        <w:t xml:space="preserve">الاشتراك في </w:t>
      </w:r>
      <w:r>
        <w:rPr>
          <w:rFonts w:hint="cs"/>
          <w:rtl/>
        </w:rPr>
        <w:t>القو</w:t>
      </w:r>
      <w:r w:rsidR="002C6E44">
        <w:rPr>
          <w:rFonts w:hint="cs"/>
          <w:rtl/>
        </w:rPr>
        <w:t>ة</w:t>
      </w:r>
      <w:r>
        <w:rPr>
          <w:rFonts w:hint="cs"/>
          <w:rtl/>
        </w:rPr>
        <w:t xml:space="preserve"> العاملة، بصورة عامة، خلال فترة الخطة الماليزية السابعة (1996-2000) </w:t>
      </w:r>
      <w:r w:rsidR="002C6E44">
        <w:rPr>
          <w:rFonts w:hint="cs"/>
          <w:rtl/>
        </w:rPr>
        <w:t>بمعدل سنوي</w:t>
      </w:r>
      <w:r>
        <w:rPr>
          <w:rFonts w:hint="cs"/>
          <w:rtl/>
        </w:rPr>
        <w:t xml:space="preserve"> </w:t>
      </w:r>
      <w:r w:rsidR="002C6E44">
        <w:rPr>
          <w:rFonts w:hint="cs"/>
          <w:rtl/>
        </w:rPr>
        <w:t>متوسط قدره 2.8 في المائة فبلغ</w:t>
      </w:r>
      <w:r>
        <w:rPr>
          <w:rFonts w:hint="cs"/>
          <w:rtl/>
        </w:rPr>
        <w:t xml:space="preserve"> نسبة 62.9 </w:t>
      </w:r>
      <w:r w:rsidR="002C6E44">
        <w:rPr>
          <w:rFonts w:hint="cs"/>
          <w:rtl/>
        </w:rPr>
        <w:t>في المائة في عام 2000. وقد تأثر</w:t>
      </w:r>
      <w:r>
        <w:rPr>
          <w:rFonts w:hint="cs"/>
          <w:rtl/>
        </w:rPr>
        <w:t xml:space="preserve"> </w:t>
      </w:r>
      <w:r w:rsidR="002C6E44">
        <w:rPr>
          <w:rFonts w:hint="cs"/>
          <w:rtl/>
        </w:rPr>
        <w:t xml:space="preserve">معدل الاشتراك في </w:t>
      </w:r>
      <w:r>
        <w:rPr>
          <w:rFonts w:hint="cs"/>
          <w:rtl/>
        </w:rPr>
        <w:t>القو</w:t>
      </w:r>
      <w:r w:rsidR="002C6E44">
        <w:rPr>
          <w:rFonts w:hint="cs"/>
          <w:rtl/>
        </w:rPr>
        <w:t>ة</w:t>
      </w:r>
      <w:r>
        <w:rPr>
          <w:rFonts w:hint="cs"/>
          <w:rtl/>
        </w:rPr>
        <w:t xml:space="preserve"> العاملة خلال هذا الوقت بالأزمة الاقتصادية التي أدت إلى تخفيض فرص العمل وإلى  زيادة عدد العمال الذين اختاروا ترك العمل في إطار برامج انتهاء الخدمة الطوعية. ومع ذلك، فإن حجم القو</w:t>
      </w:r>
      <w:r w:rsidR="002C6E44">
        <w:rPr>
          <w:rFonts w:hint="cs"/>
          <w:rtl/>
        </w:rPr>
        <w:t>ة</w:t>
      </w:r>
      <w:r>
        <w:rPr>
          <w:rFonts w:hint="cs"/>
          <w:rtl/>
        </w:rPr>
        <w:t xml:space="preserve"> العاملة استمر في الازدياد وإن كان ذلك بمعدل أبطأ عن المعدل الذي ساد خلال فترة الخطة السادسة وذلك بنسبة 3 في المائة في السنة فبلغ 9.6 ملايين عامل في عام 2000.</w:t>
      </w:r>
    </w:p>
    <w:p w:rsidR="00173D36" w:rsidRDefault="00173D36" w:rsidP="00F36E18">
      <w:pPr>
        <w:pStyle w:val="SingleTxt"/>
        <w:rPr>
          <w:rFonts w:hint="cs"/>
          <w:rtl/>
        </w:rPr>
      </w:pPr>
      <w:r>
        <w:rPr>
          <w:rFonts w:hint="cs"/>
          <w:rtl/>
        </w:rPr>
        <w:t>21 -</w:t>
      </w:r>
      <w:r>
        <w:rPr>
          <w:rFonts w:hint="cs"/>
          <w:rtl/>
        </w:rPr>
        <w:tab/>
      </w:r>
      <w:r w:rsidR="00855C60">
        <w:rPr>
          <w:rFonts w:hint="cs"/>
          <w:rtl/>
        </w:rPr>
        <w:t>وتشير دراسية استقصائية عن القو</w:t>
      </w:r>
      <w:r w:rsidR="002C6E44">
        <w:rPr>
          <w:rFonts w:hint="cs"/>
          <w:rtl/>
        </w:rPr>
        <w:t>ة</w:t>
      </w:r>
      <w:r w:rsidR="00855C60">
        <w:rPr>
          <w:rFonts w:hint="cs"/>
          <w:rtl/>
        </w:rPr>
        <w:t xml:space="preserve"> العاملة أجرتها إدارة الإحصاءات في عام 2000 إلى أن 53 في المائة من القو</w:t>
      </w:r>
      <w:r w:rsidR="002C6E44">
        <w:rPr>
          <w:rFonts w:hint="cs"/>
          <w:rtl/>
        </w:rPr>
        <w:t>ة</w:t>
      </w:r>
      <w:r w:rsidR="00855C60">
        <w:rPr>
          <w:rFonts w:hint="cs"/>
          <w:rtl/>
        </w:rPr>
        <w:t xml:space="preserve"> العاملة تتمركز في المناطق الحضرية. وارتفع معدل </w:t>
      </w:r>
      <w:r w:rsidR="002C6E44">
        <w:rPr>
          <w:rFonts w:hint="cs"/>
          <w:rtl/>
        </w:rPr>
        <w:t xml:space="preserve">الاشتراك في </w:t>
      </w:r>
      <w:r w:rsidR="00855C60">
        <w:rPr>
          <w:rFonts w:hint="cs"/>
          <w:rtl/>
        </w:rPr>
        <w:t>القو</w:t>
      </w:r>
      <w:r w:rsidR="002C6E44">
        <w:rPr>
          <w:rFonts w:hint="cs"/>
          <w:rtl/>
        </w:rPr>
        <w:t>ة</w:t>
      </w:r>
      <w:r w:rsidR="00855C60">
        <w:rPr>
          <w:rFonts w:hint="cs"/>
          <w:rtl/>
        </w:rPr>
        <w:t xml:space="preserve"> العاملة من نسبة 64.7 في المائة في عام 1995 إلى 65.5 في المائة في عام 2000. وفي عام 1995، انخفض معدل </w:t>
      </w:r>
      <w:r w:rsidR="001A768F">
        <w:rPr>
          <w:rFonts w:hint="cs"/>
          <w:rtl/>
        </w:rPr>
        <w:t xml:space="preserve">اشتراك </w:t>
      </w:r>
      <w:r w:rsidR="00855C60">
        <w:rPr>
          <w:rFonts w:hint="cs"/>
          <w:rtl/>
        </w:rPr>
        <w:t xml:space="preserve">الذكور </w:t>
      </w:r>
      <w:r w:rsidR="001A768F">
        <w:rPr>
          <w:rFonts w:hint="cs"/>
          <w:rtl/>
        </w:rPr>
        <w:t>في</w:t>
      </w:r>
      <w:r w:rsidR="00855C60">
        <w:rPr>
          <w:rFonts w:hint="cs"/>
          <w:rtl/>
        </w:rPr>
        <w:t xml:space="preserve"> القو</w:t>
      </w:r>
      <w:r w:rsidR="001A768F">
        <w:rPr>
          <w:rFonts w:hint="cs"/>
          <w:rtl/>
        </w:rPr>
        <w:t>ة</w:t>
      </w:r>
      <w:r w:rsidR="00855C60">
        <w:rPr>
          <w:rFonts w:hint="cs"/>
          <w:rtl/>
        </w:rPr>
        <w:t xml:space="preserve"> العاملة انخفاضا طفيفا بنسبة 84.3 في المائة في عام 1995 إلى 83.3 في عام 2000 في حين ازداد معدل </w:t>
      </w:r>
      <w:r w:rsidR="001A768F">
        <w:rPr>
          <w:rFonts w:hint="cs"/>
          <w:rtl/>
        </w:rPr>
        <w:t xml:space="preserve">اشتراك </w:t>
      </w:r>
      <w:r w:rsidR="00855C60">
        <w:rPr>
          <w:rFonts w:hint="cs"/>
          <w:rtl/>
        </w:rPr>
        <w:t xml:space="preserve">الإناث </w:t>
      </w:r>
      <w:r w:rsidR="001A768F">
        <w:rPr>
          <w:rFonts w:hint="cs"/>
          <w:rtl/>
        </w:rPr>
        <w:t>في</w:t>
      </w:r>
      <w:r w:rsidR="00855C60">
        <w:rPr>
          <w:rFonts w:hint="cs"/>
          <w:rtl/>
        </w:rPr>
        <w:t xml:space="preserve"> القو</w:t>
      </w:r>
      <w:r w:rsidR="001A768F">
        <w:rPr>
          <w:rFonts w:hint="cs"/>
          <w:rtl/>
        </w:rPr>
        <w:t>ة</w:t>
      </w:r>
      <w:r w:rsidR="00855C60">
        <w:rPr>
          <w:rFonts w:hint="cs"/>
          <w:rtl/>
        </w:rPr>
        <w:t xml:space="preserve"> العاملة من نسبة 44.7 في المائة في عام 1995 إلى 46.7 في المائة في عام 1990.</w:t>
      </w:r>
    </w:p>
    <w:p w:rsidR="00855C60" w:rsidRDefault="00855C60" w:rsidP="00F36E18">
      <w:pPr>
        <w:pStyle w:val="SingleTxt"/>
        <w:rPr>
          <w:rFonts w:hint="cs"/>
          <w:rtl/>
        </w:rPr>
      </w:pPr>
      <w:r>
        <w:rPr>
          <w:rFonts w:hint="cs"/>
          <w:rtl/>
        </w:rPr>
        <w:t>22 -</w:t>
      </w:r>
      <w:r>
        <w:rPr>
          <w:rFonts w:hint="cs"/>
          <w:rtl/>
        </w:rPr>
        <w:tab/>
        <w:t xml:space="preserve">ومن المتوقع أن </w:t>
      </w:r>
      <w:r w:rsidR="00F36E18">
        <w:rPr>
          <w:rFonts w:hint="cs"/>
          <w:rtl/>
        </w:rPr>
        <w:t>ي</w:t>
      </w:r>
      <w:r>
        <w:rPr>
          <w:rFonts w:hint="cs"/>
          <w:rtl/>
        </w:rPr>
        <w:t xml:space="preserve">زداد </w:t>
      </w:r>
      <w:r w:rsidR="00F36E18">
        <w:rPr>
          <w:rFonts w:hint="cs"/>
          <w:rtl/>
        </w:rPr>
        <w:t xml:space="preserve">حجم </w:t>
      </w:r>
      <w:r w:rsidR="001A768F">
        <w:rPr>
          <w:rFonts w:hint="cs"/>
          <w:rtl/>
        </w:rPr>
        <w:t>القوة العاملة</w:t>
      </w:r>
      <w:r>
        <w:rPr>
          <w:rFonts w:hint="cs"/>
          <w:rtl/>
        </w:rPr>
        <w:t xml:space="preserve"> بمعدل سنوي متوسط قدره 3.1 في المائة ليبلغ 11.2 مليون شخص بحلول عام 2005</w:t>
      </w:r>
      <w:r w:rsidR="001A768F">
        <w:rPr>
          <w:rFonts w:hint="cs"/>
          <w:rtl/>
        </w:rPr>
        <w:t>،</w:t>
      </w:r>
      <w:r>
        <w:rPr>
          <w:rFonts w:hint="cs"/>
          <w:rtl/>
        </w:rPr>
        <w:t xml:space="preserve"> منهم 5.1 في المائة من العمال الأجانب. ومن المتوقع أن تظل الغالبية العظمى من </w:t>
      </w:r>
      <w:r w:rsidR="001A768F">
        <w:rPr>
          <w:rFonts w:hint="cs"/>
          <w:rtl/>
        </w:rPr>
        <w:t>القوة العاملة</w:t>
      </w:r>
      <w:r>
        <w:rPr>
          <w:rFonts w:hint="cs"/>
          <w:rtl/>
        </w:rPr>
        <w:t xml:space="preserve"> من صغار السن وأن تكون أفضل من حيث التدريب والتعليم. ومن المتوقع أيضا أن يرتفع معدل </w:t>
      </w:r>
      <w:r w:rsidR="001A768F">
        <w:rPr>
          <w:rFonts w:hint="cs"/>
          <w:rtl/>
        </w:rPr>
        <w:t>الاشتراك في القوة العاملة</w:t>
      </w:r>
      <w:r>
        <w:rPr>
          <w:rFonts w:hint="cs"/>
          <w:rtl/>
        </w:rPr>
        <w:t xml:space="preserve"> إلى نسبة 66.6 في المائة بحلول عام 2005 وأن يرتفع معدل </w:t>
      </w:r>
      <w:r w:rsidR="001A768F">
        <w:rPr>
          <w:rFonts w:hint="cs"/>
          <w:rtl/>
        </w:rPr>
        <w:t xml:space="preserve">اشتراك </w:t>
      </w:r>
      <w:r>
        <w:rPr>
          <w:rFonts w:hint="cs"/>
          <w:rtl/>
        </w:rPr>
        <w:t xml:space="preserve">الإناث </w:t>
      </w:r>
      <w:r w:rsidR="001A768F">
        <w:rPr>
          <w:rFonts w:hint="cs"/>
          <w:rtl/>
        </w:rPr>
        <w:t xml:space="preserve">فيها </w:t>
      </w:r>
      <w:r>
        <w:rPr>
          <w:rFonts w:hint="cs"/>
          <w:rtl/>
        </w:rPr>
        <w:t>إلى نسبة 46.2 في المائة.</w:t>
      </w:r>
    </w:p>
    <w:p w:rsidR="00855C60" w:rsidRDefault="00855C60" w:rsidP="00A71FC6">
      <w:pPr>
        <w:pStyle w:val="SingleTxt"/>
        <w:rPr>
          <w:rFonts w:hint="cs"/>
          <w:rtl/>
        </w:rPr>
      </w:pPr>
      <w:r>
        <w:rPr>
          <w:rFonts w:hint="cs"/>
          <w:rtl/>
        </w:rPr>
        <w:t>23 -</w:t>
      </w:r>
      <w:r>
        <w:rPr>
          <w:rFonts w:hint="cs"/>
          <w:rtl/>
        </w:rPr>
        <w:tab/>
        <w:t xml:space="preserve">وبغية تعزيز </w:t>
      </w:r>
      <w:r w:rsidR="001A768F">
        <w:rPr>
          <w:rFonts w:hint="cs"/>
          <w:rtl/>
        </w:rPr>
        <w:t>القوة العاملة</w:t>
      </w:r>
      <w:r>
        <w:rPr>
          <w:rFonts w:hint="cs"/>
          <w:rtl/>
        </w:rPr>
        <w:t xml:space="preserve"> خلال فترة النقص في اليد العاملة، حررت الحكومة سياستها المتعلقة باستخدام اليد العاملة الأجنبية. وشهدت نهاية عام 1995 إصدار ما مجموعه 680 649 من تراخيص العمل المؤقتة للعمال المهاجرين</w:t>
      </w:r>
      <w:r w:rsidR="001A768F">
        <w:rPr>
          <w:rFonts w:hint="cs"/>
          <w:rtl/>
        </w:rPr>
        <w:t>.</w:t>
      </w:r>
      <w:r>
        <w:rPr>
          <w:rFonts w:hint="cs"/>
          <w:rtl/>
        </w:rPr>
        <w:t xml:space="preserve"> وصدر قرابة الثلثين من تلك التراخيص للعمل في قطاعي المزارع والبناء و11 في المائة للعمل في قطاع الصناعات التحويلية و 23 في المائة للخادمات المنزليات.</w:t>
      </w:r>
    </w:p>
    <w:p w:rsidR="00641A30" w:rsidRPr="00641A30" w:rsidRDefault="00641A30" w:rsidP="00641A30">
      <w:pPr>
        <w:pStyle w:val="SingleTxt"/>
        <w:spacing w:after="0" w:line="120" w:lineRule="exact"/>
        <w:rPr>
          <w:rFonts w:hint="cs"/>
          <w:sz w:val="10"/>
          <w:rtl/>
        </w:rPr>
      </w:pPr>
    </w:p>
    <w:p w:rsidR="00855C60" w:rsidRDefault="00855C60"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الهيكل السياسي العام</w:t>
      </w:r>
    </w:p>
    <w:p w:rsidR="00855C60" w:rsidRDefault="00855C60"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التاريخ السياسي</w:t>
      </w:r>
    </w:p>
    <w:p w:rsidR="00855C60" w:rsidRDefault="00855C60" w:rsidP="001A768F">
      <w:pPr>
        <w:pStyle w:val="SingleTxt"/>
        <w:rPr>
          <w:rFonts w:hint="cs"/>
          <w:rtl/>
        </w:rPr>
      </w:pPr>
      <w:r>
        <w:rPr>
          <w:rFonts w:hint="cs"/>
          <w:rtl/>
        </w:rPr>
        <w:t>24 -</w:t>
      </w:r>
      <w:r>
        <w:rPr>
          <w:rFonts w:hint="cs"/>
          <w:rtl/>
        </w:rPr>
        <w:tab/>
        <w:t>ثلاث فترات رئيسية في تاريخ ماليزيا هي المسؤولة عموما عن تشكيل نظامها القانوني في صورته الحالية</w:t>
      </w:r>
      <w:r w:rsidRPr="00855C60">
        <w:rPr>
          <w:vertAlign w:val="superscript"/>
          <w:rtl/>
        </w:rPr>
        <w:t>(</w:t>
      </w:r>
      <w:r>
        <w:rPr>
          <w:rStyle w:val="FootnoteReference"/>
          <w:rtl/>
        </w:rPr>
        <w:footnoteReference w:id="1"/>
      </w:r>
      <w:r w:rsidRPr="00855C60">
        <w:rPr>
          <w:vertAlign w:val="superscript"/>
          <w:rtl/>
        </w:rPr>
        <w:t>)</w:t>
      </w:r>
      <w:r>
        <w:rPr>
          <w:rFonts w:hint="cs"/>
          <w:rtl/>
        </w:rPr>
        <w:t>. الفترة الأولى شهدت تأسيس سلطنة ملاق</w:t>
      </w:r>
      <w:r w:rsidR="001A768F">
        <w:rPr>
          <w:rFonts w:hint="cs"/>
          <w:rtl/>
        </w:rPr>
        <w:t>َّ</w:t>
      </w:r>
      <w:r>
        <w:rPr>
          <w:rFonts w:hint="cs"/>
          <w:rtl/>
        </w:rPr>
        <w:t>ا</w:t>
      </w:r>
      <w:r w:rsidR="009C2F90">
        <w:rPr>
          <w:rFonts w:hint="cs"/>
          <w:rtl/>
        </w:rPr>
        <w:t xml:space="preserve"> في بداية القرن الخامس عشر</w:t>
      </w:r>
      <w:r w:rsidR="001A768F">
        <w:rPr>
          <w:rFonts w:hint="cs"/>
          <w:rtl/>
        </w:rPr>
        <w:t>،</w:t>
      </w:r>
      <w:r w:rsidR="009C2F90">
        <w:rPr>
          <w:rFonts w:hint="cs"/>
          <w:rtl/>
        </w:rPr>
        <w:t xml:space="preserve"> والفترة الثانية شهدت انتشار الإسلام </w:t>
      </w:r>
      <w:r w:rsidR="001A768F">
        <w:rPr>
          <w:rFonts w:hint="cs"/>
          <w:rtl/>
        </w:rPr>
        <w:t xml:space="preserve">في </w:t>
      </w:r>
      <w:r w:rsidR="009C2F90">
        <w:rPr>
          <w:rFonts w:hint="cs"/>
          <w:rtl/>
        </w:rPr>
        <w:t>جنوب شرق آسيا وترسيخ جذوره فيما بعد في ثقافة الشعوب الأصلية</w:t>
      </w:r>
      <w:r w:rsidR="001A768F">
        <w:rPr>
          <w:rFonts w:hint="cs"/>
          <w:rtl/>
        </w:rPr>
        <w:t>،</w:t>
      </w:r>
      <w:r w:rsidR="009C2F90">
        <w:rPr>
          <w:rFonts w:hint="cs"/>
          <w:rtl/>
        </w:rPr>
        <w:t xml:space="preserve"> والفترة الثالثة وربما هي الأهم في تاريخ ماليزيا الحديث هي فترة الحكم الاستعماري البريطاني الذي جلب معه إلى البلد نظام الحكم الدستوري ونظام القانون العام.</w:t>
      </w:r>
    </w:p>
    <w:p w:rsidR="009C2F90" w:rsidRDefault="009C2F90" w:rsidP="001A768F">
      <w:pPr>
        <w:pStyle w:val="SingleTxt"/>
        <w:rPr>
          <w:rFonts w:hint="cs"/>
          <w:rtl/>
        </w:rPr>
      </w:pPr>
      <w:r>
        <w:rPr>
          <w:rFonts w:hint="cs"/>
          <w:rtl/>
        </w:rPr>
        <w:t>25 -</w:t>
      </w:r>
      <w:r>
        <w:rPr>
          <w:rFonts w:hint="cs"/>
          <w:rtl/>
        </w:rPr>
        <w:tab/>
        <w:t>وأدى إنشاء ميناء ملاق</w:t>
      </w:r>
      <w:r w:rsidR="001A768F">
        <w:rPr>
          <w:rFonts w:hint="cs"/>
          <w:rtl/>
        </w:rPr>
        <w:t>َّ</w:t>
      </w:r>
      <w:r>
        <w:rPr>
          <w:rFonts w:hint="cs"/>
          <w:rtl/>
        </w:rPr>
        <w:t>ا  في القرن الخامس عشر إلى انتشار الإسلام إلى ملاق</w:t>
      </w:r>
      <w:r w:rsidR="001A768F">
        <w:rPr>
          <w:rFonts w:hint="cs"/>
          <w:rtl/>
        </w:rPr>
        <w:t>َّ</w:t>
      </w:r>
      <w:r>
        <w:rPr>
          <w:rFonts w:hint="cs"/>
          <w:rtl/>
        </w:rPr>
        <w:t>ا على يد التجار الهنود والعرب. وأضحى الإسلام فيما بعد دين الدولة وباتت القوانين الإسلامية تطبق إلى جانب القانون العرفي. واحتل البرتغاليون ملاق</w:t>
      </w:r>
      <w:r w:rsidR="001A768F">
        <w:rPr>
          <w:rFonts w:hint="cs"/>
          <w:rtl/>
        </w:rPr>
        <w:t>َّ</w:t>
      </w:r>
      <w:r>
        <w:rPr>
          <w:rFonts w:hint="cs"/>
          <w:rtl/>
        </w:rPr>
        <w:t xml:space="preserve">ا في الفترة من 1511 إلى 1641 واحتلها الهولنديون في الفترة من 1641 إلى 1795 ثم احتلها البريطانيون </w:t>
      </w:r>
      <w:r w:rsidR="001A768F">
        <w:rPr>
          <w:rFonts w:hint="cs"/>
          <w:rtl/>
        </w:rPr>
        <w:t xml:space="preserve">ثم </w:t>
      </w:r>
      <w:r>
        <w:rPr>
          <w:rFonts w:hint="cs"/>
          <w:rtl/>
        </w:rPr>
        <w:t>عادت تحت السيطرة الهولندية في عام 1801. وفي عام 1824، استعيد الحكم البريطاني</w:t>
      </w:r>
      <w:r w:rsidR="001A768F">
        <w:rPr>
          <w:rFonts w:hint="cs"/>
          <w:rtl/>
        </w:rPr>
        <w:t>.</w:t>
      </w:r>
      <w:r>
        <w:rPr>
          <w:rFonts w:hint="cs"/>
          <w:rtl/>
        </w:rPr>
        <w:t xml:space="preserve"> وقد جلبت هذه الأحداث معها النظام الاستعماري الذي اشتمل على تعيين قضاة الصلح للبت في النزاعات  المدنية والقضايا الجنائية في حين واصل السكان المحليون ممارسة القانون الإسلامي والأعراف الملاوية.</w:t>
      </w:r>
    </w:p>
    <w:p w:rsidR="009C2F90" w:rsidRDefault="009C2F90" w:rsidP="001A768F">
      <w:pPr>
        <w:pStyle w:val="SingleTxt"/>
        <w:rPr>
          <w:rFonts w:hint="cs"/>
          <w:rtl/>
        </w:rPr>
      </w:pPr>
      <w:r>
        <w:rPr>
          <w:rFonts w:hint="cs"/>
          <w:rtl/>
        </w:rPr>
        <w:t>26 -</w:t>
      </w:r>
      <w:r>
        <w:rPr>
          <w:rFonts w:hint="cs"/>
          <w:rtl/>
        </w:rPr>
        <w:tab/>
        <w:t>وأقامت بريطانيا وجودها الاستعماري في شبه جزيرة الملايو في منتصف القرن الثامن عشر بعد استيلائها على جزيرة بنان</w:t>
      </w:r>
      <w:r w:rsidR="001A768F">
        <w:rPr>
          <w:rFonts w:hint="cs"/>
          <w:rtl/>
        </w:rPr>
        <w:t>غ</w:t>
      </w:r>
      <w:r>
        <w:rPr>
          <w:rFonts w:hint="cs"/>
          <w:rtl/>
        </w:rPr>
        <w:t xml:space="preserve"> في عام 1786. واكتسبت السيادة على سنغافورة (التي كانت آنذاك</w:t>
      </w:r>
      <w:r w:rsidR="00300264">
        <w:rPr>
          <w:rFonts w:hint="cs"/>
          <w:rtl/>
        </w:rPr>
        <w:t xml:space="preserve"> جزءا من جوهور) في عام 1824 واستولت على ملاق</w:t>
      </w:r>
      <w:r w:rsidR="001A768F">
        <w:rPr>
          <w:rFonts w:hint="cs"/>
          <w:rtl/>
        </w:rPr>
        <w:t>َّ</w:t>
      </w:r>
      <w:r w:rsidR="00300264">
        <w:rPr>
          <w:rFonts w:hint="cs"/>
          <w:rtl/>
        </w:rPr>
        <w:t>ا من الهولنديين في السنة ذاتها. وأضحت تلك الولايات الثلاث مستعمرات. ووضع العديد من ولايات الملايو الأخرى تحت السيطرة البريطانية عن طريق سلسلة من المعاهدات.</w:t>
      </w:r>
    </w:p>
    <w:p w:rsidR="00300264" w:rsidRDefault="00300264" w:rsidP="00A71FC6">
      <w:pPr>
        <w:pStyle w:val="SingleTxt"/>
        <w:rPr>
          <w:rFonts w:hint="cs"/>
          <w:rtl/>
        </w:rPr>
      </w:pPr>
      <w:r>
        <w:rPr>
          <w:rFonts w:hint="cs"/>
          <w:rtl/>
        </w:rPr>
        <w:t>27 -</w:t>
      </w:r>
      <w:r>
        <w:rPr>
          <w:rFonts w:hint="cs"/>
          <w:rtl/>
        </w:rPr>
        <w:tab/>
        <w:t>وفرض البريطانيون نظاما من الحكم غير المباشر في الولايات الخاضعة لحكم السلاطين بخلاف الحكم المباشر الذي تمارسه الولايات الأخرى (المعروفة باسم مستوطنات المضائق). وكانت ولايات الملايو مستقلة نظريا ويحكمها سلاطينها وكانت المحاكم</w:t>
      </w:r>
      <w:r w:rsidR="005E382D">
        <w:rPr>
          <w:rFonts w:hint="cs"/>
          <w:rtl/>
        </w:rPr>
        <w:t xml:space="preserve"> البريطانية تقبل وتعترف بوضعها القانوني. وفي بعض الولايات</w:t>
      </w:r>
      <w:r w:rsidR="001A768F">
        <w:rPr>
          <w:rFonts w:hint="cs"/>
          <w:rtl/>
        </w:rPr>
        <w:t>،</w:t>
      </w:r>
      <w:r w:rsidR="005E382D">
        <w:rPr>
          <w:rFonts w:hint="cs"/>
          <w:rtl/>
        </w:rPr>
        <w:t xml:space="preserve"> أنشئ مجلس دولة لإسداء المشورة للسلطان</w:t>
      </w:r>
      <w:r w:rsidR="001A768F">
        <w:rPr>
          <w:rFonts w:hint="cs"/>
          <w:rtl/>
        </w:rPr>
        <w:t>؛</w:t>
      </w:r>
      <w:r w:rsidR="005E382D">
        <w:rPr>
          <w:rFonts w:hint="cs"/>
          <w:rtl/>
        </w:rPr>
        <w:t xml:space="preserve"> وفي بعضها الآخر، قبل كل حاكم منها بوجود مكتب لمقيم عام يتمتع بسلطة حصرية بإدارة شؤون الولاية.</w:t>
      </w:r>
    </w:p>
    <w:p w:rsidR="005E382D" w:rsidRDefault="005E382D" w:rsidP="001A768F">
      <w:pPr>
        <w:pStyle w:val="SingleTxt"/>
        <w:rPr>
          <w:rFonts w:hint="cs"/>
          <w:rtl/>
        </w:rPr>
      </w:pPr>
      <w:r>
        <w:rPr>
          <w:rFonts w:hint="cs"/>
          <w:rtl/>
        </w:rPr>
        <w:t>28 -</w:t>
      </w:r>
      <w:r>
        <w:rPr>
          <w:rFonts w:hint="cs"/>
          <w:rtl/>
        </w:rPr>
        <w:tab/>
        <w:t xml:space="preserve">وفي عام 1909، أنشئ المجلس الاتحادي. وشكل هذا المجلس </w:t>
      </w:r>
      <w:r w:rsidR="001A768F">
        <w:rPr>
          <w:rFonts w:hint="cs"/>
          <w:rtl/>
        </w:rPr>
        <w:t xml:space="preserve">الركيزة </w:t>
      </w:r>
      <w:r>
        <w:rPr>
          <w:rFonts w:hint="cs"/>
          <w:rtl/>
        </w:rPr>
        <w:t>لإضفاء البريطانيين الطابع المركزي على السلطة. وفي أثناء الحرب العالمية الثانية</w:t>
      </w:r>
      <w:r w:rsidR="001A768F">
        <w:rPr>
          <w:rFonts w:hint="cs"/>
          <w:rtl/>
        </w:rPr>
        <w:t>،</w:t>
      </w:r>
      <w:r>
        <w:rPr>
          <w:rFonts w:hint="cs"/>
          <w:rtl/>
        </w:rPr>
        <w:t xml:space="preserve"> رزحت ماليزيا تحت الاحتلال الياباني</w:t>
      </w:r>
      <w:r w:rsidR="001A768F">
        <w:rPr>
          <w:rFonts w:hint="cs"/>
          <w:rtl/>
        </w:rPr>
        <w:t>،</w:t>
      </w:r>
      <w:r>
        <w:rPr>
          <w:rFonts w:hint="cs"/>
          <w:rtl/>
        </w:rPr>
        <w:t xml:space="preserve"> وبعد الحرب تم تشكيل اتحاد الملايو</w:t>
      </w:r>
      <w:r w:rsidR="001A768F">
        <w:rPr>
          <w:rFonts w:hint="cs"/>
          <w:rtl/>
        </w:rPr>
        <w:t>.</w:t>
      </w:r>
      <w:r>
        <w:rPr>
          <w:rFonts w:hint="cs"/>
          <w:rtl/>
        </w:rPr>
        <w:t xml:space="preserve"> وهو يتألف من ولايات الملايو التسع فيما عدا سنغافورة. كما أنشئت مفوضية </w:t>
      </w:r>
      <w:r w:rsidR="001A768F">
        <w:rPr>
          <w:rFonts w:hint="cs"/>
          <w:rtl/>
        </w:rPr>
        <w:t>سامية</w:t>
      </w:r>
      <w:r>
        <w:rPr>
          <w:rFonts w:hint="cs"/>
          <w:rtl/>
        </w:rPr>
        <w:t xml:space="preserve"> ومجلس تنفيذ</w:t>
      </w:r>
      <w:r w:rsidR="001A768F">
        <w:rPr>
          <w:rFonts w:hint="cs"/>
          <w:rtl/>
        </w:rPr>
        <w:t>ي</w:t>
      </w:r>
      <w:r>
        <w:rPr>
          <w:rFonts w:hint="cs"/>
          <w:rtl/>
        </w:rPr>
        <w:t xml:space="preserve"> ومجلس تشريعي وكان لكل ولاية مجلسها التنفيذي. وكان مجلس الحكام يجتمع بصورة منتظمة مع المفوض السامي. وبدأ إعمال القانون الإنكليزي رسميا في عامي 1937 و 1951 رغم أنه كان يطبق من قبل.</w:t>
      </w:r>
    </w:p>
    <w:p w:rsidR="00756B6A" w:rsidRDefault="005E382D" w:rsidP="001A768F">
      <w:pPr>
        <w:pStyle w:val="SingleTxt"/>
        <w:rPr>
          <w:rFonts w:hint="cs"/>
          <w:rtl/>
        </w:rPr>
      </w:pPr>
      <w:r>
        <w:rPr>
          <w:rFonts w:hint="cs"/>
          <w:rtl/>
        </w:rPr>
        <w:t>29 -</w:t>
      </w:r>
      <w:r>
        <w:rPr>
          <w:rFonts w:hint="cs"/>
          <w:rtl/>
        </w:rPr>
        <w:tab/>
        <w:t>وفي عام</w:t>
      </w:r>
      <w:r w:rsidR="001B2F0F">
        <w:rPr>
          <w:rFonts w:hint="cs"/>
          <w:w w:val="100"/>
          <w:sz w:val="17"/>
          <w:szCs w:val="26"/>
          <w:rtl/>
        </w:rPr>
        <w:t xml:space="preserve"> 1956،</w:t>
      </w:r>
      <w:r w:rsidR="001B2F0F" w:rsidRPr="001B2F0F">
        <w:rPr>
          <w:rFonts w:hint="cs"/>
          <w:rtl/>
        </w:rPr>
        <w:t xml:space="preserve"> عقد في لندن مؤتمر دستوري</w:t>
      </w:r>
      <w:r w:rsidR="001B2F0F">
        <w:rPr>
          <w:rFonts w:hint="cs"/>
          <w:rtl/>
        </w:rPr>
        <w:t xml:space="preserve"> تم التوصل فيه إلى اتفاق مع الحكومة البريطانية يقضي بإعلان الحكم الذاتي الكامل والاستقلال في إطار الكمنولث بحلول شهر </w:t>
      </w:r>
      <w:r w:rsidR="001B2F0F">
        <w:rPr>
          <w:rtl/>
        </w:rPr>
        <w:t xml:space="preserve">آب/أغسطس </w:t>
      </w:r>
      <w:r w:rsidR="001B2F0F">
        <w:rPr>
          <w:rFonts w:hint="cs"/>
          <w:rtl/>
        </w:rPr>
        <w:t>1957. وتم تعيين لجنة تعرف باسم لجنة ريد لتقديم توصيات من أجل وضع دستور مناسب لل</w:t>
      </w:r>
      <w:r w:rsidR="001A768F">
        <w:rPr>
          <w:rFonts w:hint="cs"/>
          <w:rtl/>
        </w:rPr>
        <w:t>دولة. وتشكل تلك التوصيات الأساس</w:t>
      </w:r>
      <w:r w:rsidR="001B2F0F">
        <w:rPr>
          <w:rFonts w:hint="cs"/>
          <w:rtl/>
        </w:rPr>
        <w:t xml:space="preserve"> الذي يستند إليه الدستور الاتحادي. ومنحت الملايو الاستقلال في 31 </w:t>
      </w:r>
      <w:r w:rsidR="001B2F0F">
        <w:rPr>
          <w:rtl/>
        </w:rPr>
        <w:t xml:space="preserve">آب/أغسطس </w:t>
      </w:r>
      <w:r w:rsidR="001B2F0F">
        <w:rPr>
          <w:rFonts w:hint="cs"/>
          <w:rtl/>
        </w:rPr>
        <w:t>1957.</w:t>
      </w:r>
    </w:p>
    <w:p w:rsidR="001B2F0F" w:rsidRDefault="001B2F0F" w:rsidP="001A768F">
      <w:pPr>
        <w:pStyle w:val="SingleTxt"/>
        <w:rPr>
          <w:rFonts w:hint="cs"/>
          <w:rtl/>
        </w:rPr>
      </w:pPr>
      <w:r>
        <w:rPr>
          <w:rFonts w:hint="cs"/>
          <w:rtl/>
        </w:rPr>
        <w:t>30 -</w:t>
      </w:r>
      <w:r>
        <w:rPr>
          <w:rFonts w:hint="cs"/>
          <w:rtl/>
        </w:rPr>
        <w:tab/>
        <w:t>واتخذ مسار التطور الدستوري لإقليمي صباح و</w:t>
      </w:r>
      <w:r w:rsidR="00B97045">
        <w:rPr>
          <w:rFonts w:hint="cs"/>
          <w:rtl/>
        </w:rPr>
        <w:t>ساراواك</w:t>
      </w:r>
      <w:r>
        <w:rPr>
          <w:rFonts w:hint="cs"/>
          <w:rtl/>
        </w:rPr>
        <w:t xml:space="preserve"> مسارا مختلفا نوعا ما عن المسار الذي اتخذته ولايات شبه جزيرة الملايو. إذ كانت صباح و</w:t>
      </w:r>
      <w:r w:rsidR="00B97045">
        <w:rPr>
          <w:rFonts w:hint="cs"/>
          <w:rtl/>
        </w:rPr>
        <w:t>ساراواك</w:t>
      </w:r>
      <w:r>
        <w:rPr>
          <w:rFonts w:hint="cs"/>
          <w:rtl/>
        </w:rPr>
        <w:t xml:space="preserve"> محميتين بريطانيتين. ونالتا الاستقلال في عام 1963 عندما اتحدتا مع  الملايو من خلال اتفاق ماليزيا وبذلك أنشئت ماليزيا. وتضمن الاتفاق أحكاما خاص</w:t>
      </w:r>
      <w:r w:rsidR="001A768F">
        <w:rPr>
          <w:rFonts w:hint="cs"/>
          <w:rtl/>
        </w:rPr>
        <w:t>ة</w:t>
      </w:r>
      <w:r>
        <w:rPr>
          <w:rFonts w:hint="cs"/>
          <w:rtl/>
        </w:rPr>
        <w:t xml:space="preserve"> لضمان مصالح هاتين الولايتين</w:t>
      </w:r>
      <w:r w:rsidR="00880AAE">
        <w:rPr>
          <w:rFonts w:hint="cs"/>
          <w:rtl/>
        </w:rPr>
        <w:t xml:space="preserve"> اللتين خشيتا على أنفسهما من طغيان سكان الملايو وجها</w:t>
      </w:r>
      <w:r w:rsidR="001A768F">
        <w:rPr>
          <w:rFonts w:hint="cs"/>
          <w:rtl/>
        </w:rPr>
        <w:t>ز</w:t>
      </w:r>
      <w:r w:rsidR="00880AAE">
        <w:rPr>
          <w:rFonts w:hint="cs"/>
          <w:rtl/>
        </w:rPr>
        <w:t>ها الإداري عليهما. وانفصلت سنغافورة عن ماليزيا في عام 1965.</w:t>
      </w:r>
    </w:p>
    <w:p w:rsidR="00641A30" w:rsidRPr="00641A30" w:rsidRDefault="00641A30" w:rsidP="00641A30">
      <w:pPr>
        <w:pStyle w:val="SingleTxt"/>
        <w:spacing w:after="0" w:line="120" w:lineRule="exact"/>
        <w:rPr>
          <w:rFonts w:hint="cs"/>
          <w:sz w:val="10"/>
          <w:rtl/>
        </w:rPr>
      </w:pPr>
    </w:p>
    <w:p w:rsidR="00880AAE" w:rsidRDefault="00880AAE"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أطر العمل ونظام الحكم</w:t>
      </w:r>
    </w:p>
    <w:p w:rsidR="00880AAE" w:rsidRDefault="00880AAE" w:rsidP="001A768F">
      <w:pPr>
        <w:pStyle w:val="SingleTxt"/>
        <w:rPr>
          <w:rFonts w:hint="cs"/>
          <w:rtl/>
        </w:rPr>
      </w:pPr>
      <w:r>
        <w:rPr>
          <w:rFonts w:hint="cs"/>
          <w:rtl/>
        </w:rPr>
        <w:t>31 -</w:t>
      </w:r>
      <w:r>
        <w:rPr>
          <w:rFonts w:hint="cs"/>
          <w:rtl/>
        </w:rPr>
        <w:tab/>
        <w:t>يمثل الدستور الاتحادي لماليزيا القانون الأساسي والقانون الأعلى فيها على حد سواء. و</w:t>
      </w:r>
      <w:r w:rsidR="001A768F">
        <w:rPr>
          <w:rFonts w:hint="cs"/>
          <w:rtl/>
        </w:rPr>
        <w:t xml:space="preserve">هو </w:t>
      </w:r>
      <w:r>
        <w:rPr>
          <w:rFonts w:hint="cs"/>
          <w:rtl/>
        </w:rPr>
        <w:t>ينص في جملة أمور</w:t>
      </w:r>
      <w:r w:rsidR="001A768F">
        <w:rPr>
          <w:rFonts w:hint="cs"/>
          <w:rtl/>
        </w:rPr>
        <w:t>،</w:t>
      </w:r>
      <w:r>
        <w:rPr>
          <w:rFonts w:hint="cs"/>
          <w:rtl/>
        </w:rPr>
        <w:t xml:space="preserve"> على الخصائص الأساسية التالية للدولة:</w:t>
      </w:r>
    </w:p>
    <w:p w:rsidR="00880AAE" w:rsidRDefault="00880AAE" w:rsidP="001A768F">
      <w:pPr>
        <w:pStyle w:val="SingleTxt"/>
        <w:ind w:left="2592" w:hanging="1325"/>
        <w:rPr>
          <w:rFonts w:hint="cs"/>
          <w:rtl/>
        </w:rPr>
      </w:pPr>
      <w:r>
        <w:rPr>
          <w:rFonts w:hint="cs"/>
          <w:rtl/>
        </w:rPr>
        <w:tab/>
        <w:t>’1‘</w:t>
      </w:r>
      <w:r>
        <w:rPr>
          <w:rFonts w:hint="cs"/>
          <w:rtl/>
        </w:rPr>
        <w:tab/>
        <w:t>إنشاء مال</w:t>
      </w:r>
      <w:r w:rsidR="001A768F">
        <w:rPr>
          <w:rFonts w:hint="cs"/>
          <w:rtl/>
        </w:rPr>
        <w:t>يزيا في شكل اتحاد يتألف من ثلاث</w:t>
      </w:r>
      <w:r>
        <w:rPr>
          <w:rFonts w:hint="cs"/>
          <w:rtl/>
        </w:rPr>
        <w:t xml:space="preserve"> عشر</w:t>
      </w:r>
      <w:r w:rsidR="001A768F">
        <w:rPr>
          <w:rFonts w:hint="cs"/>
          <w:rtl/>
        </w:rPr>
        <w:t>ة</w:t>
      </w:r>
      <w:r>
        <w:rPr>
          <w:rFonts w:hint="cs"/>
          <w:rtl/>
        </w:rPr>
        <w:t xml:space="preserve"> ولاية وثلاثة أقاليم اتحادية (كوالالمبور ولابوان وبوتراجايا)؛</w:t>
      </w:r>
    </w:p>
    <w:p w:rsidR="00880AAE" w:rsidRDefault="00880AAE" w:rsidP="001A768F">
      <w:pPr>
        <w:pStyle w:val="SingleTxt"/>
        <w:ind w:left="2592" w:hanging="1325"/>
        <w:rPr>
          <w:rFonts w:hint="cs"/>
          <w:rtl/>
        </w:rPr>
      </w:pPr>
      <w:r>
        <w:rPr>
          <w:rFonts w:hint="cs"/>
          <w:rtl/>
        </w:rPr>
        <w:tab/>
        <w:t>’2‘</w:t>
      </w:r>
      <w:r>
        <w:rPr>
          <w:rFonts w:hint="cs"/>
          <w:rtl/>
        </w:rPr>
        <w:tab/>
        <w:t>تقسيم الصلاحيات بين السلطات الاتحادية و</w:t>
      </w:r>
      <w:r w:rsidR="001A768F">
        <w:rPr>
          <w:rFonts w:hint="cs"/>
          <w:rtl/>
        </w:rPr>
        <w:t>سلطات الولايات</w:t>
      </w:r>
      <w:r>
        <w:rPr>
          <w:rFonts w:hint="cs"/>
          <w:rtl/>
        </w:rPr>
        <w:t>؛</w:t>
      </w:r>
    </w:p>
    <w:p w:rsidR="00880AAE" w:rsidRDefault="00880AAE" w:rsidP="00A71FC6">
      <w:pPr>
        <w:pStyle w:val="SingleTxt"/>
        <w:ind w:left="2592" w:hanging="1325"/>
        <w:rPr>
          <w:rFonts w:hint="cs"/>
          <w:rtl/>
        </w:rPr>
      </w:pPr>
      <w:r>
        <w:rPr>
          <w:rFonts w:hint="cs"/>
          <w:rtl/>
        </w:rPr>
        <w:tab/>
        <w:t>’3‘</w:t>
      </w:r>
      <w:r>
        <w:rPr>
          <w:rFonts w:hint="cs"/>
          <w:rtl/>
        </w:rPr>
        <w:tab/>
        <w:t>دولة ملكية دستورية؛</w:t>
      </w:r>
    </w:p>
    <w:p w:rsidR="00880AAE" w:rsidRDefault="00880AAE" w:rsidP="00A71FC6">
      <w:pPr>
        <w:pStyle w:val="SingleTxt"/>
        <w:ind w:left="2592" w:hanging="1325"/>
        <w:rPr>
          <w:rFonts w:hint="cs"/>
          <w:rtl/>
        </w:rPr>
      </w:pPr>
      <w:r>
        <w:rPr>
          <w:rFonts w:hint="cs"/>
          <w:rtl/>
        </w:rPr>
        <w:tab/>
        <w:t>’4‘</w:t>
      </w:r>
      <w:r>
        <w:rPr>
          <w:rFonts w:hint="cs"/>
          <w:rtl/>
        </w:rPr>
        <w:tab/>
        <w:t>حكومة برلمانية على نمط وستمنيستر تتيح، سلطات على النحو التالي:</w:t>
      </w:r>
    </w:p>
    <w:p w:rsidR="00880AAE" w:rsidRDefault="00880AAE" w:rsidP="00A71FC6">
      <w:pPr>
        <w:pStyle w:val="SingleTxt"/>
        <w:ind w:left="2592" w:hanging="1325"/>
        <w:rPr>
          <w:rFonts w:hint="cs"/>
          <w:rtl/>
        </w:rPr>
      </w:pPr>
      <w:r>
        <w:rPr>
          <w:rFonts w:hint="cs"/>
          <w:rtl/>
        </w:rPr>
        <w:tab/>
      </w:r>
      <w:r>
        <w:rPr>
          <w:rFonts w:hint="cs"/>
          <w:rtl/>
        </w:rPr>
        <w:tab/>
        <w:t>(أ)</w:t>
      </w:r>
      <w:r>
        <w:rPr>
          <w:rFonts w:hint="cs"/>
          <w:rtl/>
        </w:rPr>
        <w:tab/>
        <w:t>السلطة التشريعية</w:t>
      </w:r>
      <w:r w:rsidR="001A768F">
        <w:rPr>
          <w:rFonts w:hint="cs"/>
          <w:rtl/>
        </w:rPr>
        <w:t>:</w:t>
      </w:r>
      <w:r>
        <w:rPr>
          <w:rFonts w:hint="cs"/>
          <w:rtl/>
        </w:rPr>
        <w:t xml:space="preserve"> يتمتع البرلمان بسلطة سن القوانين (الجزء الرابع، الفصل 4 من الدستور الاتحادي)؛</w:t>
      </w:r>
    </w:p>
    <w:p w:rsidR="00880AAE" w:rsidRDefault="00880AAE" w:rsidP="001A768F">
      <w:pPr>
        <w:pStyle w:val="SingleTxt"/>
        <w:ind w:left="2592" w:hanging="1325"/>
        <w:rPr>
          <w:rFonts w:hint="cs"/>
          <w:rtl/>
        </w:rPr>
      </w:pPr>
      <w:r>
        <w:rPr>
          <w:rFonts w:hint="cs"/>
          <w:rtl/>
        </w:rPr>
        <w:tab/>
      </w:r>
      <w:r>
        <w:rPr>
          <w:rFonts w:hint="cs"/>
          <w:rtl/>
        </w:rPr>
        <w:tab/>
        <w:t>(ب)</w:t>
      </w:r>
      <w:r>
        <w:rPr>
          <w:rFonts w:hint="cs"/>
          <w:rtl/>
        </w:rPr>
        <w:tab/>
        <w:t>السلطة التنفيذية</w:t>
      </w:r>
      <w:r w:rsidR="001A768F">
        <w:rPr>
          <w:rFonts w:hint="cs"/>
          <w:rtl/>
        </w:rPr>
        <w:t>:</w:t>
      </w:r>
      <w:r>
        <w:rPr>
          <w:rFonts w:hint="cs"/>
          <w:rtl/>
        </w:rPr>
        <w:t xml:space="preserve"> يتمتع الرئيس الأعلى للاتحاد (يان</w:t>
      </w:r>
      <w:r w:rsidR="001A768F">
        <w:rPr>
          <w:rFonts w:hint="cs"/>
          <w:rtl/>
        </w:rPr>
        <w:t>غ</w:t>
      </w:r>
      <w:r>
        <w:rPr>
          <w:rFonts w:hint="cs"/>
          <w:rtl/>
        </w:rPr>
        <w:t xml:space="preserve"> داي </w:t>
      </w:r>
      <w:r>
        <w:rPr>
          <w:rtl/>
        </w:rPr>
        <w:t>–</w:t>
      </w:r>
      <w:r>
        <w:rPr>
          <w:rFonts w:hint="cs"/>
          <w:rtl/>
        </w:rPr>
        <w:t xml:space="preserve"> </w:t>
      </w:r>
      <w:r w:rsidR="001A768F">
        <w:rPr>
          <w:rFonts w:hint="cs"/>
          <w:rtl/>
        </w:rPr>
        <w:t>ب</w:t>
      </w:r>
      <w:r>
        <w:rPr>
          <w:rFonts w:hint="cs"/>
          <w:rtl/>
        </w:rPr>
        <w:t>يرتوان أ</w:t>
      </w:r>
      <w:r w:rsidR="001A768F">
        <w:rPr>
          <w:rFonts w:hint="cs"/>
          <w:rtl/>
        </w:rPr>
        <w:t>غ</w:t>
      </w:r>
      <w:r>
        <w:rPr>
          <w:rFonts w:hint="cs"/>
          <w:rtl/>
        </w:rPr>
        <w:t>ون</w:t>
      </w:r>
      <w:r w:rsidR="001A768F">
        <w:rPr>
          <w:rFonts w:hint="cs"/>
          <w:rtl/>
        </w:rPr>
        <w:t>غ</w:t>
      </w:r>
      <w:r>
        <w:rPr>
          <w:rFonts w:hint="cs"/>
          <w:rtl/>
        </w:rPr>
        <w:t>) بسلطة الحكم ويمارسها رهنا بأحكام الدستور الاتحادي؛</w:t>
      </w:r>
    </w:p>
    <w:p w:rsidR="00880AAE" w:rsidRDefault="00880AAE" w:rsidP="00A71FC6">
      <w:pPr>
        <w:pStyle w:val="SingleTxt"/>
        <w:ind w:left="2592" w:hanging="1325"/>
        <w:rPr>
          <w:rFonts w:hint="cs"/>
          <w:rtl/>
        </w:rPr>
      </w:pPr>
      <w:r>
        <w:rPr>
          <w:rFonts w:hint="cs"/>
          <w:rtl/>
        </w:rPr>
        <w:tab/>
      </w:r>
      <w:r>
        <w:rPr>
          <w:rFonts w:hint="cs"/>
          <w:rtl/>
        </w:rPr>
        <w:tab/>
        <w:t>(ج)</w:t>
      </w:r>
      <w:r>
        <w:rPr>
          <w:rFonts w:hint="cs"/>
          <w:rtl/>
        </w:rPr>
        <w:tab/>
        <w:t>السلطة القضائية</w:t>
      </w:r>
      <w:r w:rsidR="001A768F">
        <w:rPr>
          <w:rFonts w:hint="cs"/>
          <w:rtl/>
        </w:rPr>
        <w:t>:</w:t>
      </w:r>
      <w:r>
        <w:rPr>
          <w:rFonts w:hint="cs"/>
          <w:rtl/>
        </w:rPr>
        <w:t xml:space="preserve"> منوطة بالجهاز القضائي (المادة 121 من الدستور الاتحادي)</w:t>
      </w:r>
    </w:p>
    <w:p w:rsidR="00880AAE" w:rsidRDefault="00880AAE" w:rsidP="00A71FC6">
      <w:pPr>
        <w:pStyle w:val="SingleTxt"/>
        <w:ind w:left="2592" w:hanging="1325"/>
        <w:rPr>
          <w:rFonts w:hint="cs"/>
          <w:rtl/>
        </w:rPr>
      </w:pPr>
      <w:r>
        <w:rPr>
          <w:rFonts w:hint="cs"/>
          <w:rtl/>
        </w:rPr>
        <w:tab/>
        <w:t>’5‘</w:t>
      </w:r>
      <w:r>
        <w:rPr>
          <w:rFonts w:hint="cs"/>
          <w:rtl/>
        </w:rPr>
        <w:tab/>
        <w:t>الإسلام هو الدين الرسمي للاتحاد ويضمن الدستور الاتحادي بموجب المادة 3 (1) منه حرية ممارسة الأديان الأخرى.</w:t>
      </w:r>
    </w:p>
    <w:p w:rsidR="00445EAA" w:rsidRPr="00445EAA" w:rsidRDefault="00445EAA" w:rsidP="00445EAA">
      <w:pPr>
        <w:pStyle w:val="SingleTxt"/>
        <w:spacing w:after="0" w:line="120" w:lineRule="exact"/>
        <w:ind w:left="2592" w:hanging="1325"/>
        <w:rPr>
          <w:rFonts w:hint="cs"/>
          <w:sz w:val="10"/>
          <w:rtl/>
        </w:rPr>
      </w:pPr>
    </w:p>
    <w:p w:rsidR="00880AAE" w:rsidRDefault="00880AAE"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رئيس الدولة</w:t>
      </w:r>
    </w:p>
    <w:p w:rsidR="00880AAE" w:rsidRDefault="00880AAE" w:rsidP="00CB05C6">
      <w:pPr>
        <w:pStyle w:val="SingleTxt"/>
        <w:rPr>
          <w:rFonts w:hint="cs"/>
          <w:rtl/>
        </w:rPr>
      </w:pPr>
      <w:r>
        <w:rPr>
          <w:rFonts w:hint="cs"/>
          <w:rtl/>
        </w:rPr>
        <w:t>32 -</w:t>
      </w:r>
      <w:r>
        <w:rPr>
          <w:rFonts w:hint="cs"/>
          <w:rtl/>
        </w:rPr>
        <w:tab/>
        <w:t xml:space="preserve">الحاكم الأعلى </w:t>
      </w:r>
      <w:r w:rsidR="001624D1">
        <w:rPr>
          <w:rFonts w:hint="cs"/>
          <w:rtl/>
        </w:rPr>
        <w:t>ل</w:t>
      </w:r>
      <w:r>
        <w:rPr>
          <w:rFonts w:hint="cs"/>
          <w:rtl/>
        </w:rPr>
        <w:t>لاتحاد يدعى يان</w:t>
      </w:r>
      <w:r w:rsidR="001624D1">
        <w:rPr>
          <w:rFonts w:hint="cs"/>
          <w:rtl/>
        </w:rPr>
        <w:t>غ</w:t>
      </w:r>
      <w:r>
        <w:rPr>
          <w:rFonts w:hint="cs"/>
          <w:rtl/>
        </w:rPr>
        <w:t xml:space="preserve"> داي </w:t>
      </w:r>
      <w:r>
        <w:rPr>
          <w:rtl/>
        </w:rPr>
        <w:t>–</w:t>
      </w:r>
      <w:r>
        <w:rPr>
          <w:rFonts w:hint="cs"/>
          <w:rtl/>
        </w:rPr>
        <w:t xml:space="preserve"> </w:t>
      </w:r>
      <w:r w:rsidR="001624D1">
        <w:rPr>
          <w:rFonts w:hint="cs"/>
          <w:rtl/>
        </w:rPr>
        <w:t>ب</w:t>
      </w:r>
      <w:r>
        <w:rPr>
          <w:rFonts w:hint="cs"/>
          <w:rtl/>
        </w:rPr>
        <w:t>يرتوان أ</w:t>
      </w:r>
      <w:r w:rsidR="001624D1">
        <w:rPr>
          <w:rFonts w:hint="cs"/>
          <w:rtl/>
        </w:rPr>
        <w:t>غ</w:t>
      </w:r>
      <w:r>
        <w:rPr>
          <w:rFonts w:hint="cs"/>
          <w:rtl/>
        </w:rPr>
        <w:t>ون</w:t>
      </w:r>
      <w:r w:rsidR="001624D1">
        <w:rPr>
          <w:rFonts w:hint="cs"/>
          <w:rtl/>
        </w:rPr>
        <w:t>غ</w:t>
      </w:r>
      <w:r>
        <w:rPr>
          <w:rFonts w:hint="cs"/>
          <w:rtl/>
        </w:rPr>
        <w:t xml:space="preserve">. ويتفوق جلالته على جميع الأشخاص، بمن فيهم حكام الولايات التسعة في ماليزيا (أي </w:t>
      </w:r>
      <w:r w:rsidR="001624D1">
        <w:rPr>
          <w:rFonts w:hint="cs"/>
          <w:rtl/>
        </w:rPr>
        <w:t>ت</w:t>
      </w:r>
      <w:r>
        <w:rPr>
          <w:rFonts w:hint="cs"/>
          <w:rtl/>
        </w:rPr>
        <w:t>يرن</w:t>
      </w:r>
      <w:r w:rsidR="001624D1">
        <w:rPr>
          <w:rFonts w:hint="cs"/>
          <w:rtl/>
        </w:rPr>
        <w:t>غ</w:t>
      </w:r>
      <w:r>
        <w:rPr>
          <w:rFonts w:hint="cs"/>
          <w:rtl/>
        </w:rPr>
        <w:t xml:space="preserve"> </w:t>
      </w:r>
      <w:r w:rsidR="001624D1">
        <w:rPr>
          <w:rFonts w:hint="cs"/>
          <w:rtl/>
        </w:rPr>
        <w:t>غ</w:t>
      </w:r>
      <w:r>
        <w:rPr>
          <w:rFonts w:hint="cs"/>
          <w:rtl/>
        </w:rPr>
        <w:t>انو</w:t>
      </w:r>
      <w:r w:rsidR="001624D1">
        <w:rPr>
          <w:rFonts w:hint="cs"/>
          <w:rtl/>
        </w:rPr>
        <w:t>،</w:t>
      </w:r>
      <w:r>
        <w:rPr>
          <w:rFonts w:hint="cs"/>
          <w:rtl/>
        </w:rPr>
        <w:t xml:space="preserve"> وبرليس وكيداح</w:t>
      </w:r>
      <w:r w:rsidR="001624D1">
        <w:rPr>
          <w:rFonts w:hint="cs"/>
          <w:rtl/>
        </w:rPr>
        <w:t>، وبيراك وسلانغور ونيغ</w:t>
      </w:r>
      <w:r>
        <w:rPr>
          <w:rFonts w:hint="cs"/>
          <w:rtl/>
        </w:rPr>
        <w:t>يري سيمبلان</w:t>
      </w:r>
      <w:r w:rsidR="001624D1">
        <w:rPr>
          <w:rFonts w:hint="cs"/>
          <w:rtl/>
        </w:rPr>
        <w:t>،</w:t>
      </w:r>
      <w:r w:rsidR="00FD235C">
        <w:rPr>
          <w:rFonts w:hint="cs"/>
          <w:rtl/>
        </w:rPr>
        <w:t xml:space="preserve"> وباهان</w:t>
      </w:r>
      <w:r w:rsidR="001624D1">
        <w:rPr>
          <w:rFonts w:hint="cs"/>
          <w:rtl/>
        </w:rPr>
        <w:t>غ</w:t>
      </w:r>
      <w:r w:rsidR="00FD235C">
        <w:rPr>
          <w:rFonts w:hint="cs"/>
          <w:rtl/>
        </w:rPr>
        <w:t xml:space="preserve"> وكيلانت</w:t>
      </w:r>
      <w:r w:rsidR="001624D1">
        <w:rPr>
          <w:rFonts w:hint="cs"/>
          <w:rtl/>
        </w:rPr>
        <w:t>ا</w:t>
      </w:r>
      <w:r w:rsidR="00FD235C">
        <w:rPr>
          <w:rFonts w:hint="cs"/>
          <w:rtl/>
        </w:rPr>
        <w:t>ن وجوهور)</w:t>
      </w:r>
      <w:r w:rsidR="001624D1">
        <w:rPr>
          <w:rFonts w:hint="cs"/>
          <w:rtl/>
        </w:rPr>
        <w:t>.</w:t>
      </w:r>
      <w:r w:rsidR="00FD235C">
        <w:rPr>
          <w:rFonts w:hint="cs"/>
          <w:rtl/>
        </w:rPr>
        <w:t xml:space="preserve"> ويرأس كل ولاية من الولايات الأربع الأخرى، وهي بينان</w:t>
      </w:r>
      <w:r w:rsidR="00CB05C6">
        <w:rPr>
          <w:rFonts w:hint="cs"/>
          <w:rtl/>
        </w:rPr>
        <w:t>غ</w:t>
      </w:r>
      <w:r w:rsidR="00FD235C">
        <w:rPr>
          <w:rFonts w:hint="cs"/>
          <w:rtl/>
        </w:rPr>
        <w:t xml:space="preserve"> وميلاكا وصباح و</w:t>
      </w:r>
      <w:r w:rsidR="00B97045">
        <w:rPr>
          <w:rFonts w:hint="cs"/>
          <w:rtl/>
        </w:rPr>
        <w:t>ساراواك</w:t>
      </w:r>
      <w:r w:rsidR="00FD235C">
        <w:rPr>
          <w:rFonts w:hint="cs"/>
          <w:rtl/>
        </w:rPr>
        <w:t xml:space="preserve"> محافظ يطلق عليه اسم يان</w:t>
      </w:r>
      <w:r w:rsidR="00CB05C6">
        <w:rPr>
          <w:rFonts w:hint="cs"/>
          <w:rtl/>
        </w:rPr>
        <w:t>غ</w:t>
      </w:r>
      <w:r w:rsidR="00FD235C">
        <w:rPr>
          <w:rFonts w:hint="cs"/>
          <w:rtl/>
        </w:rPr>
        <w:t xml:space="preserve"> داي </w:t>
      </w:r>
      <w:r w:rsidR="00FD235C">
        <w:rPr>
          <w:rtl/>
        </w:rPr>
        <w:t>–</w:t>
      </w:r>
      <w:r w:rsidR="00CB05C6">
        <w:rPr>
          <w:rFonts w:hint="cs"/>
          <w:rtl/>
        </w:rPr>
        <w:t>ب</w:t>
      </w:r>
      <w:r w:rsidR="00FD235C">
        <w:rPr>
          <w:rFonts w:hint="cs"/>
          <w:rtl/>
        </w:rPr>
        <w:t>يرتوا ني</w:t>
      </w:r>
      <w:r w:rsidR="00CB05C6">
        <w:rPr>
          <w:rFonts w:hint="cs"/>
          <w:rtl/>
        </w:rPr>
        <w:t>غ</w:t>
      </w:r>
      <w:r w:rsidR="00FD235C">
        <w:rPr>
          <w:rFonts w:hint="cs"/>
          <w:rtl/>
        </w:rPr>
        <w:t>يري ويؤدي وظائف رئيس دولة شرفي ولكن لا يجوز انتخابه كحاكم. ويقوم مؤتمر الحكام الذي يتألف من الحكام التسعة والمحافظين الأربعة بانتخاب الحاكم الأعلى للاتحاد (يان</w:t>
      </w:r>
      <w:r w:rsidR="00CB05C6">
        <w:rPr>
          <w:rFonts w:hint="cs"/>
          <w:rtl/>
        </w:rPr>
        <w:t>غ</w:t>
      </w:r>
      <w:r w:rsidR="00FD235C">
        <w:rPr>
          <w:rFonts w:hint="cs"/>
          <w:rtl/>
        </w:rPr>
        <w:t xml:space="preserve"> داي </w:t>
      </w:r>
      <w:r w:rsidR="00FD235C">
        <w:rPr>
          <w:rtl/>
        </w:rPr>
        <w:t>–</w:t>
      </w:r>
      <w:r w:rsidR="00FD235C">
        <w:rPr>
          <w:rFonts w:hint="cs"/>
          <w:rtl/>
        </w:rPr>
        <w:t xml:space="preserve"> </w:t>
      </w:r>
      <w:r w:rsidR="00CB05C6">
        <w:rPr>
          <w:rFonts w:hint="cs"/>
          <w:rtl/>
        </w:rPr>
        <w:t>ب</w:t>
      </w:r>
      <w:r w:rsidR="00FD235C">
        <w:rPr>
          <w:rFonts w:hint="cs"/>
          <w:rtl/>
        </w:rPr>
        <w:t>يرتوان أ</w:t>
      </w:r>
      <w:r w:rsidR="00CB05C6">
        <w:rPr>
          <w:rFonts w:hint="cs"/>
          <w:rtl/>
        </w:rPr>
        <w:t>غ</w:t>
      </w:r>
      <w:r w:rsidR="00FD235C">
        <w:rPr>
          <w:rFonts w:hint="cs"/>
          <w:rtl/>
        </w:rPr>
        <w:t>ون</w:t>
      </w:r>
      <w:r w:rsidR="00CB05C6">
        <w:rPr>
          <w:rFonts w:hint="cs"/>
          <w:rtl/>
        </w:rPr>
        <w:t>غ</w:t>
      </w:r>
      <w:r w:rsidR="00193E4B">
        <w:rPr>
          <w:rFonts w:hint="cs"/>
          <w:rtl/>
        </w:rPr>
        <w:t>)</w:t>
      </w:r>
      <w:r w:rsidR="00FD235C">
        <w:rPr>
          <w:rFonts w:hint="cs"/>
          <w:rtl/>
        </w:rPr>
        <w:t xml:space="preserve"> من بين الحكام في الولايات التسع.</w:t>
      </w:r>
    </w:p>
    <w:p w:rsidR="00445EAA" w:rsidRPr="00445EAA" w:rsidRDefault="00445EAA" w:rsidP="00445EAA">
      <w:pPr>
        <w:pStyle w:val="SingleTxt"/>
        <w:spacing w:after="0" w:line="120" w:lineRule="exact"/>
        <w:rPr>
          <w:rFonts w:hint="cs"/>
          <w:sz w:val="10"/>
          <w:rtl/>
        </w:rPr>
      </w:pPr>
    </w:p>
    <w:p w:rsidR="00FD235C" w:rsidRDefault="00FD235C"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الهيئات التشريعية التابعة للاتحاد وللولايات</w:t>
      </w:r>
    </w:p>
    <w:p w:rsidR="00FD235C" w:rsidRDefault="00FD235C" w:rsidP="001B2605">
      <w:pPr>
        <w:pStyle w:val="SingleTxt"/>
        <w:rPr>
          <w:rFonts w:hint="cs"/>
          <w:rtl/>
        </w:rPr>
      </w:pPr>
      <w:r>
        <w:rPr>
          <w:rFonts w:hint="cs"/>
          <w:rtl/>
        </w:rPr>
        <w:t>33 -</w:t>
      </w:r>
      <w:r>
        <w:rPr>
          <w:rFonts w:hint="cs"/>
          <w:rtl/>
        </w:rPr>
        <w:tab/>
        <w:t xml:space="preserve">تنص المادة 44 من الدستور الاتحادي على أن السلطة التشريعية للاتحاد </w:t>
      </w:r>
      <w:r>
        <w:rPr>
          <w:rFonts w:hint="eastAsia"/>
          <w:rtl/>
        </w:rPr>
        <w:t>”تكون منوطة ببرلمان</w:t>
      </w:r>
      <w:r>
        <w:rPr>
          <w:rFonts w:hint="cs"/>
          <w:rtl/>
        </w:rPr>
        <w:t>“. ويتكون البرلمان الذي ينتخب أعضاؤه لفترة أقصاها خمس سنوات من الحاكم الأعلى للاتحاد (يان</w:t>
      </w:r>
      <w:r w:rsidR="001B2605">
        <w:rPr>
          <w:rFonts w:hint="cs"/>
          <w:rtl/>
        </w:rPr>
        <w:t>غ</w:t>
      </w:r>
      <w:r>
        <w:rPr>
          <w:rFonts w:hint="cs"/>
          <w:rtl/>
        </w:rPr>
        <w:t xml:space="preserve"> داي </w:t>
      </w:r>
      <w:r>
        <w:rPr>
          <w:rtl/>
        </w:rPr>
        <w:t>–</w:t>
      </w:r>
      <w:r>
        <w:rPr>
          <w:rFonts w:hint="cs"/>
          <w:rtl/>
        </w:rPr>
        <w:t xml:space="preserve"> </w:t>
      </w:r>
      <w:r w:rsidR="001B2605">
        <w:rPr>
          <w:rFonts w:hint="cs"/>
          <w:rtl/>
        </w:rPr>
        <w:t>ب</w:t>
      </w:r>
      <w:r>
        <w:rPr>
          <w:rFonts w:hint="cs"/>
          <w:rtl/>
        </w:rPr>
        <w:t>يرتوان أ</w:t>
      </w:r>
      <w:r w:rsidR="001B2605">
        <w:rPr>
          <w:rFonts w:hint="cs"/>
          <w:rtl/>
        </w:rPr>
        <w:t>غ</w:t>
      </w:r>
      <w:r>
        <w:rPr>
          <w:rFonts w:hint="cs"/>
          <w:rtl/>
        </w:rPr>
        <w:t>ون</w:t>
      </w:r>
      <w:r w:rsidR="001B2605">
        <w:rPr>
          <w:rFonts w:hint="cs"/>
          <w:rtl/>
        </w:rPr>
        <w:t>غ</w:t>
      </w:r>
      <w:r>
        <w:rPr>
          <w:rFonts w:hint="cs"/>
          <w:rtl/>
        </w:rPr>
        <w:t>) ومن مجلس الشيوخ (ديوان ني</w:t>
      </w:r>
      <w:r w:rsidR="001B2605">
        <w:rPr>
          <w:rFonts w:hint="cs"/>
          <w:rtl/>
        </w:rPr>
        <w:t>غ</w:t>
      </w:r>
      <w:r>
        <w:rPr>
          <w:rFonts w:hint="cs"/>
          <w:rtl/>
        </w:rPr>
        <w:t>ارا) ومجلس النواب (ديوان راكيا</w:t>
      </w:r>
      <w:r w:rsidR="001B2605">
        <w:rPr>
          <w:rFonts w:hint="cs"/>
          <w:rtl/>
        </w:rPr>
        <w:t>ت</w:t>
      </w:r>
      <w:r>
        <w:rPr>
          <w:rFonts w:hint="cs"/>
          <w:rtl/>
        </w:rPr>
        <w:t>). وي</w:t>
      </w:r>
      <w:r w:rsidR="001B2605">
        <w:rPr>
          <w:rFonts w:hint="cs"/>
          <w:rtl/>
        </w:rPr>
        <w:t>ُ</w:t>
      </w:r>
      <w:r>
        <w:rPr>
          <w:rFonts w:hint="cs"/>
          <w:rtl/>
        </w:rPr>
        <w:t>نتخب أعضاء مجلس النواب (ديوان راكيا</w:t>
      </w:r>
      <w:r w:rsidR="001B2605">
        <w:rPr>
          <w:rFonts w:hint="cs"/>
          <w:rtl/>
        </w:rPr>
        <w:t>ت</w:t>
      </w:r>
      <w:r>
        <w:rPr>
          <w:rFonts w:hint="cs"/>
          <w:rtl/>
        </w:rPr>
        <w:t>) من قِبل الشعب بينما يعين أعضاء مجلس الشيوخ (ديوان ني</w:t>
      </w:r>
      <w:r w:rsidR="001B2605">
        <w:rPr>
          <w:rFonts w:hint="cs"/>
          <w:rtl/>
        </w:rPr>
        <w:t>غ</w:t>
      </w:r>
      <w:r>
        <w:rPr>
          <w:rFonts w:hint="cs"/>
          <w:rtl/>
        </w:rPr>
        <w:t>ارا) من قِبل الحاكم الأعلى للاتحاد (يان</w:t>
      </w:r>
      <w:r w:rsidR="001B2605">
        <w:rPr>
          <w:rFonts w:hint="cs"/>
          <w:rtl/>
        </w:rPr>
        <w:t>غ</w:t>
      </w:r>
      <w:r>
        <w:rPr>
          <w:rFonts w:hint="cs"/>
          <w:rtl/>
        </w:rPr>
        <w:t xml:space="preserve"> داي </w:t>
      </w:r>
      <w:r>
        <w:rPr>
          <w:rtl/>
        </w:rPr>
        <w:t>–</w:t>
      </w:r>
      <w:r>
        <w:rPr>
          <w:rFonts w:hint="cs"/>
          <w:rtl/>
        </w:rPr>
        <w:t xml:space="preserve"> </w:t>
      </w:r>
      <w:r w:rsidR="001B2605">
        <w:rPr>
          <w:rFonts w:hint="cs"/>
          <w:rtl/>
        </w:rPr>
        <w:t>ب</w:t>
      </w:r>
      <w:r>
        <w:rPr>
          <w:rFonts w:hint="cs"/>
          <w:rtl/>
        </w:rPr>
        <w:t>يرتوان أ</w:t>
      </w:r>
      <w:r w:rsidR="001B2605">
        <w:rPr>
          <w:rFonts w:hint="cs"/>
          <w:rtl/>
        </w:rPr>
        <w:t>غ</w:t>
      </w:r>
      <w:r>
        <w:rPr>
          <w:rFonts w:hint="cs"/>
          <w:rtl/>
        </w:rPr>
        <w:t>ون</w:t>
      </w:r>
      <w:r w:rsidR="001B2605">
        <w:rPr>
          <w:rFonts w:hint="cs"/>
          <w:rtl/>
        </w:rPr>
        <w:t>غ</w:t>
      </w:r>
      <w:r>
        <w:rPr>
          <w:rFonts w:hint="cs"/>
          <w:rtl/>
        </w:rPr>
        <w:t>).</w:t>
      </w:r>
    </w:p>
    <w:p w:rsidR="00FD235C" w:rsidRDefault="00FD235C" w:rsidP="00A71FC6">
      <w:pPr>
        <w:pStyle w:val="SingleTxt"/>
        <w:rPr>
          <w:rFonts w:hint="cs"/>
          <w:rtl/>
        </w:rPr>
      </w:pPr>
      <w:r>
        <w:rPr>
          <w:rFonts w:hint="cs"/>
          <w:rtl/>
        </w:rPr>
        <w:t>34 -</w:t>
      </w:r>
      <w:r>
        <w:rPr>
          <w:rFonts w:hint="cs"/>
          <w:rtl/>
        </w:rPr>
        <w:tab/>
        <w:t>وتوجد في كل ولاية جمعية تشريعية ذات مجلس واحد تتألف من رئيس الولاية وأعضاء ينتخبون من ق</w:t>
      </w:r>
      <w:r w:rsidR="001B2605">
        <w:rPr>
          <w:rFonts w:hint="cs"/>
          <w:rtl/>
        </w:rPr>
        <w:t>ِ</w:t>
      </w:r>
      <w:r>
        <w:rPr>
          <w:rFonts w:hint="cs"/>
          <w:rtl/>
        </w:rPr>
        <w:t>بَل شعب تلك الولاية، باستثناء ولاية صباح التي يعين ستة من أعضاء جمعيتها التشريعية من ق</w:t>
      </w:r>
      <w:r w:rsidR="001B2605">
        <w:rPr>
          <w:rFonts w:hint="cs"/>
          <w:rtl/>
        </w:rPr>
        <w:t>ِ</w:t>
      </w:r>
      <w:r>
        <w:rPr>
          <w:rFonts w:hint="cs"/>
          <w:rtl/>
        </w:rPr>
        <w:t>ب</w:t>
      </w:r>
      <w:r w:rsidR="001B2605">
        <w:rPr>
          <w:rFonts w:hint="cs"/>
          <w:rtl/>
        </w:rPr>
        <w:t>َ</w:t>
      </w:r>
      <w:r>
        <w:rPr>
          <w:rFonts w:hint="cs"/>
          <w:rtl/>
        </w:rPr>
        <w:t>ل المحافظ.</w:t>
      </w:r>
    </w:p>
    <w:p w:rsidR="00D46073" w:rsidRDefault="00FD235C" w:rsidP="001B2605">
      <w:pPr>
        <w:pStyle w:val="SingleTxt"/>
        <w:rPr>
          <w:rFonts w:hint="cs"/>
          <w:rtl/>
        </w:rPr>
      </w:pPr>
      <w:r>
        <w:rPr>
          <w:rFonts w:hint="cs"/>
          <w:rtl/>
        </w:rPr>
        <w:t>35 -</w:t>
      </w:r>
      <w:r>
        <w:rPr>
          <w:rFonts w:hint="cs"/>
          <w:rtl/>
        </w:rPr>
        <w:tab/>
        <w:t xml:space="preserve">ويتمتع البرلمان والجمعية التشريعية في كل ولاية كلاهما بسلطة سن قوانين طبقا للمسائل المحددة بموجب الدستور الاتحادي، ومنها على وجه الخصوص تحديد قائمة المسائل المنوطة بالولايات وقائمة المسائل المنوطة بالاتحاد. كما يحدد الدستور الاتحادي المسائل التي تدخل ضمن قائمة المسائل المتداخلة التي تطبق من قبل سلطتين مختلفتين هما سلطات الولايات وسلطات الاتحاد على السواء مثل الرعاية الصحية والمنح الدراسية والرياضة والثقافة والإسكان والصحة العامة والتنمية الحضرية والريفية وحماية الحيوانات البرية والدفاع </w:t>
      </w:r>
      <w:r w:rsidR="00D46073">
        <w:rPr>
          <w:rFonts w:hint="cs"/>
          <w:rtl/>
        </w:rPr>
        <w:t>المدني وشبكات الصرف الصحي والري.</w:t>
      </w:r>
    </w:p>
    <w:p w:rsidR="00445EAA" w:rsidRPr="00445EAA" w:rsidRDefault="00445EAA" w:rsidP="00445EAA">
      <w:pPr>
        <w:pStyle w:val="SingleTxt"/>
        <w:spacing w:after="0" w:line="120" w:lineRule="exact"/>
        <w:rPr>
          <w:rFonts w:hint="cs"/>
          <w:sz w:val="10"/>
          <w:rtl/>
        </w:rPr>
      </w:pPr>
    </w:p>
    <w:p w:rsidR="00FD235C" w:rsidRDefault="00D46073" w:rsidP="00A71FC6">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rPr>
      </w:pPr>
      <w:r>
        <w:rPr>
          <w:rFonts w:hint="cs"/>
          <w:b/>
          <w:bCs/>
          <w:spacing w:val="2"/>
          <w:rtl/>
        </w:rPr>
        <w:tab/>
      </w:r>
      <w:r>
        <w:rPr>
          <w:rFonts w:hint="cs"/>
          <w:b/>
          <w:bCs/>
          <w:spacing w:val="2"/>
          <w:rtl/>
        </w:rPr>
        <w:tab/>
      </w:r>
      <w:r w:rsidRPr="00D46073">
        <w:rPr>
          <w:rFonts w:hint="cs"/>
          <w:b/>
          <w:bCs/>
          <w:spacing w:val="2"/>
          <w:rtl/>
        </w:rPr>
        <w:t>السلطة التنفيذية</w:t>
      </w:r>
      <w:r>
        <w:rPr>
          <w:rFonts w:hint="cs"/>
          <w:rtl/>
        </w:rPr>
        <w:t>.</w:t>
      </w:r>
    </w:p>
    <w:p w:rsidR="00D46073" w:rsidRDefault="00D46073" w:rsidP="007E36C4">
      <w:pPr>
        <w:pStyle w:val="SingleTxt"/>
        <w:rPr>
          <w:rFonts w:hint="cs"/>
          <w:rtl/>
        </w:rPr>
      </w:pPr>
      <w:r>
        <w:rPr>
          <w:rFonts w:hint="cs"/>
          <w:rtl/>
        </w:rPr>
        <w:t>36 -</w:t>
      </w:r>
      <w:r>
        <w:rPr>
          <w:rFonts w:hint="cs"/>
          <w:rtl/>
        </w:rPr>
        <w:tab/>
        <w:t>السلطة التنفيذية للاتحاد منوطة بالحاكم الأعلى للاتحاد (يان</w:t>
      </w:r>
      <w:r w:rsidR="007E36C4">
        <w:rPr>
          <w:rFonts w:hint="cs"/>
          <w:rtl/>
        </w:rPr>
        <w:t>غ</w:t>
      </w:r>
      <w:r>
        <w:rPr>
          <w:rFonts w:hint="cs"/>
          <w:rtl/>
        </w:rPr>
        <w:t xml:space="preserve"> داي </w:t>
      </w:r>
      <w:r>
        <w:rPr>
          <w:rtl/>
        </w:rPr>
        <w:t>–</w:t>
      </w:r>
      <w:r>
        <w:rPr>
          <w:rFonts w:hint="cs"/>
          <w:rtl/>
        </w:rPr>
        <w:t xml:space="preserve"> </w:t>
      </w:r>
      <w:r w:rsidR="007E36C4">
        <w:rPr>
          <w:rFonts w:hint="cs"/>
          <w:rtl/>
        </w:rPr>
        <w:t>ب</w:t>
      </w:r>
      <w:r>
        <w:rPr>
          <w:rFonts w:hint="cs"/>
          <w:rtl/>
        </w:rPr>
        <w:t>يرتوان أ</w:t>
      </w:r>
      <w:r w:rsidR="007E36C4">
        <w:rPr>
          <w:rFonts w:hint="cs"/>
          <w:rtl/>
        </w:rPr>
        <w:t>غ</w:t>
      </w:r>
      <w:r>
        <w:rPr>
          <w:rFonts w:hint="cs"/>
          <w:rtl/>
        </w:rPr>
        <w:t>ون</w:t>
      </w:r>
      <w:r w:rsidR="007E36C4">
        <w:rPr>
          <w:rFonts w:hint="cs"/>
          <w:rtl/>
        </w:rPr>
        <w:t>غ</w:t>
      </w:r>
      <w:r>
        <w:rPr>
          <w:rFonts w:hint="cs"/>
          <w:rtl/>
        </w:rPr>
        <w:t>) ويمارسها جلالته أو الحكومة أو أي وزير تأذن الحكومة له بممارستها رهنا بأحكام الدستور الاتحادي.</w:t>
      </w:r>
    </w:p>
    <w:p w:rsidR="00D46073" w:rsidRDefault="00D46073" w:rsidP="007E36C4">
      <w:pPr>
        <w:pStyle w:val="SingleTxt"/>
        <w:rPr>
          <w:rFonts w:hint="cs"/>
          <w:rtl/>
        </w:rPr>
      </w:pPr>
      <w:r>
        <w:rPr>
          <w:rFonts w:hint="cs"/>
          <w:rtl/>
        </w:rPr>
        <w:t>37 -</w:t>
      </w:r>
      <w:r>
        <w:rPr>
          <w:rFonts w:hint="cs"/>
          <w:rtl/>
        </w:rPr>
        <w:tab/>
        <w:t>ويعين رئيس الوزراء من بين أعضاء مجلس النواب (ديوان راكيا</w:t>
      </w:r>
      <w:r w:rsidR="007E36C4">
        <w:rPr>
          <w:rFonts w:hint="cs"/>
          <w:rtl/>
        </w:rPr>
        <w:t>ت</w:t>
      </w:r>
      <w:r>
        <w:rPr>
          <w:rFonts w:hint="cs"/>
          <w:rtl/>
        </w:rPr>
        <w:t>) ويجب أن يحظى بثقة غالبية أعضاء ذلك المجلس. ويعين أعضاء الوزارة الآخرون وكذلك نواب الوزراء من قِبل الحاكم الأعلى للاتحاد، بناء على مشورة رئيس الوزراء.</w:t>
      </w:r>
    </w:p>
    <w:p w:rsidR="00D46073" w:rsidRDefault="00D46073" w:rsidP="007E36C4">
      <w:pPr>
        <w:pStyle w:val="SingleTxt"/>
        <w:rPr>
          <w:rFonts w:hint="cs"/>
          <w:rtl/>
        </w:rPr>
      </w:pPr>
      <w:r>
        <w:rPr>
          <w:rFonts w:hint="cs"/>
          <w:rtl/>
        </w:rPr>
        <w:t>38 -</w:t>
      </w:r>
      <w:r>
        <w:rPr>
          <w:rFonts w:hint="cs"/>
          <w:rtl/>
        </w:rPr>
        <w:tab/>
        <w:t>وعلى مستوى الولايات، تكون السلطة التنفيذية منوطة بالحاكم والمجلس التنفيذي للولاية الذي يرأسه رئيس يطلق عليه اسم (مينتيري بيسار) بالنسبة للولايات التي يرأسها حاكم ويرأسه رئيس يطلق اسم (كيتوا م</w:t>
      </w:r>
      <w:r w:rsidR="007E36C4">
        <w:rPr>
          <w:rFonts w:hint="cs"/>
          <w:rtl/>
        </w:rPr>
        <w:t>ي</w:t>
      </w:r>
      <w:r>
        <w:rPr>
          <w:rFonts w:hint="cs"/>
          <w:rtl/>
        </w:rPr>
        <w:t>نتيري) بالنسبة للولايات التي يرأسها محافظ (يان</w:t>
      </w:r>
      <w:r w:rsidR="007E36C4">
        <w:rPr>
          <w:rFonts w:hint="cs"/>
          <w:rtl/>
        </w:rPr>
        <w:t>غ</w:t>
      </w:r>
      <w:r>
        <w:rPr>
          <w:rFonts w:hint="cs"/>
          <w:rtl/>
        </w:rPr>
        <w:t xml:space="preserve"> داي </w:t>
      </w:r>
      <w:r>
        <w:rPr>
          <w:rtl/>
        </w:rPr>
        <w:t>–</w:t>
      </w:r>
      <w:r>
        <w:rPr>
          <w:rFonts w:hint="cs"/>
          <w:rtl/>
        </w:rPr>
        <w:t xml:space="preserve"> </w:t>
      </w:r>
      <w:r w:rsidR="007E36C4">
        <w:rPr>
          <w:rFonts w:hint="cs"/>
          <w:rtl/>
        </w:rPr>
        <w:t>ب</w:t>
      </w:r>
      <w:r>
        <w:rPr>
          <w:rFonts w:hint="cs"/>
          <w:rtl/>
        </w:rPr>
        <w:t>يرتوا ني</w:t>
      </w:r>
      <w:r w:rsidR="007E36C4">
        <w:rPr>
          <w:rFonts w:hint="cs"/>
          <w:rtl/>
        </w:rPr>
        <w:t>غ</w:t>
      </w:r>
      <w:r>
        <w:rPr>
          <w:rFonts w:hint="cs"/>
          <w:rtl/>
        </w:rPr>
        <w:t xml:space="preserve">يري). وتنظم دساتير الولايات مسألة تعيين الأعضاء في السلطة التنفيذية للولاية وتماثل الممارسات المتبعة في عمليات التعيين هذه، بصورة عامة، الممارسات المتبعة في </w:t>
      </w:r>
      <w:r w:rsidR="007E36C4">
        <w:rPr>
          <w:rFonts w:hint="cs"/>
          <w:rtl/>
        </w:rPr>
        <w:t xml:space="preserve">الاتحاد في </w:t>
      </w:r>
      <w:r>
        <w:rPr>
          <w:rFonts w:hint="cs"/>
          <w:rtl/>
        </w:rPr>
        <w:t>هذا المجال.</w:t>
      </w:r>
    </w:p>
    <w:p w:rsidR="00D46073" w:rsidRPr="00D46073" w:rsidRDefault="00D46073" w:rsidP="00A71FC6">
      <w:pPr>
        <w:pStyle w:val="SingleTxt"/>
        <w:spacing w:after="0"/>
        <w:rPr>
          <w:rFonts w:hint="cs"/>
          <w:sz w:val="10"/>
          <w:rtl/>
        </w:rPr>
      </w:pPr>
    </w:p>
    <w:p w:rsidR="00D46073" w:rsidRDefault="00442907"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D46073">
        <w:rPr>
          <w:rFonts w:hint="cs"/>
          <w:rtl/>
        </w:rPr>
        <w:tab/>
      </w:r>
      <w:r w:rsidR="00D46073">
        <w:rPr>
          <w:rFonts w:hint="cs"/>
          <w:rtl/>
        </w:rPr>
        <w:tab/>
        <w:t>الجهاز القضائي</w:t>
      </w:r>
    </w:p>
    <w:p w:rsidR="00D46073" w:rsidRDefault="00D46073" w:rsidP="00A71FC6">
      <w:pPr>
        <w:pStyle w:val="SingleTxt"/>
        <w:rPr>
          <w:rFonts w:hint="cs"/>
          <w:rtl/>
        </w:rPr>
      </w:pPr>
      <w:r>
        <w:rPr>
          <w:rFonts w:hint="cs"/>
          <w:rtl/>
        </w:rPr>
        <w:t>39 -</w:t>
      </w:r>
      <w:r>
        <w:rPr>
          <w:rFonts w:hint="cs"/>
          <w:rtl/>
        </w:rPr>
        <w:tab/>
        <w:t>يوضح الرسم البياني</w:t>
      </w:r>
      <w:r w:rsidR="00D81A14">
        <w:rPr>
          <w:rFonts w:hint="cs"/>
          <w:rtl/>
        </w:rPr>
        <w:t xml:space="preserve"> المدرج أدناه الهيكل الهرمي للمحاكم في ماليزيا:</w:t>
      </w:r>
    </w:p>
    <w:p w:rsidR="00641A30" w:rsidRPr="00641A30" w:rsidRDefault="00641A30" w:rsidP="00641A30">
      <w:pPr>
        <w:spacing w:line="120" w:lineRule="exact"/>
        <w:rPr>
          <w:sz w:val="10"/>
          <w:rtl/>
          <w:lang w:val="en-GB"/>
        </w:rPr>
      </w:pPr>
    </w:p>
    <w:p w:rsidR="00442907" w:rsidRPr="00442907" w:rsidRDefault="00442907" w:rsidP="00A71FC6">
      <w:pPr>
        <w:pBdr>
          <w:top w:val="single" w:sz="4" w:space="10" w:color="auto"/>
          <w:left w:val="single" w:sz="4" w:space="0" w:color="auto"/>
          <w:bottom w:val="single" w:sz="4" w:space="8" w:color="auto"/>
          <w:right w:val="single" w:sz="4" w:space="0" w:color="auto"/>
        </w:pBdr>
        <w:jc w:val="center"/>
        <w:rPr>
          <w:rFonts w:hint="cs"/>
          <w:b/>
          <w:bCs/>
          <w:sz w:val="24"/>
          <w:szCs w:val="24"/>
          <w:lang w:val="en-GB"/>
        </w:rPr>
      </w:pPr>
      <w:r>
        <w:rPr>
          <w:rFonts w:hint="cs"/>
          <w:b/>
          <w:bCs/>
          <w:noProof/>
          <w:rtl/>
        </w:rPr>
        <w:t xml:space="preserve">         </w:t>
      </w:r>
      <w:r w:rsidRPr="00442907">
        <w:rPr>
          <w:rFonts w:hint="cs"/>
          <w:b/>
          <w:bCs/>
          <w:noProof/>
          <w:sz w:val="24"/>
          <w:szCs w:val="24"/>
          <w:rtl/>
        </w:rPr>
        <w:t>المحكمة الاتحادية</w:t>
      </w:r>
    </w:p>
    <w:p w:rsidR="00442907" w:rsidRDefault="00442907" w:rsidP="00A71FC6">
      <w:pPr>
        <w:pBdr>
          <w:top w:val="single" w:sz="4" w:space="10" w:color="auto"/>
          <w:left w:val="single" w:sz="4" w:space="0" w:color="auto"/>
          <w:bottom w:val="single" w:sz="4" w:space="8" w:color="auto"/>
          <w:right w:val="single" w:sz="4" w:space="0" w:color="auto"/>
        </w:pBdr>
        <w:jc w:val="center"/>
        <w:rPr>
          <w:lang w:val="en-GB"/>
        </w:rPr>
      </w:pPr>
    </w:p>
    <w:p w:rsidR="00442907" w:rsidRPr="00442907" w:rsidRDefault="00442907" w:rsidP="00A71FC6">
      <w:pPr>
        <w:pBdr>
          <w:top w:val="single" w:sz="4" w:space="10" w:color="auto"/>
          <w:left w:val="single" w:sz="4" w:space="0" w:color="auto"/>
          <w:bottom w:val="single" w:sz="4" w:space="8" w:color="auto"/>
          <w:right w:val="single" w:sz="4" w:space="0" w:color="auto"/>
        </w:pBdr>
        <w:jc w:val="center"/>
        <w:rPr>
          <w:rFonts w:hint="cs"/>
          <w:b/>
          <w:bCs/>
          <w:sz w:val="24"/>
          <w:szCs w:val="24"/>
          <w:lang w:val="en-GB"/>
        </w:rPr>
      </w:pPr>
      <w:r w:rsidRPr="00442907">
        <w:rPr>
          <w:rFonts w:hint="cs"/>
          <w:b/>
          <w:bCs/>
          <w:sz w:val="24"/>
          <w:szCs w:val="24"/>
          <w:rtl/>
          <w:lang w:val="en-GB"/>
        </w:rPr>
        <w:t>محكمة الاستئناف</w:t>
      </w:r>
    </w:p>
    <w:p w:rsidR="00442907" w:rsidRDefault="00442907" w:rsidP="00A71FC6">
      <w:pPr>
        <w:pBdr>
          <w:top w:val="single" w:sz="4" w:space="10" w:color="auto"/>
          <w:left w:val="single" w:sz="4" w:space="0" w:color="auto"/>
          <w:bottom w:val="single" w:sz="4" w:space="8" w:color="auto"/>
          <w:right w:val="single" w:sz="4" w:space="0" w:color="auto"/>
        </w:pBdr>
        <w:jc w:val="center"/>
        <w:rPr>
          <w:lang w:val="en-GB"/>
        </w:rPr>
      </w:pPr>
      <w:r>
        <w:rPr>
          <w:noProof/>
        </w:rPr>
        <w:pict>
          <v:line id="_x0000_s2054" style="position:absolute;left:0;text-align:left;z-index:4" from="117pt,12.3pt" to="117pt,30.3pt"/>
        </w:pict>
      </w:r>
      <w:r>
        <w:rPr>
          <w:noProof/>
        </w:rPr>
        <w:pict>
          <v:line id="_x0000_s2055" style="position:absolute;left:0;text-align:left;z-index:5" from="315pt,12.3pt" to="315pt,30.3pt"/>
        </w:pict>
      </w:r>
      <w:r>
        <w:rPr>
          <w:noProof/>
        </w:rPr>
        <w:pict>
          <v:line id="_x0000_s2053" style="position:absolute;left:0;text-align:left;z-index:3" from="117pt,12.3pt" to="315pt,12.3pt"/>
        </w:pict>
      </w:r>
    </w:p>
    <w:p w:rsidR="00442907" w:rsidRPr="00442907" w:rsidRDefault="00442907" w:rsidP="00A71FC6">
      <w:pPr>
        <w:pBdr>
          <w:top w:val="single" w:sz="4" w:space="10" w:color="auto"/>
          <w:left w:val="single" w:sz="4" w:space="0" w:color="auto"/>
          <w:bottom w:val="single" w:sz="4" w:space="8" w:color="auto"/>
          <w:right w:val="single" w:sz="4" w:space="0" w:color="auto"/>
        </w:pBdr>
        <w:jc w:val="center"/>
        <w:rPr>
          <w:sz w:val="24"/>
          <w:szCs w:val="24"/>
          <w:lang w:val="en-GB"/>
        </w:rPr>
      </w:pPr>
    </w:p>
    <w:p w:rsidR="00442907" w:rsidRDefault="00441559" w:rsidP="007E36C4">
      <w:pPr>
        <w:pBdr>
          <w:top w:val="single" w:sz="4" w:space="10" w:color="auto"/>
          <w:left w:val="single" w:sz="4" w:space="0" w:color="auto"/>
          <w:bottom w:val="single" w:sz="4" w:space="8" w:color="auto"/>
          <w:right w:val="single" w:sz="4" w:space="0" w:color="auto"/>
        </w:pBdr>
        <w:jc w:val="center"/>
        <w:rPr>
          <w:rFonts w:hint="cs"/>
          <w:lang w:val="en-GB"/>
        </w:rPr>
      </w:pPr>
      <w:r>
        <w:rPr>
          <w:rFonts w:hint="cs"/>
          <w:sz w:val="24"/>
          <w:szCs w:val="24"/>
          <w:rtl/>
          <w:lang w:val="en-GB"/>
        </w:rPr>
        <w:t xml:space="preserve">                     </w:t>
      </w:r>
      <w:r w:rsidR="00442907" w:rsidRPr="00442907">
        <w:rPr>
          <w:rFonts w:hint="cs"/>
          <w:sz w:val="24"/>
          <w:szCs w:val="24"/>
          <w:rtl/>
          <w:lang w:val="en-GB"/>
        </w:rPr>
        <w:t>المحكمة العليا في صباح وسارواك</w:t>
      </w:r>
      <w:r w:rsidR="00442907" w:rsidRPr="00442907">
        <w:rPr>
          <w:rFonts w:hint="cs"/>
          <w:sz w:val="24"/>
          <w:szCs w:val="24"/>
          <w:rtl/>
          <w:lang w:val="en-GB"/>
        </w:rPr>
        <w:tab/>
      </w:r>
      <w:r w:rsidR="00442907">
        <w:rPr>
          <w:rFonts w:hint="cs"/>
          <w:sz w:val="24"/>
          <w:szCs w:val="24"/>
          <w:rtl/>
          <w:lang w:val="en-GB"/>
        </w:rPr>
        <w:tab/>
      </w:r>
      <w:r w:rsidR="00442907" w:rsidRPr="00442907">
        <w:rPr>
          <w:rFonts w:hint="cs"/>
          <w:sz w:val="24"/>
          <w:szCs w:val="24"/>
          <w:rtl/>
          <w:lang w:val="en-GB"/>
        </w:rPr>
        <w:tab/>
        <w:t xml:space="preserve">المحكمة العليا </w:t>
      </w:r>
      <w:r w:rsidR="007E36C4">
        <w:rPr>
          <w:rFonts w:hint="cs"/>
          <w:sz w:val="24"/>
          <w:szCs w:val="24"/>
          <w:rtl/>
          <w:lang w:val="en-GB"/>
        </w:rPr>
        <w:t xml:space="preserve">في </w:t>
      </w:r>
      <w:r w:rsidR="00442907" w:rsidRPr="00442907">
        <w:rPr>
          <w:rFonts w:hint="cs"/>
          <w:sz w:val="24"/>
          <w:szCs w:val="24"/>
          <w:rtl/>
          <w:lang w:val="en-GB"/>
        </w:rPr>
        <w:t>ماليزيا</w:t>
      </w:r>
    </w:p>
    <w:p w:rsidR="00442907" w:rsidRDefault="00442907" w:rsidP="00A71FC6">
      <w:pPr>
        <w:pBdr>
          <w:top w:val="single" w:sz="4" w:space="10" w:color="auto"/>
          <w:left w:val="single" w:sz="4" w:space="0" w:color="auto"/>
          <w:bottom w:val="single" w:sz="4" w:space="8" w:color="auto"/>
          <w:right w:val="single" w:sz="4" w:space="0" w:color="auto"/>
        </w:pBdr>
        <w:jc w:val="center"/>
        <w:rPr>
          <w:lang w:val="en-GB"/>
        </w:rPr>
      </w:pPr>
      <w:r>
        <w:rPr>
          <w:noProof/>
        </w:rPr>
        <w:pict>
          <v:line id="_x0000_s2052" style="position:absolute;left:0;text-align:left;z-index:2" from="118.45pt,1.9pt" to="118.45pt,19.9pt"/>
        </w:pict>
      </w:r>
      <w:r>
        <w:rPr>
          <w:noProof/>
        </w:rPr>
        <w:pict>
          <v:line id="_x0000_s2056" style="position:absolute;left:0;text-align:left;z-index:6" from="314.15pt,1.9pt" to="314.15pt,19.9pt"/>
        </w:pict>
      </w:r>
    </w:p>
    <w:p w:rsidR="00442907" w:rsidRPr="00442907" w:rsidRDefault="00442907" w:rsidP="00A71FC6">
      <w:pPr>
        <w:pBdr>
          <w:top w:val="single" w:sz="4" w:space="10" w:color="auto"/>
          <w:left w:val="single" w:sz="4" w:space="0" w:color="auto"/>
          <w:bottom w:val="single" w:sz="4" w:space="8" w:color="auto"/>
          <w:right w:val="single" w:sz="4" w:space="0" w:color="auto"/>
        </w:pBdr>
        <w:rPr>
          <w:rFonts w:hint="cs"/>
          <w:sz w:val="24"/>
          <w:szCs w:val="24"/>
          <w:lang w:val="en-GB"/>
        </w:rPr>
      </w:pPr>
      <w:r w:rsidRPr="00442907">
        <w:rPr>
          <w:noProof/>
          <w:sz w:val="24"/>
          <w:szCs w:val="24"/>
        </w:rPr>
        <w:pict>
          <v:line id="_x0000_s2058" style="position:absolute;left:0;text-align:left;z-index:8" from="118.45pt,17.9pt" to="118.45pt,35.9pt"/>
        </w:pict>
      </w:r>
      <w:r w:rsidRPr="00442907">
        <w:rPr>
          <w:noProof/>
          <w:sz w:val="24"/>
          <w:szCs w:val="24"/>
        </w:rPr>
        <w:pict>
          <v:line id="_x0000_s2057" style="position:absolute;left:0;text-align:left;z-index:7" from="314.15pt,17.9pt" to="314.15pt,35.9pt"/>
        </w:pict>
      </w:r>
      <w:r>
        <w:rPr>
          <w:rFonts w:hint="cs"/>
          <w:sz w:val="24"/>
          <w:szCs w:val="24"/>
          <w:rtl/>
          <w:lang w:val="en-GB"/>
        </w:rPr>
        <w:tab/>
      </w:r>
      <w:r>
        <w:rPr>
          <w:rFonts w:hint="cs"/>
          <w:sz w:val="24"/>
          <w:szCs w:val="24"/>
          <w:rtl/>
          <w:lang w:val="en-GB"/>
        </w:rPr>
        <w:tab/>
      </w:r>
      <w:r>
        <w:rPr>
          <w:rFonts w:hint="cs"/>
          <w:sz w:val="24"/>
          <w:szCs w:val="24"/>
          <w:rtl/>
          <w:lang w:val="en-GB"/>
        </w:rPr>
        <w:tab/>
      </w:r>
      <w:r>
        <w:rPr>
          <w:rFonts w:hint="cs"/>
          <w:sz w:val="24"/>
          <w:szCs w:val="24"/>
          <w:rtl/>
          <w:lang w:val="en-GB"/>
        </w:rPr>
        <w:tab/>
      </w:r>
      <w:r>
        <w:rPr>
          <w:rFonts w:hint="cs"/>
          <w:sz w:val="24"/>
          <w:szCs w:val="24"/>
          <w:rtl/>
          <w:lang w:val="en-GB"/>
        </w:rPr>
        <w:tab/>
      </w:r>
      <w:r w:rsidRPr="00442907">
        <w:rPr>
          <w:rFonts w:hint="cs"/>
          <w:sz w:val="24"/>
          <w:szCs w:val="24"/>
          <w:rtl/>
          <w:lang w:val="en-GB"/>
        </w:rPr>
        <w:t>المحكمة الجنائية</w:t>
      </w:r>
      <w:r>
        <w:rPr>
          <w:rFonts w:hint="cs"/>
          <w:sz w:val="24"/>
          <w:szCs w:val="24"/>
          <w:rtl/>
          <w:lang w:val="en-GB"/>
        </w:rPr>
        <w:tab/>
      </w:r>
      <w:r>
        <w:rPr>
          <w:rFonts w:hint="cs"/>
          <w:sz w:val="24"/>
          <w:szCs w:val="24"/>
          <w:rtl/>
          <w:lang w:val="en-GB"/>
        </w:rPr>
        <w:tab/>
      </w:r>
      <w:r>
        <w:rPr>
          <w:rFonts w:hint="cs"/>
          <w:sz w:val="24"/>
          <w:szCs w:val="24"/>
          <w:rtl/>
          <w:lang w:val="en-GB"/>
        </w:rPr>
        <w:tab/>
      </w:r>
      <w:r>
        <w:rPr>
          <w:rFonts w:hint="cs"/>
          <w:sz w:val="24"/>
          <w:szCs w:val="24"/>
          <w:rtl/>
          <w:lang w:val="en-GB"/>
        </w:rPr>
        <w:tab/>
      </w:r>
      <w:r>
        <w:rPr>
          <w:rFonts w:hint="cs"/>
          <w:sz w:val="24"/>
          <w:szCs w:val="24"/>
          <w:rtl/>
          <w:lang w:val="en-GB"/>
        </w:rPr>
        <w:tab/>
        <w:t>المحكمة الجنائية</w:t>
      </w:r>
    </w:p>
    <w:p w:rsidR="00442907" w:rsidRDefault="00442907" w:rsidP="00A71FC6">
      <w:pPr>
        <w:pBdr>
          <w:top w:val="single" w:sz="4" w:space="10" w:color="auto"/>
          <w:left w:val="single" w:sz="4" w:space="0" w:color="auto"/>
          <w:bottom w:val="single" w:sz="4" w:space="8" w:color="auto"/>
          <w:right w:val="single" w:sz="4" w:space="0" w:color="auto"/>
        </w:pBdr>
        <w:jc w:val="center"/>
        <w:rPr>
          <w:lang w:val="en-GB"/>
        </w:rPr>
      </w:pPr>
    </w:p>
    <w:p w:rsidR="00442907" w:rsidRPr="00442907" w:rsidRDefault="00AC4922" w:rsidP="00A71FC6">
      <w:pPr>
        <w:pBdr>
          <w:top w:val="single" w:sz="4" w:space="10" w:color="auto"/>
          <w:left w:val="single" w:sz="4" w:space="0" w:color="auto"/>
          <w:bottom w:val="single" w:sz="4" w:space="8" w:color="auto"/>
          <w:right w:val="single" w:sz="4" w:space="0" w:color="auto"/>
        </w:pBdr>
        <w:tabs>
          <w:tab w:val="left" w:pos="6045"/>
        </w:tabs>
        <w:rPr>
          <w:rFonts w:hint="cs"/>
          <w:sz w:val="24"/>
          <w:szCs w:val="24"/>
          <w:lang w:val="en-GB"/>
        </w:rPr>
      </w:pPr>
      <w:r>
        <w:rPr>
          <w:rFonts w:hint="cs"/>
          <w:sz w:val="24"/>
          <w:szCs w:val="24"/>
          <w:rtl/>
          <w:lang w:val="en-GB"/>
        </w:rPr>
        <w:t xml:space="preserve">                     </w:t>
      </w:r>
      <w:r w:rsidR="00CC348A">
        <w:rPr>
          <w:rFonts w:hint="cs"/>
          <w:sz w:val="24"/>
          <w:szCs w:val="24"/>
          <w:rtl/>
          <w:lang w:val="en-GB"/>
        </w:rPr>
        <w:t xml:space="preserve">     </w:t>
      </w:r>
      <w:r>
        <w:rPr>
          <w:rFonts w:hint="cs"/>
          <w:sz w:val="24"/>
          <w:szCs w:val="24"/>
          <w:rtl/>
          <w:lang w:val="en-GB"/>
        </w:rPr>
        <w:t xml:space="preserve">                  </w:t>
      </w:r>
      <w:r w:rsidR="00442907" w:rsidRPr="00442907">
        <w:rPr>
          <w:rFonts w:hint="cs"/>
          <w:sz w:val="24"/>
          <w:szCs w:val="24"/>
          <w:rtl/>
          <w:lang w:val="en-GB"/>
        </w:rPr>
        <w:t>محكمة الصلح/محكمة الأحداث</w:t>
      </w:r>
      <w:r>
        <w:rPr>
          <w:rFonts w:hint="cs"/>
          <w:sz w:val="24"/>
          <w:szCs w:val="24"/>
          <w:rtl/>
          <w:lang w:val="en-GB"/>
        </w:rPr>
        <w:t xml:space="preserve">                               محكمة الصلح/محكمة الأحداث</w:t>
      </w:r>
    </w:p>
    <w:p w:rsidR="00442907" w:rsidRPr="00AC4922" w:rsidRDefault="00AC4922" w:rsidP="00445EAA">
      <w:pPr>
        <w:pBdr>
          <w:top w:val="single" w:sz="4" w:space="10" w:color="auto"/>
          <w:left w:val="single" w:sz="4" w:space="0" w:color="auto"/>
          <w:bottom w:val="single" w:sz="4" w:space="8" w:color="auto"/>
          <w:right w:val="single" w:sz="4" w:space="0" w:color="auto"/>
        </w:pBdr>
        <w:rPr>
          <w:rFonts w:hint="cs"/>
          <w:sz w:val="24"/>
          <w:szCs w:val="24"/>
          <w:lang w:val="en-GB"/>
        </w:rPr>
      </w:pPr>
      <w:r>
        <w:rPr>
          <w:rFonts w:hint="cs"/>
          <w:sz w:val="24"/>
          <w:szCs w:val="24"/>
          <w:rtl/>
          <w:lang w:val="en-GB"/>
        </w:rPr>
        <w:tab/>
      </w:r>
      <w:r w:rsidR="00441559">
        <w:rPr>
          <w:noProof/>
          <w:w w:val="100"/>
          <w:rtl/>
        </w:rPr>
      </w:r>
      <w:r w:rsidR="00441559" w:rsidRPr="00AC4922">
        <w:rPr>
          <w:lang w:val="en-GB"/>
        </w:rPr>
        <w:pict>
          <v:group id="_x0000_s2074" editas="canvas" style="width:489.25pt;height:297pt;mso-position-horizontal-relative:char;mso-position-vertical-relative:line" coordorigin="2507,2280" coordsize="7107,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position:absolute;left:2507;top:2280;width:7107;height:4320" o:preferrelative="f">
              <v:fill o:detectmouseclick="t"/>
              <v:path o:extrusionok="t" o:connecttype="none"/>
              <o:lock v:ext="edit" text="t"/>
            </v:shape>
            <v:line id="_x0000_s2076" style="position:absolute" from="7070,6076" to="7071,6600"/>
            <v:line id="_x0000_s2077" style="position:absolute" from="4153,6076" to="4154,6600"/>
            <v:line id="_x0000_s2061" style="position:absolute" from="5873,3458" to="5874,3851"/>
            <v:line id="_x0000_s2078" style="position:absolute;flip:x" from="5873,3982" to="5875,4244"/>
            <w10:anchorlock/>
          </v:group>
        </w:pict>
      </w:r>
      <w:r>
        <w:rPr>
          <w:rFonts w:hint="cs"/>
          <w:sz w:val="24"/>
          <w:szCs w:val="24"/>
          <w:rtl/>
          <w:lang w:val="en-GB"/>
        </w:rPr>
        <w:tab/>
      </w:r>
      <w:r>
        <w:rPr>
          <w:rFonts w:hint="cs"/>
          <w:sz w:val="24"/>
          <w:szCs w:val="24"/>
          <w:rtl/>
          <w:lang w:val="en-GB"/>
        </w:rPr>
        <w:tab/>
      </w:r>
      <w:r>
        <w:rPr>
          <w:rFonts w:hint="cs"/>
          <w:sz w:val="24"/>
          <w:szCs w:val="24"/>
          <w:rtl/>
          <w:lang w:val="en-GB"/>
        </w:rPr>
        <w:tab/>
      </w:r>
      <w:r w:rsidR="00441559">
        <w:rPr>
          <w:rFonts w:hint="cs"/>
          <w:sz w:val="24"/>
          <w:szCs w:val="24"/>
          <w:rtl/>
          <w:lang w:val="en-GB"/>
        </w:rPr>
        <w:t xml:space="preserve">    </w:t>
      </w:r>
      <w:r>
        <w:rPr>
          <w:rFonts w:hint="cs"/>
          <w:sz w:val="24"/>
          <w:szCs w:val="24"/>
          <w:rtl/>
          <w:lang w:val="en-GB"/>
        </w:rPr>
        <w:t xml:space="preserve"> </w:t>
      </w:r>
      <w:r w:rsidR="00441559">
        <w:rPr>
          <w:rFonts w:hint="cs"/>
          <w:sz w:val="24"/>
          <w:szCs w:val="24"/>
          <w:rtl/>
          <w:lang w:val="en-GB"/>
        </w:rPr>
        <w:t xml:space="preserve">          </w:t>
      </w:r>
      <w:r>
        <w:rPr>
          <w:rFonts w:hint="cs"/>
          <w:sz w:val="24"/>
          <w:szCs w:val="24"/>
          <w:rtl/>
          <w:lang w:val="en-GB"/>
        </w:rPr>
        <w:t xml:space="preserve">   </w:t>
      </w:r>
      <w:r w:rsidRPr="00AC4922">
        <w:rPr>
          <w:rFonts w:hint="cs"/>
          <w:sz w:val="24"/>
          <w:szCs w:val="24"/>
          <w:rtl/>
          <w:lang w:val="en-GB"/>
        </w:rPr>
        <w:t>المحكمة الأهلية</w:t>
      </w:r>
      <w:r>
        <w:rPr>
          <w:rFonts w:hint="cs"/>
          <w:sz w:val="24"/>
          <w:szCs w:val="24"/>
          <w:rtl/>
          <w:lang w:val="en-GB"/>
        </w:rPr>
        <w:tab/>
      </w:r>
      <w:r>
        <w:rPr>
          <w:rFonts w:hint="cs"/>
          <w:sz w:val="24"/>
          <w:szCs w:val="24"/>
          <w:rtl/>
          <w:lang w:val="en-GB"/>
        </w:rPr>
        <w:tab/>
      </w:r>
      <w:r>
        <w:rPr>
          <w:rFonts w:hint="cs"/>
          <w:sz w:val="24"/>
          <w:szCs w:val="24"/>
          <w:rtl/>
          <w:lang w:val="en-GB"/>
        </w:rPr>
        <w:tab/>
      </w:r>
      <w:r>
        <w:rPr>
          <w:rFonts w:hint="cs"/>
          <w:sz w:val="24"/>
          <w:szCs w:val="24"/>
          <w:rtl/>
          <w:lang w:val="en-GB"/>
        </w:rPr>
        <w:tab/>
      </w:r>
      <w:r w:rsidR="00441559">
        <w:rPr>
          <w:rFonts w:hint="cs"/>
          <w:sz w:val="24"/>
          <w:szCs w:val="24"/>
          <w:rtl/>
          <w:lang w:val="en-GB"/>
        </w:rPr>
        <w:t xml:space="preserve">      </w:t>
      </w:r>
      <w:r>
        <w:rPr>
          <w:rFonts w:hint="cs"/>
          <w:sz w:val="24"/>
          <w:szCs w:val="24"/>
          <w:rtl/>
          <w:lang w:val="en-GB"/>
        </w:rPr>
        <w:t xml:space="preserve">المحكمة </w:t>
      </w:r>
      <w:r w:rsidR="00445EAA">
        <w:rPr>
          <w:rFonts w:hint="cs"/>
          <w:sz w:val="24"/>
          <w:szCs w:val="24"/>
          <w:rtl/>
          <w:lang w:val="en-GB"/>
        </w:rPr>
        <w:t>المحلية</w:t>
      </w:r>
    </w:p>
    <w:p w:rsidR="00641A30" w:rsidRDefault="00641A30" w:rsidP="00641A30">
      <w:pPr>
        <w:pStyle w:val="SingleTxt"/>
        <w:spacing w:after="0" w:line="120" w:lineRule="exact"/>
        <w:rPr>
          <w:rFonts w:hint="cs"/>
          <w:sz w:val="10"/>
          <w:rtl/>
          <w:lang w:val="en-GB"/>
        </w:rPr>
      </w:pPr>
    </w:p>
    <w:p w:rsidR="00641A30" w:rsidRPr="00641A30" w:rsidRDefault="00641A30" w:rsidP="00641A30">
      <w:pPr>
        <w:pStyle w:val="SingleTxt"/>
        <w:spacing w:after="0" w:line="120" w:lineRule="exact"/>
        <w:rPr>
          <w:rFonts w:hint="cs"/>
          <w:sz w:val="10"/>
          <w:rtl/>
          <w:lang w:val="en-GB"/>
        </w:rPr>
      </w:pPr>
    </w:p>
    <w:p w:rsidR="00D81A14" w:rsidRDefault="00CE7817" w:rsidP="00C013DD">
      <w:pPr>
        <w:pStyle w:val="SingleTxt"/>
        <w:rPr>
          <w:rFonts w:hint="cs"/>
          <w:rtl/>
        </w:rPr>
      </w:pPr>
      <w:r>
        <w:rPr>
          <w:rFonts w:hint="cs"/>
          <w:rtl/>
        </w:rPr>
        <w:t>هذه هي المحاكم الاتحادية. أما المحاكم التابعة للولايات فهي فقط المحاكم</w:t>
      </w:r>
      <w:r w:rsidR="00C013DD">
        <w:rPr>
          <w:rFonts w:hint="cs"/>
          <w:rtl/>
        </w:rPr>
        <w:t xml:space="preserve"> الإسلامية (المحاكم</w:t>
      </w:r>
      <w:r>
        <w:rPr>
          <w:rFonts w:hint="cs"/>
          <w:rtl/>
        </w:rPr>
        <w:t xml:space="preserve"> الشرعية</w:t>
      </w:r>
      <w:r w:rsidR="00C013DD">
        <w:rPr>
          <w:rFonts w:hint="cs"/>
          <w:rtl/>
        </w:rPr>
        <w:t>)</w:t>
      </w:r>
      <w:r>
        <w:rPr>
          <w:rFonts w:hint="cs"/>
          <w:rtl/>
        </w:rPr>
        <w:t xml:space="preserve"> التي توجد في جميع الولايات الداخلة في الاتحاد التي يعتبر الإسلام فيها من المسائل الداخلة في اختصاص الولاية.</w:t>
      </w:r>
    </w:p>
    <w:p w:rsidR="00CE7817" w:rsidRDefault="00CE7817" w:rsidP="00C013DD">
      <w:pPr>
        <w:pStyle w:val="SingleTxt"/>
        <w:rPr>
          <w:rFonts w:hint="cs"/>
          <w:rtl/>
        </w:rPr>
      </w:pPr>
      <w:r>
        <w:rPr>
          <w:rFonts w:hint="cs"/>
          <w:rtl/>
        </w:rPr>
        <w:t>40 -</w:t>
      </w:r>
      <w:r>
        <w:rPr>
          <w:rFonts w:hint="cs"/>
          <w:rtl/>
        </w:rPr>
        <w:tab/>
        <w:t xml:space="preserve">ويعرف رئيس الجهاز القضائي باسم </w:t>
      </w:r>
      <w:r w:rsidR="00C013DD">
        <w:rPr>
          <w:rFonts w:hint="cs"/>
          <w:rtl/>
        </w:rPr>
        <w:t>ك</w:t>
      </w:r>
      <w:r>
        <w:rPr>
          <w:rFonts w:hint="cs"/>
          <w:rtl/>
        </w:rPr>
        <w:t xml:space="preserve">بير قضاة المحكمة الاتحادية. وتتألف محكمة الاستئناف من 11 قاضيا ويرأسها رئيس يعرف باسم رئيس محكمة الاستئناف. ويرأس كلا من المحكمة العليا في ماليزيا </w:t>
      </w:r>
      <w:r w:rsidR="00C013DD">
        <w:rPr>
          <w:rFonts w:hint="cs"/>
          <w:rtl/>
        </w:rPr>
        <w:t xml:space="preserve">والمحكمة </w:t>
      </w:r>
      <w:r>
        <w:rPr>
          <w:rFonts w:hint="cs"/>
          <w:rtl/>
        </w:rPr>
        <w:t>العليا في صباح و</w:t>
      </w:r>
      <w:r w:rsidR="00B97045">
        <w:rPr>
          <w:rFonts w:hint="cs"/>
          <w:rtl/>
        </w:rPr>
        <w:t>ساراواك</w:t>
      </w:r>
      <w:r>
        <w:rPr>
          <w:rFonts w:hint="cs"/>
          <w:rtl/>
        </w:rPr>
        <w:t xml:space="preserve"> كبير قضاة. ويعين جميع القضاة من قِبل الحاكم الأعلى للاتحاد (يان</w:t>
      </w:r>
      <w:r w:rsidR="00C013DD">
        <w:rPr>
          <w:rFonts w:hint="cs"/>
          <w:rtl/>
        </w:rPr>
        <w:t>غ</w:t>
      </w:r>
      <w:r>
        <w:rPr>
          <w:rFonts w:hint="cs"/>
          <w:rtl/>
        </w:rPr>
        <w:t xml:space="preserve"> داي </w:t>
      </w:r>
      <w:r>
        <w:rPr>
          <w:rtl/>
        </w:rPr>
        <w:t>–</w:t>
      </w:r>
      <w:r>
        <w:rPr>
          <w:rFonts w:hint="cs"/>
          <w:rtl/>
        </w:rPr>
        <w:t xml:space="preserve"> </w:t>
      </w:r>
      <w:r w:rsidR="00C013DD">
        <w:rPr>
          <w:rFonts w:hint="cs"/>
          <w:rtl/>
        </w:rPr>
        <w:t>ب</w:t>
      </w:r>
      <w:r>
        <w:rPr>
          <w:rFonts w:hint="cs"/>
          <w:rtl/>
        </w:rPr>
        <w:t>يرتوا</w:t>
      </w:r>
      <w:r w:rsidR="00C013DD">
        <w:rPr>
          <w:rFonts w:hint="cs"/>
          <w:rtl/>
        </w:rPr>
        <w:t>ن</w:t>
      </w:r>
      <w:r>
        <w:rPr>
          <w:rFonts w:hint="cs"/>
          <w:rtl/>
        </w:rPr>
        <w:t xml:space="preserve"> أ</w:t>
      </w:r>
      <w:r w:rsidR="00C013DD">
        <w:rPr>
          <w:rFonts w:hint="cs"/>
          <w:rtl/>
        </w:rPr>
        <w:t>غ</w:t>
      </w:r>
      <w:r>
        <w:rPr>
          <w:rFonts w:hint="cs"/>
          <w:rtl/>
        </w:rPr>
        <w:t>ون</w:t>
      </w:r>
      <w:r w:rsidR="00C013DD">
        <w:rPr>
          <w:rFonts w:hint="cs"/>
          <w:rtl/>
        </w:rPr>
        <w:t>غ</w:t>
      </w:r>
      <w:r>
        <w:rPr>
          <w:rFonts w:hint="cs"/>
          <w:rtl/>
        </w:rPr>
        <w:t>) بناء على مشورة من رئيس الوزراء ومؤتمر الحكام.</w:t>
      </w:r>
    </w:p>
    <w:p w:rsidR="00CE7817" w:rsidRDefault="00CE7817" w:rsidP="00733A97">
      <w:pPr>
        <w:pStyle w:val="SingleTxt"/>
        <w:ind w:left="2592" w:hanging="1325"/>
        <w:rPr>
          <w:rFonts w:hint="cs"/>
          <w:rtl/>
        </w:rPr>
      </w:pPr>
      <w:r>
        <w:rPr>
          <w:rFonts w:hint="cs"/>
          <w:rtl/>
        </w:rPr>
        <w:tab/>
        <w:t>’1‘</w:t>
      </w:r>
      <w:r>
        <w:rPr>
          <w:rFonts w:hint="cs"/>
          <w:rtl/>
        </w:rPr>
        <w:tab/>
        <w:t>استقلال الجهاز القضائي مضمون بموجب الدستور الاتحادي.</w:t>
      </w:r>
      <w:r w:rsidR="00C013DD">
        <w:rPr>
          <w:rFonts w:hint="cs"/>
          <w:rtl/>
        </w:rPr>
        <w:t>ف</w:t>
      </w:r>
      <w:r>
        <w:rPr>
          <w:rFonts w:hint="cs"/>
          <w:rtl/>
        </w:rPr>
        <w:t xml:space="preserve">على سبيل المثال، يبقى القاضي في منصبه حتى يبلغ الخامسة والستين من العمر. ولا يمكن تنحية أي قاض عن منصبه إلا إذا ثبت خرقه لمدونة قواعد السلوك المحددة بموجب الدستور الاتحادي أو </w:t>
      </w:r>
      <w:r w:rsidR="00C013DD">
        <w:rPr>
          <w:rFonts w:hint="cs"/>
          <w:rtl/>
        </w:rPr>
        <w:t>ب</w:t>
      </w:r>
      <w:r>
        <w:rPr>
          <w:rFonts w:hint="cs"/>
          <w:rtl/>
        </w:rPr>
        <w:t>سبب عدم قدرته على أداء مسؤولياته بسبب عجز جسدي أو عقلي. ويجب أن يتم ذلك من خلال إجراء معقد مبين في الدستور الاتحادي الذي يشتر</w:t>
      </w:r>
      <w:r w:rsidR="00733A97">
        <w:rPr>
          <w:rFonts w:hint="cs"/>
          <w:rtl/>
        </w:rPr>
        <w:t>ط</w:t>
      </w:r>
      <w:r>
        <w:rPr>
          <w:rFonts w:hint="cs"/>
          <w:rtl/>
        </w:rPr>
        <w:t>، في جملة أمور، قيام الحاكم الأعلى للاتحاد بإنشاء محكمة تتألف من خمسة قضاة على الأقل أو قضاة سابقين للتحقيق في المسألة.</w:t>
      </w:r>
    </w:p>
    <w:p w:rsidR="00CE7817" w:rsidRDefault="00CE7817" w:rsidP="00A71FC6">
      <w:pPr>
        <w:pStyle w:val="SingleTxt"/>
        <w:rPr>
          <w:rFonts w:hint="cs"/>
          <w:rtl/>
        </w:rPr>
      </w:pPr>
      <w:r>
        <w:rPr>
          <w:rFonts w:hint="cs"/>
          <w:rtl/>
        </w:rPr>
        <w:t>41 -</w:t>
      </w:r>
      <w:r>
        <w:rPr>
          <w:rFonts w:hint="cs"/>
          <w:rtl/>
        </w:rPr>
        <w:tab/>
        <w:t>والضمانات الأخرى لاستقلال الجهاز القضائي التي ينص عليها الدستور الاتحادي هي على النحو التالي:</w:t>
      </w:r>
    </w:p>
    <w:p w:rsidR="00CE7817" w:rsidRDefault="00CE7817" w:rsidP="00A71FC6">
      <w:pPr>
        <w:pStyle w:val="SingleTxt"/>
        <w:ind w:left="2592" w:hanging="1325"/>
        <w:rPr>
          <w:rFonts w:hint="cs"/>
          <w:rtl/>
        </w:rPr>
      </w:pPr>
      <w:r>
        <w:rPr>
          <w:rFonts w:hint="cs"/>
          <w:rtl/>
        </w:rPr>
        <w:tab/>
        <w:t>’1‘</w:t>
      </w:r>
      <w:r>
        <w:rPr>
          <w:rFonts w:hint="cs"/>
          <w:rtl/>
        </w:rPr>
        <w:tab/>
        <w:t>تعتمد مرتبات القضاة بقانون من البرلمان وتصرف من الصندوق الموحد. وبناء عليه، تدفع مرتباتهم بصورة تلقائية ولا تخضع للموافقة السنوية؛</w:t>
      </w:r>
    </w:p>
    <w:p w:rsidR="00CE7817" w:rsidRDefault="00CE7817" w:rsidP="00A71FC6">
      <w:pPr>
        <w:pStyle w:val="SingleTxt"/>
        <w:ind w:left="2592" w:hanging="1325"/>
        <w:rPr>
          <w:rFonts w:hint="cs"/>
          <w:rtl/>
        </w:rPr>
      </w:pPr>
      <w:r>
        <w:rPr>
          <w:rFonts w:hint="cs"/>
          <w:rtl/>
        </w:rPr>
        <w:tab/>
        <w:t>’2‘</w:t>
      </w:r>
      <w:r>
        <w:rPr>
          <w:rFonts w:hint="cs"/>
          <w:rtl/>
        </w:rPr>
        <w:tab/>
        <w:t xml:space="preserve">لا يجوز تعديل مرتبات القضاة </w:t>
      </w:r>
      <w:r w:rsidR="00151109">
        <w:rPr>
          <w:rFonts w:hint="cs"/>
          <w:rtl/>
        </w:rPr>
        <w:t xml:space="preserve"> واستحقاقاتهم الأخرى، بما فيها حقوقهم في المعاشات التقاعدية بعد تعيينهم على نحو يضر بهم؛</w:t>
      </w:r>
    </w:p>
    <w:p w:rsidR="00151109" w:rsidRDefault="00151109" w:rsidP="00733A97">
      <w:pPr>
        <w:pStyle w:val="SingleTxt"/>
        <w:ind w:left="2592" w:hanging="1325"/>
        <w:rPr>
          <w:rFonts w:hint="cs"/>
          <w:rtl/>
        </w:rPr>
      </w:pPr>
      <w:r>
        <w:rPr>
          <w:rFonts w:hint="cs"/>
          <w:rtl/>
        </w:rPr>
        <w:tab/>
        <w:t>’3‘</w:t>
      </w:r>
      <w:r>
        <w:rPr>
          <w:rFonts w:hint="cs"/>
          <w:rtl/>
        </w:rPr>
        <w:tab/>
        <w:t>لا يجوز لأي من مجلسي البرلمان مناقشة سلوك أي قاضي إلا باقتراح موضوعي يتقدم به ما لا يقل عن ربع أعضاء ذلك المجلس لبحث المسألة. ولا يجوز للجمعيات التشريعية التابعة للولايات أن تناقش سلوك أي قاض على الإطلاق نظرا إلى أن إقامة ا</w:t>
      </w:r>
      <w:r w:rsidR="00733A97">
        <w:rPr>
          <w:rFonts w:hint="cs"/>
          <w:rtl/>
        </w:rPr>
        <w:t>لعدل وتعيين القضاة هي من اختصاص</w:t>
      </w:r>
      <w:r>
        <w:rPr>
          <w:rFonts w:hint="cs"/>
          <w:rtl/>
        </w:rPr>
        <w:t xml:space="preserve"> الحكومة الاتحادية على وجه الحصر.</w:t>
      </w:r>
    </w:p>
    <w:p w:rsidR="00151109" w:rsidRDefault="00151109" w:rsidP="00A71FC6">
      <w:pPr>
        <w:pStyle w:val="SingleTxt"/>
        <w:ind w:left="2592" w:hanging="1325"/>
        <w:rPr>
          <w:rFonts w:hint="cs"/>
          <w:rtl/>
        </w:rPr>
      </w:pPr>
      <w:r>
        <w:rPr>
          <w:rFonts w:hint="cs"/>
          <w:rtl/>
        </w:rPr>
        <w:t>42 -</w:t>
      </w:r>
      <w:r>
        <w:rPr>
          <w:rFonts w:hint="cs"/>
          <w:rtl/>
        </w:rPr>
        <w:tab/>
        <w:t>يتكون اختصاص المحكمة الاتحادية مما يلي:</w:t>
      </w:r>
    </w:p>
    <w:p w:rsidR="00151109" w:rsidRDefault="00151109" w:rsidP="00A71FC6">
      <w:pPr>
        <w:pStyle w:val="SingleTxt"/>
        <w:ind w:left="2592" w:hanging="1325"/>
        <w:rPr>
          <w:rFonts w:hint="cs"/>
          <w:rtl/>
        </w:rPr>
      </w:pPr>
      <w:r>
        <w:rPr>
          <w:rFonts w:hint="cs"/>
          <w:rtl/>
        </w:rPr>
        <w:tab/>
        <w:t>’1‘</w:t>
      </w:r>
      <w:r>
        <w:rPr>
          <w:rFonts w:hint="cs"/>
          <w:rtl/>
        </w:rPr>
        <w:tab/>
        <w:t>اختصاص استئنافي</w:t>
      </w:r>
      <w:r w:rsidR="00733A97">
        <w:rPr>
          <w:rFonts w:hint="cs"/>
          <w:rtl/>
        </w:rPr>
        <w:t>،</w:t>
      </w:r>
      <w:r>
        <w:rPr>
          <w:rFonts w:hint="cs"/>
          <w:rtl/>
        </w:rPr>
        <w:t xml:space="preserve"> أي حق النظر والفصل في دعاوى استئناف القرارات الصادرة عن محكمة الاستئناف؛</w:t>
      </w:r>
    </w:p>
    <w:p w:rsidR="00151109" w:rsidRDefault="00151109" w:rsidP="00733A97">
      <w:pPr>
        <w:pStyle w:val="SingleTxt"/>
        <w:ind w:left="2592" w:hanging="1325"/>
        <w:rPr>
          <w:rFonts w:hint="cs"/>
          <w:rtl/>
        </w:rPr>
      </w:pPr>
      <w:r>
        <w:rPr>
          <w:rFonts w:hint="cs"/>
          <w:rtl/>
        </w:rPr>
        <w:tab/>
        <w:t>’2‘</w:t>
      </w:r>
      <w:r>
        <w:rPr>
          <w:rFonts w:hint="cs"/>
          <w:rtl/>
        </w:rPr>
        <w:tab/>
        <w:t>اختصاص ابتدائي</w:t>
      </w:r>
      <w:r w:rsidR="00E10E6E">
        <w:rPr>
          <w:rFonts w:hint="cs"/>
          <w:rtl/>
        </w:rPr>
        <w:t>،</w:t>
      </w:r>
      <w:r>
        <w:rPr>
          <w:rFonts w:hint="cs"/>
          <w:rtl/>
        </w:rPr>
        <w:t xml:space="preserve"> أي ممارسة الاختصاص </w:t>
      </w:r>
      <w:r w:rsidR="00733A97">
        <w:rPr>
          <w:rFonts w:hint="cs"/>
          <w:rtl/>
        </w:rPr>
        <w:t xml:space="preserve">بشأن </w:t>
      </w:r>
      <w:r>
        <w:rPr>
          <w:rFonts w:hint="cs"/>
          <w:rtl/>
        </w:rPr>
        <w:t>المسائل المنوطة بها بموجب المادة 128 (1) من الدستور الاتحادي؛</w:t>
      </w:r>
    </w:p>
    <w:p w:rsidR="00151109" w:rsidRDefault="00151109" w:rsidP="00733A97">
      <w:pPr>
        <w:pStyle w:val="SingleTxt"/>
        <w:ind w:left="2592" w:hanging="1325"/>
        <w:rPr>
          <w:rFonts w:hint="cs"/>
          <w:rtl/>
        </w:rPr>
      </w:pPr>
      <w:r>
        <w:rPr>
          <w:rFonts w:hint="cs"/>
          <w:rtl/>
        </w:rPr>
        <w:tab/>
        <w:t>’3‘</w:t>
      </w:r>
      <w:r>
        <w:rPr>
          <w:rFonts w:hint="cs"/>
          <w:rtl/>
        </w:rPr>
        <w:tab/>
        <w:t xml:space="preserve">التحكيم </w:t>
      </w:r>
      <w:r w:rsidR="00733A97">
        <w:rPr>
          <w:rFonts w:hint="cs"/>
          <w:rtl/>
        </w:rPr>
        <w:t xml:space="preserve">في </w:t>
      </w:r>
      <w:r>
        <w:rPr>
          <w:rFonts w:hint="cs"/>
          <w:rtl/>
        </w:rPr>
        <w:t>المسائل الدستورية المنطوية على نزاع أحيل إليها قائم بين المحاكم الاتحادية والمحاكم التابعة للولايات؛</w:t>
      </w:r>
    </w:p>
    <w:p w:rsidR="00151109" w:rsidRDefault="00151109" w:rsidP="00A71FC6">
      <w:pPr>
        <w:pStyle w:val="SingleTxt"/>
        <w:ind w:left="2592" w:hanging="1325"/>
        <w:rPr>
          <w:rFonts w:hint="cs"/>
          <w:rtl/>
        </w:rPr>
      </w:pPr>
      <w:r>
        <w:rPr>
          <w:rFonts w:hint="cs"/>
          <w:rtl/>
        </w:rPr>
        <w:tab/>
        <w:t>’4‘</w:t>
      </w:r>
      <w:r>
        <w:rPr>
          <w:rFonts w:hint="cs"/>
          <w:rtl/>
        </w:rPr>
        <w:tab/>
        <w:t>اختصاص استشاري</w:t>
      </w:r>
      <w:r w:rsidR="00733A97">
        <w:rPr>
          <w:rFonts w:hint="cs"/>
          <w:rtl/>
        </w:rPr>
        <w:t>،</w:t>
      </w:r>
      <w:r>
        <w:rPr>
          <w:rFonts w:hint="cs"/>
          <w:rtl/>
        </w:rPr>
        <w:t xml:space="preserve"> يمكن بموجبه للحاكم الأعلى للاتحاد أن يحيل إلى المحكمة الاتحادية أي مسألة أثيرت </w:t>
      </w:r>
      <w:r w:rsidR="00733A97">
        <w:rPr>
          <w:rFonts w:hint="cs"/>
          <w:rtl/>
        </w:rPr>
        <w:t xml:space="preserve">أو </w:t>
      </w:r>
      <w:r>
        <w:rPr>
          <w:rFonts w:hint="cs"/>
          <w:rtl/>
        </w:rPr>
        <w:t>أن يحتمل أن تثار بشأن الأثر المترتب على حكم في الدستور، وينبغي للمحكمة الاتحادية أن تصدر، في جلسة علنية، رأيها بصدد المسألة التي أحيلت إليها.</w:t>
      </w:r>
    </w:p>
    <w:p w:rsidR="00151109" w:rsidRDefault="00151109" w:rsidP="00733A97">
      <w:pPr>
        <w:pStyle w:val="SingleTxt"/>
        <w:rPr>
          <w:rFonts w:hint="cs"/>
          <w:rtl/>
        </w:rPr>
      </w:pPr>
      <w:r>
        <w:rPr>
          <w:rFonts w:hint="cs"/>
          <w:rtl/>
        </w:rPr>
        <w:t>43 -</w:t>
      </w:r>
      <w:r>
        <w:rPr>
          <w:rFonts w:hint="cs"/>
          <w:rtl/>
        </w:rPr>
        <w:tab/>
        <w:t>يتكون الموظفون القضائيون للمحاكم الأدنى من قضاة المحاكم الجنائية وقضاة الصلح من الدرجة الأولى.  ويستقدم هؤلاء من هيئة الخدمات القضائية والقانونية</w:t>
      </w:r>
      <w:r w:rsidR="00733A97">
        <w:rPr>
          <w:rFonts w:hint="cs"/>
          <w:rtl/>
        </w:rPr>
        <w:t>. والموظفون القضائيون من الدرجة الثانية</w:t>
      </w:r>
      <w:r>
        <w:rPr>
          <w:rFonts w:hint="cs"/>
          <w:rtl/>
        </w:rPr>
        <w:t xml:space="preserve"> </w:t>
      </w:r>
      <w:r w:rsidR="00733A97">
        <w:rPr>
          <w:rFonts w:hint="cs"/>
          <w:rtl/>
        </w:rPr>
        <w:t xml:space="preserve">يكونون عادة من موظفي المحاكم </w:t>
      </w:r>
      <w:r>
        <w:rPr>
          <w:rFonts w:hint="cs"/>
          <w:rtl/>
        </w:rPr>
        <w:t xml:space="preserve">العاملين في الخدمة العامة الذين تنشر أسماؤهم عادة في </w:t>
      </w:r>
      <w:r w:rsidR="00733A97">
        <w:rPr>
          <w:rFonts w:hint="cs"/>
          <w:rtl/>
        </w:rPr>
        <w:t>ال</w:t>
      </w:r>
      <w:r>
        <w:rPr>
          <w:rFonts w:hint="cs"/>
          <w:rtl/>
        </w:rPr>
        <w:t xml:space="preserve">جريدة </w:t>
      </w:r>
      <w:r w:rsidR="00733A97">
        <w:rPr>
          <w:rFonts w:hint="cs"/>
          <w:rtl/>
        </w:rPr>
        <w:t>ال</w:t>
      </w:r>
      <w:r>
        <w:rPr>
          <w:rFonts w:hint="cs"/>
          <w:rtl/>
        </w:rPr>
        <w:t>رسمية بصفة موظفين قضائيين من الدرجة الثانية على مستوى المقاطعات. ويرأس المحكمة المحلية والمحكمة الأهلية رئيس يطلق عليه اسم (بينغولو) أو رئيس تعينه حكومة الولاية لتولي شؤون مقاطعة إدارية.</w:t>
      </w:r>
    </w:p>
    <w:p w:rsidR="00641A30" w:rsidRPr="00641A30" w:rsidRDefault="00641A30" w:rsidP="00641A30">
      <w:pPr>
        <w:pStyle w:val="SingleTxt"/>
        <w:spacing w:after="0" w:line="120" w:lineRule="exact"/>
        <w:rPr>
          <w:rFonts w:hint="cs"/>
          <w:sz w:val="10"/>
          <w:rtl/>
        </w:rPr>
      </w:pPr>
    </w:p>
    <w:p w:rsidR="00151109" w:rsidRDefault="00151109"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حقوق الإنسان</w:t>
      </w:r>
    </w:p>
    <w:p w:rsidR="00151109" w:rsidRDefault="00151109" w:rsidP="00A71FC6">
      <w:pPr>
        <w:pStyle w:val="SingleTxt"/>
        <w:rPr>
          <w:rFonts w:hint="cs"/>
          <w:i/>
          <w:iCs/>
          <w:rtl/>
        </w:rPr>
      </w:pPr>
      <w:r>
        <w:rPr>
          <w:rFonts w:hint="cs"/>
          <w:i/>
          <w:iCs/>
          <w:rtl/>
        </w:rPr>
        <w:t>الإطار القانوني العام</w:t>
      </w:r>
    </w:p>
    <w:p w:rsidR="00151109" w:rsidRDefault="00151109" w:rsidP="00A71FC6">
      <w:pPr>
        <w:pStyle w:val="SingleTxt"/>
        <w:rPr>
          <w:rFonts w:hint="cs"/>
          <w:rtl/>
        </w:rPr>
      </w:pPr>
      <w:r>
        <w:rPr>
          <w:rFonts w:hint="cs"/>
          <w:rtl/>
        </w:rPr>
        <w:t>44 -</w:t>
      </w:r>
      <w:r>
        <w:rPr>
          <w:rFonts w:hint="cs"/>
          <w:rtl/>
        </w:rPr>
        <w:tab/>
        <w:t xml:space="preserve">يحدد الدستور المعايير الأساسية لحقوق الإنسان في البلد. والحقوق أو الأحكام </w:t>
      </w:r>
      <w:r w:rsidR="00733A97">
        <w:rPr>
          <w:rFonts w:hint="cs"/>
          <w:rtl/>
        </w:rPr>
        <w:t xml:space="preserve">الرئيسية </w:t>
      </w:r>
      <w:r>
        <w:rPr>
          <w:rFonts w:hint="cs"/>
          <w:rtl/>
        </w:rPr>
        <w:t>المدرجة في الدستور هي:</w:t>
      </w:r>
    </w:p>
    <w:p w:rsidR="00151109" w:rsidRDefault="00151109" w:rsidP="00A71FC6">
      <w:pPr>
        <w:pStyle w:val="SingleTxt"/>
        <w:rPr>
          <w:rFonts w:hint="cs"/>
          <w:rtl/>
        </w:rPr>
      </w:pPr>
      <w:r>
        <w:rPr>
          <w:rFonts w:hint="cs"/>
          <w:rtl/>
        </w:rPr>
        <w:tab/>
        <w:t>(أ)</w:t>
      </w:r>
      <w:r>
        <w:rPr>
          <w:rFonts w:hint="cs"/>
          <w:rtl/>
        </w:rPr>
        <w:tab/>
        <w:t>حرية الفرد (المادة 5)؛</w:t>
      </w:r>
    </w:p>
    <w:p w:rsidR="00151109" w:rsidRDefault="00151109" w:rsidP="00A71FC6">
      <w:pPr>
        <w:pStyle w:val="SingleTxt"/>
        <w:rPr>
          <w:rFonts w:hint="cs"/>
          <w:rtl/>
        </w:rPr>
      </w:pPr>
      <w:r>
        <w:rPr>
          <w:rFonts w:hint="cs"/>
          <w:rtl/>
        </w:rPr>
        <w:tab/>
        <w:t>(ب)</w:t>
      </w:r>
      <w:r>
        <w:rPr>
          <w:rFonts w:hint="cs"/>
          <w:rtl/>
        </w:rPr>
        <w:tab/>
        <w:t>حظر الاسترقاق والسخرة (المادة 6)؛</w:t>
      </w:r>
    </w:p>
    <w:p w:rsidR="00151109" w:rsidRDefault="00151109" w:rsidP="00A71FC6">
      <w:pPr>
        <w:pStyle w:val="SingleTxt"/>
        <w:rPr>
          <w:rFonts w:hint="cs"/>
          <w:rtl/>
        </w:rPr>
      </w:pPr>
      <w:r>
        <w:rPr>
          <w:rFonts w:hint="cs"/>
          <w:rtl/>
        </w:rPr>
        <w:tab/>
        <w:t>(ج)</w:t>
      </w:r>
      <w:r>
        <w:rPr>
          <w:rFonts w:hint="cs"/>
          <w:rtl/>
        </w:rPr>
        <w:tab/>
        <w:t>الحماية مـــن القوانين الجنائيـــة ذات الأثر الرجعي ومن معاودة المحاكمة (المادة 7)؛</w:t>
      </w:r>
    </w:p>
    <w:p w:rsidR="00151109" w:rsidRDefault="00FA2FE4" w:rsidP="00A71FC6">
      <w:pPr>
        <w:pStyle w:val="SingleTxt"/>
        <w:rPr>
          <w:rFonts w:hint="cs"/>
          <w:rtl/>
        </w:rPr>
      </w:pPr>
      <w:r>
        <w:rPr>
          <w:rFonts w:hint="cs"/>
          <w:rtl/>
        </w:rPr>
        <w:tab/>
        <w:t>(د)</w:t>
      </w:r>
      <w:r>
        <w:rPr>
          <w:rFonts w:hint="cs"/>
          <w:rtl/>
        </w:rPr>
        <w:tab/>
        <w:t>المساواة أمام القانون (المادة 8)؛</w:t>
      </w:r>
    </w:p>
    <w:p w:rsidR="00FA2FE4" w:rsidRDefault="00FA2FE4" w:rsidP="00A71FC6">
      <w:pPr>
        <w:pStyle w:val="SingleTxt"/>
        <w:rPr>
          <w:rFonts w:hint="cs"/>
          <w:rtl/>
        </w:rPr>
      </w:pPr>
      <w:r>
        <w:rPr>
          <w:rFonts w:hint="cs"/>
          <w:rtl/>
        </w:rPr>
        <w:tab/>
        <w:t>(هـ)</w:t>
      </w:r>
      <w:r>
        <w:rPr>
          <w:rFonts w:hint="cs"/>
          <w:rtl/>
        </w:rPr>
        <w:tab/>
        <w:t>حظر نفي الرعايا والحق في حرية التنقل (المادة 9)؛</w:t>
      </w:r>
    </w:p>
    <w:p w:rsidR="00FA2FE4" w:rsidRDefault="00FA2FE4" w:rsidP="00A71FC6">
      <w:pPr>
        <w:pStyle w:val="SingleTxt"/>
        <w:rPr>
          <w:rFonts w:hint="cs"/>
          <w:rtl/>
        </w:rPr>
      </w:pPr>
      <w:r>
        <w:rPr>
          <w:rFonts w:hint="cs"/>
          <w:rtl/>
        </w:rPr>
        <w:tab/>
        <w:t>(و)</w:t>
      </w:r>
      <w:r>
        <w:rPr>
          <w:rFonts w:hint="cs"/>
          <w:rtl/>
        </w:rPr>
        <w:tab/>
        <w:t>حرية التعبير والاشتراك في الاجتماعات والجمعيات (المادة 10)؛</w:t>
      </w:r>
    </w:p>
    <w:p w:rsidR="00FA2FE4" w:rsidRDefault="00FA2FE4" w:rsidP="00A71FC6">
      <w:pPr>
        <w:pStyle w:val="SingleTxt"/>
        <w:rPr>
          <w:rFonts w:hint="cs"/>
          <w:rtl/>
        </w:rPr>
      </w:pPr>
      <w:r>
        <w:rPr>
          <w:rFonts w:hint="cs"/>
          <w:rtl/>
        </w:rPr>
        <w:tab/>
        <w:t>(ز)</w:t>
      </w:r>
      <w:r>
        <w:rPr>
          <w:rFonts w:hint="cs"/>
          <w:rtl/>
        </w:rPr>
        <w:tab/>
        <w:t>حرية الدين (المادة 11)؛</w:t>
      </w:r>
    </w:p>
    <w:p w:rsidR="00FA2FE4" w:rsidRDefault="00FA2FE4" w:rsidP="00A71FC6">
      <w:pPr>
        <w:pStyle w:val="SingleTxt"/>
        <w:rPr>
          <w:rFonts w:hint="cs"/>
          <w:rtl/>
        </w:rPr>
      </w:pPr>
      <w:r>
        <w:rPr>
          <w:rFonts w:hint="cs"/>
          <w:rtl/>
        </w:rPr>
        <w:tab/>
        <w:t>(ح)</w:t>
      </w:r>
      <w:r>
        <w:rPr>
          <w:rFonts w:hint="cs"/>
          <w:rtl/>
        </w:rPr>
        <w:tab/>
        <w:t>الحق في الحصول على التعليم (المادة 12)؛</w:t>
      </w:r>
    </w:p>
    <w:p w:rsidR="00FA2FE4" w:rsidRDefault="00FA2FE4" w:rsidP="00A71FC6">
      <w:pPr>
        <w:pStyle w:val="SingleTxt"/>
        <w:rPr>
          <w:rFonts w:hint="cs"/>
          <w:rtl/>
        </w:rPr>
      </w:pPr>
      <w:r>
        <w:rPr>
          <w:rFonts w:hint="cs"/>
          <w:rtl/>
        </w:rPr>
        <w:tab/>
        <w:t>(ط)</w:t>
      </w:r>
      <w:r>
        <w:rPr>
          <w:rFonts w:hint="cs"/>
          <w:rtl/>
        </w:rPr>
        <w:tab/>
        <w:t>الحق في التملك (المادة 13).</w:t>
      </w:r>
    </w:p>
    <w:p w:rsidR="00FA2FE4" w:rsidRDefault="00FA2FE4" w:rsidP="00733A97">
      <w:pPr>
        <w:pStyle w:val="SingleTxt"/>
        <w:rPr>
          <w:rFonts w:hint="cs"/>
          <w:rtl/>
        </w:rPr>
      </w:pPr>
      <w:r>
        <w:rPr>
          <w:rFonts w:hint="cs"/>
          <w:rtl/>
        </w:rPr>
        <w:t>45 -</w:t>
      </w:r>
      <w:r>
        <w:rPr>
          <w:rFonts w:hint="cs"/>
          <w:rtl/>
        </w:rPr>
        <w:tab/>
        <w:t xml:space="preserve">وتجسد المادة 8 من الدستور الاتحادي بكل وضوح روح المادة 7 من الإعلان العالمي لحقوق الإنسان. </w:t>
      </w:r>
      <w:r w:rsidR="00733A97">
        <w:rPr>
          <w:rFonts w:hint="cs"/>
          <w:rtl/>
        </w:rPr>
        <w:t>و</w:t>
      </w:r>
      <w:r>
        <w:rPr>
          <w:rFonts w:hint="cs"/>
          <w:rtl/>
        </w:rPr>
        <w:t>أدرج مبدأ عدم التمييز ال</w:t>
      </w:r>
      <w:r w:rsidR="00733A97">
        <w:rPr>
          <w:rFonts w:hint="cs"/>
          <w:rtl/>
        </w:rPr>
        <w:t>وارد في اتفاقية القضاء على جميع</w:t>
      </w:r>
      <w:r>
        <w:rPr>
          <w:rFonts w:hint="cs"/>
          <w:rtl/>
        </w:rPr>
        <w:t xml:space="preserve"> أشكال التمييز ضد المرأة في الدستور الاتحادي </w:t>
      </w:r>
      <w:r w:rsidR="00733A97">
        <w:rPr>
          <w:rFonts w:hint="cs"/>
          <w:rtl/>
        </w:rPr>
        <w:t>ب</w:t>
      </w:r>
      <w:r>
        <w:rPr>
          <w:rFonts w:hint="cs"/>
          <w:rtl/>
        </w:rPr>
        <w:t>إدخال تعديل على المادة 8 (2) منه تنص على عدم جواز التمييز على أساس نوع الجنس.</w:t>
      </w:r>
    </w:p>
    <w:p w:rsidR="00FA2FE4" w:rsidRDefault="00FA2FE4" w:rsidP="00733A97">
      <w:pPr>
        <w:pStyle w:val="SingleTxt"/>
        <w:rPr>
          <w:rFonts w:hint="cs"/>
          <w:rtl/>
        </w:rPr>
      </w:pPr>
      <w:r>
        <w:rPr>
          <w:rFonts w:hint="cs"/>
          <w:rtl/>
        </w:rPr>
        <w:t>46 -</w:t>
      </w:r>
      <w:r>
        <w:rPr>
          <w:rFonts w:hint="cs"/>
          <w:rtl/>
        </w:rPr>
        <w:tab/>
        <w:t xml:space="preserve">وفيما يتعلق بسبل الانتصاف </w:t>
      </w:r>
      <w:r w:rsidR="00733A97">
        <w:rPr>
          <w:rFonts w:hint="cs"/>
          <w:rtl/>
        </w:rPr>
        <w:t xml:space="preserve">القانونية </w:t>
      </w:r>
      <w:r>
        <w:rPr>
          <w:rFonts w:hint="cs"/>
          <w:rtl/>
        </w:rPr>
        <w:t>من الانتهاكات غير القانونية للحرية الشخصية فهي متاحة بيسر في ماليزيا. ولأي فرد الحق في التماس الانتصاف القانوني بمقتضى القوانين العامة عن أي ضرر لحق به</w:t>
      </w:r>
      <w:r w:rsidR="00733A97">
        <w:rPr>
          <w:rFonts w:hint="cs"/>
          <w:rtl/>
        </w:rPr>
        <w:t>،</w:t>
      </w:r>
      <w:r>
        <w:rPr>
          <w:rFonts w:hint="cs"/>
          <w:rtl/>
        </w:rPr>
        <w:t xml:space="preserve"> وله الحق في المطالبة</w:t>
      </w:r>
      <w:r w:rsidR="002853E7">
        <w:rPr>
          <w:rFonts w:hint="cs"/>
          <w:rtl/>
        </w:rPr>
        <w:t xml:space="preserve"> بالحصول على جبر أو تعويض مقابل الضرر الذي لحق به.</w:t>
      </w:r>
    </w:p>
    <w:p w:rsidR="00641A30" w:rsidRPr="00641A30" w:rsidRDefault="00641A30" w:rsidP="00641A30">
      <w:pPr>
        <w:pStyle w:val="SingleTxt"/>
        <w:spacing w:after="0" w:line="120" w:lineRule="exact"/>
        <w:rPr>
          <w:rFonts w:hint="cs"/>
          <w:sz w:val="10"/>
          <w:rtl/>
        </w:rPr>
      </w:pPr>
    </w:p>
    <w:p w:rsidR="002853E7" w:rsidRDefault="002853E7" w:rsidP="00A71FC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rPr>
      </w:pPr>
      <w:r>
        <w:rPr>
          <w:rFonts w:hint="cs"/>
          <w:rtl/>
        </w:rPr>
        <w:tab/>
      </w:r>
      <w:r>
        <w:rPr>
          <w:rFonts w:hint="cs"/>
          <w:rtl/>
        </w:rPr>
        <w:tab/>
        <w:t>لجنة حقوق الإنسان</w:t>
      </w:r>
    </w:p>
    <w:p w:rsidR="002853E7" w:rsidRDefault="002853E7" w:rsidP="00A71FC6">
      <w:pPr>
        <w:pStyle w:val="SingleTxt"/>
        <w:rPr>
          <w:rFonts w:hint="cs"/>
          <w:rtl/>
        </w:rPr>
      </w:pPr>
      <w:r>
        <w:rPr>
          <w:rFonts w:hint="cs"/>
          <w:rtl/>
        </w:rPr>
        <w:t>47 -</w:t>
      </w:r>
      <w:r>
        <w:rPr>
          <w:rFonts w:hint="cs"/>
          <w:rtl/>
        </w:rPr>
        <w:tab/>
        <w:t>بغية تعزيز وحماية حقوق الإنسان في ماليزيا، أنشأت الحكومة في عام 1999 لجنة مستقلة معنية بحقوق الإنسان. وأنيطت باللجنة المهام التالية:</w:t>
      </w:r>
    </w:p>
    <w:p w:rsidR="002853E7" w:rsidRDefault="002853E7" w:rsidP="00A71FC6">
      <w:pPr>
        <w:pStyle w:val="SingleTxt"/>
        <w:rPr>
          <w:rFonts w:hint="cs"/>
          <w:rtl/>
        </w:rPr>
      </w:pPr>
      <w:r>
        <w:rPr>
          <w:rFonts w:hint="cs"/>
          <w:rtl/>
        </w:rPr>
        <w:tab/>
        <w:t>(أ)</w:t>
      </w:r>
      <w:r>
        <w:rPr>
          <w:rFonts w:hint="cs"/>
          <w:rtl/>
        </w:rPr>
        <w:tab/>
        <w:t>تعزيز التوعية بحقوق الإنسان وتوفير التثقيف بشأنها؛</w:t>
      </w:r>
    </w:p>
    <w:p w:rsidR="002853E7" w:rsidRDefault="002853E7" w:rsidP="00A71FC6">
      <w:pPr>
        <w:pStyle w:val="SingleTxt"/>
        <w:rPr>
          <w:rFonts w:hint="cs"/>
          <w:rtl/>
        </w:rPr>
      </w:pPr>
      <w:r>
        <w:rPr>
          <w:rFonts w:hint="cs"/>
          <w:rtl/>
        </w:rPr>
        <w:tab/>
        <w:t>(ب)</w:t>
      </w:r>
      <w:r>
        <w:rPr>
          <w:rFonts w:hint="cs"/>
          <w:rtl/>
        </w:rPr>
        <w:tab/>
        <w:t>إسداء المشورة للحكومة ومساعدتها في صياغة توجيهات وإجراءات تشريعية وإدارية والتوصية باتخاذ إجراءات بهذا الشأن؛</w:t>
      </w:r>
    </w:p>
    <w:p w:rsidR="002853E7" w:rsidRDefault="002853E7" w:rsidP="00733A97">
      <w:pPr>
        <w:pStyle w:val="SingleTxt"/>
        <w:rPr>
          <w:rFonts w:hint="cs"/>
          <w:rtl/>
        </w:rPr>
      </w:pPr>
      <w:r>
        <w:rPr>
          <w:rFonts w:hint="cs"/>
          <w:rtl/>
        </w:rPr>
        <w:tab/>
        <w:t>(ج)</w:t>
      </w:r>
      <w:r>
        <w:rPr>
          <w:rFonts w:hint="cs"/>
          <w:rtl/>
        </w:rPr>
        <w:tab/>
        <w:t>تقديم توصيات إلى الحكومة بشأن التوقيع على أ</w:t>
      </w:r>
      <w:r w:rsidR="00733A97">
        <w:rPr>
          <w:rFonts w:hint="cs"/>
          <w:rtl/>
        </w:rPr>
        <w:t>و</w:t>
      </w:r>
      <w:r>
        <w:rPr>
          <w:rFonts w:hint="cs"/>
          <w:rtl/>
        </w:rPr>
        <w:t xml:space="preserve"> الانضمام للمعاهدات والصكوك الدولية الأخرى في ميدان حقوق الإنسان؛</w:t>
      </w:r>
    </w:p>
    <w:p w:rsidR="002853E7" w:rsidRDefault="002853E7" w:rsidP="00A71FC6">
      <w:pPr>
        <w:pStyle w:val="SingleTxt"/>
        <w:rPr>
          <w:rFonts w:hint="cs"/>
          <w:rtl/>
        </w:rPr>
      </w:pPr>
      <w:r>
        <w:rPr>
          <w:rFonts w:hint="cs"/>
          <w:rtl/>
        </w:rPr>
        <w:tab/>
        <w:t>(د)</w:t>
      </w:r>
      <w:r>
        <w:rPr>
          <w:rFonts w:hint="cs"/>
          <w:rtl/>
        </w:rPr>
        <w:tab/>
        <w:t>التحقيق في الشكاوى المتعلقة بانتهاكات حقوق الإنسان التي تحال إليها.</w:t>
      </w:r>
    </w:p>
    <w:p w:rsidR="002853E7" w:rsidRDefault="002853E7" w:rsidP="00A71FC6">
      <w:pPr>
        <w:pStyle w:val="SingleTxt"/>
        <w:rPr>
          <w:rFonts w:hint="cs"/>
          <w:rtl/>
        </w:rPr>
      </w:pPr>
      <w:r>
        <w:rPr>
          <w:rFonts w:hint="cs"/>
          <w:rtl/>
        </w:rPr>
        <w:t>48 -</w:t>
      </w:r>
      <w:r>
        <w:rPr>
          <w:rFonts w:hint="cs"/>
          <w:rtl/>
        </w:rPr>
        <w:tab/>
        <w:t>وبغية أداء تلك المهام، تتمتع اللجنة بصلاحية:</w:t>
      </w:r>
    </w:p>
    <w:p w:rsidR="002853E7" w:rsidRDefault="00F41E11" w:rsidP="00A71FC6">
      <w:pPr>
        <w:pStyle w:val="SingleTxt"/>
        <w:rPr>
          <w:rFonts w:hint="cs"/>
          <w:rtl/>
        </w:rPr>
      </w:pPr>
      <w:r>
        <w:rPr>
          <w:rFonts w:hint="cs"/>
          <w:rtl/>
        </w:rPr>
        <w:tab/>
        <w:t>(أ)</w:t>
      </w:r>
      <w:r>
        <w:rPr>
          <w:rFonts w:hint="cs"/>
          <w:rtl/>
        </w:rPr>
        <w:tab/>
        <w:t>تعزيز التوعية بحقوق الإنسان والاضطلاع ببحوث من خلال وضع برامج وعقد حلقات دراسية وحلقات عمل ونشر وتوزيع نتائج تلك البحوث؛</w:t>
      </w:r>
    </w:p>
    <w:p w:rsidR="00F41E11" w:rsidRDefault="00F41E11" w:rsidP="00A71FC6">
      <w:pPr>
        <w:pStyle w:val="SingleTxt"/>
        <w:rPr>
          <w:rFonts w:hint="cs"/>
          <w:rtl/>
        </w:rPr>
      </w:pPr>
      <w:r>
        <w:rPr>
          <w:rFonts w:hint="cs"/>
          <w:rtl/>
        </w:rPr>
        <w:tab/>
        <w:t>(ب)</w:t>
      </w:r>
      <w:r>
        <w:rPr>
          <w:rFonts w:hint="cs"/>
          <w:rtl/>
        </w:rPr>
        <w:tab/>
        <w:t xml:space="preserve">إبلاغ الحكومة </w:t>
      </w:r>
      <w:r w:rsidR="00733A97">
        <w:rPr>
          <w:rFonts w:hint="cs"/>
          <w:rtl/>
        </w:rPr>
        <w:t>و/</w:t>
      </w:r>
      <w:r>
        <w:rPr>
          <w:rFonts w:hint="cs"/>
          <w:rtl/>
        </w:rPr>
        <w:t>أو السلطات المختصة بالشكاوى الموجهة ضد تلك السلطات وتقديم توصيات إلى الحكومة و/أو إلى تلك السلطات بشأن التدابير الواجب اتخاذها؛</w:t>
      </w:r>
    </w:p>
    <w:p w:rsidR="00F41E11" w:rsidRDefault="00F41E11" w:rsidP="00A71FC6">
      <w:pPr>
        <w:pStyle w:val="SingleTxt"/>
        <w:rPr>
          <w:rFonts w:hint="cs"/>
          <w:rtl/>
        </w:rPr>
      </w:pPr>
      <w:r>
        <w:rPr>
          <w:rFonts w:hint="cs"/>
          <w:rtl/>
        </w:rPr>
        <w:tab/>
        <w:t>(ج)</w:t>
      </w:r>
      <w:r>
        <w:rPr>
          <w:rFonts w:hint="cs"/>
          <w:rtl/>
        </w:rPr>
        <w:tab/>
        <w:t>النظر في انتهاكات حقوق الإنسان والتحقق منها وفقا لأحكام القانون؛</w:t>
      </w:r>
    </w:p>
    <w:p w:rsidR="00F41E11" w:rsidRDefault="00F41E11" w:rsidP="00733A97">
      <w:pPr>
        <w:pStyle w:val="SingleTxt"/>
        <w:rPr>
          <w:rFonts w:hint="cs"/>
          <w:rtl/>
        </w:rPr>
      </w:pPr>
      <w:r>
        <w:rPr>
          <w:rFonts w:hint="cs"/>
          <w:rtl/>
        </w:rPr>
        <w:tab/>
        <w:t>(د)</w:t>
      </w:r>
      <w:r>
        <w:rPr>
          <w:rFonts w:hint="cs"/>
          <w:rtl/>
        </w:rPr>
        <w:tab/>
        <w:t xml:space="preserve">زيارة أماكن الاحتجاز وفقا للإجراءات المبينة في القوانين ذات الصلة </w:t>
      </w:r>
      <w:r w:rsidR="00733A97">
        <w:rPr>
          <w:rFonts w:hint="cs"/>
          <w:rtl/>
        </w:rPr>
        <w:t>ب</w:t>
      </w:r>
      <w:r>
        <w:rPr>
          <w:rFonts w:hint="cs"/>
          <w:rtl/>
        </w:rPr>
        <w:t>أماكن الاحتجاز وتقديم توصيات بهذا الشأن؛</w:t>
      </w:r>
    </w:p>
    <w:p w:rsidR="00F41E11" w:rsidRDefault="00F41E11" w:rsidP="00A71FC6">
      <w:pPr>
        <w:pStyle w:val="SingleTxt"/>
        <w:rPr>
          <w:rFonts w:hint="cs"/>
          <w:rtl/>
        </w:rPr>
      </w:pPr>
      <w:r>
        <w:rPr>
          <w:rFonts w:hint="cs"/>
          <w:rtl/>
        </w:rPr>
        <w:tab/>
        <w:t>(هـ)</w:t>
      </w:r>
      <w:r>
        <w:rPr>
          <w:rFonts w:hint="cs"/>
          <w:rtl/>
        </w:rPr>
        <w:tab/>
        <w:t>إصدار بيانات عامة بشأن حقوق الإنسان، عند الاقتضاء؛</w:t>
      </w:r>
    </w:p>
    <w:p w:rsidR="00F41E11" w:rsidRDefault="00F41E11" w:rsidP="00733A97">
      <w:pPr>
        <w:pStyle w:val="SingleTxt"/>
        <w:rPr>
          <w:rFonts w:hint="cs"/>
          <w:rtl/>
        </w:rPr>
      </w:pPr>
      <w:r>
        <w:rPr>
          <w:rFonts w:hint="cs"/>
          <w:rtl/>
        </w:rPr>
        <w:tab/>
        <w:t>(و)</w:t>
      </w:r>
      <w:r>
        <w:rPr>
          <w:rFonts w:hint="cs"/>
          <w:rtl/>
        </w:rPr>
        <w:tab/>
        <w:t>الاضطلاع بأي أنشطة مناسبة أخرى وفقا للقوانين المكتوبة السارية فيما يتعلق بتلك الأنشطة.</w:t>
      </w:r>
    </w:p>
    <w:p w:rsidR="00F41E11" w:rsidRDefault="00F41E11" w:rsidP="00A71FC6">
      <w:pPr>
        <w:pStyle w:val="SingleTxt"/>
        <w:rPr>
          <w:rFonts w:hint="cs"/>
          <w:rtl/>
        </w:rPr>
      </w:pPr>
      <w:r>
        <w:rPr>
          <w:rFonts w:hint="cs"/>
          <w:rtl/>
        </w:rPr>
        <w:t>49 -</w:t>
      </w:r>
      <w:r>
        <w:rPr>
          <w:rFonts w:hint="cs"/>
          <w:rtl/>
        </w:rPr>
        <w:tab/>
        <w:t>ويجوز للجنة، لدى ممارستها للصلاحيات المذكورة أعلاه، أن تحقق، بمبادرة منها أو استجابة لشكوى قدمت إليها من قبل شخص متظلم أو مجموعة من الأشخاص المتظلمين في ادعاءات بانتهاك حقوق الإنسان لذلك الشخص أو مجموعة الأشخاص.</w:t>
      </w:r>
    </w:p>
    <w:p w:rsidR="00F41E11" w:rsidRDefault="00F41E11" w:rsidP="00733A97">
      <w:pPr>
        <w:pStyle w:val="SingleTxt"/>
        <w:rPr>
          <w:rFonts w:hint="cs"/>
          <w:rtl/>
        </w:rPr>
      </w:pPr>
      <w:r>
        <w:rPr>
          <w:rFonts w:hint="cs"/>
          <w:rtl/>
        </w:rPr>
        <w:t>50 -</w:t>
      </w:r>
      <w:r>
        <w:rPr>
          <w:rFonts w:hint="cs"/>
          <w:rtl/>
        </w:rPr>
        <w:tab/>
        <w:t xml:space="preserve">وتتمتع اللجنة في هذا السياق بصلاحية طلب الحصول على الأدلة واستلامها واستجواب الشهود واشتراط تقديم البينة تحت طائلة القسم القانونية أو الإقرار القانوني أمام إحدى المحاكم واستدعاء أي شخص لحضور أي اجتماع للجنة لتقديم أدلة أو إصدار وثائق </w:t>
      </w:r>
      <w:r w:rsidR="00733A97">
        <w:rPr>
          <w:rFonts w:hint="cs"/>
          <w:rtl/>
        </w:rPr>
        <w:t xml:space="preserve">أو قبول أدلة </w:t>
      </w:r>
      <w:r>
        <w:rPr>
          <w:rFonts w:hint="cs"/>
          <w:rtl/>
        </w:rPr>
        <w:t>أو قبول حضور الجمهور لجلسة التحقيق تلك أو منع حضورها. غير أن اللجنة لا تستطيع التحقيق في أي شكوى لها صلة بأي مزاعم</w:t>
      </w:r>
      <w:r w:rsidR="00D05661">
        <w:rPr>
          <w:rFonts w:hint="cs"/>
          <w:rtl/>
        </w:rPr>
        <w:t xml:space="preserve"> بانتهاكات حقوق الإنسان معروضة أمام أي محكمة للنظر فيها  أو أصدرت المحكمة حكما نهائيا بشأنها. وإذا تبين نتيجة التحقيق وجود انتهاك لحقوق الإنسان</w:t>
      </w:r>
      <w:r w:rsidR="00733A97">
        <w:rPr>
          <w:rFonts w:hint="cs"/>
          <w:rtl/>
        </w:rPr>
        <w:t>،</w:t>
      </w:r>
      <w:r w:rsidR="00D05661">
        <w:rPr>
          <w:rFonts w:hint="cs"/>
          <w:rtl/>
        </w:rPr>
        <w:t xml:space="preserve"> تتمتع اللجنة بصلاحية إحالة المسألة، حسب الاقتضاء، إلى السلطة المعنية أو الشخص المعني مشفوعة بالتوصيات اللازمة.</w:t>
      </w:r>
    </w:p>
    <w:p w:rsidR="00641A30" w:rsidRPr="00641A30" w:rsidRDefault="00641A30" w:rsidP="00641A30">
      <w:pPr>
        <w:pStyle w:val="SingleTxt"/>
        <w:spacing w:after="0" w:line="120" w:lineRule="exact"/>
        <w:rPr>
          <w:rFonts w:hint="cs"/>
          <w:sz w:val="10"/>
          <w:rtl/>
        </w:rPr>
      </w:pPr>
    </w:p>
    <w:p w:rsidR="00D05661" w:rsidRDefault="00D54E08"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شؤون الإعلام والنشر</w:t>
      </w:r>
    </w:p>
    <w:p w:rsidR="00D54E08" w:rsidRDefault="00D54E08" w:rsidP="00A71FC6">
      <w:pPr>
        <w:pStyle w:val="SingleTxt"/>
        <w:rPr>
          <w:rFonts w:hint="cs"/>
          <w:rtl/>
        </w:rPr>
      </w:pPr>
      <w:r>
        <w:rPr>
          <w:rFonts w:hint="cs"/>
          <w:rtl/>
        </w:rPr>
        <w:t>51 -</w:t>
      </w:r>
      <w:r>
        <w:rPr>
          <w:rFonts w:hint="cs"/>
          <w:rtl/>
        </w:rPr>
        <w:tab/>
        <w:t>تقوم المطابع الحكومية بنشر جميع القوانين الوطنية باللغة الرسمية (بهاسا ملايو). وتتولى ترجمتها إلى اللغتين الصينية والتاميلية وغيرهما من اللغات المحلية وسائط الإعلام أو الأحزاب السياسية التي تمثل تلك الجماعات.</w:t>
      </w:r>
    </w:p>
    <w:p w:rsidR="00D54E08" w:rsidRDefault="00D54E08" w:rsidP="00A71FC6">
      <w:pPr>
        <w:pStyle w:val="SingleTxt"/>
        <w:rPr>
          <w:rFonts w:hint="cs"/>
          <w:rtl/>
        </w:rPr>
      </w:pPr>
      <w:r>
        <w:rPr>
          <w:rFonts w:hint="cs"/>
          <w:rtl/>
        </w:rPr>
        <w:t>52 -</w:t>
      </w:r>
      <w:r>
        <w:rPr>
          <w:rFonts w:hint="cs"/>
          <w:rtl/>
        </w:rPr>
        <w:tab/>
        <w:t>ولا توجد ترجمة رسمية للصكوك الدولية. بيد أن نص اتفاقية القضاء على جميع أشكال التمييز ضد المرأة ترجم إلى اللغة الرسمية (بهاسا ملايو) وإلى  اللغتين الصينية والتاميلية. وتم توزيع النص المترجم على مختلف المنظمات الن</w:t>
      </w:r>
      <w:r w:rsidR="00733A97">
        <w:rPr>
          <w:rFonts w:hint="cs"/>
          <w:rtl/>
        </w:rPr>
        <w:t>سائية غير الحكومية في</w:t>
      </w:r>
      <w:r>
        <w:rPr>
          <w:rFonts w:hint="cs"/>
          <w:rtl/>
        </w:rPr>
        <w:t xml:space="preserve"> محاولة لإرهاف الوعي في صفوف النساء على صعيد القواعد الشعبية بالحقوق الواردة في الاتفاقية. وعقدت حلقات دراسية حضرها مسؤولون من مختلف الوكالات المعنية مثل دوائر المحامي العام ووزارة الداخلية وغيرهما. وتولت تلك الوكالات أيضا مسؤولية إعداد التقرير المتعلق باتفاقية القضاء على جميع أشكال التمييز ضد المرأة.</w:t>
      </w:r>
    </w:p>
    <w:p w:rsidR="00D54E08" w:rsidRDefault="00D54E08" w:rsidP="00A71FC6">
      <w:pPr>
        <w:pStyle w:val="SingleTxt"/>
        <w:rPr>
          <w:rFonts w:hint="cs"/>
          <w:rtl/>
        </w:rPr>
      </w:pPr>
      <w:r>
        <w:rPr>
          <w:rFonts w:hint="cs"/>
          <w:rtl/>
        </w:rPr>
        <w:t>53 -</w:t>
      </w:r>
      <w:r>
        <w:rPr>
          <w:rFonts w:hint="cs"/>
          <w:rtl/>
        </w:rPr>
        <w:tab/>
        <w:t>وتساهم وسائط الإعلام الصادرة بشكل</w:t>
      </w:r>
      <w:r w:rsidR="00733A97">
        <w:rPr>
          <w:rFonts w:hint="cs"/>
          <w:rtl/>
        </w:rPr>
        <w:t>ي</w:t>
      </w:r>
      <w:r>
        <w:rPr>
          <w:rFonts w:hint="cs"/>
          <w:rtl/>
        </w:rPr>
        <w:t>ها المطبوع والالكتروني</w:t>
      </w:r>
      <w:r w:rsidR="00733A97">
        <w:rPr>
          <w:rFonts w:hint="cs"/>
          <w:rtl/>
        </w:rPr>
        <w:t>،</w:t>
      </w:r>
      <w:r>
        <w:rPr>
          <w:rFonts w:hint="cs"/>
          <w:rtl/>
        </w:rPr>
        <w:t xml:space="preserve"> باللغة الرسمية واللغات العامية المحلية في توعية الناس بح</w:t>
      </w:r>
      <w:r w:rsidR="00733A97">
        <w:rPr>
          <w:rFonts w:hint="cs"/>
          <w:rtl/>
        </w:rPr>
        <w:t>قوقهم بموجب القانون وبالصكوك الد</w:t>
      </w:r>
      <w:r>
        <w:rPr>
          <w:rFonts w:hint="cs"/>
          <w:rtl/>
        </w:rPr>
        <w:t>ولية ذات الصلة بتلك الحقوق.</w:t>
      </w:r>
    </w:p>
    <w:p w:rsidR="00D54E08" w:rsidRDefault="00D54E08" w:rsidP="00A71FC6">
      <w:pPr>
        <w:pStyle w:val="SingleTxt"/>
        <w:rPr>
          <w:rFonts w:hint="cs"/>
          <w:rtl/>
        </w:rPr>
      </w:pPr>
      <w:r>
        <w:rPr>
          <w:rFonts w:hint="cs"/>
          <w:rtl/>
        </w:rPr>
        <w:t>54 -</w:t>
      </w:r>
      <w:r>
        <w:rPr>
          <w:rFonts w:hint="cs"/>
          <w:rtl/>
        </w:rPr>
        <w:tab/>
        <w:t xml:space="preserve">وتخضع إذاعة وتليفزيون ماليزيا لسلطة وزارة الإعلام التي تنسق ما بين جميع مؤسسات وسائط الإعلام الجماهيرية الحكومية </w:t>
      </w:r>
      <w:r>
        <w:rPr>
          <w:rtl/>
        </w:rPr>
        <w:t>–</w:t>
      </w:r>
      <w:r>
        <w:rPr>
          <w:rFonts w:hint="cs"/>
          <w:rtl/>
        </w:rPr>
        <w:t xml:space="preserve"> الإعلام والأفلام والعلاقات الصحفية والبث الإذاعي. وباعتبارها إحدى الهيئات الحكومية، تعرض إذاعة وتليفزيون ماليزيا برامج وسياسات الحكومة للجمهور. وهي تعمل على تعزيز الوحدة الوطنية إضافة إلى إثارة اهتمام الجمهور وتوثيق عرى الوحدة الوطنية والفكر الحضاري وتوفر المعلومات والتعليم.</w:t>
      </w:r>
    </w:p>
    <w:p w:rsidR="00D54E08" w:rsidRDefault="00D54E08" w:rsidP="009B11A3">
      <w:pPr>
        <w:pStyle w:val="SingleTxt"/>
        <w:rPr>
          <w:rFonts w:hint="cs"/>
          <w:rtl/>
        </w:rPr>
      </w:pPr>
      <w:r>
        <w:rPr>
          <w:rFonts w:hint="cs"/>
          <w:rtl/>
        </w:rPr>
        <w:t>55 -</w:t>
      </w:r>
      <w:r>
        <w:rPr>
          <w:rFonts w:hint="cs"/>
          <w:rtl/>
        </w:rPr>
        <w:tab/>
        <w:t>وتقدم وكالة الأنباء الوطنية الماليزية (برناما) خدمات قيمة لا للصحف ووكالات الأنباء فحسب وإنما للسفارات والمصارف والجامعات والشركات الصناعية ومختلفة المنظمات من خلال الأخبار التي تعرضها والخدمات الاقتصادية التي تقدمها والأفلام التي تعدها. كما توفر للمشتركين مرافق الاتصالات السلكية واللاسلكية لأغراض توزيع الأخ</w:t>
      </w:r>
      <w:r w:rsidR="009B11A3">
        <w:rPr>
          <w:rFonts w:hint="cs"/>
          <w:rtl/>
        </w:rPr>
        <w:t>ب</w:t>
      </w:r>
      <w:r>
        <w:rPr>
          <w:rFonts w:hint="cs"/>
          <w:rtl/>
        </w:rPr>
        <w:t>ار وغيرها من الخدمات من قبيل الأخبار الاقتصادية وأخبار السلع الأساسية وسوق الأسهم والخدمات المالية والصور الفوتوغرافية والأفلام الدولية.</w:t>
      </w:r>
    </w:p>
    <w:p w:rsidR="00D54E08" w:rsidRDefault="00D54E08" w:rsidP="00B50A9C">
      <w:pPr>
        <w:pStyle w:val="SingleTxt"/>
        <w:rPr>
          <w:rFonts w:hint="cs"/>
          <w:rtl/>
        </w:rPr>
      </w:pPr>
      <w:r>
        <w:rPr>
          <w:rFonts w:hint="cs"/>
          <w:rtl/>
        </w:rPr>
        <w:t>56 -</w:t>
      </w:r>
      <w:r>
        <w:rPr>
          <w:rFonts w:hint="cs"/>
          <w:rtl/>
        </w:rPr>
        <w:tab/>
        <w:t xml:space="preserve">وبالإضافة إلى وكالة الأنباء الوطنية الماليزية </w:t>
      </w:r>
      <w:r w:rsidR="00412A9C">
        <w:rPr>
          <w:rFonts w:hint="cs"/>
          <w:rtl/>
        </w:rPr>
        <w:t xml:space="preserve"> هناك معهد الصحافة الماليزية والاتحاد الوطني للصحفيين ورابطة الصحفيات (بر</w:t>
      </w:r>
      <w:r w:rsidR="00B50A9C">
        <w:rPr>
          <w:rFonts w:hint="cs"/>
          <w:rtl/>
        </w:rPr>
        <w:t>ت</w:t>
      </w:r>
      <w:r w:rsidR="00412A9C">
        <w:rPr>
          <w:rFonts w:hint="cs"/>
          <w:rtl/>
        </w:rPr>
        <w:t>اما) التي أنشئت في عام 1972 والتي تعمل بشكل وثيق مع المنظمات النسائية والهيئات الطوعية.</w:t>
      </w:r>
    </w:p>
    <w:p w:rsidR="00412A9C" w:rsidRDefault="00412A9C" w:rsidP="00A71FC6">
      <w:pPr>
        <w:pStyle w:val="SingleTxt"/>
        <w:rPr>
          <w:rFonts w:hint="cs"/>
          <w:rtl/>
        </w:rPr>
      </w:pPr>
      <w:r>
        <w:rPr>
          <w:rFonts w:hint="cs"/>
          <w:rtl/>
        </w:rPr>
        <w:t>57 -</w:t>
      </w:r>
      <w:r>
        <w:rPr>
          <w:rFonts w:hint="cs"/>
          <w:rtl/>
        </w:rPr>
        <w:tab/>
        <w:t>ينظم حرية الصحافة التشريع الناظم للصحافة مثل قانون المطابع والمنشورات لعام 1984 الذي ينظم استخدام المطابع والطباعة، واستيراد المنشورات وإصدارها واستنساخها ونشرها وتوزيعها، وينظم كذلك المسائل ذات الصلة.</w:t>
      </w:r>
    </w:p>
    <w:p w:rsidR="009A2AD0" w:rsidRDefault="00412A9C" w:rsidP="00A71FC6">
      <w:pPr>
        <w:pStyle w:val="SingleTxt"/>
        <w:rPr>
          <w:rFonts w:hint="cs"/>
          <w:rtl/>
        </w:rPr>
      </w:pPr>
      <w:r>
        <w:rPr>
          <w:rFonts w:hint="cs"/>
          <w:rtl/>
        </w:rPr>
        <w:t>58 -</w:t>
      </w:r>
      <w:r>
        <w:rPr>
          <w:rFonts w:hint="cs"/>
          <w:rtl/>
        </w:rPr>
        <w:tab/>
        <w:t>وستكثف وزارة شؤون المرأة وتنمية الأسرة ما تبذله من جهود لزيادة التوعية بقضايا المرأة، ولا سيما عدم التمييز ضد المرأة في أوساط المسؤولين العاملين في السلطات المعنية وذلك من خلال عقد اجتماعات منتظمة للجنة المشتركة بين الوكالات.</w:t>
      </w:r>
    </w:p>
    <w:p w:rsidR="009A2AD0" w:rsidRDefault="009A2AD0" w:rsidP="00A71F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sectPr w:rsidR="009A2AD0" w:rsidSect="009A2AD0">
          <w:endnotePr>
            <w:numFmt w:val="decimal"/>
          </w:endnotePr>
          <w:type w:val="continuous"/>
          <w:pgSz w:w="12240" w:h="15840" w:code="1"/>
          <w:pgMar w:top="1742" w:right="1195" w:bottom="1898" w:left="1195" w:header="576" w:footer="1030" w:gutter="0"/>
          <w:cols w:space="720"/>
          <w:noEndnote/>
          <w:bidi/>
          <w:rtlGutter/>
          <w:docGrid w:linePitch="280"/>
        </w:sectPr>
      </w:pPr>
    </w:p>
    <w:p w:rsidR="00412A9C" w:rsidRDefault="003B5BDF" w:rsidP="00A71F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rPr>
      </w:pPr>
      <w:r>
        <w:rPr>
          <w:rFonts w:hint="cs"/>
          <w:rtl/>
        </w:rPr>
        <w:t>الجزء الثاني</w:t>
      </w:r>
    </w:p>
    <w:p w:rsidR="003B5BDF" w:rsidRDefault="003B5BDF"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w:t>
      </w:r>
    </w:p>
    <w:p w:rsidR="00641A30" w:rsidRPr="00641A30" w:rsidRDefault="00641A30" w:rsidP="00641A30">
      <w:pPr>
        <w:pStyle w:val="SingleTxt"/>
        <w:spacing w:after="0" w:line="120" w:lineRule="exact"/>
        <w:rPr>
          <w:rFonts w:hint="cs"/>
          <w:sz w:val="10"/>
          <w:rtl/>
        </w:rPr>
      </w:pPr>
    </w:p>
    <w:p w:rsidR="003B5BDF" w:rsidRDefault="003B5BDF"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تعريف التمييز ضد المرأة</w:t>
      </w:r>
    </w:p>
    <w:p w:rsidR="00641A30" w:rsidRPr="00641A30" w:rsidRDefault="00641A30" w:rsidP="00641A30">
      <w:pPr>
        <w:pStyle w:val="SingleTxt"/>
        <w:spacing w:after="0" w:line="120" w:lineRule="exact"/>
        <w:rPr>
          <w:rFonts w:hint="cs"/>
          <w:sz w:val="10"/>
          <w:rtl/>
        </w:rPr>
      </w:pPr>
    </w:p>
    <w:p w:rsidR="003B5BDF" w:rsidRDefault="003B5BDF"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B5BDF" w:rsidRDefault="003B5BDF" w:rsidP="00A71FC6">
      <w:pPr>
        <w:pStyle w:val="SingleTxt"/>
        <w:rPr>
          <w:rFonts w:hint="cs"/>
          <w:rtl/>
        </w:rPr>
      </w:pPr>
      <w:r>
        <w:rPr>
          <w:rFonts w:hint="cs"/>
          <w:rtl/>
        </w:rPr>
        <w:t>59 -</w:t>
      </w:r>
      <w:r>
        <w:rPr>
          <w:rFonts w:hint="cs"/>
          <w:rtl/>
        </w:rPr>
        <w:tab/>
        <w:t>يعتبر الدستور الاتحادي لماليزيا القانون الأسمى في البلد. وإلى  جانب الدستور الاتحادي، توجد قوانين وسياسات أخرى تنص على عدم التمييز. ولهذا، لا بد من قراءة التقرير المتعلق بهذه المادة بالاقتران مع التقارير المتعلقة بمجالات الاهتمام المحددة الأخرى.</w:t>
      </w:r>
    </w:p>
    <w:p w:rsidR="00641A30" w:rsidRPr="00641A30" w:rsidRDefault="00641A30" w:rsidP="00641A30">
      <w:pPr>
        <w:pStyle w:val="SingleTxt"/>
        <w:spacing w:after="0" w:line="120" w:lineRule="exact"/>
        <w:rPr>
          <w:rFonts w:hint="cs"/>
          <w:sz w:val="10"/>
          <w:rtl/>
        </w:rPr>
      </w:pPr>
    </w:p>
    <w:p w:rsidR="003B5BDF" w:rsidRDefault="003B5BDF"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الاتحادي</w:t>
      </w:r>
    </w:p>
    <w:p w:rsidR="003B5BDF" w:rsidRDefault="003B5BDF" w:rsidP="00A71FC6">
      <w:pPr>
        <w:pStyle w:val="SingleTxt"/>
        <w:rPr>
          <w:rFonts w:hint="eastAsia"/>
          <w:rtl/>
        </w:rPr>
      </w:pPr>
      <w:r>
        <w:rPr>
          <w:rFonts w:hint="cs"/>
          <w:rtl/>
        </w:rPr>
        <w:t>60 -</w:t>
      </w:r>
      <w:r>
        <w:rPr>
          <w:rFonts w:hint="cs"/>
          <w:rtl/>
        </w:rPr>
        <w:tab/>
        <w:t xml:space="preserve">تنص المادة 4 (1) من الدستور الاتحادي على </w:t>
      </w:r>
      <w:r>
        <w:rPr>
          <w:rFonts w:hint="eastAsia"/>
          <w:rtl/>
        </w:rPr>
        <w:t>”أن ال</w:t>
      </w:r>
      <w:r>
        <w:rPr>
          <w:rFonts w:hint="cs"/>
          <w:rtl/>
        </w:rPr>
        <w:t>د</w:t>
      </w:r>
      <w:r>
        <w:rPr>
          <w:rFonts w:hint="eastAsia"/>
          <w:rtl/>
        </w:rPr>
        <w:t>ستور هو</w:t>
      </w:r>
      <w:r>
        <w:rPr>
          <w:rFonts w:hint="cs"/>
          <w:rtl/>
        </w:rPr>
        <w:t xml:space="preserve"> القانون الأعلى للاتحاد وأن أي قانون يصدر بعد يوم الاستقلال (ميرديكا) </w:t>
      </w:r>
      <w:r w:rsidR="00B50A9C">
        <w:rPr>
          <w:rFonts w:hint="cs"/>
          <w:rtl/>
        </w:rPr>
        <w:t>و</w:t>
      </w:r>
      <w:r>
        <w:rPr>
          <w:rFonts w:hint="cs"/>
          <w:rtl/>
        </w:rPr>
        <w:t>لا يتفق مع الدستور يعتبر باطلا بقدر تعارضه معه</w:t>
      </w:r>
      <w:r>
        <w:rPr>
          <w:rFonts w:hint="eastAsia"/>
          <w:rtl/>
        </w:rPr>
        <w:t>“.</w:t>
      </w:r>
    </w:p>
    <w:p w:rsidR="003B5BDF" w:rsidRDefault="003B5BDF" w:rsidP="00B50A9C">
      <w:pPr>
        <w:pStyle w:val="SingleTxt"/>
        <w:rPr>
          <w:rFonts w:hint="cs"/>
          <w:rtl/>
        </w:rPr>
      </w:pPr>
      <w:r>
        <w:rPr>
          <w:rFonts w:hint="cs"/>
          <w:rtl/>
        </w:rPr>
        <w:t>61 -</w:t>
      </w:r>
      <w:r>
        <w:rPr>
          <w:rFonts w:hint="cs"/>
          <w:rtl/>
        </w:rPr>
        <w:tab/>
        <w:t xml:space="preserve">وتنص المواد من 5 إلى 13 من الدستور على الحريات الأساسية التي يتمتع بها جميع الأفراد في الاتحاد ويمكن اعتبار تلك الحريات بمثابة المعايير الأساسية لحقوق الإنسان في ماليزيا. وعلى نحو ما أشير إليه في الجزء </w:t>
      </w:r>
      <w:r w:rsidR="00B50A9C">
        <w:rPr>
          <w:rFonts w:hint="cs"/>
          <w:rtl/>
        </w:rPr>
        <w:t>الأول</w:t>
      </w:r>
      <w:r>
        <w:rPr>
          <w:rFonts w:hint="cs"/>
          <w:rtl/>
        </w:rPr>
        <w:t xml:space="preserve"> من هذا التقرير</w:t>
      </w:r>
      <w:r w:rsidR="00B50A9C">
        <w:rPr>
          <w:rFonts w:hint="cs"/>
          <w:rtl/>
        </w:rPr>
        <w:t>،</w:t>
      </w:r>
      <w:r>
        <w:rPr>
          <w:rFonts w:hint="cs"/>
          <w:rtl/>
        </w:rPr>
        <w:t xml:space="preserve"> يجسد الدستور الاتحادي ويضمن:</w:t>
      </w:r>
    </w:p>
    <w:p w:rsidR="003B5BDF" w:rsidRDefault="003B5BDF" w:rsidP="00A71FC6">
      <w:pPr>
        <w:pStyle w:val="SingleTxt"/>
        <w:rPr>
          <w:rFonts w:hint="cs"/>
          <w:rtl/>
        </w:rPr>
      </w:pPr>
      <w:r>
        <w:rPr>
          <w:rFonts w:hint="cs"/>
          <w:rtl/>
        </w:rPr>
        <w:tab/>
        <w:t>’1‘</w:t>
      </w:r>
      <w:r>
        <w:rPr>
          <w:rFonts w:hint="cs"/>
          <w:rtl/>
        </w:rPr>
        <w:tab/>
        <w:t>حرية الفرد؛</w:t>
      </w:r>
    </w:p>
    <w:p w:rsidR="003B5BDF" w:rsidRDefault="003B5BDF" w:rsidP="00A71FC6">
      <w:pPr>
        <w:pStyle w:val="SingleTxt"/>
        <w:rPr>
          <w:rFonts w:hint="cs"/>
          <w:rtl/>
        </w:rPr>
      </w:pPr>
      <w:r>
        <w:rPr>
          <w:rFonts w:hint="cs"/>
          <w:rtl/>
        </w:rPr>
        <w:tab/>
        <w:t>’2‘</w:t>
      </w:r>
      <w:r>
        <w:rPr>
          <w:rFonts w:hint="cs"/>
          <w:rtl/>
        </w:rPr>
        <w:tab/>
        <w:t>حظر الاسترقاق والسخرة؛</w:t>
      </w:r>
    </w:p>
    <w:p w:rsidR="003B5BDF" w:rsidRDefault="003B5BDF" w:rsidP="00A71FC6">
      <w:pPr>
        <w:pStyle w:val="SingleTxt"/>
        <w:rPr>
          <w:rFonts w:hint="cs"/>
          <w:rtl/>
        </w:rPr>
      </w:pPr>
      <w:r>
        <w:rPr>
          <w:rFonts w:hint="cs"/>
          <w:rtl/>
        </w:rPr>
        <w:tab/>
        <w:t>’3‘</w:t>
      </w:r>
      <w:r>
        <w:rPr>
          <w:rFonts w:hint="cs"/>
          <w:rtl/>
        </w:rPr>
        <w:tab/>
        <w:t>الحماية من القوانين الجنائية ذات الأثر الرجعي و</w:t>
      </w:r>
      <w:r w:rsidR="00B50A9C">
        <w:rPr>
          <w:rFonts w:hint="cs"/>
          <w:rtl/>
        </w:rPr>
        <w:t>من معاودة المحاكمة</w:t>
      </w:r>
      <w:r>
        <w:rPr>
          <w:rFonts w:hint="cs"/>
          <w:rtl/>
        </w:rPr>
        <w:t>؛</w:t>
      </w:r>
    </w:p>
    <w:p w:rsidR="003B5BDF" w:rsidRDefault="003B5BDF" w:rsidP="00A71FC6">
      <w:pPr>
        <w:pStyle w:val="SingleTxt"/>
        <w:rPr>
          <w:rFonts w:hint="cs"/>
          <w:rtl/>
        </w:rPr>
      </w:pPr>
      <w:r>
        <w:rPr>
          <w:rFonts w:hint="cs"/>
          <w:rtl/>
        </w:rPr>
        <w:tab/>
        <w:t>’4‘</w:t>
      </w:r>
      <w:r>
        <w:rPr>
          <w:rFonts w:hint="cs"/>
          <w:rtl/>
        </w:rPr>
        <w:tab/>
        <w:t>المساواة أمام القانون؛</w:t>
      </w:r>
    </w:p>
    <w:p w:rsidR="003B5BDF" w:rsidRDefault="003B5BDF" w:rsidP="00A71FC6">
      <w:pPr>
        <w:pStyle w:val="SingleTxt"/>
        <w:rPr>
          <w:rFonts w:hint="cs"/>
          <w:rtl/>
        </w:rPr>
      </w:pPr>
      <w:r>
        <w:rPr>
          <w:rFonts w:hint="cs"/>
          <w:rtl/>
        </w:rPr>
        <w:tab/>
        <w:t>’5‘</w:t>
      </w:r>
      <w:r>
        <w:rPr>
          <w:rFonts w:hint="cs"/>
          <w:rtl/>
        </w:rPr>
        <w:tab/>
        <w:t>حظر نفي الرعايا من البلد وحرية التنقل؛</w:t>
      </w:r>
    </w:p>
    <w:p w:rsidR="003B5BDF" w:rsidRDefault="003B5BDF" w:rsidP="00A71FC6">
      <w:pPr>
        <w:pStyle w:val="SingleTxt"/>
        <w:rPr>
          <w:rFonts w:hint="cs"/>
          <w:rtl/>
        </w:rPr>
      </w:pPr>
      <w:r>
        <w:rPr>
          <w:rFonts w:hint="cs"/>
          <w:rtl/>
        </w:rPr>
        <w:tab/>
        <w:t>’6‘</w:t>
      </w:r>
      <w:r>
        <w:rPr>
          <w:rFonts w:hint="cs"/>
          <w:rtl/>
        </w:rPr>
        <w:tab/>
        <w:t xml:space="preserve">حرية التعبير وحرية الاشتراك في </w:t>
      </w:r>
      <w:r w:rsidR="00155503">
        <w:rPr>
          <w:rFonts w:hint="cs"/>
          <w:rtl/>
        </w:rPr>
        <w:t>الاجتماعات والجمعيات؛</w:t>
      </w:r>
    </w:p>
    <w:p w:rsidR="00155503" w:rsidRDefault="00155503" w:rsidP="00A71FC6">
      <w:pPr>
        <w:pStyle w:val="SingleTxt"/>
        <w:rPr>
          <w:rFonts w:hint="cs"/>
          <w:rtl/>
        </w:rPr>
      </w:pPr>
      <w:r>
        <w:rPr>
          <w:rFonts w:hint="cs"/>
          <w:rtl/>
        </w:rPr>
        <w:tab/>
        <w:t>’7‘</w:t>
      </w:r>
      <w:r>
        <w:rPr>
          <w:rFonts w:hint="cs"/>
          <w:rtl/>
        </w:rPr>
        <w:tab/>
        <w:t>حرية الدين؛</w:t>
      </w:r>
    </w:p>
    <w:p w:rsidR="00155503" w:rsidRDefault="00155503" w:rsidP="00A71FC6">
      <w:pPr>
        <w:pStyle w:val="SingleTxt"/>
        <w:rPr>
          <w:rFonts w:hint="cs"/>
          <w:rtl/>
        </w:rPr>
      </w:pPr>
      <w:r>
        <w:rPr>
          <w:rFonts w:hint="cs"/>
          <w:rtl/>
        </w:rPr>
        <w:tab/>
        <w:t>’8‘</w:t>
      </w:r>
      <w:r>
        <w:rPr>
          <w:rFonts w:hint="cs"/>
          <w:rtl/>
        </w:rPr>
        <w:tab/>
        <w:t>الحق في الحصول على التعليم؛</w:t>
      </w:r>
    </w:p>
    <w:p w:rsidR="00155503" w:rsidRDefault="00155503" w:rsidP="00A71FC6">
      <w:pPr>
        <w:pStyle w:val="SingleTxt"/>
        <w:rPr>
          <w:rFonts w:hint="cs"/>
          <w:rtl/>
        </w:rPr>
      </w:pPr>
      <w:r>
        <w:rPr>
          <w:rFonts w:hint="cs"/>
          <w:rtl/>
        </w:rPr>
        <w:tab/>
        <w:t>’9‘</w:t>
      </w:r>
      <w:r>
        <w:rPr>
          <w:rFonts w:hint="cs"/>
          <w:rtl/>
        </w:rPr>
        <w:tab/>
        <w:t>الحق في التملك.</w:t>
      </w:r>
    </w:p>
    <w:p w:rsidR="00155503" w:rsidRDefault="00155503" w:rsidP="00A71FC6">
      <w:pPr>
        <w:pStyle w:val="SingleTxt"/>
        <w:rPr>
          <w:rFonts w:hint="cs"/>
          <w:rtl/>
        </w:rPr>
      </w:pPr>
      <w:r>
        <w:rPr>
          <w:rFonts w:hint="cs"/>
          <w:rtl/>
        </w:rPr>
        <w:t>62 -</w:t>
      </w:r>
      <w:r>
        <w:rPr>
          <w:rFonts w:hint="cs"/>
          <w:rtl/>
        </w:rPr>
        <w:tab/>
        <w:t>وتأخذ معايير حقوق الإنسان هذه في الاعتبار طبيعة المجتمع الماليزي المتعدد الأعراق وتنسجم من روح القيم الوطنية المباحة فيه ومع التقاليد والأديان والعادات والأحوال الاجتماعية والاقتصادية في هذا البلد.</w:t>
      </w:r>
    </w:p>
    <w:p w:rsidR="00155503" w:rsidRDefault="00155503" w:rsidP="00A71FC6">
      <w:pPr>
        <w:pStyle w:val="SingleTxt"/>
        <w:rPr>
          <w:rFonts w:hint="cs"/>
          <w:rtl/>
        </w:rPr>
      </w:pPr>
      <w:r>
        <w:rPr>
          <w:rFonts w:hint="cs"/>
          <w:rtl/>
        </w:rPr>
        <w:t>63 -</w:t>
      </w:r>
      <w:r>
        <w:rPr>
          <w:rFonts w:hint="cs"/>
          <w:rtl/>
        </w:rPr>
        <w:tab/>
        <w:t xml:space="preserve">وفي 1 </w:t>
      </w:r>
      <w:r>
        <w:rPr>
          <w:rtl/>
        </w:rPr>
        <w:t xml:space="preserve">آب/أغسطس </w:t>
      </w:r>
      <w:r>
        <w:rPr>
          <w:rFonts w:hint="cs"/>
          <w:rtl/>
        </w:rPr>
        <w:t>2001</w:t>
      </w:r>
      <w:r w:rsidR="00B50A9C">
        <w:rPr>
          <w:rFonts w:hint="cs"/>
          <w:rtl/>
        </w:rPr>
        <w:t>،</w:t>
      </w:r>
      <w:r>
        <w:rPr>
          <w:rFonts w:hint="cs"/>
          <w:rtl/>
        </w:rPr>
        <w:t xml:space="preserve"> ع</w:t>
      </w:r>
      <w:r w:rsidR="00B50A9C">
        <w:rPr>
          <w:rFonts w:hint="cs"/>
          <w:rtl/>
        </w:rPr>
        <w:t>ُ</w:t>
      </w:r>
      <w:r>
        <w:rPr>
          <w:rFonts w:hint="cs"/>
          <w:rtl/>
        </w:rPr>
        <w:t>د</w:t>
      </w:r>
      <w:r w:rsidR="00B50A9C">
        <w:rPr>
          <w:rFonts w:hint="cs"/>
          <w:rtl/>
        </w:rPr>
        <w:t>ّ</w:t>
      </w:r>
      <w:r>
        <w:rPr>
          <w:rFonts w:hint="cs"/>
          <w:rtl/>
        </w:rPr>
        <w:t xml:space="preserve">لت المادة 8 (2) في البرلمان بحيث باتت تشمل كلمة </w:t>
      </w:r>
      <w:r>
        <w:rPr>
          <w:rFonts w:hint="eastAsia"/>
          <w:rtl/>
        </w:rPr>
        <w:t>”نوع الجنس</w:t>
      </w:r>
      <w:r>
        <w:rPr>
          <w:rFonts w:hint="cs"/>
          <w:rtl/>
        </w:rPr>
        <w:t>“ وأصبح نصها على النحو التالي:</w:t>
      </w:r>
    </w:p>
    <w:p w:rsidR="00155503" w:rsidRDefault="00155503" w:rsidP="00A71FC6">
      <w:pPr>
        <w:pStyle w:val="SingleTxt"/>
        <w:ind w:left="1930" w:hanging="663"/>
        <w:rPr>
          <w:rFonts w:hint="eastAsia"/>
          <w:rtl/>
        </w:rPr>
      </w:pPr>
      <w:r>
        <w:rPr>
          <w:rFonts w:hint="cs"/>
          <w:rtl/>
        </w:rPr>
        <w:tab/>
      </w:r>
      <w:r>
        <w:rPr>
          <w:rFonts w:hint="cs"/>
          <w:rtl/>
        </w:rPr>
        <w:tab/>
      </w:r>
      <w:r>
        <w:rPr>
          <w:rFonts w:hint="eastAsia"/>
          <w:rtl/>
        </w:rPr>
        <w:t>”ما لم ينص هذا الدستور صراحة على خلاف ذلك، ينبغي ألا يكون هناك أي تمييز على أساس</w:t>
      </w:r>
      <w:r>
        <w:rPr>
          <w:rFonts w:hint="cs"/>
          <w:rtl/>
        </w:rPr>
        <w:t xml:space="preserve"> الدين أو العرق أو الأصل أو مكان الولادة أو نوع الجنس ضد أي مواطن في أي قانون أو تعيين في أي منصب أو عمل في مصلحة عامة أو في تطبيق أي قانون له صلة بامتلاك أو حيازة أو التصرف بأي ملكية أو تأسيس أو إدارة أي عمل تجاري أو مهنة أو حرفة أو عمل</w:t>
      </w:r>
      <w:r>
        <w:rPr>
          <w:rFonts w:hint="eastAsia"/>
          <w:rtl/>
        </w:rPr>
        <w:t>“.</w:t>
      </w:r>
    </w:p>
    <w:p w:rsidR="00155503" w:rsidRDefault="00155503" w:rsidP="00A71FC6">
      <w:pPr>
        <w:pStyle w:val="SingleTxt"/>
        <w:rPr>
          <w:rFonts w:hint="cs"/>
          <w:rtl/>
        </w:rPr>
      </w:pPr>
      <w:r>
        <w:rPr>
          <w:rFonts w:hint="cs"/>
          <w:rtl/>
        </w:rPr>
        <w:t>64 -</w:t>
      </w:r>
      <w:r>
        <w:rPr>
          <w:rFonts w:hint="cs"/>
          <w:rtl/>
        </w:rPr>
        <w:tab/>
        <w:t>ونتيجة لهذا التعديل، يجري حاليا استعراض جميع القوانين النافذة لضمان المساواة بين الجنسين. وسوف تتقيد جميع القوانين الجديدة بمبدأ عدم التمييز. وفي جملة القوانين النافذة التي يجري استعراضها حاليا ما يلي:</w:t>
      </w:r>
    </w:p>
    <w:p w:rsidR="00155503" w:rsidRDefault="00155503" w:rsidP="00B50A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قانون العنف </w:t>
      </w:r>
      <w:r w:rsidR="00B50A9C">
        <w:rPr>
          <w:rFonts w:hint="cs"/>
          <w:rtl/>
        </w:rPr>
        <w:t>العائلي</w:t>
      </w:r>
      <w:r>
        <w:rPr>
          <w:rFonts w:hint="cs"/>
          <w:rtl/>
        </w:rPr>
        <w:t xml:space="preserve"> لعام 1994؛</w:t>
      </w:r>
    </w:p>
    <w:p w:rsidR="00155503" w:rsidRDefault="00155503" w:rsidP="00A71FC6">
      <w:pPr>
        <w:pStyle w:val="SingleTxt"/>
        <w:ind w:left="1930" w:hanging="663"/>
        <w:rPr>
          <w:rFonts w:hint="cs"/>
          <w:rtl/>
        </w:rPr>
      </w:pPr>
      <w:r>
        <w:rPr>
          <w:rFonts w:hint="cs"/>
          <w:rtl/>
        </w:rPr>
        <w:tab/>
      </w:r>
      <w:r>
        <w:rPr>
          <w:rFonts w:hint="cs"/>
          <w:rtl/>
        </w:rPr>
        <w:tab/>
        <w:t xml:space="preserve">وذلك بهدف دراسة الصعوبات التي تواجه عند الحصول </w:t>
      </w:r>
      <w:r w:rsidR="00B50A9C">
        <w:rPr>
          <w:rFonts w:hint="cs"/>
          <w:rtl/>
        </w:rPr>
        <w:t xml:space="preserve">على </w:t>
      </w:r>
      <w:r>
        <w:rPr>
          <w:rFonts w:hint="cs"/>
          <w:rtl/>
        </w:rPr>
        <w:t>أمر الحماية المؤقتة، وصلاحيات القضاة والحاجة إلى تقديم المشورة إلى الضحايا فضلا عن عدم فهم الأحكام الواردة في القانون.</w:t>
      </w:r>
    </w:p>
    <w:p w:rsidR="00155503" w:rsidRDefault="00155503" w:rsidP="00B50A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B50A9C">
        <w:rPr>
          <w:rFonts w:hint="cs"/>
          <w:rtl/>
        </w:rPr>
        <w:t>-</w:t>
      </w:r>
      <w:r>
        <w:rPr>
          <w:rFonts w:hint="cs"/>
          <w:rtl/>
        </w:rPr>
        <w:tab/>
        <w:t>التشريع ذو الصلة بالاغتصاب مثل قانون العقوبات وقانون الإجراءات الجنائية وقانون البينات؛</w:t>
      </w:r>
    </w:p>
    <w:p w:rsidR="00155503" w:rsidRDefault="00155503" w:rsidP="00B50A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قانون إصلاح قوانين </w:t>
      </w:r>
      <w:r w:rsidR="00B50A9C">
        <w:rPr>
          <w:rFonts w:hint="cs"/>
          <w:rtl/>
        </w:rPr>
        <w:t>الزواج والطلاق لعام 1976</w:t>
      </w:r>
      <w:r>
        <w:rPr>
          <w:rFonts w:hint="cs"/>
          <w:rtl/>
        </w:rPr>
        <w:t>، وبخاصة الأحكام الواردة في ا</w:t>
      </w:r>
      <w:r w:rsidR="00B50A9C">
        <w:rPr>
          <w:rFonts w:hint="cs"/>
          <w:rtl/>
        </w:rPr>
        <w:t>لمادة</w:t>
      </w:r>
      <w:r>
        <w:rPr>
          <w:rFonts w:hint="cs"/>
          <w:rtl/>
        </w:rPr>
        <w:t xml:space="preserve"> 51 منه المتصلة بالنفقة وتوزيع الأصول الزوجية ومسألة الحضانة وولاية المحكمة المختصة؛</w:t>
      </w:r>
    </w:p>
    <w:p w:rsidR="00155503" w:rsidRDefault="00155503" w:rsidP="00B50A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الأراضي (مناطق المستوطنات الجماعية) لعام 1960 بش</w:t>
      </w:r>
      <w:r w:rsidR="00B50A9C">
        <w:rPr>
          <w:rFonts w:hint="cs"/>
          <w:rtl/>
        </w:rPr>
        <w:t>أن</w:t>
      </w:r>
      <w:r>
        <w:rPr>
          <w:rFonts w:hint="cs"/>
          <w:rtl/>
        </w:rPr>
        <w:t xml:space="preserve"> حقوق الملكية في الأراضي التي ط</w:t>
      </w:r>
      <w:r w:rsidR="00B50A9C">
        <w:rPr>
          <w:rFonts w:hint="cs"/>
          <w:rtl/>
        </w:rPr>
        <w:t>ُ</w:t>
      </w:r>
      <w:r>
        <w:rPr>
          <w:rFonts w:hint="cs"/>
          <w:rtl/>
        </w:rPr>
        <w:t>و</w:t>
      </w:r>
      <w:r w:rsidR="00B50A9C">
        <w:rPr>
          <w:rFonts w:hint="cs"/>
          <w:rtl/>
        </w:rPr>
        <w:t>ّ</w:t>
      </w:r>
      <w:r>
        <w:rPr>
          <w:rFonts w:hint="cs"/>
          <w:rtl/>
        </w:rPr>
        <w:t xml:space="preserve">رت بموجب برامج استيطان الأراضي </w:t>
      </w:r>
    </w:p>
    <w:p w:rsidR="00D400B5" w:rsidRDefault="00D400B5"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التمييز </w:t>
      </w:r>
      <w:r>
        <w:rPr>
          <w:rtl/>
        </w:rPr>
        <w:t>–</w:t>
      </w:r>
      <w:r>
        <w:rPr>
          <w:rFonts w:hint="cs"/>
          <w:rtl/>
        </w:rPr>
        <w:t xml:space="preserve"> المنظور الماليزي</w:t>
      </w:r>
    </w:p>
    <w:p w:rsidR="00D400B5" w:rsidRDefault="00D400B5" w:rsidP="00A71FC6">
      <w:pPr>
        <w:pStyle w:val="SingleTxt"/>
        <w:rPr>
          <w:rFonts w:hint="cs"/>
          <w:rtl/>
        </w:rPr>
      </w:pPr>
      <w:r>
        <w:rPr>
          <w:rFonts w:hint="cs"/>
          <w:rtl/>
        </w:rPr>
        <w:t>65 -</w:t>
      </w:r>
      <w:r>
        <w:rPr>
          <w:rFonts w:hint="cs"/>
          <w:rtl/>
        </w:rPr>
        <w:tab/>
        <w:t xml:space="preserve">لا يوجد تعريف واضح لمصطلح </w:t>
      </w:r>
      <w:r>
        <w:rPr>
          <w:rFonts w:hint="eastAsia"/>
          <w:rtl/>
        </w:rPr>
        <w:t>”التمييز ضد المرأة</w:t>
      </w:r>
      <w:r>
        <w:rPr>
          <w:rFonts w:hint="cs"/>
          <w:rtl/>
        </w:rPr>
        <w:t>“، لكنه غالبا ما يفسر، لأسباب عملية، على أنه يعني معاملة المرأة معاملة مختلفة عن الرجل على نحو يؤدي إلى الإضرار بها.</w:t>
      </w:r>
    </w:p>
    <w:p w:rsidR="00D400B5" w:rsidRDefault="00D400B5" w:rsidP="00CA41A2">
      <w:pPr>
        <w:pStyle w:val="SingleTxt"/>
        <w:rPr>
          <w:rFonts w:hint="cs"/>
          <w:rtl/>
        </w:rPr>
      </w:pPr>
      <w:r>
        <w:rPr>
          <w:rFonts w:hint="cs"/>
          <w:rtl/>
        </w:rPr>
        <w:t>66 -</w:t>
      </w:r>
      <w:r>
        <w:rPr>
          <w:rFonts w:hint="cs"/>
          <w:rtl/>
        </w:rPr>
        <w:tab/>
        <w:t xml:space="preserve">وتوجد في ماليزيا ممارسات عرفية وتقليدية تميز بين دور المرأة والرجل في </w:t>
      </w:r>
      <w:r w:rsidR="00CA41A2">
        <w:rPr>
          <w:rFonts w:hint="cs"/>
          <w:rtl/>
        </w:rPr>
        <w:t xml:space="preserve">ممارسة أو </w:t>
      </w:r>
      <w:r>
        <w:rPr>
          <w:rFonts w:hint="cs"/>
          <w:rtl/>
        </w:rPr>
        <w:t xml:space="preserve">التمتع </w:t>
      </w:r>
      <w:r w:rsidR="00CA41A2">
        <w:rPr>
          <w:rFonts w:hint="cs"/>
          <w:rtl/>
        </w:rPr>
        <w:t>ب</w:t>
      </w:r>
      <w:r>
        <w:rPr>
          <w:rFonts w:hint="cs"/>
          <w:rtl/>
        </w:rPr>
        <w:t xml:space="preserve">حقوقهما المدنية والسياسية والاقتصادية والاجتماعية والثقافية. بيد أن الحكومة اتخذت تدابير إيجابية للحد من التمييز </w:t>
      </w:r>
      <w:r w:rsidR="00CA41A2">
        <w:rPr>
          <w:rFonts w:hint="cs"/>
          <w:rtl/>
        </w:rPr>
        <w:t>ب</w:t>
      </w:r>
      <w:r>
        <w:rPr>
          <w:rFonts w:hint="cs"/>
          <w:rtl/>
        </w:rPr>
        <w:t>توفير إمكانية وصول متساوية بين الجنسين في التعليم والموارد الاقتصادية والمشاركة السياسية و</w:t>
      </w:r>
      <w:r w:rsidR="00CA41A2">
        <w:rPr>
          <w:rFonts w:hint="cs"/>
          <w:rtl/>
        </w:rPr>
        <w:t xml:space="preserve">فرص </w:t>
      </w:r>
      <w:r>
        <w:rPr>
          <w:rFonts w:hint="cs"/>
          <w:rtl/>
        </w:rPr>
        <w:t>العمل. ويمكن القول بصفة عامة أن القانون النافذ في ماليزيا لا يميز بين المرأة والرجل. غير أن هناك قوانين خاصة صيغت لحماية المرأة من الأفعال الإجرامية التي تتعرض لها المرأة على وجه الحصر من قبيل الاغتصاب.</w:t>
      </w:r>
    </w:p>
    <w:p w:rsidR="00D400B5" w:rsidRDefault="00D400B5" w:rsidP="00A71FC6">
      <w:pPr>
        <w:pStyle w:val="SingleTxt"/>
        <w:rPr>
          <w:rFonts w:hint="cs"/>
          <w:rtl/>
        </w:rPr>
      </w:pPr>
      <w:r>
        <w:rPr>
          <w:rFonts w:hint="cs"/>
          <w:rtl/>
        </w:rPr>
        <w:t>67 -</w:t>
      </w:r>
      <w:r>
        <w:rPr>
          <w:rFonts w:hint="cs"/>
          <w:rtl/>
        </w:rPr>
        <w:tab/>
        <w:t xml:space="preserve">وبذلت الحكومة جهودا من خلال إنشاء وزارة شؤون المرأة وتنمية الأسرة في </w:t>
      </w:r>
      <w:r>
        <w:rPr>
          <w:rtl/>
        </w:rPr>
        <w:t xml:space="preserve">كانون الثاني/يناير </w:t>
      </w:r>
      <w:r>
        <w:rPr>
          <w:rFonts w:hint="cs"/>
          <w:rtl/>
        </w:rPr>
        <w:t>2001 تهدف إلى التعليم والتوعية ورصد وصوغ سياسات وبرامج ملائمة للمرأة. وشرعت تلك الوزارة منذ إنشائها بتطبيق برامج من قبيل برنامج الإلمام بالمسائل القانونية لتثقيف المرأة بحقوقها والقيام بحملات توعية لعامة الجمهور لتعليمهم احترام حقوق المرأة وكرامتها وتوعية صناع السياسة ومنفذيها ومخططيها باحتياجات واهتمامات المرأة.</w:t>
      </w:r>
    </w:p>
    <w:p w:rsidR="00641A30" w:rsidRPr="00641A30" w:rsidRDefault="00641A30" w:rsidP="00641A30">
      <w:pPr>
        <w:pStyle w:val="SingleTxt"/>
        <w:spacing w:after="0" w:line="120" w:lineRule="exact"/>
        <w:rPr>
          <w:rFonts w:hint="cs"/>
          <w:sz w:val="10"/>
          <w:rtl/>
        </w:rPr>
      </w:pPr>
    </w:p>
    <w:p w:rsidR="00D400B5" w:rsidRDefault="00D400B5"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641A30" w:rsidRPr="00641A30" w:rsidRDefault="00641A30" w:rsidP="00641A30">
      <w:pPr>
        <w:pStyle w:val="SingleTxt"/>
        <w:spacing w:after="0" w:line="120" w:lineRule="exact"/>
        <w:rPr>
          <w:rFonts w:hint="cs"/>
          <w:sz w:val="10"/>
          <w:rtl/>
        </w:rPr>
      </w:pPr>
    </w:p>
    <w:p w:rsidR="00D400B5" w:rsidRDefault="00D400B5"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التزامات القضاء على التمييز</w:t>
      </w:r>
    </w:p>
    <w:p w:rsidR="00641A30" w:rsidRPr="00641A30" w:rsidRDefault="00641A30" w:rsidP="00641A30">
      <w:pPr>
        <w:pStyle w:val="SingleTxt"/>
        <w:spacing w:after="0" w:line="120" w:lineRule="exact"/>
        <w:rPr>
          <w:rFonts w:hint="cs"/>
          <w:sz w:val="10"/>
          <w:rtl/>
        </w:rPr>
      </w:pPr>
    </w:p>
    <w:p w:rsidR="00D400B5" w:rsidRDefault="00D400B5"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400B5" w:rsidRDefault="00D400B5" w:rsidP="005D6A66">
      <w:pPr>
        <w:pStyle w:val="SingleTxt"/>
        <w:rPr>
          <w:rFonts w:hint="cs"/>
          <w:rtl/>
        </w:rPr>
      </w:pPr>
      <w:r>
        <w:rPr>
          <w:rFonts w:hint="cs"/>
          <w:rtl/>
        </w:rPr>
        <w:t>68 -</w:t>
      </w:r>
      <w:r>
        <w:rPr>
          <w:rFonts w:hint="cs"/>
          <w:rtl/>
        </w:rPr>
        <w:tab/>
        <w:t xml:space="preserve">في عام 1995، اتخذت ماليزيا خطوات محددة للتصديق على اتفاقية القضاء على جميع أشكال التمييز </w:t>
      </w:r>
      <w:r w:rsidR="005D6A66">
        <w:rPr>
          <w:rFonts w:hint="cs"/>
          <w:rtl/>
        </w:rPr>
        <w:t>ضد المرأة. واقترن الانضمام الأول</w:t>
      </w:r>
      <w:r>
        <w:rPr>
          <w:rFonts w:hint="cs"/>
          <w:rtl/>
        </w:rPr>
        <w:t xml:space="preserve"> للاتفاقية بعدد من التحفظات لأنه ر</w:t>
      </w:r>
      <w:r w:rsidR="005D6A66">
        <w:rPr>
          <w:rFonts w:hint="cs"/>
          <w:rtl/>
        </w:rPr>
        <w:t>ئ</w:t>
      </w:r>
      <w:r>
        <w:rPr>
          <w:rFonts w:hint="cs"/>
          <w:rtl/>
        </w:rPr>
        <w:t>ي أن المواد ذات الصلة تتعارض مع أحكام القوانين النافذة في البلد. وفي المؤتمر العالمي الرابع المعني بالمرأة الذي عقد في بيجين</w:t>
      </w:r>
      <w:r w:rsidR="005D6A66">
        <w:rPr>
          <w:rFonts w:hint="cs"/>
          <w:rtl/>
        </w:rPr>
        <w:t>،</w:t>
      </w:r>
      <w:r>
        <w:rPr>
          <w:rFonts w:hint="cs"/>
          <w:rtl/>
        </w:rPr>
        <w:t xml:space="preserve"> أعرب رئيس الوفد الماليزي صراحة عن التزام بلده بتنفيذ منهاج عمل بيجين وبا</w:t>
      </w:r>
      <w:r w:rsidR="005D6A66">
        <w:rPr>
          <w:rFonts w:hint="cs"/>
          <w:rtl/>
        </w:rPr>
        <w:t xml:space="preserve">عادة النظر في </w:t>
      </w:r>
      <w:r>
        <w:rPr>
          <w:rFonts w:hint="cs"/>
          <w:rtl/>
        </w:rPr>
        <w:t>التحفظات التي وضعت على الاتفاقية</w:t>
      </w:r>
      <w:r w:rsidR="005D6A66">
        <w:rPr>
          <w:rFonts w:hint="cs"/>
          <w:rtl/>
        </w:rPr>
        <w:t>، بقوله</w:t>
      </w:r>
      <w:r>
        <w:rPr>
          <w:rFonts w:hint="cs"/>
          <w:rtl/>
        </w:rPr>
        <w:t>:</w:t>
      </w:r>
    </w:p>
    <w:p w:rsidR="00A90899" w:rsidRDefault="00A90899" w:rsidP="005D6A66">
      <w:pPr>
        <w:pStyle w:val="SingleTxt"/>
        <w:ind w:left="1930" w:hanging="663"/>
        <w:rPr>
          <w:rFonts w:hint="cs"/>
          <w:rtl/>
        </w:rPr>
      </w:pPr>
      <w:r>
        <w:rPr>
          <w:rFonts w:hint="cs"/>
          <w:rtl/>
        </w:rPr>
        <w:tab/>
      </w:r>
      <w:r>
        <w:rPr>
          <w:rFonts w:hint="cs"/>
          <w:rtl/>
        </w:rPr>
        <w:tab/>
      </w:r>
      <w:r>
        <w:rPr>
          <w:rFonts w:hint="eastAsia"/>
          <w:rtl/>
        </w:rPr>
        <w:t>”إن مجرد اجتماعنا في هذا المؤتمر العالمي الرابع يؤكد التزامنا واستعدادنا للتغيير</w:t>
      </w:r>
      <w:r>
        <w:rPr>
          <w:rFonts w:hint="cs"/>
          <w:rtl/>
        </w:rPr>
        <w:t xml:space="preserve"> ... وإن منهاج العمل </w:t>
      </w:r>
      <w:r w:rsidR="005D6A66">
        <w:rPr>
          <w:rFonts w:hint="cs"/>
          <w:rtl/>
        </w:rPr>
        <w:t xml:space="preserve">أداة تمكننا من </w:t>
      </w:r>
      <w:r>
        <w:rPr>
          <w:rFonts w:hint="cs"/>
          <w:rtl/>
        </w:rPr>
        <w:t>تفعيل الالتزام على نحو يؤدي إلى إجراء تغيير جذري ... وإن الحكومة الماليزية ملتزمة بالمساواة في الحقوق والمسؤوليات وتكافؤ الفرص ومشاركة الرجال والنساء على قدم المساواة</w:t>
      </w:r>
      <w:r>
        <w:rPr>
          <w:rFonts w:hint="eastAsia"/>
          <w:rtl/>
        </w:rPr>
        <w:t xml:space="preserve">“ (داتو سيري دكتور سيتي هاسما حاج محمد علي، رئيس الوفد الماليزي </w:t>
      </w:r>
      <w:r>
        <w:rPr>
          <w:rFonts w:hint="cs"/>
          <w:rtl/>
        </w:rPr>
        <w:t>إلى</w:t>
      </w:r>
      <w:r>
        <w:rPr>
          <w:rFonts w:hint="eastAsia"/>
          <w:rtl/>
        </w:rPr>
        <w:t xml:space="preserve"> </w:t>
      </w:r>
      <w:r>
        <w:rPr>
          <w:rFonts w:hint="cs"/>
          <w:rtl/>
        </w:rPr>
        <w:t>المؤتمر العالمي الرابع المعني بالمرأة المعقود في بيجين عام 1995).</w:t>
      </w:r>
    </w:p>
    <w:p w:rsidR="00A90899" w:rsidRDefault="00A90899" w:rsidP="005D6A66">
      <w:pPr>
        <w:pStyle w:val="SingleTxt"/>
        <w:rPr>
          <w:rFonts w:hint="cs"/>
          <w:rtl/>
        </w:rPr>
      </w:pPr>
      <w:r>
        <w:rPr>
          <w:rFonts w:hint="cs"/>
          <w:rtl/>
        </w:rPr>
        <w:t>69 -</w:t>
      </w:r>
      <w:r>
        <w:rPr>
          <w:rFonts w:hint="cs"/>
          <w:rtl/>
        </w:rPr>
        <w:tab/>
        <w:t xml:space="preserve">وفي أعقاب مؤتمر بيجين، اتخذت خطوات </w:t>
      </w:r>
      <w:r w:rsidR="005D6A66">
        <w:rPr>
          <w:rFonts w:hint="cs"/>
          <w:rtl/>
        </w:rPr>
        <w:t xml:space="preserve">لإعادة النظر في </w:t>
      </w:r>
      <w:r>
        <w:rPr>
          <w:rFonts w:hint="cs"/>
          <w:rtl/>
        </w:rPr>
        <w:t>التحفظات التي وضعتها ماليزيا على الاتفاقية. ونتيجة لذلك، س</w:t>
      </w:r>
      <w:r w:rsidR="00E81651">
        <w:rPr>
          <w:rFonts w:hint="cs"/>
          <w:rtl/>
        </w:rPr>
        <w:t>ُ</w:t>
      </w:r>
      <w:r>
        <w:rPr>
          <w:rFonts w:hint="cs"/>
          <w:rtl/>
        </w:rPr>
        <w:t>حبت التحفظات على المواد 2 (و) و 9 (1) و 16 (ب) و (د) , (هـ) و (ح) وقدمت إعلانات بخصوص</w:t>
      </w:r>
      <w:r w:rsidR="005D6A66">
        <w:rPr>
          <w:rFonts w:hint="cs"/>
          <w:rtl/>
        </w:rPr>
        <w:t xml:space="preserve"> المواد 5 (أ) و 7 (ب) و 9 (2) و</w:t>
      </w:r>
      <w:r w:rsidR="005D6A66">
        <w:rPr>
          <w:rFonts w:hint="eastAsia"/>
          <w:rtl/>
        </w:rPr>
        <w:t> </w:t>
      </w:r>
      <w:r>
        <w:rPr>
          <w:rFonts w:hint="cs"/>
          <w:rtl/>
        </w:rPr>
        <w:t>16 (1) (أ) و 16 (2).</w:t>
      </w:r>
    </w:p>
    <w:p w:rsidR="00A90899" w:rsidRDefault="00A90899" w:rsidP="00E81651">
      <w:pPr>
        <w:pStyle w:val="SingleTxt"/>
        <w:rPr>
          <w:rFonts w:hint="cs"/>
          <w:rtl/>
        </w:rPr>
      </w:pPr>
      <w:r>
        <w:rPr>
          <w:rFonts w:hint="cs"/>
          <w:rtl/>
        </w:rPr>
        <w:t xml:space="preserve">أما التحفظات المتبقية على المواد </w:t>
      </w:r>
      <w:r w:rsidR="00E81651">
        <w:rPr>
          <w:rFonts w:hint="cs"/>
          <w:rtl/>
        </w:rPr>
        <w:t xml:space="preserve">فلم تسحب بسبب تعارضها </w:t>
      </w:r>
      <w:r>
        <w:rPr>
          <w:rFonts w:hint="cs"/>
          <w:rtl/>
        </w:rPr>
        <w:t>مع أحكام الشريعة الإسلامية والدستور الاتحادي لماليزيا.</w:t>
      </w:r>
    </w:p>
    <w:p w:rsidR="00641A30" w:rsidRPr="00641A30" w:rsidRDefault="00641A30" w:rsidP="00641A30">
      <w:pPr>
        <w:pStyle w:val="SingleTxt"/>
        <w:spacing w:after="0" w:line="120" w:lineRule="exact"/>
        <w:rPr>
          <w:rFonts w:hint="cs"/>
          <w:sz w:val="10"/>
          <w:rtl/>
        </w:rPr>
      </w:pPr>
    </w:p>
    <w:p w:rsidR="00A90899" w:rsidRDefault="00A90899" w:rsidP="00A71FC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rPr>
      </w:pPr>
      <w:r>
        <w:rPr>
          <w:rFonts w:hint="cs"/>
          <w:rtl/>
        </w:rPr>
        <w:tab/>
      </w:r>
      <w:r>
        <w:rPr>
          <w:rFonts w:hint="cs"/>
          <w:rtl/>
        </w:rPr>
        <w:tab/>
        <w:t xml:space="preserve">الالتزامات الوطنية بالقضاء على التمييز </w:t>
      </w:r>
    </w:p>
    <w:p w:rsidR="00A90899" w:rsidRDefault="00A90899" w:rsidP="00A71FC6">
      <w:pPr>
        <w:pStyle w:val="SingleTxt"/>
        <w:rPr>
          <w:rFonts w:hint="cs"/>
          <w:rtl/>
        </w:rPr>
      </w:pPr>
      <w:r>
        <w:rPr>
          <w:rFonts w:hint="cs"/>
          <w:rtl/>
        </w:rPr>
        <w:t>70 -</w:t>
      </w:r>
      <w:r>
        <w:rPr>
          <w:rFonts w:hint="cs"/>
          <w:rtl/>
        </w:rPr>
        <w:tab/>
        <w:t>على نحو ما ذكر آنفا، ينص الدستور الاتحادي على توفير حماية متساوية لجميع الأشخاص. وفي جميع المجالات، لا تميز الأحكام الواردة في الدستور الاتحادي أو في القوانين بين الرجال والنساء (ومثال ذلك الأحكام المتعلقة بالاشتراك في الانتخابات أو في شغل أي منصب سياسي أو إداري أو من نواحي التعليم</w:t>
      </w:r>
      <w:r w:rsidR="00E81651">
        <w:rPr>
          <w:rFonts w:hint="cs"/>
          <w:rtl/>
        </w:rPr>
        <w:t>)</w:t>
      </w:r>
      <w:r>
        <w:rPr>
          <w:rFonts w:hint="cs"/>
          <w:rtl/>
        </w:rPr>
        <w:t>.</w:t>
      </w:r>
    </w:p>
    <w:p w:rsidR="00145B0B" w:rsidRDefault="00A90899" w:rsidP="00145B0B">
      <w:pPr>
        <w:pStyle w:val="SingleTxt"/>
        <w:rPr>
          <w:rFonts w:hint="cs"/>
          <w:rtl/>
        </w:rPr>
      </w:pPr>
      <w:r>
        <w:rPr>
          <w:rFonts w:hint="cs"/>
          <w:rtl/>
        </w:rPr>
        <w:t>71 -</w:t>
      </w:r>
      <w:r>
        <w:rPr>
          <w:rFonts w:hint="cs"/>
          <w:rtl/>
        </w:rPr>
        <w:tab/>
      </w:r>
      <w:r w:rsidR="001D54DE">
        <w:rPr>
          <w:rFonts w:hint="cs"/>
          <w:rtl/>
        </w:rPr>
        <w:t xml:space="preserve">وفي الواقع تستهدف بعض القوانين الاعتراف بالمرأة وحمايتها على وجه التحديد. إذ </w:t>
      </w:r>
      <w:r w:rsidR="00E81651">
        <w:rPr>
          <w:rFonts w:hint="cs"/>
          <w:rtl/>
        </w:rPr>
        <w:t>تُعدِّد</w:t>
      </w:r>
      <w:r w:rsidR="001D54DE">
        <w:rPr>
          <w:rFonts w:hint="cs"/>
          <w:rtl/>
        </w:rPr>
        <w:t xml:space="preserve"> التشريعات الجزائية مثل قانون العقوبات بالتفصيل الجرائم ضد المرأة من قبيل الاعتداء عليها أو استخدام القوة الجنائية على شخصها بنية الاعتداء على عفتها</w:t>
      </w:r>
      <w:r w:rsidR="009A2AD0" w:rsidRPr="009A2AD0">
        <w:rPr>
          <w:rFonts w:hint="cs"/>
          <w:vertAlign w:val="superscript"/>
          <w:rtl/>
        </w:rPr>
        <w:t>(1)</w:t>
      </w:r>
      <w:r w:rsidR="009A2AD0">
        <w:rPr>
          <w:rFonts w:hint="cs"/>
          <w:vertAlign w:val="superscript"/>
          <w:rtl/>
        </w:rPr>
        <w:t xml:space="preserve"> </w:t>
      </w:r>
      <w:r w:rsidR="009A2AD0">
        <w:rPr>
          <w:rFonts w:hint="cs"/>
          <w:rtl/>
        </w:rPr>
        <w:t>والجرائم المتعلقة بالدعارة</w:t>
      </w:r>
      <w:r w:rsidR="009A2AD0" w:rsidRPr="009A2AD0">
        <w:rPr>
          <w:rFonts w:hint="cs"/>
          <w:vertAlign w:val="superscript"/>
          <w:rtl/>
        </w:rPr>
        <w:t>(2)</w:t>
      </w:r>
      <w:r w:rsidR="009A2AD0">
        <w:rPr>
          <w:rFonts w:hint="cs"/>
          <w:rtl/>
        </w:rPr>
        <w:t xml:space="preserve"> والاغتصاب</w:t>
      </w:r>
      <w:r w:rsidR="009A2AD0" w:rsidRPr="009A2AD0">
        <w:rPr>
          <w:rFonts w:hint="cs"/>
          <w:vertAlign w:val="superscript"/>
          <w:rtl/>
        </w:rPr>
        <w:t>(3)</w:t>
      </w:r>
      <w:r w:rsidR="009A2AD0">
        <w:rPr>
          <w:rFonts w:hint="cs"/>
          <w:vertAlign w:val="superscript"/>
          <w:rtl/>
        </w:rPr>
        <w:t xml:space="preserve"> </w:t>
      </w:r>
      <w:r w:rsidR="009A2AD0">
        <w:rPr>
          <w:rFonts w:hint="cs"/>
          <w:rtl/>
        </w:rPr>
        <w:t>والجرائم المتصلة بالزواج</w:t>
      </w:r>
      <w:r w:rsidR="009A2AD0" w:rsidRPr="009A2AD0">
        <w:rPr>
          <w:rFonts w:hint="cs"/>
          <w:vertAlign w:val="superscript"/>
          <w:rtl/>
        </w:rPr>
        <w:t>(4)</w:t>
      </w:r>
      <w:r w:rsidR="009A2AD0">
        <w:rPr>
          <w:rFonts w:hint="cs"/>
          <w:vertAlign w:val="superscript"/>
          <w:rtl/>
        </w:rPr>
        <w:t xml:space="preserve"> </w:t>
      </w:r>
      <w:r w:rsidR="009A2AD0">
        <w:rPr>
          <w:rFonts w:hint="cs"/>
          <w:rtl/>
        </w:rPr>
        <w:t>(مثل المساكنة الزوجية التي تحدث بفعل رجل ويهدف من ورائها إلى إيهام الآخرين بوجود زواج قانوني</w:t>
      </w:r>
      <w:r w:rsidR="00E81651">
        <w:rPr>
          <w:rFonts w:hint="cs"/>
          <w:rtl/>
        </w:rPr>
        <w:t>،</w:t>
      </w:r>
      <w:r w:rsidR="009A2AD0">
        <w:rPr>
          <w:rFonts w:hint="cs"/>
          <w:rtl/>
        </w:rPr>
        <w:t xml:space="preserve"> أو إغواء امرأة متزوجة أو نقلها أو احتجازها بقصد جرمي). وثمة تشريعات أخرى منها قانون الطفل لعام 2001</w:t>
      </w:r>
      <w:r w:rsidR="00A30097">
        <w:rPr>
          <w:rFonts w:hint="cs"/>
          <w:rtl/>
        </w:rPr>
        <w:t xml:space="preserve"> (القانون رقم 611) الذي يحمي الطفلة من أنشطة الدعارة فضلا عن أنه يوفر </w:t>
      </w:r>
      <w:r w:rsidR="00A30097">
        <w:rPr>
          <w:rFonts w:hint="eastAsia"/>
          <w:rtl/>
        </w:rPr>
        <w:t>”مسا</w:t>
      </w:r>
      <w:r w:rsidR="00A30097">
        <w:rPr>
          <w:rFonts w:hint="cs"/>
          <w:rtl/>
        </w:rPr>
        <w:t>ك</w:t>
      </w:r>
      <w:r w:rsidR="00A30097">
        <w:rPr>
          <w:rFonts w:hint="eastAsia"/>
          <w:rtl/>
        </w:rPr>
        <w:t>ن</w:t>
      </w:r>
      <w:r w:rsidR="00A30097">
        <w:rPr>
          <w:rFonts w:hint="cs"/>
          <w:rtl/>
        </w:rPr>
        <w:t xml:space="preserve"> حماية</w:t>
      </w:r>
      <w:r w:rsidR="00A30097">
        <w:rPr>
          <w:rFonts w:hint="eastAsia"/>
          <w:rtl/>
        </w:rPr>
        <w:t>“ وقانون العنف العائلي لعام 1994 (القانون رقم 521) (ولئن كان هذا الأخير يوفر الحماية للضحايا من الذكور والنساء على حد سواء</w:t>
      </w:r>
      <w:r w:rsidR="00E81651">
        <w:rPr>
          <w:rFonts w:hint="cs"/>
          <w:rtl/>
        </w:rPr>
        <w:t>،</w:t>
      </w:r>
      <w:r w:rsidR="00A30097">
        <w:rPr>
          <w:rFonts w:hint="eastAsia"/>
          <w:rtl/>
        </w:rPr>
        <w:t xml:space="preserve"> ولهذا فهو لا يخص المرأة حصرا</w:t>
      </w:r>
      <w:r w:rsidR="00E81651">
        <w:rPr>
          <w:rFonts w:hint="cs"/>
          <w:rtl/>
        </w:rPr>
        <w:t>،</w:t>
      </w:r>
      <w:r w:rsidR="00A30097">
        <w:rPr>
          <w:rFonts w:hint="eastAsia"/>
          <w:rtl/>
        </w:rPr>
        <w:t xml:space="preserve"> علما أن الحكومة والمنظمات غير الحكومية أقرتا بأن ضحايا العنف العائلي هم من النساء بصورة رئيسية)</w:t>
      </w:r>
      <w:r w:rsidR="00A30097">
        <w:rPr>
          <w:rFonts w:hint="cs"/>
          <w:rtl/>
        </w:rPr>
        <w:t>.</w:t>
      </w:r>
    </w:p>
    <w:p w:rsidR="00A30097" w:rsidRPr="009A2AD0" w:rsidRDefault="00A30097" w:rsidP="00145B0B">
      <w:pPr>
        <w:framePr w:w="9792" w:h="432" w:hSpace="180" w:wrap="around" w:vAnchor="page" w:hAnchor="page" w:x="1200" w:y="11283"/>
        <w:jc w:val="lowKashida"/>
        <w:rPr>
          <w:szCs w:val="10"/>
          <w:rtl/>
        </w:rPr>
      </w:pPr>
    </w:p>
    <w:p w:rsidR="00A30097" w:rsidRPr="009A2AD0" w:rsidRDefault="00A30097" w:rsidP="00145B0B">
      <w:pPr>
        <w:framePr w:w="9792" w:h="432" w:hSpace="180" w:wrap="around" w:vAnchor="page" w:hAnchor="page" w:x="1200" w:y="11283"/>
        <w:jc w:val="lowKashida"/>
        <w:rPr>
          <w:szCs w:val="6"/>
          <w:rtl/>
        </w:rPr>
      </w:pPr>
    </w:p>
    <w:p w:rsidR="00A30097" w:rsidRDefault="00A30097" w:rsidP="00145B0B">
      <w:pPr>
        <w:framePr w:w="9792" w:h="432" w:hSpace="180" w:wrap="around" w:vAnchor="page" w:hAnchor="page" w:x="1200" w:y="11283"/>
        <w:tabs>
          <w:tab w:val="right" w:pos="1195"/>
          <w:tab w:val="left" w:pos="1267"/>
          <w:tab w:val="right" w:pos="1655"/>
          <w:tab w:val="right" w:pos="1861"/>
        </w:tabs>
        <w:ind w:left="1267" w:right="1267" w:hanging="547"/>
        <w:rPr>
          <w:rFonts w:hint="cs"/>
          <w:sz w:val="17"/>
          <w:szCs w:val="26"/>
          <w:rtl/>
        </w:rPr>
      </w:pPr>
      <w:r>
        <w:rPr>
          <w:noProof/>
          <w:w w:val="100"/>
        </w:rPr>
        <w:pict>
          <v:line id="_x0000_s2080" style="position:absolute;left:0;text-align:left;z-index:9" from="379.5pt,-1pt" to="451.5pt,-1pt"/>
        </w:pict>
      </w:r>
      <w:r>
        <w:rPr>
          <w:rFonts w:hint="cs"/>
          <w:sz w:val="17"/>
          <w:szCs w:val="26"/>
          <w:rtl/>
        </w:rPr>
        <w:tab/>
      </w:r>
      <w:r>
        <w:rPr>
          <w:rFonts w:hint="cs"/>
          <w:sz w:val="17"/>
          <w:szCs w:val="26"/>
          <w:rtl/>
        </w:rPr>
        <w:tab/>
        <w:t>(1)</w:t>
      </w:r>
      <w:r>
        <w:rPr>
          <w:rFonts w:hint="cs"/>
          <w:sz w:val="17"/>
          <w:szCs w:val="26"/>
          <w:rtl/>
        </w:rPr>
        <w:tab/>
      </w:r>
      <w:r w:rsidR="00807715">
        <w:rPr>
          <w:rFonts w:hint="cs"/>
          <w:sz w:val="17"/>
          <w:szCs w:val="26"/>
          <w:rtl/>
        </w:rPr>
        <w:tab/>
      </w:r>
      <w:r w:rsidR="00E81651">
        <w:rPr>
          <w:rFonts w:hint="cs"/>
          <w:sz w:val="17"/>
          <w:szCs w:val="26"/>
          <w:rtl/>
        </w:rPr>
        <w:t>المادة 354 من قانون العقوبات</w:t>
      </w:r>
    </w:p>
    <w:p w:rsidR="00A30097" w:rsidRDefault="00A30097" w:rsidP="00145B0B">
      <w:pPr>
        <w:framePr w:w="9792" w:h="432" w:hSpace="180" w:wrap="around" w:vAnchor="page" w:hAnchor="page" w:x="1200" w:y="11283"/>
        <w:tabs>
          <w:tab w:val="right" w:pos="1195"/>
          <w:tab w:val="left" w:pos="1267"/>
          <w:tab w:val="right" w:pos="1655"/>
          <w:tab w:val="right" w:pos="1861"/>
        </w:tabs>
        <w:ind w:left="1267" w:right="1267" w:hanging="547"/>
        <w:rPr>
          <w:rFonts w:hint="cs"/>
          <w:sz w:val="17"/>
          <w:szCs w:val="26"/>
          <w:rtl/>
        </w:rPr>
      </w:pPr>
      <w:r>
        <w:rPr>
          <w:rFonts w:hint="cs"/>
          <w:sz w:val="17"/>
          <w:szCs w:val="26"/>
          <w:rtl/>
        </w:rPr>
        <w:tab/>
      </w:r>
      <w:r>
        <w:rPr>
          <w:rFonts w:hint="cs"/>
          <w:sz w:val="17"/>
          <w:szCs w:val="26"/>
          <w:rtl/>
        </w:rPr>
        <w:tab/>
        <w:t>(2)</w:t>
      </w:r>
      <w:r w:rsidR="00807715">
        <w:rPr>
          <w:rFonts w:hint="cs"/>
          <w:sz w:val="17"/>
          <w:szCs w:val="26"/>
          <w:rtl/>
        </w:rPr>
        <w:tab/>
      </w:r>
      <w:r w:rsidR="00807715">
        <w:rPr>
          <w:rFonts w:hint="cs"/>
          <w:sz w:val="17"/>
          <w:szCs w:val="26"/>
          <w:rtl/>
        </w:rPr>
        <w:tab/>
        <w:t>المادتان 372 و 373 من المرجع نفسه.</w:t>
      </w:r>
    </w:p>
    <w:p w:rsidR="00A30097" w:rsidRDefault="00A30097" w:rsidP="00145B0B">
      <w:pPr>
        <w:framePr w:w="9792" w:h="432" w:hSpace="180" w:wrap="around" w:vAnchor="page" w:hAnchor="page" w:x="1200" w:y="11283"/>
        <w:tabs>
          <w:tab w:val="right" w:pos="1195"/>
          <w:tab w:val="left" w:pos="1267"/>
          <w:tab w:val="right" w:pos="1655"/>
          <w:tab w:val="right" w:pos="1861"/>
        </w:tabs>
        <w:ind w:left="1267" w:right="1267" w:hanging="547"/>
        <w:rPr>
          <w:rFonts w:hint="cs"/>
          <w:sz w:val="17"/>
          <w:szCs w:val="26"/>
          <w:rtl/>
        </w:rPr>
      </w:pPr>
      <w:r>
        <w:rPr>
          <w:rFonts w:hint="cs"/>
          <w:sz w:val="17"/>
          <w:szCs w:val="26"/>
          <w:rtl/>
        </w:rPr>
        <w:tab/>
      </w:r>
      <w:r>
        <w:rPr>
          <w:rFonts w:hint="cs"/>
          <w:sz w:val="17"/>
          <w:szCs w:val="26"/>
          <w:rtl/>
        </w:rPr>
        <w:tab/>
        <w:t>(3)</w:t>
      </w:r>
      <w:r w:rsidR="00807715">
        <w:rPr>
          <w:rFonts w:hint="cs"/>
          <w:sz w:val="17"/>
          <w:szCs w:val="26"/>
          <w:rtl/>
        </w:rPr>
        <w:tab/>
      </w:r>
      <w:r w:rsidR="00807715">
        <w:rPr>
          <w:rFonts w:hint="cs"/>
          <w:sz w:val="17"/>
          <w:szCs w:val="26"/>
          <w:rtl/>
        </w:rPr>
        <w:tab/>
        <w:t>المادة 376 من المرجع نفسه.</w:t>
      </w:r>
    </w:p>
    <w:p w:rsidR="00A30097" w:rsidRPr="009A2AD0" w:rsidRDefault="00A30097" w:rsidP="00145B0B">
      <w:pPr>
        <w:framePr w:w="9792" w:h="432" w:hSpace="180" w:wrap="around" w:vAnchor="page" w:hAnchor="page" w:x="1200" w:y="11283"/>
        <w:tabs>
          <w:tab w:val="right" w:pos="1195"/>
          <w:tab w:val="left" w:pos="1267"/>
          <w:tab w:val="right" w:pos="1655"/>
          <w:tab w:val="right" w:pos="1861"/>
        </w:tabs>
        <w:ind w:left="1267" w:right="1267" w:hanging="547"/>
        <w:rPr>
          <w:rFonts w:hint="cs"/>
          <w:sz w:val="17"/>
          <w:szCs w:val="26"/>
        </w:rPr>
      </w:pPr>
      <w:r>
        <w:rPr>
          <w:rFonts w:hint="cs"/>
          <w:sz w:val="17"/>
          <w:szCs w:val="26"/>
          <w:rtl/>
        </w:rPr>
        <w:tab/>
      </w:r>
      <w:r>
        <w:rPr>
          <w:rFonts w:hint="cs"/>
          <w:sz w:val="17"/>
          <w:szCs w:val="26"/>
          <w:rtl/>
        </w:rPr>
        <w:tab/>
        <w:t>(4)</w:t>
      </w:r>
      <w:r w:rsidR="00807715">
        <w:rPr>
          <w:rFonts w:hint="cs"/>
          <w:sz w:val="17"/>
          <w:szCs w:val="26"/>
          <w:rtl/>
        </w:rPr>
        <w:tab/>
      </w:r>
      <w:r w:rsidR="00807715">
        <w:rPr>
          <w:rFonts w:hint="cs"/>
          <w:sz w:val="17"/>
          <w:szCs w:val="26"/>
          <w:rtl/>
        </w:rPr>
        <w:tab/>
        <w:t>المواد 493-498 من المرجع نفسه.</w:t>
      </w:r>
    </w:p>
    <w:p w:rsidR="00807715" w:rsidRDefault="00A30097" w:rsidP="00807715">
      <w:pPr>
        <w:pStyle w:val="SingleTxt"/>
        <w:rPr>
          <w:rtl/>
        </w:rPr>
      </w:pPr>
      <w:r>
        <w:rPr>
          <w:rtl/>
        </w:rPr>
        <w:br w:type="page"/>
      </w:r>
      <w:r w:rsidR="00807715">
        <w:rPr>
          <w:rFonts w:hint="cs"/>
          <w:rtl/>
        </w:rPr>
        <w:t>72-</w:t>
      </w:r>
      <w:r w:rsidR="00807715">
        <w:rPr>
          <w:rFonts w:hint="cs"/>
          <w:rtl/>
        </w:rPr>
        <w:tab/>
        <w:t>وفي المسائل المدنية، توجد تشريعات من قبيل قانون المرأة المتزوجة لعام 1950 (القانون رقم 450) وقانون المرأة المتزوجة والأطفال (النفقة) لعام 1950 (القانون رقم 263) وغير ذلك من التشريعات التي تتضمن نصوصا لصالح المرأة مثل القوانين المتصلة بالعمل. فعلى سبيل المثال، تدفع مخصصات الضمان الاجتماعي العائدة للزوج إلى الزوجة عند وفاته وذلك بموجب أحكام قانون الضمان الاجتماعي الخاص بالعاملين لعام 1969 (القانون رقم 4).</w:t>
      </w:r>
    </w:p>
    <w:p w:rsidR="00A90899" w:rsidRDefault="004F6563" w:rsidP="00807715">
      <w:pPr>
        <w:pStyle w:val="SingleTxt"/>
        <w:rPr>
          <w:rFonts w:hint="cs"/>
          <w:rtl/>
        </w:rPr>
      </w:pPr>
      <w:r>
        <w:rPr>
          <w:rFonts w:hint="cs"/>
          <w:rtl/>
        </w:rPr>
        <w:t>73 -</w:t>
      </w:r>
      <w:r>
        <w:rPr>
          <w:rFonts w:hint="cs"/>
          <w:rtl/>
        </w:rPr>
        <w:tab/>
        <w:t>وبالإضافة إلى ذلك، اتخذت الحكومة إجراءات لسن تشريعات أو تعديلها بمبادرة من لدنها أو استجابة لنداءات من المنظمات النسائية تطالبها بالقضاء على التمييز ضد المرأة. وفي جملة تلك التغييرات ما يلي:</w:t>
      </w:r>
    </w:p>
    <w:p w:rsidR="004F6563" w:rsidRDefault="004F6563" w:rsidP="00A71FC6">
      <w:pPr>
        <w:pStyle w:val="SingleTxt"/>
        <w:ind w:left="2592" w:hanging="1325"/>
        <w:rPr>
          <w:rFonts w:hint="cs"/>
          <w:rtl/>
        </w:rPr>
      </w:pPr>
      <w:r>
        <w:rPr>
          <w:rFonts w:hint="cs"/>
          <w:rtl/>
        </w:rPr>
        <w:tab/>
        <w:t>’1‘</w:t>
      </w:r>
      <w:r>
        <w:rPr>
          <w:rFonts w:hint="cs"/>
          <w:rtl/>
        </w:rPr>
        <w:tab/>
        <w:t xml:space="preserve">إدخال تعديلات في عام 1975 على قانون ضريبة الدخل لعام 1967 (بصيغته المنقحة في عام 1971) (القانون رقم 53) تبيح </w:t>
      </w:r>
      <w:r w:rsidR="008743A7">
        <w:rPr>
          <w:rFonts w:hint="cs"/>
          <w:rtl/>
        </w:rPr>
        <w:t>ل</w:t>
      </w:r>
      <w:r>
        <w:rPr>
          <w:rFonts w:hint="cs"/>
          <w:rtl/>
        </w:rPr>
        <w:t>لزوجة اختيار إجراء تقييم مستقل لدخلها للأغراض الضريبية. ومن قبله، كانت الزوجة ت</w:t>
      </w:r>
      <w:r w:rsidR="008743A7">
        <w:rPr>
          <w:rFonts w:hint="cs"/>
          <w:rtl/>
        </w:rPr>
        <w:t>ُ</w:t>
      </w:r>
      <w:r>
        <w:rPr>
          <w:rFonts w:hint="cs"/>
          <w:rtl/>
        </w:rPr>
        <w:t>كل</w:t>
      </w:r>
      <w:r w:rsidR="008743A7">
        <w:rPr>
          <w:rFonts w:hint="cs"/>
          <w:rtl/>
        </w:rPr>
        <w:t>َّ</w:t>
      </w:r>
      <w:r>
        <w:rPr>
          <w:rFonts w:hint="cs"/>
          <w:rtl/>
        </w:rPr>
        <w:t>ف بالضريبة بالاشتراك مع زوجها؛</w:t>
      </w:r>
    </w:p>
    <w:p w:rsidR="004F6563" w:rsidRDefault="004F6563" w:rsidP="00A71FC6">
      <w:pPr>
        <w:pStyle w:val="SingleTxt"/>
        <w:ind w:left="2592" w:hanging="1325"/>
        <w:rPr>
          <w:rFonts w:hint="cs"/>
          <w:rtl/>
        </w:rPr>
      </w:pPr>
      <w:r>
        <w:rPr>
          <w:rFonts w:hint="cs"/>
          <w:rtl/>
        </w:rPr>
        <w:tab/>
        <w:t>’2‘</w:t>
      </w:r>
      <w:r>
        <w:rPr>
          <w:rFonts w:hint="cs"/>
          <w:rtl/>
        </w:rPr>
        <w:tab/>
        <w:t>إدخال تعديلات في عام 1989 على قانون العقوبات لتشديد العقوبات على جريمة الاغتصاب وإدخال تعديلات عليه في عام 2002 لتشديد العقوبات على الجرائم ذات الصلة بالدعارة؛</w:t>
      </w:r>
    </w:p>
    <w:p w:rsidR="004F6563" w:rsidRDefault="004F6563" w:rsidP="00A71FC6">
      <w:pPr>
        <w:pStyle w:val="SingleTxt"/>
        <w:ind w:left="2592" w:hanging="1325"/>
        <w:rPr>
          <w:rFonts w:hint="cs"/>
          <w:rtl/>
        </w:rPr>
      </w:pPr>
      <w:r>
        <w:rPr>
          <w:rFonts w:hint="cs"/>
          <w:rtl/>
        </w:rPr>
        <w:tab/>
        <w:t>’3‘</w:t>
      </w:r>
      <w:r>
        <w:rPr>
          <w:rFonts w:hint="cs"/>
          <w:rtl/>
        </w:rPr>
        <w:tab/>
        <w:t>سن قانون العنف العائلي في عام 1994 (القانون رقم 521) لتوفير الحماية للزوجات اللائي يتعرضن للضرب وغيرهن من ضحايا العنف العائلي؛</w:t>
      </w:r>
    </w:p>
    <w:p w:rsidR="004F6563" w:rsidRDefault="004F6563" w:rsidP="00AD6298">
      <w:pPr>
        <w:pStyle w:val="SingleTxt"/>
        <w:ind w:left="2592" w:hanging="1325"/>
        <w:rPr>
          <w:rFonts w:hint="cs"/>
          <w:rtl/>
        </w:rPr>
      </w:pPr>
      <w:r>
        <w:rPr>
          <w:rFonts w:hint="cs"/>
          <w:rtl/>
        </w:rPr>
        <w:tab/>
        <w:t>’4‘</w:t>
      </w:r>
      <w:r>
        <w:rPr>
          <w:rFonts w:hint="cs"/>
          <w:rtl/>
        </w:rPr>
        <w:tab/>
        <w:t>إدخال تعديلات في عام 1997 على قانون التوزيع لعام 1958</w:t>
      </w:r>
      <w:r w:rsidR="008743A7">
        <w:rPr>
          <w:rFonts w:hint="cs"/>
          <w:rtl/>
        </w:rPr>
        <w:t xml:space="preserve"> (القانون رقم 300) </w:t>
      </w:r>
      <w:r>
        <w:rPr>
          <w:rFonts w:hint="cs"/>
          <w:rtl/>
        </w:rPr>
        <w:t>لإلغاء التمييز بين الزوجات والأزواج من حيث توزيع التركة غير الموصى بها على الزوج المتبقي منهما على قيد الحياة. ومن قبله، كان يحق للزوجة التي يتوفى عنها زوجها أخذ ثلث تركة زوجها فقط في حين كان يحق للزوج الذي تتوفى عنه زوجته أن يأخذ كامل تركتها؛</w:t>
      </w:r>
    </w:p>
    <w:p w:rsidR="004F6563" w:rsidRDefault="004F6563" w:rsidP="008743A7">
      <w:pPr>
        <w:pStyle w:val="SingleTxt"/>
        <w:ind w:left="2592" w:hanging="1325"/>
        <w:rPr>
          <w:rFonts w:hint="cs"/>
          <w:rtl/>
        </w:rPr>
      </w:pPr>
      <w:r>
        <w:rPr>
          <w:rFonts w:hint="cs"/>
          <w:rtl/>
        </w:rPr>
        <w:tab/>
        <w:t>’5‘</w:t>
      </w:r>
      <w:r>
        <w:rPr>
          <w:rFonts w:hint="cs"/>
          <w:rtl/>
        </w:rPr>
        <w:tab/>
        <w:t xml:space="preserve">إدخال تعديلات في عام 1999 على قانون </w:t>
      </w:r>
      <w:r w:rsidR="008743A7">
        <w:rPr>
          <w:rFonts w:hint="cs"/>
          <w:rtl/>
        </w:rPr>
        <w:t>الولاية</w:t>
      </w:r>
      <w:r>
        <w:rPr>
          <w:rFonts w:hint="cs"/>
          <w:rtl/>
        </w:rPr>
        <w:t xml:space="preserve"> على الأطفال الرضع لعام 1961 (القانون رقم 351) لمنح اعتراف قانوني بالحقوق الوالدية للأمهات. ومن قبله، كان يعترف لوالد الطفل الرضيع فقط با</w:t>
      </w:r>
      <w:r w:rsidR="008743A7">
        <w:rPr>
          <w:rFonts w:hint="cs"/>
          <w:rtl/>
        </w:rPr>
        <w:t>لولاية</w:t>
      </w:r>
      <w:r>
        <w:rPr>
          <w:rFonts w:hint="cs"/>
          <w:rtl/>
        </w:rPr>
        <w:t xml:space="preserve"> على شخص أو مال الطفل الرضيع. وأصبح القانون ينص الآن على ما يلي:</w:t>
      </w:r>
      <w:r w:rsidR="00F74F97">
        <w:rPr>
          <w:rFonts w:hint="cs"/>
          <w:rtl/>
        </w:rPr>
        <w:t xml:space="preserve"> </w:t>
      </w:r>
      <w:r w:rsidR="00F74F97">
        <w:rPr>
          <w:rFonts w:hint="eastAsia"/>
          <w:rtl/>
        </w:rPr>
        <w:t xml:space="preserve">”بالنسبة </w:t>
      </w:r>
      <w:r w:rsidR="008743A7">
        <w:rPr>
          <w:rFonts w:hint="cs"/>
          <w:rtl/>
        </w:rPr>
        <w:t>للولاية</w:t>
      </w:r>
      <w:r w:rsidR="00F74F97">
        <w:rPr>
          <w:rFonts w:hint="eastAsia"/>
          <w:rtl/>
        </w:rPr>
        <w:t xml:space="preserve"> على طفل رضيع أو تنشئته أو إدارة الأملاك العائدة له</w:t>
      </w:r>
      <w:r w:rsidR="00F74F97">
        <w:rPr>
          <w:rFonts w:hint="cs"/>
          <w:rtl/>
        </w:rPr>
        <w:t xml:space="preserve"> أو المحفوظة أمانة باسمه أو استعمال الإيرادات الآتية من تلك الأملاك، يكون للأم نفس الحقوق والصلاحيات التي يجيزها القانون للأب وتكون الحقوق والسلطات التي يتمتع بها الأب والأم متساوية</w:t>
      </w:r>
      <w:r w:rsidR="00F74F97">
        <w:rPr>
          <w:rFonts w:hint="eastAsia"/>
          <w:rtl/>
        </w:rPr>
        <w:t xml:space="preserve">“. </w:t>
      </w:r>
      <w:r w:rsidR="00F74F97">
        <w:rPr>
          <w:rFonts w:hint="cs"/>
          <w:rtl/>
        </w:rPr>
        <w:t xml:space="preserve">ويطبق هذا القانون فقط على غير المسلمين في ماليزيا؛ بيد أن القانون يشير إلى جواز تطبيقه أيضا على المسلمين في الولايات التي تعتمده. وقد اعتمدته لغاية الآن </w:t>
      </w:r>
      <w:r w:rsidR="008743A7">
        <w:rPr>
          <w:rFonts w:hint="cs"/>
          <w:rtl/>
        </w:rPr>
        <w:t>أربع</w:t>
      </w:r>
      <w:r w:rsidR="00F74F97">
        <w:rPr>
          <w:rFonts w:hint="cs"/>
          <w:rtl/>
        </w:rPr>
        <w:t xml:space="preserve"> ولايات. وعلى الصعيد الاتحادي، وبغية معالجة مسألة تساوي حقوق الأمهات المسلمات في </w:t>
      </w:r>
      <w:r w:rsidR="008743A7">
        <w:rPr>
          <w:rFonts w:hint="cs"/>
          <w:rtl/>
        </w:rPr>
        <w:t xml:space="preserve">الولاية أصدرت </w:t>
      </w:r>
      <w:r w:rsidR="00F74F97">
        <w:rPr>
          <w:rFonts w:hint="cs"/>
          <w:rtl/>
        </w:rPr>
        <w:t xml:space="preserve">الحكومة توجيها في </w:t>
      </w:r>
      <w:r w:rsidR="00F74F97">
        <w:rPr>
          <w:rtl/>
        </w:rPr>
        <w:t xml:space="preserve">أيلول/سبتمبر </w:t>
      </w:r>
      <w:r w:rsidR="00F74F97">
        <w:rPr>
          <w:rFonts w:hint="cs"/>
          <w:rtl/>
        </w:rPr>
        <w:t xml:space="preserve">2000 يجير للأمهات توقيع جميع الوثائق ذات الصلة بأطفالهن. وهذا يكفل لجميع النساء الماليزيات بغض النظر عن عرقهن أو دينهن الحق في </w:t>
      </w:r>
      <w:r w:rsidR="008743A7">
        <w:rPr>
          <w:rFonts w:hint="cs"/>
          <w:rtl/>
        </w:rPr>
        <w:t>الولاية</w:t>
      </w:r>
      <w:r w:rsidR="00F74F97">
        <w:rPr>
          <w:rFonts w:hint="cs"/>
          <w:rtl/>
        </w:rPr>
        <w:t xml:space="preserve"> المتساوية؛</w:t>
      </w:r>
    </w:p>
    <w:p w:rsidR="00F74F97" w:rsidRDefault="00F74F97" w:rsidP="00A71FC6">
      <w:pPr>
        <w:pStyle w:val="SingleTxt"/>
        <w:ind w:left="2592" w:hanging="1325"/>
        <w:rPr>
          <w:rFonts w:hint="cs"/>
          <w:rtl/>
        </w:rPr>
      </w:pPr>
      <w:r>
        <w:rPr>
          <w:rFonts w:hint="cs"/>
          <w:rtl/>
        </w:rPr>
        <w:tab/>
        <w:t>’6‘</w:t>
      </w:r>
      <w:r>
        <w:rPr>
          <w:rFonts w:hint="cs"/>
          <w:rtl/>
        </w:rPr>
        <w:tab/>
        <w:t>إدخال تعديل في عام 2001 على المادة 8 (2) من الدستور الاتحادي يحظر صراحة التمييز على أساس نوع الجنس؛</w:t>
      </w:r>
    </w:p>
    <w:p w:rsidR="00227BC8" w:rsidRDefault="00227BC8" w:rsidP="00A71FC6">
      <w:pPr>
        <w:pStyle w:val="SingleTxt"/>
        <w:ind w:left="2592" w:hanging="1325"/>
        <w:rPr>
          <w:rFonts w:hint="cs"/>
          <w:rtl/>
        </w:rPr>
      </w:pPr>
      <w:r>
        <w:rPr>
          <w:rFonts w:hint="cs"/>
          <w:rtl/>
        </w:rPr>
        <w:tab/>
        <w:t>’7‘</w:t>
      </w:r>
      <w:r>
        <w:rPr>
          <w:rFonts w:hint="cs"/>
          <w:rtl/>
        </w:rPr>
        <w:tab/>
        <w:t xml:space="preserve">إلغاء أنظمة الهجرة التي تميز ضد المرأة الماليزية المتزوجة بأجنبي. فاعتبارا من </w:t>
      </w:r>
      <w:r>
        <w:rPr>
          <w:rtl/>
        </w:rPr>
        <w:t xml:space="preserve">أيلول/سبتمبر </w:t>
      </w:r>
      <w:r>
        <w:rPr>
          <w:rFonts w:hint="cs"/>
          <w:rtl/>
        </w:rPr>
        <w:t>2001 بات يسمح للأجنبي المتزوج من امرأة ماليزية البقاء في البلد لفترة أطول (أي لمدة سنة كانت من قبل ثلاثة أشهر) وتمديد إذن زيارته الاجتماعية على أساس سنة إلى أخرى لغاية حصوله على عمل. كما يجوز للأجنبيات المطلقات أو المنفصلات بالتفريق عن أزواجهن الماليزيين تقديم طلب، بعد استقرارهن في ماليزيا، للحصول على إذن زيارة اجتماعية على أساس سنة إلى أخرى، رهنا بموافقة الحكومة. ومن قبله، كان يتعين عليهن العودة إلى بلداهن فور انتهاء الزيارة الاجتماعية الممنوحة لهن وتقديم طلب من هناك للحصول على إذن جديد؛</w:t>
      </w:r>
    </w:p>
    <w:p w:rsidR="00227BC8" w:rsidRDefault="00DD60BC" w:rsidP="00A71FC6">
      <w:pPr>
        <w:pStyle w:val="SingleTxt"/>
        <w:ind w:left="2592" w:hanging="1325"/>
        <w:rPr>
          <w:rFonts w:hint="cs"/>
          <w:rtl/>
        </w:rPr>
      </w:pPr>
      <w:r>
        <w:rPr>
          <w:rFonts w:hint="cs"/>
          <w:rtl/>
        </w:rPr>
        <w:tab/>
        <w:t>’8‘</w:t>
      </w:r>
      <w:r>
        <w:rPr>
          <w:rFonts w:hint="cs"/>
          <w:rtl/>
        </w:rPr>
        <w:tab/>
        <w:t xml:space="preserve">بموجب قانون المعاشات التقاعدية لعام 1980 (القانون رقم 227) تفقد الأرملة حقها في الحصول على معاش تقاعدي إذا تزوجت من جديد. وقد أدركت الحكومة على نحو ملائم المشاكل التي تواجهها الأرامل اللائي يتزوجن من جديد. وبناء عليه، أعلن رئيس الوزراء في البيان الذي أدلى به في </w:t>
      </w:r>
      <w:r>
        <w:rPr>
          <w:rtl/>
        </w:rPr>
        <w:t xml:space="preserve">تشرين الأول/أكتوبر </w:t>
      </w:r>
      <w:r>
        <w:rPr>
          <w:rFonts w:hint="cs"/>
          <w:rtl/>
        </w:rPr>
        <w:t xml:space="preserve">2001 بشأن ميزانية سنة 2002 أن الأرامل سيواصلن الحصول على معاشات تقاعدية حتى بعد زواجهن من جديد. وفي </w:t>
      </w:r>
      <w:r>
        <w:rPr>
          <w:rtl/>
        </w:rPr>
        <w:t xml:space="preserve">كانون الثاني/يناير </w:t>
      </w:r>
      <w:r>
        <w:rPr>
          <w:rFonts w:hint="cs"/>
          <w:rtl/>
        </w:rPr>
        <w:t>2002، عدل قانون المعاشات التقاعدية تحقيقا لذلك الغرض.</w:t>
      </w:r>
    </w:p>
    <w:p w:rsidR="00641A30" w:rsidRPr="00641A30" w:rsidRDefault="00641A30" w:rsidP="00641A30">
      <w:pPr>
        <w:pStyle w:val="SingleTxt"/>
        <w:spacing w:after="0" w:line="120" w:lineRule="exact"/>
        <w:ind w:left="2592" w:hanging="1325"/>
        <w:rPr>
          <w:rFonts w:hint="cs"/>
          <w:sz w:val="10"/>
          <w:rtl/>
        </w:rPr>
      </w:pPr>
    </w:p>
    <w:p w:rsidR="00DD60BC" w:rsidRDefault="00DD60BC"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الالتزامات الدولية</w:t>
      </w:r>
    </w:p>
    <w:p w:rsidR="00DD60BC" w:rsidRDefault="00DD60BC" w:rsidP="008743A7">
      <w:pPr>
        <w:pStyle w:val="SingleTxt"/>
      </w:pPr>
      <w:r>
        <w:rPr>
          <w:rFonts w:hint="cs"/>
          <w:rtl/>
        </w:rPr>
        <w:t>74 -</w:t>
      </w:r>
      <w:r>
        <w:rPr>
          <w:rFonts w:hint="cs"/>
          <w:rtl/>
        </w:rPr>
        <w:tab/>
        <w:t>ماليزيا طرف في اتفاقية القضاء على جميع أشكال التمييز ضد المرأة إضافة إلى كونها طرف في الصكوك الدولية الأخرى التي تحمي حقوق المرأة مثل اتفاقية جنسية المرأة المتزوجة واتفاقية منظمة العمل الدولية رقم 100 (</w:t>
      </w:r>
      <w:r w:rsidR="008743A7">
        <w:rPr>
          <w:rFonts w:hint="cs"/>
          <w:rtl/>
        </w:rPr>
        <w:t>المتعلقة بالمساواة بين ا</w:t>
      </w:r>
      <w:r>
        <w:rPr>
          <w:rFonts w:hint="cs"/>
          <w:rtl/>
        </w:rPr>
        <w:t xml:space="preserve">لعمال والعاملات </w:t>
      </w:r>
      <w:r w:rsidR="008743A7">
        <w:rPr>
          <w:rFonts w:hint="cs"/>
          <w:rtl/>
        </w:rPr>
        <w:t xml:space="preserve">في الأجر </w:t>
      </w:r>
      <w:r>
        <w:rPr>
          <w:rFonts w:hint="cs"/>
          <w:rtl/>
        </w:rPr>
        <w:t>عن العمل المتساوي القيمة).</w:t>
      </w:r>
    </w:p>
    <w:p w:rsidR="00C62BA8" w:rsidRPr="00C62BA8" w:rsidRDefault="00C62BA8" w:rsidP="00C62BA8">
      <w:pPr>
        <w:pStyle w:val="SingleTxt"/>
        <w:spacing w:after="0" w:line="120" w:lineRule="exact"/>
        <w:rPr>
          <w:sz w:val="10"/>
        </w:rPr>
      </w:pPr>
    </w:p>
    <w:p w:rsidR="00DD60BC" w:rsidRDefault="00DD60BC" w:rsidP="006546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546A2">
        <w:rPr>
          <w:rFonts w:hint="cs"/>
          <w:rtl/>
        </w:rPr>
        <w:t>النتيجة</w:t>
      </w:r>
    </w:p>
    <w:p w:rsidR="00DD60BC" w:rsidRDefault="00DD60BC" w:rsidP="00A71FC6">
      <w:pPr>
        <w:pStyle w:val="SingleTxt"/>
        <w:rPr>
          <w:rFonts w:hint="cs"/>
          <w:rtl/>
        </w:rPr>
      </w:pPr>
      <w:r>
        <w:rPr>
          <w:rFonts w:hint="cs"/>
          <w:rtl/>
        </w:rPr>
        <w:t>75 -</w:t>
      </w:r>
      <w:r>
        <w:rPr>
          <w:rFonts w:hint="cs"/>
          <w:rtl/>
        </w:rPr>
        <w:tab/>
        <w:t>استجابت الحكومة الماليزية للطلبات التي وجهت إليها من مختلف القطاعات لإعادة النظر في قوانينها. ووفرت الحكومة من خلال وزارة شؤون المرأة وتنمية الأسرة منتديات للمناقشة بشأن مجالات الاهتمام التي حددتها المنظمات النسائية والمجموعات القانونية. وتسلم الحكومة كذلك أن النصوص القانونية لوحدها لا تستطيع القضاء على التمييز. فمن المهم أيضا من أجل تحقيق هدف القضاء على التمييز ضد المرأة وتعزيز النهوض بالمرأة في جميع قطاعات الاقتصاد توفير التعليم والتدريب وتطبيق برامج الإلمام بالشؤون القانونية وتحسين الوضع الصحي والمرافق الصحية على النحو الذي سوف يجري مناقشته في الفصول التالية.</w:t>
      </w:r>
    </w:p>
    <w:p w:rsidR="00641A30" w:rsidRPr="00641A30" w:rsidRDefault="00641A30" w:rsidP="00641A30">
      <w:pPr>
        <w:pStyle w:val="SingleTxt"/>
        <w:spacing w:after="0" w:line="120" w:lineRule="exact"/>
        <w:rPr>
          <w:rFonts w:hint="cs"/>
          <w:sz w:val="10"/>
          <w:rtl/>
        </w:rPr>
      </w:pPr>
    </w:p>
    <w:p w:rsidR="00DD60BC" w:rsidRDefault="00DD60BC"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w:t>
      </w:r>
    </w:p>
    <w:p w:rsidR="00641A30" w:rsidRPr="00641A30" w:rsidRDefault="00641A30" w:rsidP="00641A30">
      <w:pPr>
        <w:pStyle w:val="SingleTxt"/>
        <w:spacing w:after="0" w:line="120" w:lineRule="exact"/>
        <w:rPr>
          <w:rFonts w:hint="cs"/>
          <w:sz w:val="10"/>
          <w:rtl/>
        </w:rPr>
      </w:pPr>
    </w:p>
    <w:p w:rsidR="00DD60BC" w:rsidRDefault="00DD60BC"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تطوير وضع المرأة والنهوض بها</w:t>
      </w:r>
    </w:p>
    <w:p w:rsidR="00641A30" w:rsidRPr="00641A30" w:rsidRDefault="00641A30" w:rsidP="00641A30">
      <w:pPr>
        <w:pStyle w:val="SingleTxt"/>
        <w:spacing w:after="0" w:line="120" w:lineRule="exact"/>
        <w:rPr>
          <w:rFonts w:hint="cs"/>
          <w:sz w:val="10"/>
          <w:rtl/>
        </w:rPr>
      </w:pPr>
    </w:p>
    <w:p w:rsidR="00DD60BC" w:rsidRDefault="00DD60BC"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D60BC" w:rsidRDefault="00DD60BC" w:rsidP="007F51F1">
      <w:pPr>
        <w:pStyle w:val="SingleTxt"/>
        <w:rPr>
          <w:rFonts w:hint="cs"/>
          <w:rtl/>
        </w:rPr>
      </w:pPr>
      <w:r>
        <w:rPr>
          <w:rFonts w:hint="cs"/>
          <w:rtl/>
        </w:rPr>
        <w:t>76 -</w:t>
      </w:r>
      <w:r>
        <w:rPr>
          <w:rFonts w:hint="cs"/>
          <w:rtl/>
        </w:rPr>
        <w:tab/>
        <w:t xml:space="preserve">لا تميز القوانين الماليزية ذات الصلة </w:t>
      </w:r>
      <w:r w:rsidR="00730FA5">
        <w:rPr>
          <w:rFonts w:hint="cs"/>
          <w:rtl/>
        </w:rPr>
        <w:t>ب</w:t>
      </w:r>
      <w:r>
        <w:rPr>
          <w:rFonts w:hint="cs"/>
          <w:rtl/>
        </w:rPr>
        <w:t>العملية السياسية والتعليم والحقوق الاقتصادية والاجتماعية ضد المرأة. وإضافة إلى القوانين التي تتسم عموما بالطابع المؤيد، فإن السياسة الوطنية المتعلقة بالمرأة (1989) تمنح المرأة وضع</w:t>
      </w:r>
      <w:r w:rsidR="00730FA5">
        <w:rPr>
          <w:rFonts w:hint="cs"/>
          <w:rtl/>
        </w:rPr>
        <w:t>ا</w:t>
      </w:r>
      <w:r>
        <w:rPr>
          <w:rFonts w:hint="cs"/>
          <w:rtl/>
        </w:rPr>
        <w:t xml:space="preserve"> متساويا مع الرجل وتمنحها كذلك نفس الحقوق الأساسية الممنوحة له وفق ما هو منصوص عليه في الدستور. ولكن نظرا إلى </w:t>
      </w:r>
      <w:r w:rsidR="00730FA5">
        <w:rPr>
          <w:rFonts w:hint="cs"/>
          <w:rtl/>
        </w:rPr>
        <w:t xml:space="preserve">تأخر دخول </w:t>
      </w:r>
      <w:r>
        <w:rPr>
          <w:rFonts w:hint="cs"/>
          <w:rtl/>
        </w:rPr>
        <w:t>المرأة إلى كثير من الميادين، فقد اقتضت الحاجة اعتماد إجراء إيجابي لمساعدتها في كسب الثقة بالنفس كند</w:t>
      </w:r>
      <w:r w:rsidR="00730FA5">
        <w:rPr>
          <w:rFonts w:hint="cs"/>
          <w:rtl/>
        </w:rPr>
        <w:t>ٍٍ</w:t>
      </w:r>
      <w:r>
        <w:rPr>
          <w:rFonts w:hint="cs"/>
          <w:rtl/>
        </w:rPr>
        <w:t xml:space="preserve"> للرجل، والسعي للارتقاء في ظل الفرص التي تتيحها لها خطط التنمية الوطنية، وتس</w:t>
      </w:r>
      <w:r w:rsidR="00730FA5">
        <w:rPr>
          <w:rFonts w:hint="cs"/>
          <w:rtl/>
        </w:rPr>
        <w:t>ن</w:t>
      </w:r>
      <w:r w:rsidR="007F51F1">
        <w:rPr>
          <w:rFonts w:hint="cs"/>
          <w:rtl/>
        </w:rPr>
        <w:t>ُّم</w:t>
      </w:r>
      <w:r>
        <w:rPr>
          <w:rFonts w:hint="cs"/>
          <w:rtl/>
        </w:rPr>
        <w:t xml:space="preserve"> أدوار أكبر يوما بعد يوم خارج المنزل والأسرة.</w:t>
      </w:r>
    </w:p>
    <w:p w:rsidR="00641A30" w:rsidRPr="00641A30" w:rsidRDefault="00641A30" w:rsidP="00641A30">
      <w:pPr>
        <w:pStyle w:val="SingleTxt"/>
        <w:spacing w:after="0" w:line="120" w:lineRule="exact"/>
        <w:rPr>
          <w:rFonts w:hint="cs"/>
          <w:sz w:val="10"/>
          <w:rtl/>
        </w:rPr>
      </w:pPr>
    </w:p>
    <w:p w:rsidR="00DD60BC" w:rsidRDefault="000F6286"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الوطنية المتعلقة بالمرأة</w:t>
      </w:r>
    </w:p>
    <w:p w:rsidR="000F6286" w:rsidRDefault="000F6286" w:rsidP="00730FA5">
      <w:pPr>
        <w:pStyle w:val="SingleTxt"/>
        <w:rPr>
          <w:rFonts w:hint="cs"/>
          <w:rtl/>
        </w:rPr>
      </w:pPr>
      <w:r>
        <w:rPr>
          <w:rFonts w:hint="cs"/>
          <w:rtl/>
        </w:rPr>
        <w:t>77 -</w:t>
      </w:r>
      <w:r>
        <w:rPr>
          <w:rFonts w:hint="cs"/>
          <w:rtl/>
        </w:rPr>
        <w:tab/>
        <w:t xml:space="preserve">تتسق السياسة الوطنية المتعلقة بالمرأة التي أعدتها الحكومة عام 1989 اتساقا وثيقا مع الخطة الماليزية السادسة (1991-1995) وخطة المنظور </w:t>
      </w:r>
      <w:r w:rsidR="00730FA5">
        <w:rPr>
          <w:rFonts w:hint="cs"/>
          <w:rtl/>
        </w:rPr>
        <w:t>العام</w:t>
      </w:r>
      <w:r>
        <w:rPr>
          <w:rFonts w:hint="cs"/>
          <w:rtl/>
        </w:rPr>
        <w:t xml:space="preserve"> (1990-2000). وتسلم بأن الفقر و</w:t>
      </w:r>
      <w:r w:rsidR="00730FA5">
        <w:rPr>
          <w:rFonts w:hint="cs"/>
          <w:rtl/>
        </w:rPr>
        <w:t xml:space="preserve">انعدام </w:t>
      </w:r>
      <w:r>
        <w:rPr>
          <w:rFonts w:hint="cs"/>
          <w:rtl/>
        </w:rPr>
        <w:t>التعليم</w:t>
      </w:r>
      <w:r w:rsidR="00730FA5">
        <w:rPr>
          <w:rFonts w:hint="cs"/>
          <w:rtl/>
        </w:rPr>
        <w:t>،</w:t>
      </w:r>
      <w:r>
        <w:rPr>
          <w:rFonts w:hint="cs"/>
          <w:rtl/>
        </w:rPr>
        <w:t xml:space="preserve"> </w:t>
      </w:r>
      <w:r w:rsidR="00730FA5">
        <w:rPr>
          <w:rFonts w:hint="cs"/>
          <w:rtl/>
        </w:rPr>
        <w:t xml:space="preserve">وفي بعض الأحيان </w:t>
      </w:r>
      <w:r>
        <w:rPr>
          <w:rFonts w:hint="cs"/>
          <w:rtl/>
        </w:rPr>
        <w:t xml:space="preserve">الثقافة والتقاليد، تمثل عقبات رئيسية </w:t>
      </w:r>
      <w:r w:rsidR="00730FA5">
        <w:rPr>
          <w:rFonts w:hint="cs"/>
          <w:rtl/>
        </w:rPr>
        <w:t xml:space="preserve">أمام </w:t>
      </w:r>
      <w:r>
        <w:rPr>
          <w:rFonts w:hint="cs"/>
          <w:rtl/>
        </w:rPr>
        <w:t>تقدم المرأة. وتعترف هذه السياسة كذلك بالجهود الدولية التي تبذل من أجل تحسين وضع المرأة وهي بالتالي تستند إلى عدد من الوثائق الدولية، وبخاصة استراتيجيات نيروبي التطلعية للنهوض بالمرأة والإعلان الصادر عن اجتماع دول الكمنولث الوزاري المعني بالمرأة المعقود في جزر البهاما.</w:t>
      </w:r>
    </w:p>
    <w:p w:rsidR="000F6286" w:rsidRDefault="000F6286" w:rsidP="00A71FC6">
      <w:pPr>
        <w:pStyle w:val="SingleTxt"/>
        <w:rPr>
          <w:rFonts w:hint="cs"/>
          <w:rtl/>
        </w:rPr>
      </w:pPr>
      <w:r>
        <w:rPr>
          <w:rFonts w:hint="cs"/>
          <w:rtl/>
        </w:rPr>
        <w:t>78 -</w:t>
      </w:r>
      <w:r>
        <w:rPr>
          <w:rFonts w:hint="cs"/>
          <w:rtl/>
        </w:rPr>
        <w:tab/>
      </w:r>
      <w:r w:rsidR="0059683E">
        <w:rPr>
          <w:rFonts w:hint="cs"/>
          <w:rtl/>
        </w:rPr>
        <w:t>وأسفرت مبادرات من قبيل مبادرة السياسة الوطنية المتعلقة بالمرأة  وإدراج فصل خاص عن دور المرأة في التنمية في الخطة الماليزية السادسة إلى زيادة مراعاة السياسات الإدارية للمنظور الجنساني.</w:t>
      </w:r>
    </w:p>
    <w:p w:rsidR="00641A30" w:rsidRPr="00641A30" w:rsidRDefault="00641A30" w:rsidP="00641A30">
      <w:pPr>
        <w:pStyle w:val="SingleTxt"/>
        <w:spacing w:after="0" w:line="120" w:lineRule="exact"/>
        <w:rPr>
          <w:rFonts w:hint="cs"/>
          <w:sz w:val="10"/>
          <w:rtl/>
        </w:rPr>
      </w:pPr>
    </w:p>
    <w:p w:rsidR="0059683E" w:rsidRDefault="0059683E"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المرأة في ماليزيا</w:t>
      </w:r>
    </w:p>
    <w:p w:rsidR="0059683E" w:rsidRDefault="00CF2EA1" w:rsidP="00730FA5">
      <w:pPr>
        <w:pStyle w:val="SingleTxt"/>
        <w:rPr>
          <w:rFonts w:hint="cs"/>
          <w:rtl/>
        </w:rPr>
      </w:pPr>
      <w:r>
        <w:rPr>
          <w:rFonts w:hint="cs"/>
          <w:rtl/>
        </w:rPr>
        <w:t>79 -</w:t>
      </w:r>
      <w:r>
        <w:rPr>
          <w:rFonts w:hint="cs"/>
          <w:rtl/>
        </w:rPr>
        <w:tab/>
        <w:t xml:space="preserve">ثبت بالتجربة صعوبة تغيير بعض الممارسات </w:t>
      </w:r>
      <w:r w:rsidR="00730FA5">
        <w:rPr>
          <w:rFonts w:hint="cs"/>
          <w:rtl/>
        </w:rPr>
        <w:t>بسبب</w:t>
      </w:r>
      <w:r>
        <w:rPr>
          <w:rFonts w:hint="cs"/>
          <w:rtl/>
        </w:rPr>
        <w:t xml:space="preserve"> الافتراضات الراسخة حول دور كل من الجنسين في المجتمع. ومع ذلك</w:t>
      </w:r>
      <w:r w:rsidR="00730FA5">
        <w:rPr>
          <w:rFonts w:hint="cs"/>
          <w:rtl/>
        </w:rPr>
        <w:t>،</w:t>
      </w:r>
      <w:r>
        <w:rPr>
          <w:rFonts w:hint="cs"/>
          <w:rtl/>
        </w:rPr>
        <w:t xml:space="preserve"> فالتغيير يحدث </w:t>
      </w:r>
      <w:r w:rsidR="00730FA5">
        <w:rPr>
          <w:rFonts w:hint="cs"/>
          <w:rtl/>
        </w:rPr>
        <w:t>بالفعل</w:t>
      </w:r>
      <w:r>
        <w:rPr>
          <w:rFonts w:hint="cs"/>
          <w:rtl/>
        </w:rPr>
        <w:t>. وكلما ازدادت المرأة علما واتجه تفكيرها صوب العمل المهني كلما صارت قادرة على الانخراط بسهولة في سوق العمل. وفيما يلي بعض المؤشرات الدالة على حالة المرأة في ماليزيا:</w:t>
      </w:r>
    </w:p>
    <w:p w:rsidR="00CF2EA1" w:rsidRDefault="00CF2EA1" w:rsidP="00A71FC6">
      <w:pPr>
        <w:pStyle w:val="SingleTxt"/>
        <w:ind w:left="2592" w:hanging="1325"/>
        <w:rPr>
          <w:rFonts w:hint="cs"/>
          <w:rtl/>
        </w:rPr>
      </w:pPr>
      <w:r>
        <w:rPr>
          <w:rFonts w:hint="cs"/>
          <w:rtl/>
        </w:rPr>
        <w:tab/>
        <w:t>’1‘</w:t>
      </w:r>
      <w:r>
        <w:rPr>
          <w:rFonts w:hint="cs"/>
          <w:rtl/>
        </w:rPr>
        <w:tab/>
        <w:t>تتمتع المرأة منذ عام 1957 بحق التصويت في العملية السياسية. وقد مارست المرأة هذا الحق وانتسبت إلى عضوية الأحزاب السياسية المختلفة. لكنها لعبت لغاية الآن دورا داعما للرجل بصفة عامة باستثناء الأجنحة السياسية للأحزاب السياسية حيث تقوم النساء بانتخاب زعميتهن. ولا</w:t>
      </w:r>
      <w:r>
        <w:rPr>
          <w:rFonts w:hint="eastAsia"/>
          <w:rtl/>
        </w:rPr>
        <w:t> </w:t>
      </w:r>
      <w:r>
        <w:rPr>
          <w:rFonts w:hint="cs"/>
          <w:rtl/>
        </w:rPr>
        <w:t>توجد أحزاب سياسية قائمة على أساس نوع الجنس. وأتيحت للزعيمات المقتدرات الفرصة للتنافس في الانتخابات التي تجري في دوائرهن الانتخابية على صعيدي الاتحاد والولايات. وتشكل المرأة نسبة 10 في المائة من أعضاء مجالس النواب أو الجمعيات التشريعية في الولايات. وازداد عدد النساء في مجلس الشيوخ بنسبة 25 في المائة تقريبا (انظر المادة 7: الحياة السياسية والعامة)؛</w:t>
      </w:r>
    </w:p>
    <w:p w:rsidR="00CF2EA1" w:rsidRDefault="00CF2EA1" w:rsidP="00A71FC6">
      <w:pPr>
        <w:pStyle w:val="SingleTxt"/>
        <w:ind w:left="2592" w:hanging="1325"/>
        <w:rPr>
          <w:rFonts w:hint="cs"/>
          <w:rtl/>
        </w:rPr>
      </w:pPr>
      <w:r>
        <w:rPr>
          <w:rFonts w:hint="cs"/>
          <w:rtl/>
        </w:rPr>
        <w:tab/>
        <w:t>’2‘</w:t>
      </w:r>
      <w:r>
        <w:rPr>
          <w:rFonts w:hint="cs"/>
          <w:rtl/>
        </w:rPr>
        <w:tab/>
        <w:t>تتقرر إمكانية الوصول إلى الخدمات الاجتماعية إلى حد ما بفعل عوامل ثقافية واجتماعية. فعدد النساء اللائي يترددن على النوادي الترفيهية والمرافق الرياضية يقل عن عدد الرجال. وتميل النساء، ولا سيما المتزوجات منهن، إلى البقاء في المنزل وصرف معظم أوقات راحتهن مع أطفالهن وأفراد أسرهن الآخرين</w:t>
      </w:r>
      <w:r w:rsidR="00CA285F">
        <w:rPr>
          <w:rFonts w:hint="cs"/>
          <w:rtl/>
        </w:rPr>
        <w:t>. ولكن لا يوجد قانون يحظر إمكانية وصولهن إلى الخدمات الاجتماعية. فالنساء يشكلن</w:t>
      </w:r>
      <w:r w:rsidR="00730FA5">
        <w:rPr>
          <w:rFonts w:hint="cs"/>
          <w:rtl/>
        </w:rPr>
        <w:t xml:space="preserve"> نوادي اجتماعية</w:t>
      </w:r>
      <w:r w:rsidR="00CA285F">
        <w:rPr>
          <w:rFonts w:hint="cs"/>
          <w:rtl/>
        </w:rPr>
        <w:t xml:space="preserve"> ويشاركن في النوادي الاجتماعية والمنظمات الطوعية وينتفعن من مرافق الراحة التي يوفرها المجتمع المحلي؛</w:t>
      </w:r>
    </w:p>
    <w:p w:rsidR="00CA285F" w:rsidRDefault="00CA285F" w:rsidP="00A71FC6">
      <w:pPr>
        <w:pStyle w:val="SingleTxt"/>
        <w:ind w:left="2592" w:hanging="1325"/>
        <w:rPr>
          <w:rFonts w:hint="cs"/>
          <w:rtl/>
        </w:rPr>
      </w:pPr>
      <w:r>
        <w:rPr>
          <w:rFonts w:hint="cs"/>
          <w:rtl/>
        </w:rPr>
        <w:tab/>
        <w:t>’3‘</w:t>
      </w:r>
      <w:r>
        <w:rPr>
          <w:rFonts w:hint="cs"/>
          <w:rtl/>
        </w:rPr>
        <w:tab/>
        <w:t>تعتبر إمكانية الوصول إلى الرعاية الصحية والطبية أحد المجالات ذات الأولوية في برامج التنمية الوطنية. ويجري باستمرار توسيع نطاق المستشفيات ومستوصفات الأمومة وصحة الأم وبرامج التحصين وخدمات تنظيم الأسرة وفحص السرطان في المسالك التناسلية</w:t>
      </w:r>
      <w:r w:rsidR="00730FA5">
        <w:rPr>
          <w:rFonts w:hint="cs"/>
          <w:rtl/>
        </w:rPr>
        <w:t>،</w:t>
      </w:r>
      <w:r>
        <w:rPr>
          <w:rFonts w:hint="cs"/>
          <w:rtl/>
        </w:rPr>
        <w:t xml:space="preserve"> والتغذية</w:t>
      </w:r>
      <w:r w:rsidR="00730FA5">
        <w:rPr>
          <w:rFonts w:hint="cs"/>
          <w:rtl/>
        </w:rPr>
        <w:t>،</w:t>
      </w:r>
      <w:r>
        <w:rPr>
          <w:rFonts w:hint="cs"/>
          <w:rtl/>
        </w:rPr>
        <w:t xml:space="preserve"> والتثقيف الصحي</w:t>
      </w:r>
      <w:r w:rsidR="00730FA5">
        <w:rPr>
          <w:rFonts w:hint="cs"/>
          <w:rtl/>
        </w:rPr>
        <w:t>،</w:t>
      </w:r>
      <w:r>
        <w:rPr>
          <w:rFonts w:hint="cs"/>
          <w:rtl/>
        </w:rPr>
        <w:t xml:space="preserve"> والخدمات العلاجية وخدمات إعادة التأهيل</w:t>
      </w:r>
      <w:r w:rsidR="00730FA5">
        <w:rPr>
          <w:rFonts w:hint="cs"/>
          <w:rtl/>
        </w:rPr>
        <w:t>،</w:t>
      </w:r>
      <w:r>
        <w:rPr>
          <w:rFonts w:hint="cs"/>
          <w:rtl/>
        </w:rPr>
        <w:t xml:space="preserve"> ويجري كذلك باستمرار تحسينها ورفع مستواها. ويجري العمل بصورة متزايدة على توعية المستشفيات والمستوصفات العامة والخاصة على حد سواء بالحاجة إلى أن تكون ملائمة للنساء ولكبار السن؛</w:t>
      </w:r>
    </w:p>
    <w:p w:rsidR="00CA285F" w:rsidRDefault="00CA285F" w:rsidP="00730FA5">
      <w:pPr>
        <w:pStyle w:val="SingleTxt"/>
        <w:ind w:left="2592" w:hanging="1325"/>
        <w:rPr>
          <w:rFonts w:hint="cs"/>
          <w:rtl/>
        </w:rPr>
      </w:pPr>
      <w:r>
        <w:rPr>
          <w:rFonts w:hint="cs"/>
          <w:rtl/>
        </w:rPr>
        <w:tab/>
        <w:t>’4‘</w:t>
      </w:r>
      <w:r>
        <w:rPr>
          <w:rFonts w:hint="cs"/>
          <w:rtl/>
        </w:rPr>
        <w:tab/>
      </w:r>
      <w:r w:rsidR="009E0675">
        <w:rPr>
          <w:rFonts w:hint="cs"/>
          <w:rtl/>
        </w:rPr>
        <w:t>تحسنت إمكانية حصول الفتيات على التعليم تحسنا هائلا من خلال بناء مزيد من المدارس، ولا سيما المدارس الابتدائية والثانوية للإناث والمدارس الداخلية للإناث في المناطق الريفية. وتقدم الحكومة للفئات المنخفض</w:t>
      </w:r>
      <w:r w:rsidR="00730FA5">
        <w:rPr>
          <w:rFonts w:hint="cs"/>
          <w:rtl/>
        </w:rPr>
        <w:t>ة</w:t>
      </w:r>
      <w:r w:rsidR="009E0675">
        <w:rPr>
          <w:rFonts w:hint="cs"/>
          <w:rtl/>
        </w:rPr>
        <w:t xml:space="preserve"> الدخل معونة مالية في شكل منح دراسية ومنح مالية لطلاب الصفوف قبل الأخيرة وتوفر برامج لإعا</w:t>
      </w:r>
      <w:r w:rsidR="00730FA5">
        <w:rPr>
          <w:rFonts w:hint="cs"/>
          <w:rtl/>
        </w:rPr>
        <w:t>ر</w:t>
      </w:r>
      <w:r w:rsidR="009E0675">
        <w:rPr>
          <w:rFonts w:hint="cs"/>
          <w:rtl/>
        </w:rPr>
        <w:t>ة الكتب المدرسية وألبسة رسمية مجانية ووسائط نقل مدعومة منخفضة التكلفة لنقل الطلاب إلى المدارس بغض النظر عن نوع الجنس؛</w:t>
      </w:r>
    </w:p>
    <w:p w:rsidR="009E0675" w:rsidRDefault="009E0675" w:rsidP="00A71FC6">
      <w:pPr>
        <w:pStyle w:val="SingleTxt"/>
        <w:ind w:left="2592" w:hanging="1325"/>
        <w:rPr>
          <w:rFonts w:hint="cs"/>
          <w:rtl/>
        </w:rPr>
      </w:pPr>
      <w:r>
        <w:rPr>
          <w:rFonts w:hint="cs"/>
          <w:rtl/>
        </w:rPr>
        <w:tab/>
        <w:t>’5‘</w:t>
      </w:r>
      <w:r>
        <w:rPr>
          <w:rFonts w:hint="cs"/>
          <w:rtl/>
        </w:rPr>
        <w:tab/>
      </w:r>
      <w:r w:rsidR="00730FA5">
        <w:rPr>
          <w:rFonts w:hint="cs"/>
          <w:rtl/>
        </w:rPr>
        <w:t>ت</w:t>
      </w:r>
      <w:r>
        <w:rPr>
          <w:rFonts w:hint="cs"/>
          <w:rtl/>
        </w:rPr>
        <w:t>تقرر إمكانية الحصول على فرص عمل بحسب المؤهلات التعليمية والجدارة والمهارات ذات الصلة. وبصفة عامة، لا يوجد تمييز على أساس نوع الجنس في سياسات شغل الوظائف. غير أن هناك ميلا لدى النساء للانجذاب صوب المهن التي تشغلها النساء عادة مثل التعليم والتمريض وأعمال السكرتارية. ويتغير هذا النمط تدريجيا نتيجة تشجيع النساء على الدخول إلى ميادين أخرى، ولا سيما الميادين التي لها صلة بالعلم والتكنولوجيا والإدارة.</w:t>
      </w:r>
    </w:p>
    <w:p w:rsidR="009E0675" w:rsidRDefault="009E0675" w:rsidP="00A71FC6">
      <w:pPr>
        <w:pStyle w:val="SingleTxt"/>
        <w:ind w:left="2592" w:hanging="1325"/>
        <w:rPr>
          <w:rFonts w:hint="cs"/>
          <w:rtl/>
        </w:rPr>
      </w:pPr>
      <w:r>
        <w:rPr>
          <w:rFonts w:hint="cs"/>
          <w:rtl/>
        </w:rPr>
        <w:tab/>
        <w:t>’6‘</w:t>
      </w:r>
      <w:r>
        <w:rPr>
          <w:rFonts w:hint="cs"/>
          <w:rtl/>
        </w:rPr>
        <w:tab/>
        <w:t>امتلاك الممتلكات حق مجسد في دستورنا</w:t>
      </w:r>
      <w:r w:rsidR="00BD4428">
        <w:rPr>
          <w:rFonts w:hint="cs"/>
          <w:rtl/>
        </w:rPr>
        <w:t xml:space="preserve"> ويجوز توريث الممتلكات للمرأة وحيازتها لها والتصرف بها. وفي سياق المجتمع الأموم</w:t>
      </w:r>
      <w:r w:rsidR="00730FA5">
        <w:rPr>
          <w:rFonts w:hint="cs"/>
          <w:rtl/>
        </w:rPr>
        <w:t>ي الذي تحكمه امرأة رئيسة (مينانغ</w:t>
      </w:r>
      <w:r w:rsidR="00BD4428">
        <w:rPr>
          <w:rFonts w:hint="cs"/>
          <w:rtl/>
        </w:rPr>
        <w:t>كباو) تكون ملكية التركة أو ملكية أراضي القبيلة محصورة بالنساء.</w:t>
      </w:r>
    </w:p>
    <w:p w:rsidR="00BD4428" w:rsidRDefault="00D04B8E" w:rsidP="00A71FC6">
      <w:pPr>
        <w:pStyle w:val="SingleTxt"/>
        <w:ind w:left="2592" w:hanging="1325"/>
        <w:rPr>
          <w:rFonts w:hint="cs"/>
          <w:rtl/>
        </w:rPr>
      </w:pPr>
      <w:r>
        <w:rPr>
          <w:rFonts w:hint="cs"/>
          <w:rtl/>
        </w:rPr>
        <w:tab/>
        <w:t>’7‘</w:t>
      </w:r>
      <w:r>
        <w:tab/>
      </w:r>
      <w:r>
        <w:rPr>
          <w:rFonts w:hint="cs"/>
          <w:rtl/>
        </w:rPr>
        <w:t>يتمتع بالرعاية الاجتماعية المحرومون ماليا والمعوقون والعجزة من الرجال والنساء. وتوجد مبادرات خاصة لمساعدة الأسر التي يعيلها والد وحيد من قبيل المشاريع المدرة للدخل وبرامج الإقراض ومرافق الإسكان. وبالإضافة إلى ذلك، توفر الحكومة والمنظمات الطوعية على السواء مآوى للنساء والأطفال الذين يتعرضون للإساءات أو للضرب؛</w:t>
      </w:r>
    </w:p>
    <w:p w:rsidR="00D04B8E" w:rsidRDefault="00D04B8E" w:rsidP="00A71FC6">
      <w:pPr>
        <w:pStyle w:val="SingleTxt"/>
        <w:rPr>
          <w:rFonts w:hint="cs"/>
          <w:rtl/>
        </w:rPr>
      </w:pPr>
      <w:r>
        <w:rPr>
          <w:rFonts w:hint="cs"/>
          <w:rtl/>
        </w:rPr>
        <w:t>80 -</w:t>
      </w:r>
      <w:r>
        <w:rPr>
          <w:rFonts w:hint="cs"/>
          <w:rtl/>
        </w:rPr>
        <w:tab/>
        <w:t>ويضمن الدستور للرجال والنساء على حد سواء حقوق الإنسان والحريات الأساسية المبينة فيه. ويخضع الرجال والنساء لنفس القوانين في كل من النظامين القانونيين المدني والإسلامي (الشريعة). بيد أن هناك أحكاما تميز بين الجنسين ومنها ما يخص على سبيل المثال مسألة الجنسية في حالات الزواج</w:t>
      </w:r>
      <w:r w:rsidR="00BB415E">
        <w:rPr>
          <w:rFonts w:hint="cs"/>
          <w:rtl/>
        </w:rPr>
        <w:t xml:space="preserve"> بين شخص ماليزي وشخص أجنبي؛ أو ما يخص قانون الأسرة الإسلامي حيث يكلف الرجال بالإعالة ويتمتعون بامتيازات في مسائل الطلاق وتوزيع الملكية والميراث. (وسوف تناقش هذه المسائل بالتفصيل في الأقسام ذات الصلة).</w:t>
      </w:r>
    </w:p>
    <w:p w:rsidR="00BB415E" w:rsidRDefault="00BB415E" w:rsidP="00730FA5">
      <w:pPr>
        <w:pStyle w:val="SingleTxt"/>
        <w:rPr>
          <w:rFonts w:hint="cs"/>
          <w:rtl/>
        </w:rPr>
      </w:pPr>
      <w:r>
        <w:rPr>
          <w:rFonts w:hint="cs"/>
          <w:rtl/>
        </w:rPr>
        <w:t>81 -</w:t>
      </w:r>
      <w:r>
        <w:rPr>
          <w:rFonts w:hint="cs"/>
          <w:rtl/>
        </w:rPr>
        <w:tab/>
        <w:t xml:space="preserve">وفي نطاق الأسرة، توجد في أغلب الأحيان مساواة بين الزوج والزوجة. وفي كثير من الثقافات الشائعة في ماليزيا، يرأس الرجل عادة الأسرة المعيشية في حين تكون الزوجة </w:t>
      </w:r>
      <w:r w:rsidR="00730FA5">
        <w:rPr>
          <w:rFonts w:hint="cs"/>
          <w:rtl/>
        </w:rPr>
        <w:t>تابعة</w:t>
      </w:r>
      <w:r>
        <w:rPr>
          <w:rFonts w:hint="cs"/>
          <w:rtl/>
        </w:rPr>
        <w:t xml:space="preserve"> له تعمل على تأمين احتياجاته وراحته فضلا عن رعاية الأطفال والأقرباء كبار السن في الأسرة الموسعة. ولكن هذا النمط يتحول ببطء نتيجة حلول الأدوات والأجهزة الكهربائية الحديثة وبسبب عمل كثير من النساء خارج المنزل.</w:t>
      </w:r>
    </w:p>
    <w:p w:rsidR="00641A30" w:rsidRPr="00641A30" w:rsidRDefault="00641A30" w:rsidP="00641A30">
      <w:pPr>
        <w:pStyle w:val="SingleTxt"/>
        <w:spacing w:after="0" w:line="120" w:lineRule="exact"/>
        <w:rPr>
          <w:rFonts w:hint="cs"/>
          <w:sz w:val="10"/>
          <w:rtl/>
        </w:rPr>
      </w:pPr>
    </w:p>
    <w:p w:rsidR="00BB415E" w:rsidRDefault="00BB415E"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الأجهزة المعنية بالمرأة على الصعيد الوطني</w:t>
      </w:r>
    </w:p>
    <w:p w:rsidR="00BB415E" w:rsidRDefault="00BB415E" w:rsidP="00730FA5">
      <w:pPr>
        <w:pStyle w:val="SingleTxt"/>
        <w:rPr>
          <w:rFonts w:hint="cs"/>
          <w:rtl/>
        </w:rPr>
      </w:pPr>
      <w:r>
        <w:rPr>
          <w:rFonts w:hint="cs"/>
          <w:rtl/>
        </w:rPr>
        <w:t>82 -</w:t>
      </w:r>
      <w:r>
        <w:rPr>
          <w:rFonts w:hint="cs"/>
          <w:rtl/>
        </w:rPr>
        <w:tab/>
        <w:t xml:space="preserve">تم إحراز تقدم هام في إقامة المؤسسات والأجهزة الإدارية اللازمة لتخطيط </w:t>
      </w:r>
      <w:r w:rsidR="00730FA5">
        <w:rPr>
          <w:rFonts w:hint="cs"/>
          <w:rtl/>
        </w:rPr>
        <w:t>تقدم</w:t>
      </w:r>
      <w:r>
        <w:rPr>
          <w:rFonts w:hint="cs"/>
          <w:rtl/>
        </w:rPr>
        <w:t xml:space="preserve"> المرأة </w:t>
      </w:r>
      <w:r w:rsidR="00730FA5">
        <w:rPr>
          <w:rFonts w:hint="cs"/>
          <w:rtl/>
        </w:rPr>
        <w:t xml:space="preserve">تدريجيا </w:t>
      </w:r>
      <w:r>
        <w:rPr>
          <w:rFonts w:hint="cs"/>
          <w:rtl/>
        </w:rPr>
        <w:t>وتنسيقه وتنفيذه ورصد</w:t>
      </w:r>
      <w:r w:rsidR="00730FA5">
        <w:rPr>
          <w:rFonts w:hint="cs"/>
          <w:rtl/>
        </w:rPr>
        <w:t>ه</w:t>
      </w:r>
      <w:r>
        <w:rPr>
          <w:rFonts w:hint="cs"/>
          <w:rtl/>
        </w:rPr>
        <w:t>، ومن تلك الأجهزة ما يلي:</w:t>
      </w:r>
    </w:p>
    <w:p w:rsidR="00BB415E" w:rsidRDefault="00BB415E" w:rsidP="00A71FC6">
      <w:pPr>
        <w:pStyle w:val="SingleTxt"/>
        <w:ind w:left="2592" w:hanging="1325"/>
        <w:rPr>
          <w:rFonts w:hint="cs"/>
          <w:rtl/>
        </w:rPr>
      </w:pPr>
      <w:r>
        <w:rPr>
          <w:rFonts w:hint="cs"/>
          <w:rtl/>
        </w:rPr>
        <w:tab/>
        <w:t>’1‘</w:t>
      </w:r>
      <w:r>
        <w:rPr>
          <w:rFonts w:hint="cs"/>
          <w:rtl/>
        </w:rPr>
        <w:tab/>
        <w:t xml:space="preserve">إنشاء وزارة شؤون المرأة وتنمية الأسرة في 17 </w:t>
      </w:r>
      <w:r>
        <w:rPr>
          <w:rtl/>
        </w:rPr>
        <w:t xml:space="preserve">كانون الثاني/يناير </w:t>
      </w:r>
      <w:r>
        <w:rPr>
          <w:rFonts w:hint="cs"/>
          <w:rtl/>
        </w:rPr>
        <w:t>2001 الذي يمثل ذروة الجهود الرامية إلى تعزيز الأجهزة الوطنية المعنية بالنساء؛</w:t>
      </w:r>
    </w:p>
    <w:p w:rsidR="00BB415E" w:rsidRDefault="00BB415E" w:rsidP="00A71FC6">
      <w:pPr>
        <w:pStyle w:val="SingleTxt"/>
        <w:ind w:left="2592" w:hanging="1325"/>
        <w:rPr>
          <w:rFonts w:hint="cs"/>
          <w:rtl/>
        </w:rPr>
      </w:pPr>
      <w:r>
        <w:rPr>
          <w:rFonts w:hint="cs"/>
          <w:rtl/>
        </w:rPr>
        <w:tab/>
        <w:t>’2‘</w:t>
      </w:r>
      <w:r>
        <w:rPr>
          <w:rFonts w:hint="cs"/>
          <w:rtl/>
        </w:rPr>
        <w:tab/>
        <w:t>المجلس الاستشاري الوطني المعني بالمرأة واللجان المعنية بالمرأة المشتركة بين الوزارات والأفرقة العاملة التقنية والعديد من اللجان الاستشارية والمعنية بالاتصال على صعيد الولايات، وأفرقة العمل، واللجان المخصصة المعنية بقضايا المرأة؛</w:t>
      </w:r>
    </w:p>
    <w:p w:rsidR="00BB415E" w:rsidRDefault="00BB415E" w:rsidP="00A71FC6">
      <w:pPr>
        <w:pStyle w:val="SingleTxt"/>
        <w:ind w:left="2592" w:hanging="1325"/>
        <w:rPr>
          <w:rFonts w:hint="cs"/>
          <w:rtl/>
        </w:rPr>
      </w:pPr>
      <w:r>
        <w:rPr>
          <w:rFonts w:hint="cs"/>
          <w:rtl/>
        </w:rPr>
        <w:tab/>
        <w:t>’3‘</w:t>
      </w:r>
      <w:r>
        <w:rPr>
          <w:rFonts w:hint="cs"/>
          <w:rtl/>
        </w:rPr>
        <w:tab/>
        <w:t>تعيين ممثلين من المنظمات غير الحكومية مثل المجلس الوطني للمنظمات النسائية ورابطة العمل النسائية لعموم ماليزيا لحضور اجتماعات مختلف المجالس الاستشارية من أجل تعزيز التعاون بين الوكالات الحكومية والمنظمات غير الحكومية؛</w:t>
      </w:r>
    </w:p>
    <w:p w:rsidR="00BB415E" w:rsidRDefault="00BB415E" w:rsidP="00A71FC6">
      <w:pPr>
        <w:pStyle w:val="SingleTxt"/>
        <w:ind w:left="2592" w:hanging="1325"/>
        <w:rPr>
          <w:rFonts w:hint="cs"/>
          <w:rtl/>
        </w:rPr>
      </w:pPr>
      <w:r>
        <w:rPr>
          <w:rFonts w:hint="cs"/>
          <w:rtl/>
        </w:rPr>
        <w:tab/>
        <w:t>’4‘</w:t>
      </w:r>
      <w:r>
        <w:rPr>
          <w:rFonts w:hint="cs"/>
          <w:rtl/>
        </w:rPr>
        <w:tab/>
        <w:t>إنشاء مراكز تقديم الخدمات للمرأة على صعيدي الولايات والمقاطعات لتوفير خدمات منها التدريب والمشورة ولتعمل بمثابة مركز استعلامات جامع عن البرامج المتاحة للمرأة. ولغاية الآن، أنشئ 14 مركزا من مراكز تقديم الخدمات هذه في عواصم الولايات و 15 مركزا على صعيد المقاطعات.</w:t>
      </w:r>
    </w:p>
    <w:p w:rsidR="00BB415E" w:rsidRDefault="00BB415E"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الهادفة إلى تعزيز النهوض بالمرأة</w:t>
      </w:r>
    </w:p>
    <w:p w:rsidR="00BB415E" w:rsidRDefault="00BB415E" w:rsidP="00A71FC6">
      <w:pPr>
        <w:pStyle w:val="SingleTxt"/>
        <w:rPr>
          <w:rFonts w:hint="cs"/>
          <w:rtl/>
        </w:rPr>
      </w:pPr>
      <w:r>
        <w:rPr>
          <w:rFonts w:hint="cs"/>
          <w:rtl/>
        </w:rPr>
        <w:t>83 -</w:t>
      </w:r>
      <w:r>
        <w:rPr>
          <w:rFonts w:hint="cs"/>
          <w:rtl/>
        </w:rPr>
        <w:tab/>
        <w:t>بغية مواصلة تحسين المساواة بين الجنسين، اتخذت التدابير التالية:</w:t>
      </w:r>
    </w:p>
    <w:p w:rsidR="00BB415E" w:rsidRDefault="00BB415E" w:rsidP="00730FA5">
      <w:pPr>
        <w:pStyle w:val="SingleTxt"/>
        <w:ind w:left="2592" w:hanging="1325"/>
        <w:rPr>
          <w:rFonts w:hint="cs"/>
          <w:rtl/>
        </w:rPr>
      </w:pPr>
      <w:r>
        <w:rPr>
          <w:rFonts w:hint="cs"/>
          <w:rtl/>
        </w:rPr>
        <w:tab/>
        <w:t>’1‘</w:t>
      </w:r>
      <w:r>
        <w:rPr>
          <w:rFonts w:hint="cs"/>
          <w:rtl/>
        </w:rPr>
        <w:tab/>
        <w:t xml:space="preserve">إدخال تعديل على المادة 8 (2) من الدستور الاتحادي، في 1 </w:t>
      </w:r>
      <w:r>
        <w:rPr>
          <w:rtl/>
        </w:rPr>
        <w:t xml:space="preserve">آب/أغسطس </w:t>
      </w:r>
      <w:r>
        <w:rPr>
          <w:rFonts w:hint="cs"/>
          <w:rtl/>
        </w:rPr>
        <w:t xml:space="preserve">2001 يقضي بعدم السماح بالتمييز على أساس نوع الجنس </w:t>
      </w:r>
      <w:r w:rsidR="00730FA5">
        <w:rPr>
          <w:rFonts w:hint="cs"/>
          <w:rtl/>
        </w:rPr>
        <w:t xml:space="preserve">علاوة على عدم التمييز على أساس </w:t>
      </w:r>
      <w:r>
        <w:rPr>
          <w:rFonts w:hint="cs"/>
          <w:rtl/>
        </w:rPr>
        <w:t>الدين أو العرق أو المنشأ أو مكان الولادة. وتنقيح القوانين الأخرى لمعالجة المسائل والمشاكل ذات الصلة بالنهوض بالمرأة؛</w:t>
      </w:r>
    </w:p>
    <w:p w:rsidR="00BB415E" w:rsidRDefault="00BB415E" w:rsidP="00502F63">
      <w:pPr>
        <w:pStyle w:val="SingleTxt"/>
        <w:ind w:left="2592" w:hanging="1325"/>
        <w:rPr>
          <w:rFonts w:hint="cs"/>
          <w:rtl/>
        </w:rPr>
      </w:pPr>
      <w:r>
        <w:rPr>
          <w:rFonts w:hint="cs"/>
          <w:rtl/>
        </w:rPr>
        <w:tab/>
        <w:t>’2‘</w:t>
      </w:r>
      <w:r>
        <w:rPr>
          <w:rFonts w:hint="cs"/>
          <w:rtl/>
        </w:rPr>
        <w:tab/>
        <w:t>تخصيص أموال خاصة للنهوض بالمرأة من قبل وزارة الخزانة ووزارات تنمية المشاريع الحرة، والتجارة الدولية والصناعة، والوحدة الوطنية والتنمية الاجتماعية، والتنمية الريفية</w:t>
      </w:r>
      <w:r w:rsidR="00502F63">
        <w:rPr>
          <w:rFonts w:hint="cs"/>
          <w:rtl/>
        </w:rPr>
        <w:t>،</w:t>
      </w:r>
      <w:r>
        <w:rPr>
          <w:rFonts w:hint="cs"/>
          <w:rtl/>
        </w:rPr>
        <w:t xml:space="preserve"> والشباب والرياضة (يرجى الرجوع إلى المادة 4). واستفاد من خلال الصندوق المعروف باسم تيكون (</w:t>
      </w:r>
      <w:r w:rsidR="005A7C8D">
        <w:t xml:space="preserve">TEKUN </w:t>
      </w:r>
      <w:r w:rsidR="005A7C8D">
        <w:rPr>
          <w:rFonts w:hint="cs"/>
          <w:rtl/>
        </w:rPr>
        <w:t xml:space="preserve">)، لغاية </w:t>
      </w:r>
      <w:r w:rsidR="005A7C8D">
        <w:rPr>
          <w:rtl/>
        </w:rPr>
        <w:t xml:space="preserve">نيسان/أبريل </w:t>
      </w:r>
      <w:r w:rsidR="005A7C8D">
        <w:rPr>
          <w:rFonts w:hint="cs"/>
          <w:rtl/>
        </w:rPr>
        <w:t>2003 حوالي 4</w:t>
      </w:r>
      <w:r w:rsidR="00502F63">
        <w:rPr>
          <w:rFonts w:hint="cs"/>
          <w:rtl/>
        </w:rPr>
        <w:t>76</w:t>
      </w:r>
      <w:r w:rsidR="005A7C8D">
        <w:rPr>
          <w:rFonts w:hint="cs"/>
          <w:rtl/>
        </w:rPr>
        <w:t xml:space="preserve"> 34 امرأة من الاعتماد البالغ 130.3 مليون رينغيت، في حين تمت الموافقة على تخصيص مبلغ قدره 26.7 مليون رينغيت لصالح 379 مقترضا في إطار البرنامج الخاص </w:t>
      </w:r>
      <w:r w:rsidR="00502F63">
        <w:rPr>
          <w:rFonts w:hint="cs"/>
          <w:rtl/>
        </w:rPr>
        <w:t>با</w:t>
      </w:r>
      <w:r w:rsidR="005A7C8D">
        <w:rPr>
          <w:rFonts w:hint="cs"/>
          <w:rtl/>
        </w:rPr>
        <w:t>لمرأة الذي تديره شركة الصناعات الصغيرة والمتوسطة الحجم؛</w:t>
      </w:r>
    </w:p>
    <w:p w:rsidR="005A7C8D" w:rsidRDefault="005A7C8D" w:rsidP="00502F63">
      <w:pPr>
        <w:pStyle w:val="SingleTxt"/>
        <w:ind w:left="2592" w:hanging="1325"/>
        <w:rPr>
          <w:rFonts w:hint="cs"/>
          <w:rtl/>
        </w:rPr>
      </w:pPr>
      <w:r>
        <w:rPr>
          <w:rFonts w:hint="cs"/>
          <w:rtl/>
        </w:rPr>
        <w:tab/>
        <w:t>’3‘</w:t>
      </w:r>
      <w:r>
        <w:rPr>
          <w:rFonts w:hint="cs"/>
          <w:rtl/>
        </w:rPr>
        <w:tab/>
        <w:t xml:space="preserve">إنشاء/تعزيز النظم والمرافق الكفيلة بإتاحة إمكانيات أكبر للمرأة للاشتراك في سوق العمل أو البقاء فيه ومنها على سبيل المثال زيادة عدد مراكز رعاية الرضع والأطفال، وتحرير السياسات المتعلقة باستقدام الخادمات المنزليات الأجنبيات، وزيادة المرونة بشأن مدة إجازة الأمومة ورعاية الطفل (من 42 إلى 60 يوما في كل من القطاع العام والخاص والسماح </w:t>
      </w:r>
      <w:r w:rsidR="00502F63">
        <w:rPr>
          <w:rFonts w:hint="cs"/>
          <w:rtl/>
        </w:rPr>
        <w:t>ب</w:t>
      </w:r>
      <w:r>
        <w:rPr>
          <w:rFonts w:hint="cs"/>
          <w:rtl/>
        </w:rPr>
        <w:t>أخذ إجازات أطول، عند الاقتضاء). وتمديد فترة إجازة الأبوة للموظفين العموميين إلى سبعة أيام. وتتاح، كلما أمكن</w:t>
      </w:r>
      <w:r w:rsidR="00502F63">
        <w:rPr>
          <w:rFonts w:hint="cs"/>
          <w:rtl/>
        </w:rPr>
        <w:t>،</w:t>
      </w:r>
      <w:r>
        <w:rPr>
          <w:rFonts w:hint="cs"/>
          <w:rtl/>
        </w:rPr>
        <w:t xml:space="preserve"> أوقات عمل مرنة أو العمل بدوام جزئي وتوفر للعاملات، في بعض القطاعات، أماكن إقامة ووسائط نقل إلى مكان العمل ومنه (كما هي الحال في الصناعة الالكترونية) (يرجى الرجوع إلى المادة 11)؛</w:t>
      </w:r>
    </w:p>
    <w:p w:rsidR="005A7C8D" w:rsidRDefault="005A7C8D" w:rsidP="00A71FC6">
      <w:pPr>
        <w:pStyle w:val="SingleTxt"/>
        <w:ind w:left="2592" w:hanging="1325"/>
        <w:rPr>
          <w:rFonts w:hint="cs"/>
          <w:rtl/>
        </w:rPr>
      </w:pPr>
      <w:r>
        <w:rPr>
          <w:rFonts w:hint="cs"/>
          <w:rtl/>
        </w:rPr>
        <w:tab/>
        <w:t>’4‘</w:t>
      </w:r>
      <w:r>
        <w:rPr>
          <w:rFonts w:hint="cs"/>
          <w:rtl/>
        </w:rPr>
        <w:tab/>
        <w:t>إنشاء نظام المعلومات المصنفة بحسب نوع الجنس لرصد التقدم الذي تحرزه البرامج والأنشطة المتعلقة بالمرأة؛</w:t>
      </w:r>
    </w:p>
    <w:p w:rsidR="005A7C8D" w:rsidRDefault="005A7C8D" w:rsidP="00A71FC6">
      <w:pPr>
        <w:pStyle w:val="SingleTxt"/>
        <w:ind w:left="2592" w:hanging="1325"/>
        <w:rPr>
          <w:rFonts w:hint="cs"/>
          <w:rtl/>
        </w:rPr>
      </w:pPr>
      <w:r>
        <w:rPr>
          <w:rFonts w:hint="cs"/>
          <w:rtl/>
        </w:rPr>
        <w:tab/>
        <w:t>’5‘</w:t>
      </w:r>
      <w:r>
        <w:rPr>
          <w:rFonts w:hint="cs"/>
          <w:rtl/>
        </w:rPr>
        <w:tab/>
        <w:t>توفير منح خاصة للمنظمات غير الحكومية لمساعدتها على تنفيذ وتدريب وبناء القدرات لصالح المرأة؛</w:t>
      </w:r>
    </w:p>
    <w:p w:rsidR="005A7C8D" w:rsidRDefault="005A7C8D" w:rsidP="00A71FC6">
      <w:pPr>
        <w:pStyle w:val="SingleTxt"/>
        <w:ind w:left="2592" w:hanging="1325"/>
        <w:rPr>
          <w:rFonts w:hint="cs"/>
          <w:rtl/>
        </w:rPr>
      </w:pPr>
      <w:r>
        <w:rPr>
          <w:rFonts w:hint="cs"/>
          <w:rtl/>
        </w:rPr>
        <w:tab/>
        <w:t>’6‘</w:t>
      </w:r>
      <w:r>
        <w:rPr>
          <w:rFonts w:hint="cs"/>
          <w:rtl/>
        </w:rPr>
        <w:tab/>
        <w:t xml:space="preserve">شن حملات مختلفة من قبيل حملة الأسر السعيدة </w:t>
      </w:r>
      <w:r>
        <w:rPr>
          <w:rFonts w:hint="eastAsia"/>
          <w:rtl/>
        </w:rPr>
        <w:t>”كلورغا بهاجيا</w:t>
      </w:r>
      <w:r>
        <w:rPr>
          <w:rFonts w:hint="cs"/>
          <w:rtl/>
        </w:rPr>
        <w:t xml:space="preserve">“ و </w:t>
      </w:r>
      <w:r>
        <w:rPr>
          <w:rFonts w:hint="eastAsia"/>
          <w:rtl/>
        </w:rPr>
        <w:t>”المجتمع الرؤوف</w:t>
      </w:r>
      <w:r>
        <w:rPr>
          <w:rFonts w:hint="cs"/>
          <w:rtl/>
        </w:rPr>
        <w:t xml:space="preserve">“ و </w:t>
      </w:r>
      <w:r>
        <w:rPr>
          <w:rFonts w:hint="eastAsia"/>
          <w:rtl/>
        </w:rPr>
        <w:t>”الإلمام بالشؤون القانونية</w:t>
      </w:r>
      <w:r>
        <w:rPr>
          <w:rFonts w:hint="cs"/>
          <w:rtl/>
        </w:rPr>
        <w:t xml:space="preserve">“ و </w:t>
      </w:r>
      <w:r>
        <w:rPr>
          <w:rFonts w:hint="eastAsia"/>
          <w:rtl/>
        </w:rPr>
        <w:t>”الأخلاق وبناء شخصية الأطفال والشباب</w:t>
      </w:r>
      <w:r>
        <w:rPr>
          <w:rFonts w:hint="cs"/>
          <w:rtl/>
        </w:rPr>
        <w:t xml:space="preserve">“ وحملة  </w:t>
      </w:r>
      <w:r>
        <w:rPr>
          <w:rFonts w:hint="eastAsia"/>
          <w:rtl/>
        </w:rPr>
        <w:t>”نساء ضد العنف</w:t>
      </w:r>
      <w:r>
        <w:rPr>
          <w:rFonts w:hint="cs"/>
          <w:rtl/>
        </w:rPr>
        <w:t>“ وإنشاء مراكز جامعة للتصدي للأزمات؛</w:t>
      </w:r>
    </w:p>
    <w:p w:rsidR="005A7C8D" w:rsidRDefault="005A7C8D" w:rsidP="00A71FC6">
      <w:pPr>
        <w:pStyle w:val="SingleTxt"/>
        <w:ind w:left="2592" w:hanging="1325"/>
        <w:rPr>
          <w:rFonts w:hint="cs"/>
          <w:rtl/>
        </w:rPr>
      </w:pPr>
      <w:r>
        <w:rPr>
          <w:rFonts w:hint="cs"/>
          <w:rtl/>
        </w:rPr>
        <w:tab/>
        <w:t>’7‘</w:t>
      </w:r>
      <w:r>
        <w:rPr>
          <w:rFonts w:hint="cs"/>
          <w:rtl/>
        </w:rPr>
        <w:tab/>
        <w:t>عقد حلقات للتدريب على مراعاة الفوارق بين الجنسين للمسؤولين عن تنفيذ السياسات والبرامج.</w:t>
      </w:r>
    </w:p>
    <w:p w:rsidR="00641A30" w:rsidRPr="00641A30" w:rsidRDefault="00641A30" w:rsidP="00641A30">
      <w:pPr>
        <w:pStyle w:val="SingleTxt"/>
        <w:spacing w:after="0" w:line="120" w:lineRule="exact"/>
        <w:ind w:left="2592" w:hanging="1325"/>
        <w:rPr>
          <w:rFonts w:hint="cs"/>
          <w:sz w:val="10"/>
          <w:rtl/>
        </w:rPr>
      </w:pPr>
    </w:p>
    <w:p w:rsidR="005A7C8D" w:rsidRDefault="005A7C8D"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w:t>
      </w:r>
    </w:p>
    <w:p w:rsidR="00641A30" w:rsidRPr="00641A30" w:rsidRDefault="00641A30" w:rsidP="00641A30">
      <w:pPr>
        <w:pStyle w:val="SingleTxt"/>
        <w:spacing w:after="0" w:line="120" w:lineRule="exact"/>
        <w:rPr>
          <w:rFonts w:hint="cs"/>
          <w:sz w:val="10"/>
          <w:rtl/>
        </w:rPr>
      </w:pPr>
    </w:p>
    <w:p w:rsidR="005A7C8D" w:rsidRDefault="005A7C8D" w:rsidP="00A71F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تسريع وتيرة المساواة بين المرأة والرجل</w:t>
      </w:r>
    </w:p>
    <w:p w:rsidR="00641A30" w:rsidRPr="00641A30" w:rsidRDefault="00641A30" w:rsidP="00641A30">
      <w:pPr>
        <w:pStyle w:val="SingleTxt"/>
        <w:spacing w:after="0" w:line="120" w:lineRule="exact"/>
        <w:rPr>
          <w:rFonts w:hint="cs"/>
          <w:sz w:val="10"/>
          <w:rtl/>
        </w:rPr>
      </w:pPr>
    </w:p>
    <w:p w:rsidR="005A7C8D" w:rsidRDefault="005A7C8D" w:rsidP="00A7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5A7C8D" w:rsidRDefault="005A7C8D" w:rsidP="00502F63">
      <w:pPr>
        <w:pStyle w:val="SingleTxt"/>
        <w:rPr>
          <w:rFonts w:hint="cs"/>
          <w:rtl/>
        </w:rPr>
      </w:pPr>
      <w:r>
        <w:rPr>
          <w:rFonts w:hint="cs"/>
          <w:rtl/>
        </w:rPr>
        <w:t>84 -</w:t>
      </w:r>
      <w:r>
        <w:rPr>
          <w:rFonts w:hint="cs"/>
          <w:rtl/>
        </w:rPr>
        <w:tab/>
        <w:t>استدعى إدخال التعديل على المادة 8 (2) من الدستور الاتحادي ضرورة استعراض مختلف القوانين والسياسات النافذة. وقبل التعديل، كانت الحكومة قد أعدت في عام 1989 السياسة الوطنية المتعلقة بالمرأة. وب</w:t>
      </w:r>
      <w:r w:rsidR="00502F63">
        <w:rPr>
          <w:rFonts w:hint="cs"/>
          <w:rtl/>
        </w:rPr>
        <w:t xml:space="preserve">موجب هذا </w:t>
      </w:r>
      <w:r w:rsidR="00B370FD">
        <w:rPr>
          <w:rFonts w:hint="cs"/>
          <w:rtl/>
        </w:rPr>
        <w:t>التعديل، يجري حاليا استعراض وتحسين هذه السياسة لتأخذ في الاعتبار التحديات الجديدة التي تواجهها المرأة على الصعيدين الوطني والدولي.</w:t>
      </w:r>
    </w:p>
    <w:p w:rsidR="00B370FD" w:rsidRDefault="00B370FD" w:rsidP="00502F63">
      <w:pPr>
        <w:pStyle w:val="SingleTxt"/>
        <w:rPr>
          <w:rFonts w:hint="cs"/>
          <w:rtl/>
        </w:rPr>
      </w:pPr>
      <w:r>
        <w:rPr>
          <w:rFonts w:hint="cs"/>
          <w:rtl/>
        </w:rPr>
        <w:t>85 -</w:t>
      </w:r>
      <w:r>
        <w:rPr>
          <w:rFonts w:hint="cs"/>
          <w:rtl/>
        </w:rPr>
        <w:tab/>
        <w:t>وعلى الرغم من أن الحكومة لم تضع بعد موضع التطبيق نظام الحصص و</w:t>
      </w:r>
      <w:r w:rsidR="00502F63">
        <w:rPr>
          <w:rFonts w:hint="cs"/>
          <w:rtl/>
        </w:rPr>
        <w:t xml:space="preserve">القواعد </w:t>
      </w:r>
      <w:r>
        <w:rPr>
          <w:rFonts w:hint="cs"/>
          <w:rtl/>
        </w:rPr>
        <w:t xml:space="preserve">التفضيلية فقد اتخذت تدابير عديدة لتسريع وتيرة المساواة بين المرأة والرجل. ويتبين من نظام </w:t>
      </w:r>
      <w:r w:rsidR="00502F63">
        <w:rPr>
          <w:rFonts w:hint="cs"/>
          <w:rtl/>
        </w:rPr>
        <w:t xml:space="preserve">الجدارة </w:t>
      </w:r>
      <w:r w:rsidR="00BB62B8">
        <w:rPr>
          <w:rFonts w:hint="cs"/>
          <w:rtl/>
        </w:rPr>
        <w:t>ل</w:t>
      </w:r>
      <w:r>
        <w:rPr>
          <w:rFonts w:hint="cs"/>
          <w:rtl/>
        </w:rPr>
        <w:t>قبول الطلاب المتفوقين في معاهد التعليم العالي في ماليزيا أن عدد الإناث المقبولات بموجبه يفوق عدد الذكور.</w:t>
      </w:r>
    </w:p>
    <w:p w:rsidR="00641A30" w:rsidRPr="00641A30" w:rsidRDefault="00641A30" w:rsidP="00641A30">
      <w:pPr>
        <w:pStyle w:val="SingleTxt"/>
        <w:spacing w:after="0" w:line="120" w:lineRule="exact"/>
        <w:rPr>
          <w:rFonts w:hint="cs"/>
          <w:sz w:val="10"/>
          <w:rtl/>
        </w:rPr>
      </w:pPr>
    </w:p>
    <w:p w:rsidR="00B370FD" w:rsidRDefault="00B370FD" w:rsidP="00502F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02F63">
        <w:rPr>
          <w:rFonts w:hint="cs"/>
          <w:rtl/>
        </w:rPr>
        <w:t xml:space="preserve">الإجراءات الوضعية </w:t>
      </w:r>
      <w:r>
        <w:rPr>
          <w:rFonts w:hint="cs"/>
          <w:rtl/>
        </w:rPr>
        <w:t>والمؤقتة والإيجابية</w:t>
      </w:r>
    </w:p>
    <w:p w:rsidR="00B370FD" w:rsidRDefault="00B370FD" w:rsidP="00A71FC6">
      <w:pPr>
        <w:pStyle w:val="SingleTxt"/>
        <w:rPr>
          <w:rFonts w:hint="cs"/>
          <w:rtl/>
        </w:rPr>
      </w:pPr>
      <w:r>
        <w:rPr>
          <w:rFonts w:hint="cs"/>
          <w:rtl/>
        </w:rPr>
        <w:t>86 -</w:t>
      </w:r>
      <w:r>
        <w:rPr>
          <w:rFonts w:hint="cs"/>
          <w:rtl/>
        </w:rPr>
        <w:tab/>
        <w:t>الإجراءات الإيجابية الرئيسية التي اتخذت هي:</w:t>
      </w:r>
    </w:p>
    <w:p w:rsidR="00B370FD" w:rsidRDefault="00B370FD" w:rsidP="00A71FC6">
      <w:pPr>
        <w:pStyle w:val="SingleTxt"/>
        <w:ind w:left="2592" w:hanging="1325"/>
        <w:rPr>
          <w:rFonts w:hint="cs"/>
          <w:rtl/>
        </w:rPr>
      </w:pPr>
      <w:r>
        <w:rPr>
          <w:rFonts w:hint="cs"/>
          <w:rtl/>
        </w:rPr>
        <w:tab/>
        <w:t>’1‘</w:t>
      </w:r>
      <w:r>
        <w:rPr>
          <w:rFonts w:hint="cs"/>
          <w:rtl/>
        </w:rPr>
        <w:tab/>
        <w:t>بغية الحد من الفقر في صفوف النساء، بدأت وزارة تنمية المشاريع الحرة ووزارة التنمية الريفية إعمال مشاريع مدرة للدخل لصالح المرأة ووفرت حوافز للصناعات المنزلية وطبقت برامج لتسويق منتجاتها؛</w:t>
      </w:r>
    </w:p>
    <w:p w:rsidR="00B370FD" w:rsidRDefault="00B370FD" w:rsidP="00A71FC6">
      <w:pPr>
        <w:pStyle w:val="SingleTxt"/>
        <w:ind w:left="2592" w:hanging="1325"/>
        <w:rPr>
          <w:rFonts w:hint="cs"/>
          <w:rtl/>
        </w:rPr>
      </w:pPr>
      <w:r>
        <w:rPr>
          <w:rFonts w:hint="cs"/>
          <w:rtl/>
        </w:rPr>
        <w:tab/>
        <w:t>’2‘</w:t>
      </w:r>
      <w:r>
        <w:rPr>
          <w:rFonts w:hint="cs"/>
          <w:rtl/>
        </w:rPr>
        <w:tab/>
        <w:t>وبغية زيادة مشاركة المرأة في الأعمال التجارية، أنشئ في عام 1998 صندوق لصاحبات المشاريع الحرة خصص له اعتماد مقداره 10 ملايين رينغيت. كما خصص مؤخرا لهذا الصندوق مبلغ 10 ملايين رينغيت وتمت الموافقة، في إطار هذا الصندوق، على 12 مشروعا تبلغ قيمتها الإجمالية 9.5 ملايين رينغيت</w:t>
      </w:r>
      <w:r w:rsidR="00502F63">
        <w:rPr>
          <w:rFonts w:hint="cs"/>
          <w:rtl/>
        </w:rPr>
        <w:t>.</w:t>
      </w:r>
      <w:r>
        <w:rPr>
          <w:rFonts w:hint="cs"/>
          <w:rtl/>
        </w:rPr>
        <w:t xml:space="preserve"> وبالإضافة إلى ذلك، رفع أيضا في الفترة بين عامي 1999 و 2002 سقف المبلغ المعتمد لبرنامج المساعدة الخاصة لصاحبات المشاريع الحرة الذي تديره شركة تنمية الصناعات الصغيرة والمتوسطة الحجم من 11.5 مليون رينغيت إلى 18 مليون رينغيت؛</w:t>
      </w:r>
    </w:p>
    <w:p w:rsidR="00B370FD" w:rsidRDefault="00B370FD" w:rsidP="00FB4836">
      <w:pPr>
        <w:pStyle w:val="SingleTxt"/>
        <w:ind w:left="2592" w:hanging="1325"/>
        <w:rPr>
          <w:rFonts w:hint="cs"/>
          <w:rtl/>
        </w:rPr>
      </w:pPr>
      <w:r>
        <w:rPr>
          <w:rFonts w:hint="cs"/>
          <w:rtl/>
        </w:rPr>
        <w:tab/>
        <w:t>’3‘</w:t>
      </w:r>
      <w:r>
        <w:rPr>
          <w:rFonts w:hint="cs"/>
          <w:rtl/>
        </w:rPr>
        <w:tab/>
        <w:t>وتوفر منح دراسية للطلاب الذين تتوفر لديهم القدرة على متابعة التعليم الجامعي. وبغية التشجيع على زيادة مشاركة الإناث في معاهد الفنون التقنية، حصلت الإناث على القسم الأعظم من دبلومات التربية والمنح الدراسية من الدرجة الأولى المتعلقة بمنحة التعليم الاتحادية. وفي عام 1998، حصلت الإناث على 910 4 منح دراسية (أي ما نسبته 61.2 في المائة) من أصل 022 8 حاصل على منحة دراسية/قرض دراسي.</w:t>
      </w:r>
    </w:p>
    <w:p w:rsidR="00955676" w:rsidRPr="0099343D" w:rsidRDefault="00955676" w:rsidP="00955676">
      <w:pPr>
        <w:pStyle w:val="SingleTxt"/>
        <w:spacing w:after="0" w:line="120" w:lineRule="exact"/>
        <w:ind w:left="2592" w:hanging="1325"/>
        <w:rPr>
          <w:rFonts w:hint="cs"/>
          <w:sz w:val="10"/>
          <w:rtl/>
        </w:rPr>
      </w:pPr>
    </w:p>
    <w:p w:rsidR="00955676" w:rsidRDefault="00955676" w:rsidP="00955676">
      <w:pPr>
        <w:pStyle w:val="SingleTxt"/>
        <w:ind w:left="1930" w:hanging="663"/>
        <w:rPr>
          <w:rFonts w:hint="cs"/>
          <w:rtl/>
        </w:rPr>
      </w:pPr>
      <w:r>
        <w:rPr>
          <w:rFonts w:hint="cs"/>
          <w:rtl/>
        </w:rPr>
        <w:t>’4 ‘</w:t>
      </w:r>
      <w:r>
        <w:rPr>
          <w:rFonts w:hint="cs"/>
          <w:rtl/>
        </w:rPr>
        <w:tab/>
        <w:t>عولجت مسألة عدم المساواة بين الرجل والمرأة في نطاق الأسرة بتدابير مختلفة ترمي إلى تحقيق توزيع أكثر أنصافا لدور كل من الوالدين ومسؤوليات الأسرة المعيشية ومسؤوليات العائلة. وفي جملة تلك التدابير</w:t>
      </w:r>
      <w:r w:rsidR="004E5EDB">
        <w:rPr>
          <w:rFonts w:hint="cs"/>
          <w:rtl/>
        </w:rPr>
        <w:t>،</w:t>
      </w:r>
      <w:r>
        <w:rPr>
          <w:rFonts w:hint="cs"/>
          <w:rtl/>
        </w:rPr>
        <w:t xml:space="preserve"> شن حملات من قبيل حملة </w:t>
      </w:r>
      <w:r>
        <w:rPr>
          <w:rFonts w:hint="eastAsia"/>
          <w:rtl/>
        </w:rPr>
        <w:t>”تعزيز وحدة الأسرة</w:t>
      </w:r>
      <w:r>
        <w:rPr>
          <w:rFonts w:hint="cs"/>
          <w:rtl/>
        </w:rPr>
        <w:t xml:space="preserve">“ وحملة </w:t>
      </w:r>
      <w:r>
        <w:rPr>
          <w:rFonts w:hint="eastAsia"/>
          <w:rtl/>
        </w:rPr>
        <w:t>”</w:t>
      </w:r>
      <w:r>
        <w:rPr>
          <w:rFonts w:hint="cs"/>
          <w:rtl/>
        </w:rPr>
        <w:t>المهارات الوالدية الجيدة والفعالة</w:t>
      </w:r>
      <w:r>
        <w:rPr>
          <w:rFonts w:hint="eastAsia"/>
          <w:rtl/>
        </w:rPr>
        <w:t>“ فضلا عن تشغيل وتعزيز برامج رعاية الطفل</w:t>
      </w:r>
      <w:r>
        <w:rPr>
          <w:rFonts w:hint="cs"/>
          <w:rtl/>
        </w:rPr>
        <w:t>.</w:t>
      </w:r>
    </w:p>
    <w:p w:rsidR="00955676" w:rsidRPr="00F21685" w:rsidRDefault="00955676" w:rsidP="00955676">
      <w:pPr>
        <w:pStyle w:val="SingleTxt"/>
        <w:spacing w:after="0" w:line="120" w:lineRule="exact"/>
        <w:ind w:left="2592" w:hanging="1325"/>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955676" w:rsidRPr="00F21685"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دور كل من الجنسين والقوالب النمطية</w:t>
      </w:r>
    </w:p>
    <w:p w:rsidR="00955676" w:rsidRDefault="00955676" w:rsidP="008A3065">
      <w:pPr>
        <w:pStyle w:val="SingleTxt"/>
        <w:rPr>
          <w:rFonts w:hint="cs"/>
          <w:rtl/>
        </w:rPr>
      </w:pPr>
      <w:r>
        <w:rPr>
          <w:rFonts w:hint="cs"/>
          <w:rtl/>
        </w:rPr>
        <w:t>87 -</w:t>
      </w:r>
      <w:r>
        <w:rPr>
          <w:rFonts w:hint="cs"/>
          <w:rtl/>
        </w:rPr>
        <w:tab/>
        <w:t xml:space="preserve">شهد دور ووضع المرأة في ماليزيا تغيرات هائلة في العقود الأربعة الماضية. فمع ازدياد إمكانية الوصول إلى التعليم وفرص العمل والتغيرات التي حدثت في البيئة الاجتماعية والثقافية </w:t>
      </w:r>
      <w:r w:rsidR="004E5EDB">
        <w:rPr>
          <w:rFonts w:hint="cs"/>
          <w:rtl/>
        </w:rPr>
        <w:t>س</w:t>
      </w:r>
      <w:r>
        <w:rPr>
          <w:rFonts w:hint="cs"/>
          <w:rtl/>
        </w:rPr>
        <w:t>ارت المرأة الماليزية في طريق التقدم وشاركت بصورة فعالة في جميع جوانب التنمية في البلد</w:t>
      </w:r>
      <w:r w:rsidR="004E5EDB">
        <w:rPr>
          <w:rFonts w:hint="cs"/>
          <w:rtl/>
        </w:rPr>
        <w:t>.</w:t>
      </w:r>
      <w:r>
        <w:rPr>
          <w:rFonts w:hint="cs"/>
          <w:rtl/>
        </w:rPr>
        <w:t xml:space="preserve"> وسوف تظل التغييرات التي تحدث في البيئة الاجتماعية والثقافية و</w:t>
      </w:r>
      <w:r w:rsidR="004E5EDB">
        <w:rPr>
          <w:rFonts w:hint="cs"/>
          <w:rtl/>
        </w:rPr>
        <w:t>التي ت</w:t>
      </w:r>
      <w:r>
        <w:rPr>
          <w:rFonts w:hint="cs"/>
          <w:rtl/>
        </w:rPr>
        <w:t xml:space="preserve">ساعد </w:t>
      </w:r>
      <w:r w:rsidR="004E5EDB">
        <w:rPr>
          <w:rFonts w:hint="cs"/>
          <w:rtl/>
        </w:rPr>
        <w:t xml:space="preserve">في </w:t>
      </w:r>
      <w:r>
        <w:rPr>
          <w:rFonts w:hint="cs"/>
          <w:rtl/>
        </w:rPr>
        <w:t>تشكيل صورة المرأة الماليزية المعاصرة تؤثر في وضع المرأة في المجتمع.</w:t>
      </w:r>
    </w:p>
    <w:p w:rsidR="00955676" w:rsidRDefault="00955676" w:rsidP="00955676">
      <w:pPr>
        <w:pStyle w:val="SingleTxt"/>
        <w:rPr>
          <w:rFonts w:hint="cs"/>
          <w:rtl/>
        </w:rPr>
      </w:pPr>
      <w:r>
        <w:rPr>
          <w:rFonts w:hint="cs"/>
          <w:rtl/>
        </w:rPr>
        <w:t>88 -</w:t>
      </w:r>
      <w:r>
        <w:rPr>
          <w:rFonts w:hint="cs"/>
          <w:rtl/>
        </w:rPr>
        <w:tab/>
        <w:t xml:space="preserve"> </w:t>
      </w:r>
      <w:r w:rsidR="004E5EDB">
        <w:rPr>
          <w:rFonts w:hint="cs"/>
          <w:rtl/>
        </w:rPr>
        <w:t xml:space="preserve">وقد </w:t>
      </w:r>
      <w:r>
        <w:rPr>
          <w:rFonts w:hint="cs"/>
          <w:rtl/>
        </w:rPr>
        <w:t>تعاظم التزام حكومة ماليزيا بتحسين وضع المرأة مع مرور الوقت. وإن إدماج المنظور الجنساني في خطط التنمية الاجتماعية والاقتصادية هو عملية مستمرة تقوم بها الوزارات المعنية والوكالات التابعة للولايات. وتعتبر ماليزيا مثالا عن بلد حقق، منذ نيله الاستقلال، تقدما كبيرا في تحسين حياة ووضع المرأة، ولا سيما تزويدها بفرص متزايدة يوما بعد يوم كيما تصبح من أصحاب المصلحة في التنمية</w:t>
      </w:r>
      <w:r w:rsidR="004E5EDB">
        <w:rPr>
          <w:rFonts w:hint="cs"/>
          <w:rtl/>
        </w:rPr>
        <w:t xml:space="preserve"> الاقتصادية</w:t>
      </w:r>
      <w:r>
        <w:rPr>
          <w:rFonts w:hint="cs"/>
          <w:rtl/>
        </w:rPr>
        <w:t xml:space="preserve"> للبلد.</w:t>
      </w:r>
    </w:p>
    <w:p w:rsidR="00955676" w:rsidRDefault="00955676" w:rsidP="00FC6182">
      <w:pPr>
        <w:pStyle w:val="SingleTxt"/>
        <w:rPr>
          <w:rFonts w:hint="cs"/>
          <w:rtl/>
        </w:rPr>
      </w:pPr>
      <w:r>
        <w:rPr>
          <w:rFonts w:hint="cs"/>
          <w:rtl/>
        </w:rPr>
        <w:t>89 -</w:t>
      </w:r>
      <w:r>
        <w:rPr>
          <w:rFonts w:hint="cs"/>
          <w:rtl/>
        </w:rPr>
        <w:tab/>
        <w:t>غير أن قدرة المرأة أو إمكانيتها على الاشتراك في المجتمع والمضي قدما صوب تحقيق الاعتماد على النفس والاستقلال غالبا ما تصطدم بالقوالب النمطية السائدة التي تصور المرأة كتابعة وكمساعدة لا كقائدة أو كشريكة متساوية في المجتمع الماليزي. وهذا التفكير النمطي يغذي ويديم الا</w:t>
      </w:r>
      <w:r w:rsidR="00FC6182">
        <w:rPr>
          <w:rFonts w:hint="cs"/>
          <w:rtl/>
        </w:rPr>
        <w:t xml:space="preserve">فتراضات </w:t>
      </w:r>
      <w:r>
        <w:rPr>
          <w:rFonts w:hint="cs"/>
          <w:rtl/>
        </w:rPr>
        <w:t xml:space="preserve">السائدة القائلة بضرورة حصر دور المرأة في النطاق المنزلي أو أن المرأة حتى لو </w:t>
      </w:r>
      <w:r w:rsidR="00FC6182">
        <w:rPr>
          <w:rFonts w:hint="cs"/>
          <w:rtl/>
        </w:rPr>
        <w:t xml:space="preserve">صارت </w:t>
      </w:r>
      <w:r>
        <w:rPr>
          <w:rFonts w:hint="cs"/>
          <w:rtl/>
        </w:rPr>
        <w:t xml:space="preserve">صاحبة مهنة </w:t>
      </w:r>
      <w:r w:rsidR="00FC6182">
        <w:rPr>
          <w:rFonts w:hint="cs"/>
          <w:rtl/>
        </w:rPr>
        <w:t>فس</w:t>
      </w:r>
      <w:r>
        <w:rPr>
          <w:rFonts w:hint="cs"/>
          <w:rtl/>
        </w:rPr>
        <w:t>تظل مسؤولة بالكامل ولوحدها عن رعاية المنزل والأسرة، وهو يعتبر نقطة البدء في حالات عدم المساواة على الصعيد المجتمعي. ولهذا، تملك المرأة فرصة ضئيلة لتطوي</w:t>
      </w:r>
      <w:r w:rsidR="00FC6182">
        <w:rPr>
          <w:rFonts w:hint="cs"/>
          <w:rtl/>
        </w:rPr>
        <w:t>ر</w:t>
      </w:r>
      <w:r>
        <w:rPr>
          <w:rFonts w:hint="cs"/>
          <w:rtl/>
        </w:rPr>
        <w:t xml:space="preserve"> دورها القيادي ومهاراتها في مجال صنع القرار في المجالات العامة.</w:t>
      </w:r>
    </w:p>
    <w:p w:rsidR="00955676" w:rsidRDefault="00955676" w:rsidP="00955676">
      <w:pPr>
        <w:pStyle w:val="SingleTxt"/>
        <w:rPr>
          <w:rFonts w:hint="cs"/>
          <w:rtl/>
        </w:rPr>
      </w:pPr>
      <w:r>
        <w:rPr>
          <w:rFonts w:hint="cs"/>
          <w:rtl/>
        </w:rPr>
        <w:t>90 -</w:t>
      </w:r>
      <w:r>
        <w:rPr>
          <w:rFonts w:hint="cs"/>
          <w:rtl/>
        </w:rPr>
        <w:tab/>
        <w:t>وثمة عوامل ثقافية ومؤسسية مختلفة تستند إلى مفاهيم تقليدية حول دور المرأة في المجتمع تتقاطع معا في أغلب الأحيان لتشكل حواجز أمام تقدم المرأة في المجال المهني وارتقائها في سلم أي منظمة. ومن الملاحظ عوما أن المرأة العاملة أو المهنية تواجه وضعا صعبا يتطلب منها أداء أدوار متعددة كزوجة وأم وعاملة،  والقيام بتلك الأدوار بنجاح. وبالنظر للضغوط الشديدة التي يفرضها الإشراط الاجتماعي والواجبات الثقافية للعمل وفق الفكرة القائلة أن واجب المرأة أولا وقبل كل شيء هو أطفالها وزوجها فلا عجب أن يختار كثير من النساء وضع أسرهن، لا وظائفهن المهنية، في صدر أولوياتهن.</w:t>
      </w:r>
    </w:p>
    <w:p w:rsidR="00955676" w:rsidRDefault="00955676" w:rsidP="00C43389">
      <w:pPr>
        <w:pStyle w:val="SingleTxt"/>
        <w:rPr>
          <w:rFonts w:hint="cs"/>
          <w:rtl/>
        </w:rPr>
      </w:pPr>
      <w:r>
        <w:rPr>
          <w:rFonts w:hint="cs"/>
          <w:rtl/>
        </w:rPr>
        <w:t>91 -</w:t>
      </w:r>
      <w:r>
        <w:rPr>
          <w:rFonts w:hint="cs"/>
          <w:rtl/>
        </w:rPr>
        <w:tab/>
        <w:t xml:space="preserve">ويعترف الدستور الاتحادي ضمنا بحقوق المرأة الماليزية كمواطنة ويضمن لها تلك الحقوق. وتنص الفقرة 1 من المادة 8 من الدستور الاتحادي على </w:t>
      </w:r>
      <w:r>
        <w:rPr>
          <w:rFonts w:hint="eastAsia"/>
          <w:rtl/>
        </w:rPr>
        <w:t>”أن جميع الأشخاص متساوون أمام القانون وأن من حقهم الحصول على حماية القانون على قدم المساواة</w:t>
      </w:r>
      <w:r>
        <w:rPr>
          <w:rFonts w:hint="cs"/>
          <w:rtl/>
        </w:rPr>
        <w:t xml:space="preserve">“ وتنص الفقرة 2 منها كذلك على ما يلي </w:t>
      </w:r>
      <w:r>
        <w:rPr>
          <w:rFonts w:hint="eastAsia"/>
          <w:rtl/>
        </w:rPr>
        <w:t>”ما لم ينص هذا ال</w:t>
      </w:r>
      <w:r>
        <w:rPr>
          <w:rFonts w:hint="cs"/>
          <w:rtl/>
        </w:rPr>
        <w:t>د</w:t>
      </w:r>
      <w:r>
        <w:rPr>
          <w:rFonts w:hint="eastAsia"/>
          <w:rtl/>
        </w:rPr>
        <w:t xml:space="preserve">ستور صراحة </w:t>
      </w:r>
      <w:r>
        <w:rPr>
          <w:rFonts w:hint="cs"/>
          <w:rtl/>
        </w:rPr>
        <w:t>على خلاف ذلك، ينبغي ألا يكون هناك أي تمييز على أساس الدين أو العرق أو الأصل أو مكان الولادة ضد أي مواطن في أي قانون أو تعيين في أي منصب أو عمل في مصلحة عامة، أو في تطبيق أي قانون له صلة بامتلاك أو حيازة أو التصرف بأي ملكية أو تأ</w:t>
      </w:r>
      <w:r w:rsidR="00C43389">
        <w:rPr>
          <w:rFonts w:hint="cs"/>
          <w:rtl/>
        </w:rPr>
        <w:t>سيس</w:t>
      </w:r>
      <w:r>
        <w:rPr>
          <w:rFonts w:hint="cs"/>
          <w:rtl/>
        </w:rPr>
        <w:t xml:space="preserve"> أو إدارة أي عمل تجاري أو مهنة أو حرفة أو عمل</w:t>
      </w:r>
      <w:r>
        <w:rPr>
          <w:rFonts w:hint="eastAsia"/>
          <w:rtl/>
        </w:rPr>
        <w:t>“</w:t>
      </w:r>
      <w:r>
        <w:rPr>
          <w:rFonts w:hint="cs"/>
          <w:rtl/>
        </w:rPr>
        <w:t>. وقد عدلت هذه الفقرة مؤخرا لتشمل كلمة ’نوع الجنس‘.</w:t>
      </w:r>
    </w:p>
    <w:p w:rsidR="00955676" w:rsidRDefault="00955676" w:rsidP="00C43389">
      <w:pPr>
        <w:pStyle w:val="SingleTxt"/>
        <w:ind w:left="1264" w:right="1264"/>
        <w:rPr>
          <w:rFonts w:hint="cs"/>
          <w:rtl/>
        </w:rPr>
      </w:pPr>
      <w:r>
        <w:rPr>
          <w:rFonts w:hint="cs"/>
          <w:rtl/>
        </w:rPr>
        <w:t>92 -</w:t>
      </w:r>
      <w:r>
        <w:rPr>
          <w:rFonts w:hint="cs"/>
          <w:rtl/>
        </w:rPr>
        <w:tab/>
        <w:t xml:space="preserve">وتبين أن دور كل من الجنسين والعرق التي تنتمي إليه المرأة يؤثران في اشتراكها في بناء الدولة. فعند </w:t>
      </w:r>
      <w:r w:rsidR="00C43389">
        <w:rPr>
          <w:rFonts w:hint="cs"/>
          <w:rtl/>
        </w:rPr>
        <w:t>صوغ</w:t>
      </w:r>
      <w:r>
        <w:rPr>
          <w:rFonts w:hint="cs"/>
          <w:rtl/>
        </w:rPr>
        <w:t xml:space="preserve"> دور كل من الجنسين، تتأثر كل مجموعة عرقية في ماليزيا بالقيم الآسيوية التي تحدد دور المرأة في المجال المنزلي/المجال الخاص في حين يسيطر الرجل على المجال العام. ويتأثر أهل الملايو بالعادات والتعاليم الإسلامية. بيد أن الإسلام يمنح حقوقا متساويا للرجال والنساء على حد سواء. ويعتبر الإسلام، في حقيقة الأمر مفتاح إعتاق المرأة وتحريرها. فالإسلام لا يمنع المرأة من طلب العلم أو السعي للعمل. وعلى النقيض من ذلك، يشجع الإسلام المرأة على طلب العلم والسعي للعمل والتملك والاشتغال بالتجارة. ورفع الإسلام من شأن المرأة وقيمتها إلى وضع لم يسبق له مثيل في المجتمع. وبالمثل، يتأثر المجتمع </w:t>
      </w:r>
      <w:r w:rsidR="001976DD">
        <w:rPr>
          <w:rFonts w:hint="cs"/>
          <w:rtl/>
        </w:rPr>
        <w:t xml:space="preserve">المحلي </w:t>
      </w:r>
      <w:r>
        <w:rPr>
          <w:rFonts w:hint="cs"/>
          <w:rtl/>
        </w:rPr>
        <w:t>الهندي أيضا بالدين الهندوسي والعادات الهندية. ومن ناحية أخرى، يحدد الصينيون دور كل من الجنسين من خلال الممارسات العرقية لا الدينية.</w:t>
      </w:r>
    </w:p>
    <w:p w:rsidR="00955676" w:rsidRDefault="00955676" w:rsidP="001976DD">
      <w:pPr>
        <w:pStyle w:val="SingleTxt"/>
        <w:rPr>
          <w:rFonts w:hint="cs"/>
          <w:rtl/>
        </w:rPr>
      </w:pPr>
      <w:r>
        <w:rPr>
          <w:rFonts w:hint="cs"/>
          <w:rtl/>
        </w:rPr>
        <w:t>93 -</w:t>
      </w:r>
      <w:r>
        <w:rPr>
          <w:rFonts w:hint="cs"/>
          <w:rtl/>
        </w:rPr>
        <w:tab/>
        <w:t xml:space="preserve">وفي الوقت نفسه، يتقولب السلوك السياسي للمرأة في شكل الثقافة والتقاليد السياسية للحزب الذي يحدد دور المرأة بطريقة خاصة. ولهذا فإن السياسيات يتمسكن بـ </w:t>
      </w:r>
      <w:r>
        <w:rPr>
          <w:rFonts w:hint="eastAsia"/>
          <w:rtl/>
        </w:rPr>
        <w:t>”الصورة الصحيحة</w:t>
      </w:r>
      <w:r>
        <w:rPr>
          <w:rFonts w:hint="cs"/>
          <w:rtl/>
        </w:rPr>
        <w:t xml:space="preserve">“ التي يوافق عليها ويؤيدها الرجال والنساء على السواء في الحزب والمجتمع بصورة عامة. وبهذه الطريقة، يتم تجنب المسائل الخلافية وعدم الاستقرار داخل الحزب الرئيسي ذاته. وتعتبر السياسيات العضوات في أحـزاب </w:t>
      </w:r>
      <w:r w:rsidR="001976DD">
        <w:rPr>
          <w:rFonts w:hint="cs"/>
          <w:rtl/>
        </w:rPr>
        <w:t>المنظمة الوطنية للملايو المتحدة، ورابطة الصينيين الماليزيين، ومؤتمر الهنود الماليزيين</w:t>
      </w:r>
      <w:r>
        <w:rPr>
          <w:rFonts w:hint="cs"/>
          <w:rtl/>
        </w:rPr>
        <w:t xml:space="preserve"> و</w:t>
      </w:r>
      <w:r>
        <w:rPr>
          <w:rFonts w:hint="eastAsia"/>
          <w:rtl/>
        </w:rPr>
        <w:t> </w:t>
      </w:r>
      <w:r>
        <w:rPr>
          <w:rFonts w:hint="cs"/>
          <w:rtl/>
        </w:rPr>
        <w:t>جير</w:t>
      </w:r>
      <w:r w:rsidR="001976DD">
        <w:rPr>
          <w:rFonts w:hint="cs"/>
          <w:rtl/>
        </w:rPr>
        <w:t>ا</w:t>
      </w:r>
      <w:r>
        <w:rPr>
          <w:rFonts w:hint="cs"/>
          <w:rtl/>
        </w:rPr>
        <w:t>كان من الطبقة الحاكمة وتعكس آراؤهن ومواقفهن العامة إيديولوجية الحزب الحاكم.</w:t>
      </w:r>
    </w:p>
    <w:p w:rsidR="00955676" w:rsidRDefault="00955676" w:rsidP="001976DD">
      <w:pPr>
        <w:pStyle w:val="SingleTxt"/>
        <w:rPr>
          <w:rFonts w:hint="cs"/>
          <w:rtl/>
        </w:rPr>
      </w:pPr>
      <w:r>
        <w:rPr>
          <w:rFonts w:hint="cs"/>
          <w:rtl/>
        </w:rPr>
        <w:t xml:space="preserve">94 </w:t>
      </w:r>
      <w:r>
        <w:rPr>
          <w:rtl/>
        </w:rPr>
        <w:t>–</w:t>
      </w:r>
      <w:r w:rsidR="001976DD">
        <w:rPr>
          <w:rFonts w:hint="cs"/>
          <w:rtl/>
        </w:rPr>
        <w:tab/>
      </w:r>
      <w:r>
        <w:rPr>
          <w:rFonts w:hint="cs"/>
          <w:rtl/>
        </w:rPr>
        <w:t xml:space="preserve">ويمثل عدم وجود كتلة حرجة حجر عثرة في طريق دفع خطط النهوض بالمرأة بسرعة إلى الأمام. ونظرا لقلة عدد النساء اللائي يشغلن مناصب قيادية في مؤسسات رئيسية مثل الأحزاب السياسية والوزارات الرئيسية والهيئات التنفيذية والتشريعية، </w:t>
      </w:r>
      <w:r w:rsidR="001976DD">
        <w:rPr>
          <w:rFonts w:hint="cs"/>
          <w:rtl/>
        </w:rPr>
        <w:t xml:space="preserve">لا تعتبر </w:t>
      </w:r>
      <w:r>
        <w:rPr>
          <w:rFonts w:hint="cs"/>
          <w:rtl/>
        </w:rPr>
        <w:t xml:space="preserve">المرأة </w:t>
      </w:r>
      <w:r w:rsidR="001976DD">
        <w:rPr>
          <w:rFonts w:hint="cs"/>
          <w:rtl/>
        </w:rPr>
        <w:t xml:space="preserve">عديمة </w:t>
      </w:r>
      <w:r>
        <w:rPr>
          <w:rFonts w:hint="cs"/>
          <w:rtl/>
        </w:rPr>
        <w:t xml:space="preserve">السطوة السياسية فحسب وإنما </w:t>
      </w:r>
      <w:r w:rsidR="001976DD">
        <w:rPr>
          <w:rFonts w:hint="cs"/>
          <w:rtl/>
        </w:rPr>
        <w:t xml:space="preserve">لا تشكل </w:t>
      </w:r>
      <w:r>
        <w:rPr>
          <w:rFonts w:hint="cs"/>
          <w:rtl/>
        </w:rPr>
        <w:t xml:space="preserve">أيضا </w:t>
      </w:r>
      <w:r>
        <w:rPr>
          <w:rFonts w:hint="eastAsia"/>
          <w:rtl/>
        </w:rPr>
        <w:t>”الكتلة الحرجة</w:t>
      </w:r>
      <w:r>
        <w:rPr>
          <w:rFonts w:hint="cs"/>
          <w:rtl/>
        </w:rPr>
        <w:t xml:space="preserve">“ أو ورقة </w:t>
      </w:r>
      <w:r w:rsidR="001976DD">
        <w:rPr>
          <w:rFonts w:hint="cs"/>
          <w:rtl/>
        </w:rPr>
        <w:t>ال</w:t>
      </w:r>
      <w:r>
        <w:rPr>
          <w:rFonts w:hint="cs"/>
          <w:rtl/>
        </w:rPr>
        <w:t xml:space="preserve">مساومة </w:t>
      </w:r>
      <w:r w:rsidR="001976DD">
        <w:rPr>
          <w:rFonts w:hint="cs"/>
          <w:rtl/>
        </w:rPr>
        <w:t>ال</w:t>
      </w:r>
      <w:r>
        <w:rPr>
          <w:rFonts w:hint="cs"/>
          <w:rtl/>
        </w:rPr>
        <w:t xml:space="preserve">جماعية في المناصب الرئيسية </w:t>
      </w:r>
      <w:r w:rsidR="001976DD">
        <w:rPr>
          <w:rFonts w:hint="cs"/>
          <w:rtl/>
        </w:rPr>
        <w:t>القادرة على ا</w:t>
      </w:r>
      <w:r>
        <w:rPr>
          <w:rFonts w:hint="cs"/>
          <w:rtl/>
        </w:rPr>
        <w:t>لتأثير بفعالية على عمليات صنع القرار ورسم صورة الحزب أو برنامج عمل الحكومة.</w:t>
      </w:r>
    </w:p>
    <w:p w:rsidR="00955676" w:rsidRDefault="00955676" w:rsidP="001976DD">
      <w:pPr>
        <w:pStyle w:val="SingleTxt"/>
        <w:rPr>
          <w:rFonts w:hint="cs"/>
          <w:rtl/>
        </w:rPr>
      </w:pPr>
      <w:r>
        <w:rPr>
          <w:rFonts w:hint="cs"/>
          <w:rtl/>
        </w:rPr>
        <w:t>95 -</w:t>
      </w:r>
      <w:r>
        <w:rPr>
          <w:rFonts w:hint="cs"/>
          <w:rtl/>
        </w:rPr>
        <w:tab/>
        <w:t xml:space="preserve">وعلى الرغم من تغير الأفكار السائدة حول دور المرأة وصيرورتها أكثر تحررا في أوساط المثقفين والعصريين في ماليزيا، لا يزال هناك عدد كبير من الناس ممن يتمسكون بالقوالب النمطية والمواقف التقييدية الاجتماعية والثقافية المتعلقة بدور المرأة. وتتجلى هذه المواقف المحافظة والتقليدية بكل وضوح في الكتابات المتعلقة بالمرأة المدرجة في الكتب المدرسية المتداولة في المدارس الابتدائية. وهذه الكتب تصور دور المرأة الرئيسي كزوجة وأم. وهي لا تعرض المرأة كشخص يتمتع بالقدرات والإمكانيات اللازمة لتطوير وظيفة مهنية. ويعتبر الرجال فيها المسؤولين عن توفير المال والمأوى والأمن لزوجاتهم وأسرتهم. ولقد طلبت وزارة شؤون المرأة وتنمية الأسرة إلى وزارة </w:t>
      </w:r>
      <w:r w:rsidR="001976DD">
        <w:rPr>
          <w:rFonts w:hint="cs"/>
          <w:rtl/>
        </w:rPr>
        <w:t xml:space="preserve">التربية </w:t>
      </w:r>
      <w:r>
        <w:rPr>
          <w:rFonts w:hint="cs"/>
          <w:rtl/>
        </w:rPr>
        <w:t>إ</w:t>
      </w:r>
      <w:r w:rsidR="001976DD">
        <w:rPr>
          <w:rFonts w:hint="cs"/>
          <w:rtl/>
        </w:rPr>
        <w:t>لغاء</w:t>
      </w:r>
      <w:r>
        <w:rPr>
          <w:rFonts w:hint="cs"/>
          <w:rtl/>
        </w:rPr>
        <w:t xml:space="preserve"> تلك الصور والعروض النمطية عن المرأة وكفالة عرض صورة المرأة في الكتب المدرسية والبرامج التعليمية في وظائف وأدوار متنوعة لا كزوجات وأمهات فحسب. ولغاية الآن، أدخلت وزارة </w:t>
      </w:r>
      <w:r w:rsidR="001976DD">
        <w:rPr>
          <w:rFonts w:hint="cs"/>
          <w:rtl/>
        </w:rPr>
        <w:t xml:space="preserve">التربية </w:t>
      </w:r>
      <w:r>
        <w:rPr>
          <w:rFonts w:hint="cs"/>
          <w:rtl/>
        </w:rPr>
        <w:t xml:space="preserve">في المنهاج التعليمي موضوعا يطلق عليه اسم </w:t>
      </w:r>
      <w:r>
        <w:rPr>
          <w:rFonts w:hint="eastAsia"/>
          <w:rtl/>
        </w:rPr>
        <w:t>”مهارات المعيشة</w:t>
      </w:r>
      <w:r>
        <w:rPr>
          <w:rFonts w:hint="cs"/>
          <w:rtl/>
        </w:rPr>
        <w:t>“. وهذا الموضوع مفتوح أمام الطلاب الذكور والإناث حيث يستطيع الطلاب الذكور الالتحاق بالصفوف التي يتم فيها تعليم علم التدبير المنزلي في حين تستطيع الطالبات الالتحاق بالصفوف التي يتم فيها تعليم حرفة النجارة. ويتماشى هذا الموضوع مع الجهد الذي تبذله الحكومة للقضاء على القوالب النمطية المتعلقة بدور كل من الجنسين.</w:t>
      </w:r>
    </w:p>
    <w:p w:rsidR="00955676" w:rsidRDefault="00955676" w:rsidP="0014328E">
      <w:pPr>
        <w:pStyle w:val="SingleTxt"/>
        <w:rPr>
          <w:rFonts w:hint="cs"/>
          <w:rtl/>
        </w:rPr>
      </w:pPr>
      <w:r>
        <w:rPr>
          <w:rFonts w:hint="cs"/>
          <w:rtl/>
        </w:rPr>
        <w:t>96 -</w:t>
      </w:r>
      <w:r>
        <w:rPr>
          <w:rFonts w:hint="cs"/>
          <w:rtl/>
        </w:rPr>
        <w:tab/>
        <w:t>ولا يمكن إنكار ما حققته المرأة الماليزية من خطوات واسعة على الساحة السياسية والعامة. ولقد برهنت النساء الماليزيات القليلات اللائي وصلن إلى القمة على ما يتمتعن به من قدرات وأظهرن أن سياسات الحكومة ليست تمييزية أكثر مما ينبغي</w:t>
      </w:r>
      <w:r w:rsidR="0014328E">
        <w:rPr>
          <w:rFonts w:hint="cs"/>
          <w:rtl/>
        </w:rPr>
        <w:t>.</w:t>
      </w:r>
      <w:r>
        <w:rPr>
          <w:rFonts w:hint="cs"/>
          <w:rtl/>
        </w:rPr>
        <w:t xml:space="preserve"> بيد أن عناصر عدم </w:t>
      </w:r>
      <w:r w:rsidR="0014328E">
        <w:rPr>
          <w:rFonts w:hint="cs"/>
          <w:rtl/>
        </w:rPr>
        <w:t xml:space="preserve">التمييز الجنسي </w:t>
      </w:r>
      <w:r>
        <w:rPr>
          <w:rFonts w:hint="cs"/>
          <w:rtl/>
        </w:rPr>
        <w:t>في مجالات التعيين والإعلان والترقية في وظائف الخدمة العامة تسفر في أغلب الأحيان عن انخفاض تمثيل المرأة على مستوى صنع القرار. وتواجه المديرات، على جميع المستويات تقريبا، عقبات أكبر من العقبات التي يواجهها نظراؤهم الرجال في الحراك الوظيفي، وبخاصة على مستوى المدراء. كما ت</w:t>
      </w:r>
      <w:r w:rsidR="0014328E">
        <w:rPr>
          <w:rFonts w:hint="cs"/>
          <w:rtl/>
        </w:rPr>
        <w:t>ُ</w:t>
      </w:r>
      <w:r>
        <w:rPr>
          <w:rFonts w:hint="cs"/>
          <w:rtl/>
        </w:rPr>
        <w:t>ضعف الأدوار المتعددة التي تؤديها المرأة كزوجة وكأم وكصاحبة مهنة إمكانية ارتقائها في السلم الوظيفي.</w:t>
      </w:r>
    </w:p>
    <w:p w:rsidR="00955676" w:rsidRDefault="00955676" w:rsidP="00955676">
      <w:pPr>
        <w:pStyle w:val="SingleTxt"/>
        <w:rPr>
          <w:rFonts w:hint="cs"/>
          <w:rtl/>
        </w:rPr>
      </w:pPr>
      <w:r>
        <w:rPr>
          <w:rFonts w:hint="cs"/>
          <w:rtl/>
        </w:rPr>
        <w:t>97 -</w:t>
      </w:r>
      <w:r>
        <w:rPr>
          <w:rFonts w:hint="cs"/>
          <w:rtl/>
        </w:rPr>
        <w:tab/>
      </w:r>
      <w:r w:rsidR="0014328E">
        <w:rPr>
          <w:rFonts w:hint="cs"/>
          <w:rtl/>
        </w:rPr>
        <w:t>و</w:t>
      </w:r>
      <w:r>
        <w:rPr>
          <w:rFonts w:hint="cs"/>
          <w:rtl/>
        </w:rPr>
        <w:t>يتضح من الاتجاهات السائدة حاليا في القطاعين العام والخاص وجود هياكل هرمية يتربع على ذروتها مديرون تنفيذيون في حين تتكون غالبية العاملين في قاعدتها من العاملات (بصفة طابعات أو كاتبات أو سكرتيرات). وهذا يشير إلى أن العاملات في القطاعين العام والخاص يشغلن وظائف منخفضة الأجر على الأغلب وأن هناك عددا قليلا من ا</w:t>
      </w:r>
      <w:r w:rsidR="0014328E">
        <w:rPr>
          <w:rFonts w:hint="cs"/>
          <w:rtl/>
        </w:rPr>
        <w:t>لنساء  في المناصب العليا في الخد</w:t>
      </w:r>
      <w:r>
        <w:rPr>
          <w:rFonts w:hint="cs"/>
          <w:rtl/>
        </w:rPr>
        <w:t>مة العامة أو في الشركات الخاصة.</w:t>
      </w:r>
    </w:p>
    <w:p w:rsidR="00955676" w:rsidRDefault="00955676" w:rsidP="0014328E">
      <w:pPr>
        <w:pStyle w:val="SingleTxt"/>
        <w:rPr>
          <w:rFonts w:hint="cs"/>
          <w:rtl/>
        </w:rPr>
      </w:pPr>
      <w:r>
        <w:rPr>
          <w:rFonts w:hint="cs"/>
          <w:rtl/>
        </w:rPr>
        <w:t>98 -</w:t>
      </w:r>
      <w:r>
        <w:rPr>
          <w:rFonts w:hint="cs"/>
          <w:rtl/>
        </w:rPr>
        <w:tab/>
        <w:t xml:space="preserve">وتعتبر الحكومة الماليزية التعليم أداة هامة في القضاء على القوالب النمطية أو الآراء المتحيزة ضد المرأة. واعترافا منها بهذه الحقيقة، قطعت الحكومة على نفسها التزاما كاملا بتعليم وتدريب وتطوير قوتها العاملة الوطنية كتدبير صوب بناء الدولة والتنمية الاقتصادية؛ وشددت على تشجيع الفتيات على الاستفادة من مختلف الدورات والبرامج الدراسية التي توفرها وزارة </w:t>
      </w:r>
      <w:r w:rsidR="0014328E">
        <w:rPr>
          <w:rFonts w:hint="cs"/>
          <w:rtl/>
        </w:rPr>
        <w:t>التربية</w:t>
      </w:r>
      <w:r>
        <w:rPr>
          <w:rFonts w:hint="cs"/>
          <w:rtl/>
        </w:rPr>
        <w:t>، بما فيها الدورات المعروفة تقليديا للذكور. وعلى الرغم من ازدياد عدد الطالبات في المراحل الابتدائية والثانوية والجامعية، فإن تجمع الطالبات بكثرة في دورات الفنون والعلوم الاقتصادية والأعمال التجارية ما زال مستمرا على جميع المستويات.</w:t>
      </w:r>
    </w:p>
    <w:p w:rsidR="00955676" w:rsidRDefault="00955676" w:rsidP="0014328E">
      <w:pPr>
        <w:pStyle w:val="SingleTxt"/>
        <w:rPr>
          <w:rFonts w:hint="cs"/>
          <w:rtl/>
        </w:rPr>
      </w:pPr>
      <w:r>
        <w:rPr>
          <w:rFonts w:hint="cs"/>
          <w:rtl/>
        </w:rPr>
        <w:t>99 -</w:t>
      </w:r>
      <w:r>
        <w:rPr>
          <w:rFonts w:hint="cs"/>
          <w:rtl/>
        </w:rPr>
        <w:tab/>
        <w:t xml:space="preserve">وتميل الطالبات بكثرة إلى أخذ الدورات الاختيارية من قبيل دورات التدبير المنزلي والتجارة ويشكلن أقلية ضئيلة في دورات الهندسة. وعلى الرغم من عدم وجود فصل متعمد بين الجنسين، فإن الممارسات الثقافية وعمليات التكيف الاجتماعي تلعب دورا كبيرا في اختيار الطلبة للدورات وتديم تجمع الفتيات بكثرة في الدورات المعروفة تقليديا للإناث وتجمع الفتيان بكثرة في الدورات المعروفة تقليديا للذكور. وتبذل حاليا جهود كبيرة لتشجيع الطالبات على الالتحاق في دورات العلم والتكنولوجيا. وسوف يتم شن حملات للتوعية بالفوارق بين الجنسين في أوساط </w:t>
      </w:r>
      <w:r w:rsidR="0014328E">
        <w:rPr>
          <w:rFonts w:hint="cs"/>
          <w:rtl/>
        </w:rPr>
        <w:t xml:space="preserve">الآباء والأمهات </w:t>
      </w:r>
      <w:r>
        <w:rPr>
          <w:rFonts w:hint="cs"/>
          <w:rtl/>
        </w:rPr>
        <w:t>وجميع الأطراف في النظام المدرسي لكفالة عدم سير الفتيان والفتيات في الاتجاه التي تمليه الإيديولوجية التقليدية الخاصة بدور كل من الجنسين. كما ينبغي للرابطات النسائية المهنية أو المنظمات غير الحكومية التي تشكل النساء قاعدتها الأساسية العمل على التخلص من صورة المرأة الذاتية المتدنية السائدة في أوساط المهن التي يسيطر عليها الذكور تقليديا.</w:t>
      </w:r>
    </w:p>
    <w:p w:rsidR="00955676" w:rsidRDefault="00955676" w:rsidP="00955676">
      <w:pPr>
        <w:pStyle w:val="SingleTxt"/>
        <w:rPr>
          <w:rFonts w:hint="cs"/>
          <w:rtl/>
        </w:rPr>
      </w:pPr>
      <w:r>
        <w:rPr>
          <w:rFonts w:hint="cs"/>
          <w:rtl/>
        </w:rPr>
        <w:t>100 -</w:t>
      </w:r>
      <w:r>
        <w:rPr>
          <w:rFonts w:hint="cs"/>
          <w:rtl/>
        </w:rPr>
        <w:tab/>
        <w:t>وفي الوقت نفسه، قام المجلس الوطني للسكان وتنمية الأسرة، وهو وكالة تابعة لوزارة شؤون المرأة وتنمية الأسرة بتنظيم عدة حلقات عمل وحلقات دراسية بشأن المهارات الوالدية. وفيما يلي جدول بعدد البرامج والمشتركين:</w:t>
      </w:r>
    </w:p>
    <w:p w:rsidR="0014328E" w:rsidRDefault="0014328E" w:rsidP="00955676">
      <w:pPr>
        <w:pStyle w:val="SingleTxt"/>
        <w:rPr>
          <w:rFonts w:hint="cs"/>
          <w:rtl/>
        </w:rPr>
      </w:pPr>
    </w:p>
    <w:p w:rsidR="00955676" w:rsidRPr="00A33078"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55676" w:rsidRPr="00A33078">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80" w:after="80" w:line="240" w:lineRule="exact"/>
              <w:ind w:left="170" w:right="17"/>
              <w:jc w:val="center"/>
              <w:rPr>
                <w:rFonts w:hint="cs"/>
                <w:i/>
                <w:iCs/>
                <w:sz w:val="16"/>
                <w:szCs w:val="24"/>
                <w:rtl/>
              </w:rPr>
            </w:pPr>
            <w:r w:rsidRPr="00A33078">
              <w:rPr>
                <w:rFonts w:hint="cs"/>
                <w:i/>
                <w:iCs/>
                <w:sz w:val="16"/>
                <w:szCs w:val="24"/>
                <w:rtl/>
              </w:rPr>
              <w:t>السنة</w:t>
            </w:r>
          </w:p>
        </w:tc>
        <w:tc>
          <w:tcPr>
            <w:tcW w:w="2440" w:type="dxa"/>
            <w:tcBorders>
              <w:top w:val="single" w:sz="4" w:space="0" w:color="auto"/>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sidRPr="00A33078">
              <w:rPr>
                <w:rFonts w:hint="cs"/>
                <w:i/>
                <w:iCs/>
                <w:sz w:val="16"/>
                <w:szCs w:val="24"/>
                <w:rtl/>
              </w:rPr>
              <w:t>عدد البرامج</w:t>
            </w:r>
          </w:p>
        </w:tc>
        <w:tc>
          <w:tcPr>
            <w:tcW w:w="2440" w:type="dxa"/>
            <w:tcBorders>
              <w:top w:val="single" w:sz="4" w:space="0" w:color="auto"/>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sidRPr="00A33078">
              <w:rPr>
                <w:rFonts w:hint="cs"/>
                <w:i/>
                <w:iCs/>
                <w:sz w:val="16"/>
                <w:szCs w:val="24"/>
                <w:rtl/>
              </w:rPr>
              <w:t>عدد المشتركين</w:t>
            </w:r>
          </w:p>
        </w:tc>
      </w:tr>
      <w:tr w:rsidR="00955676" w:rsidRPr="00A33078">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7"/>
              <w:rPr>
                <w:rFonts w:hint="cs"/>
                <w:sz w:val="16"/>
                <w:szCs w:val="24"/>
                <w:rtl/>
              </w:rPr>
            </w:pPr>
          </w:p>
        </w:tc>
        <w:tc>
          <w:tcPr>
            <w:tcW w:w="2440" w:type="dxa"/>
            <w:tcBorders>
              <w:top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2440" w:type="dxa"/>
            <w:tcBorders>
              <w:top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33078">
        <w:tblPrEx>
          <w:tblCellMar>
            <w:top w:w="0" w:type="dxa"/>
            <w:bottom w:w="0" w:type="dxa"/>
          </w:tblCellMar>
        </w:tblPrEx>
        <w:trPr>
          <w:cantSplit/>
        </w:trPr>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7"/>
              <w:jc w:val="center"/>
              <w:rPr>
                <w:rFonts w:hint="cs"/>
                <w:sz w:val="16"/>
                <w:szCs w:val="24"/>
                <w:rtl/>
              </w:rPr>
            </w:pPr>
            <w:r>
              <w:rPr>
                <w:rFonts w:hint="cs"/>
                <w:sz w:val="16"/>
                <w:szCs w:val="24"/>
                <w:rtl/>
              </w:rPr>
              <w:t>2000</w:t>
            </w:r>
          </w:p>
        </w:tc>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225</w:t>
            </w:r>
          </w:p>
        </w:tc>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980 35</w:t>
            </w:r>
          </w:p>
        </w:tc>
      </w:tr>
      <w:tr w:rsidR="00955676" w:rsidRPr="00A33078">
        <w:tblPrEx>
          <w:tblCellMar>
            <w:top w:w="0" w:type="dxa"/>
            <w:bottom w:w="0" w:type="dxa"/>
          </w:tblCellMar>
        </w:tblPrEx>
        <w:trPr>
          <w:cantSplit/>
        </w:trPr>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7"/>
              <w:jc w:val="center"/>
              <w:rPr>
                <w:rFonts w:hint="cs"/>
                <w:sz w:val="16"/>
                <w:szCs w:val="24"/>
                <w:rtl/>
              </w:rPr>
            </w:pPr>
            <w:r>
              <w:rPr>
                <w:rFonts w:hint="cs"/>
                <w:sz w:val="16"/>
                <w:szCs w:val="24"/>
                <w:rtl/>
              </w:rPr>
              <w:t>2001</w:t>
            </w:r>
          </w:p>
        </w:tc>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345</w:t>
            </w:r>
          </w:p>
        </w:tc>
        <w:tc>
          <w:tcPr>
            <w:tcW w:w="2440" w:type="dxa"/>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806 50</w:t>
            </w:r>
          </w:p>
        </w:tc>
      </w:tr>
      <w:tr w:rsidR="00955676" w:rsidRPr="00A33078">
        <w:tblPrEx>
          <w:tblCellMar>
            <w:top w:w="0" w:type="dxa"/>
            <w:bottom w:w="0" w:type="dxa"/>
          </w:tblCellMar>
        </w:tblPrEx>
        <w:trPr>
          <w:cantSplit/>
        </w:trPr>
        <w:tc>
          <w:tcPr>
            <w:tcW w:w="2440" w:type="dxa"/>
            <w:tcBorders>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7"/>
              <w:jc w:val="center"/>
              <w:rPr>
                <w:rFonts w:hint="cs"/>
                <w:sz w:val="16"/>
                <w:szCs w:val="24"/>
                <w:rtl/>
              </w:rPr>
            </w:pPr>
            <w:r>
              <w:rPr>
                <w:rFonts w:hint="cs"/>
                <w:sz w:val="16"/>
                <w:szCs w:val="24"/>
                <w:rtl/>
              </w:rPr>
              <w:t>2002</w:t>
            </w:r>
          </w:p>
        </w:tc>
        <w:tc>
          <w:tcPr>
            <w:tcW w:w="2440" w:type="dxa"/>
            <w:tcBorders>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691</w:t>
            </w:r>
          </w:p>
        </w:tc>
        <w:tc>
          <w:tcPr>
            <w:tcW w:w="2440" w:type="dxa"/>
            <w:tcBorders>
              <w:bottom w:val="single" w:sz="12" w:space="0" w:color="auto"/>
            </w:tcBorders>
            <w:shd w:val="clear" w:color="auto" w:fill="auto"/>
            <w:vAlign w:val="bottom"/>
          </w:tcPr>
          <w:p w:rsidR="00955676" w:rsidRPr="00A33078"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841 132</w:t>
            </w:r>
          </w:p>
        </w:tc>
      </w:tr>
    </w:tbl>
    <w:p w:rsidR="00955676" w:rsidRPr="00A33078" w:rsidRDefault="00955676" w:rsidP="00955676">
      <w:pPr>
        <w:pStyle w:val="SingleTxt"/>
        <w:spacing w:after="0" w:line="120" w:lineRule="exact"/>
        <w:rPr>
          <w:rFonts w:hint="cs"/>
          <w:sz w:val="10"/>
          <w:rtl/>
        </w:rPr>
      </w:pPr>
    </w:p>
    <w:p w:rsidR="00955676" w:rsidRDefault="00955676" w:rsidP="00955676">
      <w:pPr>
        <w:pStyle w:val="SingleTxt"/>
        <w:rPr>
          <w:rFonts w:hint="cs"/>
          <w:rtl/>
        </w:rPr>
      </w:pPr>
      <w:r>
        <w:rPr>
          <w:rFonts w:hint="cs"/>
          <w:rtl/>
        </w:rPr>
        <w:t>101 -</w:t>
      </w:r>
      <w:r>
        <w:rPr>
          <w:rFonts w:hint="cs"/>
          <w:rtl/>
        </w:rPr>
        <w:tab/>
        <w:t>وركزت حلقات العمل والبرامج والأنشطة التي تم الاضطلاع بها على الزوجين اللذين يقوم كل منهما بدور متساو في تنمية الأسرة. وسوف تساعد هذه البرامج على تخفيف الآثار الناشئة عن القوالب النمطية داخل الأسرة.</w:t>
      </w:r>
    </w:p>
    <w:p w:rsidR="00955676" w:rsidRDefault="00955676" w:rsidP="0014328E">
      <w:pPr>
        <w:pStyle w:val="SingleTxt"/>
        <w:rPr>
          <w:rFonts w:hint="cs"/>
          <w:rtl/>
        </w:rPr>
      </w:pPr>
      <w:r>
        <w:rPr>
          <w:rFonts w:hint="cs"/>
          <w:rtl/>
        </w:rPr>
        <w:t>102 -</w:t>
      </w:r>
      <w:r>
        <w:rPr>
          <w:rFonts w:hint="cs"/>
          <w:rtl/>
        </w:rPr>
        <w:tab/>
        <w:t xml:space="preserve">وطبقت إصلاحات قانونية لإزالة المفاهيم النمطية الموجودة في القوانين. فعلى سبيل المثال، عدّل قانون التوزيع لعام 1958 القائم على أساس أن المرأة لا تتمتع بالأهلية لإدارة ممتلكاتها بعد وفاة زوجها وبدأ نفاذ التعديل اعتبارا من 30 </w:t>
      </w:r>
      <w:r>
        <w:rPr>
          <w:rtl/>
        </w:rPr>
        <w:t xml:space="preserve">آب/أغسطس </w:t>
      </w:r>
      <w:r>
        <w:rPr>
          <w:rFonts w:hint="cs"/>
          <w:rtl/>
        </w:rPr>
        <w:t xml:space="preserve">1997. وينص هذا التعديل على توزيع </w:t>
      </w:r>
      <w:r w:rsidR="0014328E">
        <w:rPr>
          <w:rFonts w:hint="cs"/>
          <w:rtl/>
        </w:rPr>
        <w:t>ال</w:t>
      </w:r>
      <w:r>
        <w:rPr>
          <w:rFonts w:hint="cs"/>
          <w:rtl/>
        </w:rPr>
        <w:t xml:space="preserve">تركة غير </w:t>
      </w:r>
      <w:r w:rsidR="0014328E">
        <w:rPr>
          <w:rFonts w:hint="cs"/>
          <w:rtl/>
        </w:rPr>
        <w:t>ال</w:t>
      </w:r>
      <w:r>
        <w:rPr>
          <w:rFonts w:hint="cs"/>
          <w:rtl/>
        </w:rPr>
        <w:t>موصى بها بصورة أكثر إنصافا بين المستفيدين</w:t>
      </w:r>
      <w:r w:rsidR="0014328E">
        <w:rPr>
          <w:rFonts w:hint="cs"/>
          <w:rtl/>
        </w:rPr>
        <w:t>،</w:t>
      </w:r>
      <w:r>
        <w:rPr>
          <w:rFonts w:hint="cs"/>
          <w:rtl/>
        </w:rPr>
        <w:t xml:space="preserve"> ولا سيما النساء منهم. وقبل هذا التعديل، كان يحصل زوج المرأة الم</w:t>
      </w:r>
      <w:r w:rsidR="0014328E">
        <w:rPr>
          <w:rFonts w:hint="cs"/>
          <w:rtl/>
        </w:rPr>
        <w:t>توفية على كامل تركتها في حين لا</w:t>
      </w:r>
      <w:r w:rsidR="0014328E">
        <w:rPr>
          <w:rFonts w:hint="eastAsia"/>
          <w:rtl/>
        </w:rPr>
        <w:t> </w:t>
      </w:r>
      <w:r>
        <w:rPr>
          <w:rFonts w:hint="cs"/>
          <w:rtl/>
        </w:rPr>
        <w:t>تحصل زوجة الرجل المتوفى إلا على ثلث تركته فقط إن كان له ولد</w:t>
      </w:r>
      <w:r w:rsidR="0014328E">
        <w:rPr>
          <w:rFonts w:hint="cs"/>
          <w:rtl/>
        </w:rPr>
        <w:t>،</w:t>
      </w:r>
      <w:r>
        <w:rPr>
          <w:rFonts w:hint="cs"/>
          <w:rtl/>
        </w:rPr>
        <w:t xml:space="preserve"> أو نصفها إ</w:t>
      </w:r>
      <w:r w:rsidR="0014328E">
        <w:rPr>
          <w:rFonts w:hint="cs"/>
          <w:rtl/>
        </w:rPr>
        <w:t>ن</w:t>
      </w:r>
      <w:r>
        <w:rPr>
          <w:rFonts w:hint="cs"/>
          <w:rtl/>
        </w:rPr>
        <w:t xml:space="preserve"> لم يكن له ولد. غير أن هذا التمييز  أزيل بالتعديل الذي أدخل على قانون التوزيع. وإذا توفي أحد الزوجين يحصل المتبقي منهما على قيد الحياة، بموجب هذا التعديل، على نصف التركة ويحصل والدا المتوفى على النصف الآخر.</w:t>
      </w:r>
    </w:p>
    <w:p w:rsidR="00955676" w:rsidRDefault="00955676" w:rsidP="00955676">
      <w:pPr>
        <w:pStyle w:val="SingleTxt"/>
        <w:rPr>
          <w:rFonts w:hint="cs"/>
          <w:rtl/>
        </w:rPr>
      </w:pPr>
      <w:r>
        <w:rPr>
          <w:rFonts w:hint="cs"/>
          <w:rtl/>
        </w:rPr>
        <w:t>103 -</w:t>
      </w:r>
      <w:r>
        <w:rPr>
          <w:rFonts w:hint="cs"/>
          <w:rtl/>
        </w:rPr>
        <w:tab/>
        <w:t>وثمة مجال آخر من إصلاح القانون هو سن قانون العنف العائلي لعام 1994. وعلى الرغم من أن الغرض من هذا القانون هو حماية كل من المرأة والرجل من الإساءة الزوجية، تشير غالبية القضايا المبلغ عنها أن النساء هن اللائي يلتمسن الحماية التي يوفرها هذا القانون. وفي عام 2000، بُلّغ عن 462 2 حالة من حالات العنف العائلي كانت 98 في المائة من ضحاياها من النساء. وتنبع أهمية هذا القانون من إسهامه في القضاء على عقلية تمنح الرجل السلطة للإساءة إلى زوجته.</w:t>
      </w:r>
    </w:p>
    <w:p w:rsidR="00955676" w:rsidRPr="000E4D57"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w:t>
      </w:r>
    </w:p>
    <w:p w:rsidR="00955676" w:rsidRPr="000E4D57"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قمع الاتجار بالمرأة واستغلالها</w:t>
      </w:r>
    </w:p>
    <w:p w:rsidR="00955676" w:rsidRPr="000E4D57"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955676" w:rsidRDefault="00955676" w:rsidP="00955676">
      <w:pPr>
        <w:pStyle w:val="SingleTxt"/>
        <w:rPr>
          <w:rFonts w:hint="cs"/>
          <w:rtl/>
        </w:rPr>
      </w:pPr>
      <w:r>
        <w:rPr>
          <w:rFonts w:hint="cs"/>
          <w:rtl/>
        </w:rPr>
        <w:t>104 -</w:t>
      </w:r>
      <w:r>
        <w:rPr>
          <w:rFonts w:hint="cs"/>
          <w:rtl/>
        </w:rPr>
        <w:tab/>
        <w:t>شرعت ماليزيا بتطبيق قوانين مختلفة في إطار سعيها للقضاء على استغلال المرأة أو التمييز ضدها ولتقييد آثارهما إلى أدنى حد ممكن. وتعتبر الشرطة الملكية الماليزية الوكالة الرئيسية المسؤولة عن إنفاذ القانون فيما تتولى إدارة الرعاية الاجتماعية مسؤولية حماية وإعادة تأهيل النساء اللائي تقل أعمارهن عن 21 عاما واللائي خدعن أو أكرهن أو أجبرن على ممارسة الدعارة. وبالاقتران مع الوكالات المحلية الأخرى، اتخذت الشرطة جميع التدابير الممكنة لإنفاذ القوانين وهي ترصد الحالة باستمرار وتتخذ إجراءات وقائية وتحرك دعاوى جنائية ضد من يستغل أو يتجر بالنساء لإغراض الدعارة.</w:t>
      </w:r>
    </w:p>
    <w:p w:rsidR="00955676" w:rsidRPr="000E4D57" w:rsidRDefault="00955676" w:rsidP="00955676">
      <w:pPr>
        <w:pStyle w:val="SingleTxt"/>
        <w:spacing w:after="0" w:line="120" w:lineRule="exact"/>
        <w:rPr>
          <w:rFonts w:hint="cs"/>
          <w:sz w:val="10"/>
          <w:rtl/>
        </w:rPr>
      </w:pPr>
    </w:p>
    <w:p w:rsidR="00955676" w:rsidRDefault="00955676" w:rsidP="001432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القوانين التي تحمي </w:t>
      </w:r>
      <w:r w:rsidR="0014328E">
        <w:rPr>
          <w:rFonts w:hint="cs"/>
          <w:rtl/>
        </w:rPr>
        <w:t xml:space="preserve">المرأة </w:t>
      </w:r>
      <w:r>
        <w:rPr>
          <w:rFonts w:hint="cs"/>
          <w:rtl/>
        </w:rPr>
        <w:t>من الاستغلال</w:t>
      </w:r>
    </w:p>
    <w:p w:rsidR="00955676" w:rsidRDefault="00955676" w:rsidP="0014328E">
      <w:pPr>
        <w:pStyle w:val="SingleTxt"/>
      </w:pPr>
      <w:r>
        <w:rPr>
          <w:rFonts w:hint="cs"/>
          <w:rtl/>
        </w:rPr>
        <w:t>105 -</w:t>
      </w:r>
      <w:r>
        <w:rPr>
          <w:rFonts w:hint="cs"/>
          <w:rtl/>
        </w:rPr>
        <w:tab/>
        <w:t xml:space="preserve">لا </w:t>
      </w:r>
      <w:r w:rsidR="0014328E">
        <w:rPr>
          <w:rFonts w:hint="cs"/>
          <w:rtl/>
        </w:rPr>
        <w:t xml:space="preserve">تُجرِّم </w:t>
      </w:r>
      <w:r>
        <w:rPr>
          <w:rFonts w:hint="cs"/>
          <w:rtl/>
        </w:rPr>
        <w:t xml:space="preserve">القوانين في ماليزيا </w:t>
      </w:r>
      <w:r>
        <w:rPr>
          <w:rFonts w:hint="eastAsia"/>
          <w:rtl/>
        </w:rPr>
        <w:t>”الاتجار بالأشخاص</w:t>
      </w:r>
      <w:r>
        <w:rPr>
          <w:rFonts w:hint="cs"/>
          <w:rtl/>
        </w:rPr>
        <w:t>“ على وجه التحديد؛ ولكن هناك قوانين سارية في البلد تستهدف مكافحة الاتجار بالأشخاص، بمن فيهم النساء</w:t>
      </w:r>
      <w:r w:rsidR="0014328E">
        <w:rPr>
          <w:rFonts w:hint="cs"/>
          <w:rtl/>
        </w:rPr>
        <w:t xml:space="preserve"> وتستخدم لهذا الغرض</w:t>
      </w:r>
      <w:r>
        <w:rPr>
          <w:rFonts w:hint="cs"/>
          <w:rtl/>
        </w:rPr>
        <w:t>. ومن الجرائم المشمولة بهذه القوانين تجنيد و</w:t>
      </w:r>
      <w:r w:rsidR="0014328E">
        <w:rPr>
          <w:rFonts w:hint="cs"/>
          <w:rtl/>
        </w:rPr>
        <w:t xml:space="preserve">انتقال </w:t>
      </w:r>
      <w:r>
        <w:rPr>
          <w:rFonts w:hint="cs"/>
          <w:rtl/>
        </w:rPr>
        <w:t>ونقل وإيواء واستلام الأشخاص عن طريق التهديد باستخدام القوة أو استخدامها فعلا وغير ذلك من أشكال الإكراه والاختطاف والغش والاحتيال وإساءة استعمال السلطة أو استغلال موقف الضعف</w:t>
      </w:r>
      <w:r w:rsidR="0014328E">
        <w:rPr>
          <w:rFonts w:hint="cs"/>
          <w:rtl/>
        </w:rPr>
        <w:t>،</w:t>
      </w:r>
      <w:r>
        <w:rPr>
          <w:rFonts w:hint="cs"/>
          <w:rtl/>
        </w:rPr>
        <w:t xml:space="preserve"> أو صرف أو قبض دفعات أو استحقاقات للحصول على رضا (المجني عليه) لأغراض الاستغلال عن طريق الدعارة وغيرها من الأنشطة الجنسية، والسخرة أو الأشغال الشاقة أو الاسترقاق. وفيما يلي عرض </w:t>
      </w:r>
      <w:r w:rsidR="0014328E">
        <w:rPr>
          <w:rFonts w:hint="cs"/>
          <w:rtl/>
        </w:rPr>
        <w:t>ل</w:t>
      </w:r>
      <w:r>
        <w:rPr>
          <w:rFonts w:hint="cs"/>
          <w:rtl/>
        </w:rPr>
        <w:t>مختلف القوانين التي س</w:t>
      </w:r>
      <w:r w:rsidR="0016295A">
        <w:rPr>
          <w:rFonts w:hint="cs"/>
          <w:rtl/>
        </w:rPr>
        <w:t>ُ</w:t>
      </w:r>
      <w:r>
        <w:rPr>
          <w:rFonts w:hint="cs"/>
          <w:rtl/>
        </w:rPr>
        <w:t>ن</w:t>
      </w:r>
      <w:r w:rsidR="0016295A">
        <w:rPr>
          <w:rFonts w:hint="cs"/>
          <w:rtl/>
        </w:rPr>
        <w:t>ّ</w:t>
      </w:r>
      <w:r>
        <w:rPr>
          <w:rFonts w:hint="cs"/>
          <w:rtl/>
        </w:rPr>
        <w:t>ت في ماليزيا من أجل حماية المرأة من الاتجار والاستغلال:</w:t>
      </w:r>
    </w:p>
    <w:p w:rsidR="00D90777" w:rsidRPr="00D90777" w:rsidRDefault="00D90777" w:rsidP="00D90777">
      <w:pPr>
        <w:pStyle w:val="SingleTxt"/>
        <w:spacing w:after="0" w:line="120" w:lineRule="exact"/>
        <w:rPr>
          <w:sz w:val="10"/>
          <w:rtl/>
        </w:rPr>
      </w:pPr>
    </w:p>
    <w:p w:rsidR="00955676" w:rsidRPr="00A17E80" w:rsidRDefault="00955676" w:rsidP="00955676">
      <w:pPr>
        <w:pStyle w:val="SingleTxt"/>
        <w:rPr>
          <w:rFonts w:hint="cs"/>
          <w:b/>
          <w:bCs/>
          <w:i/>
          <w:iCs/>
          <w:rtl/>
        </w:rPr>
      </w:pPr>
      <w:r>
        <w:rPr>
          <w:rFonts w:hint="cs"/>
          <w:rtl/>
        </w:rPr>
        <w:t>’1‘</w:t>
      </w:r>
      <w:r>
        <w:rPr>
          <w:rFonts w:hint="cs"/>
          <w:rtl/>
        </w:rPr>
        <w:tab/>
      </w:r>
      <w:r w:rsidRPr="00A17E80">
        <w:rPr>
          <w:rFonts w:hint="cs"/>
          <w:b/>
          <w:bCs/>
          <w:i/>
          <w:iCs/>
          <w:rtl/>
        </w:rPr>
        <w:t>الدستور الاتحادي</w:t>
      </w:r>
    </w:p>
    <w:p w:rsidR="00955676" w:rsidRDefault="00955676" w:rsidP="00955676">
      <w:pPr>
        <w:pStyle w:val="SingleTxt"/>
        <w:ind w:left="1930" w:hanging="663"/>
        <w:rPr>
          <w:rFonts w:hint="cs"/>
          <w:rtl/>
        </w:rPr>
      </w:pPr>
      <w:r>
        <w:rPr>
          <w:rFonts w:hint="cs"/>
          <w:rtl/>
        </w:rPr>
        <w:tab/>
        <w:t>تنص المادة 6 (1) من الدستور على عدم جواز إبقاء أي شخص قيد العبودية</w:t>
      </w:r>
      <w:r w:rsidR="0016295A">
        <w:rPr>
          <w:rFonts w:hint="cs"/>
          <w:rtl/>
        </w:rPr>
        <w:t>،</w:t>
      </w:r>
      <w:r>
        <w:rPr>
          <w:rFonts w:hint="cs"/>
          <w:rtl/>
        </w:rPr>
        <w:t xml:space="preserve"> في حين تحظر المادة 6 (2)</w:t>
      </w:r>
      <w:r w:rsidR="0016295A">
        <w:rPr>
          <w:rFonts w:hint="cs"/>
          <w:rtl/>
        </w:rPr>
        <w:t xml:space="preserve"> منه</w:t>
      </w:r>
      <w:r>
        <w:rPr>
          <w:rFonts w:hint="cs"/>
          <w:rtl/>
        </w:rPr>
        <w:t xml:space="preserve"> جميع أشكال السخرة فيما عدا الخدمة الإلزامية للأغراض الوطنية المحددة في القانون الاتحادي.</w:t>
      </w:r>
    </w:p>
    <w:p w:rsidR="00955676" w:rsidRPr="00A17E80" w:rsidRDefault="00955676" w:rsidP="00955676">
      <w:pPr>
        <w:pStyle w:val="SingleTxt"/>
        <w:ind w:left="2592" w:hanging="1325"/>
        <w:rPr>
          <w:rFonts w:hint="cs"/>
          <w:b/>
          <w:bCs/>
          <w:i/>
          <w:iCs/>
          <w:rtl/>
        </w:rPr>
      </w:pPr>
      <w:r>
        <w:rPr>
          <w:rFonts w:hint="cs"/>
          <w:rtl/>
        </w:rPr>
        <w:t>’2‘</w:t>
      </w:r>
      <w:r>
        <w:rPr>
          <w:rFonts w:hint="cs"/>
          <w:rtl/>
        </w:rPr>
        <w:tab/>
      </w:r>
      <w:r w:rsidRPr="00A17E80">
        <w:rPr>
          <w:rFonts w:hint="cs"/>
          <w:b/>
          <w:bCs/>
          <w:i/>
          <w:iCs/>
          <w:rtl/>
        </w:rPr>
        <w:t>قانون الهجرة لعام 1959/1963 (القانون رقم 155)</w:t>
      </w:r>
    </w:p>
    <w:p w:rsidR="00955676" w:rsidRDefault="00955676" w:rsidP="00955676">
      <w:pPr>
        <w:pStyle w:val="SingleTxt"/>
        <w:ind w:left="1930" w:hanging="663"/>
        <w:rPr>
          <w:rFonts w:hint="cs"/>
          <w:rtl/>
        </w:rPr>
      </w:pPr>
      <w:r>
        <w:rPr>
          <w:rFonts w:hint="cs"/>
          <w:rtl/>
        </w:rPr>
        <w:tab/>
        <w:t>يعتبر جريمة بموجب المادة 55 ألف قيام أي شخص، بصورة مباشرة أو غير مباشرة، بنقل أي شخص إلى ماليزيا بواسطة مركبة أو سفينة أو طائرة في انتهاك لقانون الهجرة لعام 1959/1963. وعقوبة ه</w:t>
      </w:r>
      <w:r w:rsidR="00B43E85">
        <w:rPr>
          <w:rFonts w:hint="cs"/>
          <w:rtl/>
        </w:rPr>
        <w:t>ـــ</w:t>
      </w:r>
      <w:r>
        <w:rPr>
          <w:rFonts w:hint="cs"/>
          <w:rtl/>
        </w:rPr>
        <w:t>ذه الجريمة هي غرامة نقدية لا تقل عن 000 10 رينغيت ولا تزيد على 000 50 رينغيت، والسجن مدة لا تقل عن سنتين ولا تزيد على خمس سنوات، والجلد بالسوط ما لا يزيد على 6 جلدات. وإذا كان الفاعل شخصا اعتباريا تفرض عليه غرامة نقدية لا تقل عن 000 30 رينغيت ولا تزيد على 000 100 رينغيت.</w:t>
      </w:r>
    </w:p>
    <w:p w:rsidR="00955676" w:rsidRDefault="00955676" w:rsidP="00B43E85">
      <w:pPr>
        <w:pStyle w:val="SingleTxt"/>
        <w:ind w:left="2592" w:hanging="1325"/>
        <w:rPr>
          <w:rFonts w:hint="cs"/>
          <w:rtl/>
        </w:rPr>
      </w:pPr>
      <w:r>
        <w:rPr>
          <w:rFonts w:hint="cs"/>
          <w:rtl/>
        </w:rPr>
        <w:tab/>
      </w:r>
      <w:r>
        <w:rPr>
          <w:rFonts w:hint="cs"/>
          <w:rtl/>
        </w:rPr>
        <w:tab/>
        <w:t xml:space="preserve">ويعتبر جريمة بموجب المادة 55 باء استخدام شخص أو أكثر - من غير المواطنين أو من حاملي إذن الدخول </w:t>
      </w:r>
      <w:r w:rsidR="00B43E85">
        <w:rPr>
          <w:rFonts w:hint="cs"/>
          <w:rtl/>
        </w:rPr>
        <w:t xml:space="preserve">ممن </w:t>
      </w:r>
      <w:r>
        <w:rPr>
          <w:rFonts w:hint="cs"/>
          <w:rtl/>
        </w:rPr>
        <w:t xml:space="preserve">لا يحمل ترخيصا ساريا وعقوبة هذه الجريمة غرامة نقدية لا تقل عن 000 10 رينغيت ولا تزيد على 000 50 رينغيت مقابل كل مستخدم. </w:t>
      </w:r>
    </w:p>
    <w:p w:rsidR="00955676" w:rsidRDefault="00955676" w:rsidP="00B43E85">
      <w:pPr>
        <w:pStyle w:val="SingleTxt"/>
        <w:ind w:left="2592" w:hanging="1325"/>
        <w:rPr>
          <w:rFonts w:hint="cs"/>
          <w:rtl/>
        </w:rPr>
      </w:pPr>
      <w:r>
        <w:rPr>
          <w:rFonts w:hint="cs"/>
          <w:rtl/>
        </w:rPr>
        <w:tab/>
      </w:r>
      <w:r>
        <w:rPr>
          <w:rFonts w:hint="cs"/>
          <w:rtl/>
        </w:rPr>
        <w:tab/>
        <w:t xml:space="preserve">ويعتبر جريمة بموجب المادة 56 (1) (د) إيواء أي شخص في انتهاك للقانون </w:t>
      </w:r>
      <w:r w:rsidR="00B43E85">
        <w:rPr>
          <w:rFonts w:hint="cs"/>
          <w:rtl/>
        </w:rPr>
        <w:t xml:space="preserve">إذا كان </w:t>
      </w:r>
      <w:r>
        <w:rPr>
          <w:rFonts w:hint="cs"/>
          <w:rtl/>
        </w:rPr>
        <w:t xml:space="preserve">الشخص الذي يؤويه </w:t>
      </w:r>
      <w:r w:rsidR="00B43E85">
        <w:rPr>
          <w:rFonts w:hint="cs"/>
          <w:rtl/>
        </w:rPr>
        <w:t xml:space="preserve">يعلم </w:t>
      </w:r>
      <w:r>
        <w:rPr>
          <w:rFonts w:hint="cs"/>
          <w:rtl/>
        </w:rPr>
        <w:t>أو عنده أسباب معقولة للاعتقاد أن ذلك الشخص قد تصرف في انتهاك للقانون. وعقوبة هذه الجريمة منصوص عليها في المادة 57 وهي غرامة نقد</w:t>
      </w:r>
      <w:r w:rsidR="00B43E85">
        <w:rPr>
          <w:rFonts w:hint="cs"/>
          <w:rtl/>
        </w:rPr>
        <w:t>ي</w:t>
      </w:r>
      <w:r>
        <w:rPr>
          <w:rFonts w:hint="cs"/>
          <w:rtl/>
        </w:rPr>
        <w:t>ة لا تتجاوز 000 10 رينغيت أو السجن لمدة لا تزيد على 5 سنوات.</w:t>
      </w:r>
    </w:p>
    <w:p w:rsidR="00955676" w:rsidRDefault="00955676" w:rsidP="00955676">
      <w:pPr>
        <w:pStyle w:val="SingleTxt"/>
        <w:ind w:left="2592" w:hanging="1325"/>
        <w:rPr>
          <w:rFonts w:hint="cs"/>
          <w:i/>
          <w:iCs/>
          <w:rtl/>
        </w:rPr>
      </w:pPr>
      <w:r>
        <w:rPr>
          <w:rFonts w:hint="cs"/>
          <w:rtl/>
        </w:rPr>
        <w:t>’3‘</w:t>
      </w:r>
      <w:r>
        <w:rPr>
          <w:rFonts w:hint="cs"/>
          <w:rtl/>
        </w:rPr>
        <w:tab/>
      </w:r>
      <w:r w:rsidRPr="00A17E80">
        <w:rPr>
          <w:rFonts w:hint="cs"/>
          <w:b/>
          <w:bCs/>
          <w:i/>
          <w:iCs/>
          <w:rtl/>
        </w:rPr>
        <w:t>قانون العقوبات</w:t>
      </w:r>
    </w:p>
    <w:p w:rsidR="00955676" w:rsidRDefault="00955676" w:rsidP="00BC7F82">
      <w:pPr>
        <w:pStyle w:val="SingleTxt"/>
        <w:ind w:left="1930" w:hanging="663"/>
        <w:rPr>
          <w:rFonts w:hint="cs"/>
          <w:rtl/>
        </w:rPr>
      </w:pPr>
      <w:r>
        <w:rPr>
          <w:rFonts w:hint="cs"/>
          <w:rtl/>
        </w:rPr>
        <w:tab/>
        <w:t>يعتبِر جريمة بموجب المادة 370 استيراد أي شخص كرقيق أو تصديره أو إبعاده أو شرا</w:t>
      </w:r>
      <w:r w:rsidR="00BC7F82">
        <w:rPr>
          <w:rFonts w:hint="cs"/>
          <w:rtl/>
        </w:rPr>
        <w:t>ؤ</w:t>
      </w:r>
      <w:r>
        <w:rPr>
          <w:rFonts w:hint="cs"/>
          <w:rtl/>
        </w:rPr>
        <w:t xml:space="preserve">ه أو بيعه أو التصرف به أو قبول أي شخص كرقيق أو استلامه أو احتجازه دون إرادته </w:t>
      </w:r>
    </w:p>
    <w:p w:rsidR="00955676" w:rsidRDefault="00955676" w:rsidP="00BC7F82">
      <w:pPr>
        <w:pStyle w:val="SingleTxt"/>
        <w:ind w:left="1930" w:hanging="663"/>
      </w:pPr>
      <w:r>
        <w:rPr>
          <w:rFonts w:hint="cs"/>
          <w:rtl/>
        </w:rPr>
        <w:tab/>
        <w:t>يعتبر جريمة بموجب المادة 371 استيراد الرقيق بصورة اعتيادية أو تصديره أو نقله أو بيعه أو شرا</w:t>
      </w:r>
      <w:r w:rsidR="00BC7F82">
        <w:rPr>
          <w:rFonts w:hint="cs"/>
          <w:rtl/>
        </w:rPr>
        <w:t>ؤ</w:t>
      </w:r>
      <w:r>
        <w:rPr>
          <w:rFonts w:hint="cs"/>
          <w:rtl/>
        </w:rPr>
        <w:t>ه أو الاتجار به</w:t>
      </w:r>
      <w:r w:rsidR="00BC7F82">
        <w:rPr>
          <w:rFonts w:hint="cs"/>
          <w:rtl/>
        </w:rPr>
        <w:t>،</w:t>
      </w:r>
      <w:r>
        <w:rPr>
          <w:rFonts w:hint="cs"/>
          <w:rtl/>
        </w:rPr>
        <w:t xml:space="preserve"> أو التعامل بالرقيق.</w:t>
      </w:r>
    </w:p>
    <w:p w:rsidR="00D90777" w:rsidRPr="00D90777" w:rsidRDefault="00D90777" w:rsidP="00D90777">
      <w:pPr>
        <w:pStyle w:val="SingleTxt"/>
        <w:spacing w:after="0" w:line="120" w:lineRule="exact"/>
        <w:ind w:left="1930" w:hanging="663"/>
        <w:rPr>
          <w:sz w:val="10"/>
        </w:rPr>
      </w:pPr>
    </w:p>
    <w:p w:rsidR="00955676" w:rsidRDefault="00955676" w:rsidP="00955676">
      <w:pPr>
        <w:pStyle w:val="SingleTxt"/>
        <w:ind w:left="2592" w:hanging="1325"/>
        <w:rPr>
          <w:rFonts w:hint="cs"/>
          <w:rtl/>
        </w:rPr>
      </w:pPr>
      <w:r>
        <w:rPr>
          <w:rFonts w:hint="cs"/>
          <w:rtl/>
        </w:rPr>
        <w:tab/>
        <w:t>يعتبر جريمة بموجب المادة 372:</w:t>
      </w:r>
    </w:p>
    <w:p w:rsidR="00955676" w:rsidRDefault="00955676" w:rsidP="00BC7F82">
      <w:pPr>
        <w:pStyle w:val="SingleTxt"/>
        <w:ind w:left="1930" w:hanging="663"/>
        <w:rPr>
          <w:rFonts w:hint="cs"/>
          <w:rtl/>
        </w:rPr>
      </w:pPr>
      <w:r>
        <w:rPr>
          <w:rFonts w:hint="cs"/>
          <w:rtl/>
        </w:rPr>
        <w:tab/>
        <w:t>(أ)</w:t>
      </w:r>
      <w:r>
        <w:rPr>
          <w:rFonts w:hint="cs"/>
          <w:rtl/>
        </w:rPr>
        <w:tab/>
        <w:t>بيع أي شخص أو تأجيره أو استئجاره أو التصرف به على أي نحو آخر أو جلب أي شخص أو شرا</w:t>
      </w:r>
      <w:r w:rsidR="00BC7F82">
        <w:rPr>
          <w:rFonts w:hint="cs"/>
          <w:rtl/>
        </w:rPr>
        <w:t>ؤ</w:t>
      </w:r>
      <w:r>
        <w:rPr>
          <w:rFonts w:hint="cs"/>
          <w:rtl/>
        </w:rPr>
        <w:t>ه أو استئجاره أو امتلاكه على أي نحو آخر.</w:t>
      </w:r>
    </w:p>
    <w:p w:rsidR="00955676" w:rsidRDefault="00955676" w:rsidP="00955676">
      <w:pPr>
        <w:pStyle w:val="SingleTxt"/>
        <w:ind w:left="2592" w:hanging="1268"/>
        <w:rPr>
          <w:rFonts w:hint="cs"/>
          <w:rtl/>
        </w:rPr>
      </w:pPr>
      <w:r>
        <w:rPr>
          <w:rFonts w:hint="cs"/>
          <w:rtl/>
        </w:rPr>
        <w:tab/>
        <w:t>’1‘</w:t>
      </w:r>
      <w:r>
        <w:rPr>
          <w:rFonts w:hint="cs"/>
          <w:rtl/>
        </w:rPr>
        <w:tab/>
        <w:t>بني</w:t>
      </w:r>
      <w:r w:rsidR="00BC7F82">
        <w:rPr>
          <w:rFonts w:hint="cs"/>
          <w:rtl/>
        </w:rPr>
        <w:t>ّ</w:t>
      </w:r>
      <w:r>
        <w:rPr>
          <w:rFonts w:hint="cs"/>
          <w:rtl/>
        </w:rPr>
        <w:t>ة أن يعمل ذلك الشخص أو يستخدم لأغراض: ’1‘ الدعارة داخل ماليزيا أو خارجها؛ ’2‘ ممارسة الجماع الجنسي مع أي شخص آخر داخل ماليزيا أو خارجها؛</w:t>
      </w:r>
    </w:p>
    <w:p w:rsidR="00955676" w:rsidRDefault="00955676" w:rsidP="00955676">
      <w:pPr>
        <w:pStyle w:val="SingleTxt"/>
        <w:ind w:left="2592" w:hanging="1268"/>
        <w:rPr>
          <w:rFonts w:hint="cs"/>
          <w:rtl/>
        </w:rPr>
      </w:pPr>
      <w:r>
        <w:rPr>
          <w:rFonts w:hint="cs"/>
          <w:rtl/>
        </w:rPr>
        <w:tab/>
        <w:t>’2‘</w:t>
      </w:r>
      <w:r>
        <w:rPr>
          <w:rFonts w:hint="cs"/>
          <w:rtl/>
        </w:rPr>
        <w:tab/>
        <w:t xml:space="preserve">إذا </w:t>
      </w:r>
      <w:r w:rsidR="00BC7F82">
        <w:rPr>
          <w:rFonts w:hint="cs"/>
          <w:rtl/>
        </w:rPr>
        <w:t xml:space="preserve">كان </w:t>
      </w:r>
      <w:r>
        <w:rPr>
          <w:rFonts w:hint="cs"/>
          <w:rtl/>
        </w:rPr>
        <w:t>يعلم أو لديه سبب للاعتقاد أن ذلك الشخ</w:t>
      </w:r>
      <w:r w:rsidR="00BC7F82">
        <w:rPr>
          <w:rFonts w:hint="cs"/>
          <w:rtl/>
        </w:rPr>
        <w:t>ص سوف يعمل أو يستخدم لذلك الغرض.</w:t>
      </w:r>
    </w:p>
    <w:p w:rsidR="00955676" w:rsidRDefault="00955676" w:rsidP="00955676">
      <w:pPr>
        <w:pStyle w:val="SingleTxt"/>
        <w:ind w:left="1930" w:hanging="606"/>
        <w:rPr>
          <w:rFonts w:hint="cs"/>
          <w:rtl/>
        </w:rPr>
      </w:pPr>
      <w:r>
        <w:rPr>
          <w:rFonts w:hint="cs"/>
          <w:rtl/>
        </w:rPr>
        <w:tab/>
        <w:t>(ب)</w:t>
      </w:r>
      <w:r>
        <w:rPr>
          <w:rFonts w:hint="cs"/>
          <w:rtl/>
        </w:rPr>
        <w:tab/>
        <w:t>القيام تحت أو في إطار أي مظهر زائف أو صورة زائفة أو وسيلة قائمة على الغش والخداع، افتعلت أو استخدمت داخل ماليزيا أو خارجها:</w:t>
      </w:r>
    </w:p>
    <w:p w:rsidR="00955676" w:rsidRDefault="00955676" w:rsidP="00955676">
      <w:pPr>
        <w:pStyle w:val="SingleTxt"/>
        <w:ind w:left="2592" w:hanging="1268"/>
        <w:rPr>
          <w:rFonts w:hint="cs"/>
          <w:rtl/>
        </w:rPr>
      </w:pPr>
      <w:r>
        <w:rPr>
          <w:rFonts w:hint="cs"/>
          <w:rtl/>
        </w:rPr>
        <w:tab/>
        <w:t>’1‘</w:t>
      </w:r>
      <w:r>
        <w:rPr>
          <w:rFonts w:hint="cs"/>
          <w:rtl/>
        </w:rPr>
        <w:tab/>
        <w:t>بإحضار أو المساعدة في إحضار أي شخص إلى ماليزيا أو إخراج أو المساعدة في إخراج أي شخص من ماليزيا بهدف توظيف أو استخدام ذلك الشخص لأغراض الدعارة داخل ماليزيا أو خارجها أو ممارسة الجماع الجنسي مع أي شخص داخل ماليزيا أو خارجها؛</w:t>
      </w:r>
    </w:p>
    <w:p w:rsidR="00955676" w:rsidRDefault="00955676" w:rsidP="00955676">
      <w:pPr>
        <w:pStyle w:val="SingleTxt"/>
        <w:ind w:left="3254" w:hanging="1930"/>
        <w:rPr>
          <w:rFonts w:hint="cs"/>
          <w:rtl/>
        </w:rPr>
      </w:pPr>
      <w:r>
        <w:rPr>
          <w:rFonts w:hint="cs"/>
          <w:rtl/>
        </w:rPr>
        <w:tab/>
        <w:t>’2‘</w:t>
      </w:r>
      <w:r>
        <w:rPr>
          <w:rFonts w:hint="cs"/>
          <w:rtl/>
        </w:rPr>
        <w:tab/>
        <w:t>إذا كان يعلم أو لديه سبب للاعتقاد أن ذلك الشخص سوف يعمل أو يستخدم لذلك الغرض؛</w:t>
      </w:r>
    </w:p>
    <w:p w:rsidR="00955676" w:rsidRDefault="00955676" w:rsidP="00955676">
      <w:pPr>
        <w:pStyle w:val="SingleTxt"/>
        <w:ind w:left="3254" w:hanging="1930"/>
        <w:rPr>
          <w:rFonts w:hint="cs"/>
          <w:rtl/>
        </w:rPr>
      </w:pPr>
      <w:r>
        <w:rPr>
          <w:rFonts w:hint="cs"/>
          <w:rtl/>
        </w:rPr>
        <w:tab/>
        <w:t>(ج)</w:t>
      </w:r>
      <w:r>
        <w:rPr>
          <w:rFonts w:hint="cs"/>
          <w:rtl/>
        </w:rPr>
        <w:tab/>
        <w:t>استقبال أو إيواء أي ضحية؛</w:t>
      </w:r>
    </w:p>
    <w:p w:rsidR="00955676" w:rsidRDefault="00955676" w:rsidP="00BC7F82">
      <w:pPr>
        <w:pStyle w:val="SingleTxt"/>
        <w:ind w:left="1930" w:hanging="606"/>
        <w:rPr>
          <w:rFonts w:hint="cs"/>
          <w:rtl/>
        </w:rPr>
      </w:pPr>
      <w:r>
        <w:rPr>
          <w:rFonts w:hint="cs"/>
          <w:rtl/>
        </w:rPr>
        <w:tab/>
        <w:t>(د)</w:t>
      </w:r>
      <w:r>
        <w:rPr>
          <w:rFonts w:hint="cs"/>
          <w:rtl/>
        </w:rPr>
        <w:tab/>
        <w:t xml:space="preserve">تقييد أي شخص بصورة غير مشروعة في أي مكان بهدف استخدام أو تشغيل ذلك الشخص </w:t>
      </w:r>
      <w:r w:rsidR="00BC7F82">
        <w:rPr>
          <w:rFonts w:hint="cs"/>
          <w:rtl/>
        </w:rPr>
        <w:t>ل</w:t>
      </w:r>
      <w:r>
        <w:rPr>
          <w:rFonts w:hint="cs"/>
          <w:rtl/>
        </w:rPr>
        <w:t>أغراض الدعارة أو ممارسة الجماع الجنسي مع أي شخص آخر؛</w:t>
      </w:r>
    </w:p>
    <w:p w:rsidR="00955676" w:rsidRDefault="00955676" w:rsidP="00955676">
      <w:pPr>
        <w:pStyle w:val="SingleTxt"/>
        <w:ind w:left="1930" w:hanging="606"/>
        <w:rPr>
          <w:rFonts w:hint="cs"/>
          <w:rtl/>
        </w:rPr>
      </w:pPr>
      <w:r>
        <w:rPr>
          <w:rFonts w:hint="cs"/>
          <w:rtl/>
        </w:rPr>
        <w:tab/>
        <w:t>(هـ)</w:t>
      </w:r>
      <w:r>
        <w:rPr>
          <w:rFonts w:hint="cs"/>
          <w:rtl/>
        </w:rPr>
        <w:tab/>
        <w:t>عرض أي شخص لأغراض الدعارة عن طريق الإعلانات أو غيرها من الإخطارات، أو التماس معلومات لذلك الغرض أو قبول تلك الإعلانات أو الإخطارات لأغراض النشر أو العرض؛</w:t>
      </w:r>
    </w:p>
    <w:p w:rsidR="00955676" w:rsidRDefault="00955676" w:rsidP="00955676">
      <w:pPr>
        <w:pStyle w:val="SingleTxt"/>
        <w:ind w:left="1930" w:hanging="606"/>
        <w:rPr>
          <w:rFonts w:hint="cs"/>
          <w:rtl/>
        </w:rPr>
      </w:pPr>
      <w:r>
        <w:rPr>
          <w:rFonts w:hint="cs"/>
          <w:rtl/>
        </w:rPr>
        <w:tab/>
        <w:t>(و)</w:t>
      </w:r>
      <w:r>
        <w:rPr>
          <w:rFonts w:hint="cs"/>
          <w:rtl/>
        </w:rPr>
        <w:tab/>
        <w:t>العمل كوسيط نيابة عن شخص آخر أو ممارسة السيطرة أو التأثير على تحركات شخص آخر على نحو يظهر أن ذلك الشخص يساعد الآخر على ممارسة الدعارة أو يتحكم به أو يحرضه على الدعارة؛</w:t>
      </w:r>
    </w:p>
    <w:p w:rsidR="00955676" w:rsidRDefault="00955676" w:rsidP="00955676">
      <w:pPr>
        <w:pStyle w:val="SingleTxt"/>
        <w:ind w:left="1930" w:hanging="606"/>
        <w:rPr>
          <w:rFonts w:hint="cs"/>
          <w:rtl/>
        </w:rPr>
      </w:pPr>
      <w:r>
        <w:rPr>
          <w:rFonts w:hint="cs"/>
          <w:rtl/>
        </w:rPr>
        <w:tab/>
        <w:t xml:space="preserve">يعتبر جريمة بموجب المادة 372 ألف العيش </w:t>
      </w:r>
      <w:r w:rsidR="00BC7F82">
        <w:rPr>
          <w:rFonts w:hint="cs"/>
          <w:rtl/>
        </w:rPr>
        <w:t>عن علم،</w:t>
      </w:r>
      <w:r>
        <w:rPr>
          <w:rFonts w:hint="cs"/>
          <w:rtl/>
        </w:rPr>
        <w:t>كليا أو جزئيا</w:t>
      </w:r>
      <w:r w:rsidR="00BC7F82">
        <w:rPr>
          <w:rFonts w:hint="cs"/>
          <w:rtl/>
        </w:rPr>
        <w:t>،</w:t>
      </w:r>
      <w:r>
        <w:rPr>
          <w:rFonts w:hint="cs"/>
          <w:rtl/>
        </w:rPr>
        <w:t xml:space="preserve"> على المكاسب التي يجنيها شخص آخر من ممارسة الدعارة. ويعتبر جريمة بموجب المادة 372 باء الإغواء والتحريض لغرض الدعارة أو لأي غرض لا أخلاقي في أي مكان.</w:t>
      </w:r>
    </w:p>
    <w:p w:rsidR="00955676" w:rsidRDefault="00955676" w:rsidP="00955676">
      <w:pPr>
        <w:pStyle w:val="SingleTxt"/>
        <w:ind w:left="1930" w:hanging="606"/>
        <w:rPr>
          <w:rFonts w:hint="cs"/>
          <w:rtl/>
        </w:rPr>
      </w:pPr>
      <w:r>
        <w:rPr>
          <w:rFonts w:hint="cs"/>
          <w:rtl/>
        </w:rPr>
        <w:tab/>
        <w:t>ويعتبر جريمة بموجب المادة 373</w:t>
      </w:r>
      <w:r w:rsidR="00BC7F82">
        <w:rPr>
          <w:rFonts w:hint="cs"/>
          <w:rtl/>
        </w:rPr>
        <w:t>:</w:t>
      </w:r>
      <w:r>
        <w:rPr>
          <w:rFonts w:hint="cs"/>
          <w:rtl/>
        </w:rPr>
        <w:t xml:space="preserve"> ’1‘ امتلاك بيت للدعارة أو إدارته أو المساعدة في إدارته؛ ’2‘ سماح المالك أو شاغل المكان بتأجيره كليا أو جزئيا، عن علم أو عمد لاستخدامه كبيت للدعارة؛</w:t>
      </w:r>
    </w:p>
    <w:p w:rsidR="00955676" w:rsidRDefault="00955676" w:rsidP="00955676">
      <w:pPr>
        <w:pStyle w:val="SingleTxt"/>
        <w:ind w:left="1930" w:hanging="606"/>
        <w:rPr>
          <w:rFonts w:hint="cs"/>
          <w:rtl/>
        </w:rPr>
      </w:pPr>
      <w:r>
        <w:rPr>
          <w:rFonts w:hint="cs"/>
          <w:rtl/>
        </w:rPr>
        <w:tab/>
        <w:t>ويعتبر جريمة بموجب المادة 373 ألف قيام أي شخص:</w:t>
      </w:r>
    </w:p>
    <w:p w:rsidR="00955676" w:rsidRDefault="00955676" w:rsidP="00955676">
      <w:pPr>
        <w:pStyle w:val="SingleTxt"/>
        <w:ind w:left="1930" w:hanging="606"/>
        <w:rPr>
          <w:rFonts w:hint="cs"/>
          <w:rtl/>
        </w:rPr>
      </w:pPr>
      <w:r>
        <w:rPr>
          <w:rFonts w:hint="cs"/>
          <w:rtl/>
        </w:rPr>
        <w:tab/>
        <w:t>(أ)</w:t>
      </w:r>
      <w:r>
        <w:rPr>
          <w:rFonts w:hint="cs"/>
          <w:rtl/>
        </w:rPr>
        <w:tab/>
        <w:t>تحت أي مظهر زائف أو صورة زائفة أو وسيلة قائمة على الاحتيال بإحضار أو المساعدة في إحضار أي امرأة إلى ماليزيا بنية استخدام تلك المرأة أو تشغيلها لأغراض الدعارة؛</w:t>
      </w:r>
    </w:p>
    <w:p w:rsidR="00955676" w:rsidRDefault="00955676" w:rsidP="00955676">
      <w:pPr>
        <w:pStyle w:val="SingleTxt"/>
        <w:ind w:left="1930" w:hanging="606"/>
        <w:rPr>
          <w:rFonts w:hint="cs"/>
          <w:rtl/>
        </w:rPr>
      </w:pPr>
      <w:r>
        <w:rPr>
          <w:rFonts w:hint="cs"/>
          <w:rtl/>
        </w:rPr>
        <w:tab/>
        <w:t>(ب)</w:t>
      </w:r>
      <w:r>
        <w:rPr>
          <w:rFonts w:hint="cs"/>
          <w:rtl/>
        </w:rPr>
        <w:tab/>
        <w:t>بإحضار أو المساعدة في إحضار أي امرأة إلى ماليزيا بنية بيع أو شراء تلك المرأة لأغراض الدعارة؛</w:t>
      </w:r>
    </w:p>
    <w:p w:rsidR="00955676" w:rsidRDefault="00955676" w:rsidP="00BC7F82">
      <w:pPr>
        <w:pStyle w:val="SingleTxt"/>
        <w:ind w:left="1930" w:hanging="606"/>
        <w:rPr>
          <w:rFonts w:hint="cs"/>
          <w:rtl/>
        </w:rPr>
      </w:pPr>
      <w:r>
        <w:rPr>
          <w:rFonts w:hint="cs"/>
          <w:rtl/>
        </w:rPr>
        <w:tab/>
        <w:t>(ج)</w:t>
      </w:r>
      <w:r>
        <w:rPr>
          <w:rFonts w:hint="cs"/>
          <w:rtl/>
        </w:rPr>
        <w:tab/>
      </w:r>
      <w:r w:rsidR="00BC7F82">
        <w:rPr>
          <w:rFonts w:hint="cs"/>
          <w:rtl/>
        </w:rPr>
        <w:t>ب</w:t>
      </w:r>
      <w:r>
        <w:rPr>
          <w:rFonts w:hint="cs"/>
          <w:rtl/>
        </w:rPr>
        <w:t>شراء أو بيع أي امرأة لغرض الدعارة.</w:t>
      </w:r>
    </w:p>
    <w:p w:rsidR="00955676" w:rsidRDefault="00955676" w:rsidP="00955676">
      <w:pPr>
        <w:pStyle w:val="SingleTxt"/>
        <w:ind w:left="1930" w:hanging="606"/>
        <w:rPr>
          <w:rFonts w:hint="cs"/>
          <w:rtl/>
        </w:rPr>
      </w:pPr>
      <w:r>
        <w:rPr>
          <w:rFonts w:hint="cs"/>
          <w:rtl/>
        </w:rPr>
        <w:tab/>
        <w:t>ويعتبر جريمة بموجب 374 إجبار أي شخص بصورة غير قانونية على العمل ضد إرادته.</w:t>
      </w:r>
    </w:p>
    <w:p w:rsidR="00955676" w:rsidRPr="00A17E80" w:rsidRDefault="00955676" w:rsidP="00955676">
      <w:pPr>
        <w:pStyle w:val="SingleTxt"/>
        <w:ind w:left="1930" w:hanging="606"/>
        <w:rPr>
          <w:rFonts w:hint="cs"/>
          <w:b/>
          <w:bCs/>
          <w:rtl/>
        </w:rPr>
      </w:pPr>
      <w:r>
        <w:rPr>
          <w:rFonts w:hint="cs"/>
          <w:rtl/>
        </w:rPr>
        <w:t>’4‘</w:t>
      </w:r>
      <w:r>
        <w:rPr>
          <w:rFonts w:hint="cs"/>
          <w:rtl/>
        </w:rPr>
        <w:tab/>
      </w:r>
      <w:r w:rsidRPr="00A17E80">
        <w:rPr>
          <w:rFonts w:hint="cs"/>
          <w:b/>
          <w:bCs/>
          <w:i/>
          <w:iCs/>
          <w:rtl/>
        </w:rPr>
        <w:t>قانون مكافحة غسل الأموال لعام 2001 (القانون رقم 613)</w:t>
      </w:r>
    </w:p>
    <w:p w:rsidR="00955676" w:rsidRDefault="00955676" w:rsidP="00BC7F82">
      <w:pPr>
        <w:pStyle w:val="SingleTxt"/>
        <w:ind w:left="1930" w:hanging="606"/>
        <w:rPr>
          <w:rFonts w:hint="cs"/>
          <w:rtl/>
        </w:rPr>
      </w:pPr>
      <w:r>
        <w:rPr>
          <w:rFonts w:hint="cs"/>
          <w:rtl/>
        </w:rPr>
        <w:tab/>
        <w:t xml:space="preserve">ينص قانون مكافحة غسل الأموال </w:t>
      </w:r>
      <w:r w:rsidR="00BC7F82">
        <w:rPr>
          <w:rFonts w:hint="cs"/>
          <w:rtl/>
        </w:rPr>
        <w:t xml:space="preserve">لعام 2001 </w:t>
      </w:r>
      <w:r>
        <w:rPr>
          <w:rFonts w:hint="cs"/>
          <w:rtl/>
        </w:rPr>
        <w:t xml:space="preserve">على اعتبار الجرائم المنصوص عليها في المواد 370 و 371 و 372 و 373 و 371 ألف جرائم مشمولة ضمنا بهذا القانون. وهذا </w:t>
      </w:r>
      <w:r w:rsidR="00BC7F82">
        <w:rPr>
          <w:rFonts w:hint="cs"/>
          <w:rtl/>
        </w:rPr>
        <w:t xml:space="preserve">يُمكِّن </w:t>
      </w:r>
      <w:r>
        <w:rPr>
          <w:rFonts w:hint="cs"/>
          <w:rtl/>
        </w:rPr>
        <w:t>من تطبيق أحكامه على العائدات الآتية من الأنشطة غير المشروعة ويخضعها للتجميد والحجز والمصادرة. ويعكف مصرف ماليزيا المركزي حاليا على إضافة المادة 374 من قانون العقوبات إلى هذه القائمة. وعلاوة على ذلك، يعتبر جريمة بموجب المادة 4 غسل العائدات الآتية من تلك الأنشطة غير المشروعة. والعقوبة المحددة لهذه الجريمة هي غرامة نقدية لا تتجاوز 5 ملايين رينغيت أو السجن لمدة لا تتجاوز 5 سنوات أو كلتا العقوبتين معا.</w:t>
      </w:r>
    </w:p>
    <w:p w:rsidR="00955676" w:rsidRDefault="00955676" w:rsidP="00955676">
      <w:pPr>
        <w:pStyle w:val="SingleTxt"/>
        <w:ind w:left="1930" w:hanging="606"/>
        <w:rPr>
          <w:rFonts w:hint="cs"/>
          <w:rtl/>
        </w:rPr>
      </w:pPr>
      <w:r>
        <w:rPr>
          <w:rFonts w:hint="cs"/>
          <w:rtl/>
        </w:rPr>
        <w:tab/>
        <w:t xml:space="preserve">ويخوِّل قانون مكافحة غسل الأموال أيضا مصرف ماليزيا المركزي صلاحية رصد المعاملات المشبوهة بأن يطلب إلى المؤسسات المالية تقديم تقارير عن تلك الأنشطة. ويتمتع المصرف المركزي أيضا بتعميم تلك المعلومات على وكالات إنفاذ القانون لاتخاذ إجراء بشأنها. وتيسر هذه الصلاحيات لوكالات إنفاذ القانون إمكانية اتخاذ إجراء ضد المتجرين بالأشخاص. وتمنح المادة 29 (3) صراحة صلاحيات لوكالات إنفاذ القانون المحلية </w:t>
      </w:r>
      <w:r w:rsidR="00BC7F82">
        <w:rPr>
          <w:rFonts w:hint="cs"/>
          <w:rtl/>
        </w:rPr>
        <w:t>با</w:t>
      </w:r>
      <w:r>
        <w:rPr>
          <w:rFonts w:hint="cs"/>
          <w:rtl/>
        </w:rPr>
        <w:t>لتعاون مع وكالات إنفاذ القانون الأخرى، داخل ماليزيا وخارجها فيما يتعلق بالجرائم المشمولة بموجب هذا القانون.</w:t>
      </w:r>
    </w:p>
    <w:p w:rsidR="00955676" w:rsidRDefault="00955676" w:rsidP="00955676">
      <w:pPr>
        <w:pStyle w:val="SingleTxt"/>
        <w:ind w:left="1930" w:hanging="606"/>
        <w:rPr>
          <w:rFonts w:hint="cs"/>
          <w:rtl/>
        </w:rPr>
      </w:pPr>
      <w:r>
        <w:rPr>
          <w:rFonts w:hint="cs"/>
          <w:rtl/>
        </w:rPr>
        <w:tab/>
        <w:t>وفي جملة الإجراءات الأخرى التي يمكن اتخاذها بموجب قانون مكافحة غسل الأموال ما يلي:</w:t>
      </w:r>
    </w:p>
    <w:p w:rsidR="00955676"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بتوجيه من المدعي العام بتجميد التعامل بأي أموال منقولة تتعلق بجريمة غسل أموال تكون في حيازة مؤسسة مالية أو حراستها أو سيطرتها (المادة 50).</w:t>
      </w:r>
    </w:p>
    <w:p w:rsidR="00955676"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بتوجيه من المدعي العام بالاستيلاء على أي أموال منقولة تتعلق بجريمة غسل أموال (المادة 51).</w:t>
      </w:r>
    </w:p>
    <w:p w:rsidR="00955676"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قيام المدعي العام، بمقتضى القانون، بمصادرة الأموال التي تم حجزها بأمر من المحكمة العليا حيثما لا توجد مقاضاة أو إدانة عن جريمة غسل أموال إذا تكونت لديه قناعة أن تلك الأموال هي ثمرة لجريمة غسل أموال أو لها صلة بجريمة غسل أموال (المادة 56).</w:t>
      </w:r>
    </w:p>
    <w:p w:rsidR="00955676" w:rsidRPr="00A17E80"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’5‘</w:t>
      </w:r>
      <w:r>
        <w:rPr>
          <w:rFonts w:hint="cs"/>
          <w:rtl/>
        </w:rPr>
        <w:tab/>
      </w:r>
      <w:r>
        <w:rPr>
          <w:rFonts w:hint="cs"/>
          <w:rtl/>
        </w:rPr>
        <w:tab/>
      </w:r>
      <w:r w:rsidRPr="00A17E80">
        <w:rPr>
          <w:rFonts w:hint="cs"/>
          <w:b/>
          <w:bCs/>
          <w:i/>
          <w:iCs/>
          <w:rtl/>
        </w:rPr>
        <w:t>قانون الإقامة المقيدة لعام 1993 (القانون رقم 737)</w:t>
      </w:r>
    </w:p>
    <w:p w:rsidR="00955676"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 xml:space="preserve">غالبا ما تتردد النساء اللائي أكرهن </w:t>
      </w:r>
      <w:r w:rsidR="00BC7F82">
        <w:rPr>
          <w:rFonts w:hint="cs"/>
          <w:rtl/>
        </w:rPr>
        <w:t xml:space="preserve">على </w:t>
      </w:r>
      <w:r>
        <w:rPr>
          <w:rFonts w:hint="cs"/>
          <w:rtl/>
        </w:rPr>
        <w:t xml:space="preserve">البغاء وزبائنهن بالإدلاء بشهادة أمام المحكمة خوفا من الأعمال الانتقامية العنيفة ضدهم من قبل جماعات الفحشاء وخوفا من العار الاجتماعي اللاحق الذي يلصق بالشخص لكونه </w:t>
      </w:r>
      <w:r>
        <w:rPr>
          <w:rFonts w:hint="eastAsia"/>
          <w:rtl/>
        </w:rPr>
        <w:t>”بغي</w:t>
      </w:r>
      <w:r>
        <w:rPr>
          <w:rFonts w:hint="cs"/>
          <w:rtl/>
        </w:rPr>
        <w:t>“ أو لتعامله مع المشتغلين بالجنس</w:t>
      </w:r>
      <w:r w:rsidR="00BC7F82">
        <w:rPr>
          <w:rFonts w:hint="cs"/>
          <w:rtl/>
        </w:rPr>
        <w:t>.</w:t>
      </w:r>
      <w:r>
        <w:rPr>
          <w:rFonts w:hint="cs"/>
          <w:rtl/>
        </w:rPr>
        <w:t xml:space="preserve"> وقد وضعت الشرطة الملكية الماليزية قانون الإقامة المقيدة لعام 1993 موضع التطبيق بنجاح لمراقبة الأنشطة المخالفة للنظام العام مثل التهريب أو الأنشطة اللاأخلاقية. والمبرر المنطقي لذلك هو إخراج الشخص من المنطقة التي تجري فيها الأنشطة غير المرغوب فيها أو حظره من الدخول إليها كيلا يتمكن من الاضطلاع بتلك الأنشطة. وفي عام 2002، تم الاضطلاع بحوالي 564 12 عملية تفتيش لأنشطة الدعارة حرر في إطارها حوالي 175 فتاة دون السن القانونية من الخطر وجرى اعتقال 148 5 من البغايا الأجنبيات.</w:t>
      </w:r>
    </w:p>
    <w:p w:rsidR="00955676"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’6‘</w:t>
      </w:r>
      <w:r>
        <w:rPr>
          <w:rFonts w:hint="cs"/>
          <w:rtl/>
        </w:rPr>
        <w:tab/>
      </w:r>
      <w:r>
        <w:rPr>
          <w:rFonts w:hint="cs"/>
          <w:rtl/>
        </w:rPr>
        <w:tab/>
      </w:r>
      <w:r w:rsidRPr="00A17E80">
        <w:rPr>
          <w:rFonts w:hint="cs"/>
          <w:b/>
          <w:bCs/>
          <w:i/>
          <w:iCs/>
          <w:rtl/>
        </w:rPr>
        <w:t>قانون منع الجريمة</w:t>
      </w:r>
      <w:r>
        <w:rPr>
          <w:rFonts w:hint="cs"/>
          <w:b/>
          <w:bCs/>
          <w:i/>
          <w:iCs/>
          <w:rtl/>
        </w:rPr>
        <w:t xml:space="preserve"> لعام 1959</w:t>
      </w:r>
    </w:p>
    <w:p w:rsidR="00955676" w:rsidRDefault="00955676" w:rsidP="00BC7F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i/>
          <w:iCs/>
          <w:rtl/>
        </w:rPr>
        <w:tab/>
      </w:r>
      <w:r>
        <w:rPr>
          <w:rFonts w:hint="cs"/>
          <w:b/>
          <w:bCs/>
          <w:i/>
          <w:iCs/>
          <w:rtl/>
        </w:rPr>
        <w:tab/>
      </w:r>
      <w:r>
        <w:rPr>
          <w:rFonts w:hint="cs"/>
          <w:rtl/>
        </w:rPr>
        <w:t>ينص قانون منع الجريمة لعام 1959 على إدراج أسماء جميع ال</w:t>
      </w:r>
      <w:r w:rsidR="00BC7F82">
        <w:rPr>
          <w:rFonts w:hint="cs"/>
          <w:rtl/>
        </w:rPr>
        <w:t xml:space="preserve">متجرين </w:t>
      </w:r>
      <w:r>
        <w:rPr>
          <w:rFonts w:hint="cs"/>
          <w:rtl/>
        </w:rPr>
        <w:t>بالنساء والفتيات أيضا</w:t>
      </w:r>
      <w:r w:rsidR="00BC7F82">
        <w:rPr>
          <w:rFonts w:hint="cs"/>
          <w:rtl/>
        </w:rPr>
        <w:t>،</w:t>
      </w:r>
      <w:r>
        <w:rPr>
          <w:rFonts w:hint="cs"/>
          <w:rtl/>
        </w:rPr>
        <w:t xml:space="preserve"> بمن فيهم الأشخاص الذين يعيشون كليا أو جزئيا على عائدات البغاء في عداد </w:t>
      </w:r>
      <w:r>
        <w:rPr>
          <w:rFonts w:hint="eastAsia"/>
          <w:rtl/>
        </w:rPr>
        <w:t>”الفئات الواجب</w:t>
      </w:r>
      <w:r>
        <w:rPr>
          <w:rFonts w:hint="cs"/>
          <w:rtl/>
        </w:rPr>
        <w:t>ة</w:t>
      </w:r>
      <w:r>
        <w:rPr>
          <w:rFonts w:hint="eastAsia"/>
          <w:rtl/>
        </w:rPr>
        <w:t xml:space="preserve"> التسجيل</w:t>
      </w:r>
      <w:r>
        <w:rPr>
          <w:rFonts w:hint="cs"/>
          <w:rtl/>
        </w:rPr>
        <w:t>“. (الجدول الأول، الجزء 1 (4)). ويخضع المتجرون بالنساء والفتيات لرقابة الشرطة والقيود الأخرى المنصوص عليها في القانون لفترة لا تتجاوز 5 سنوات يجوز للوزير تجديدها لفترة أو لفترات أخرى لا تتجاوز 5 سنوات في كل مرة.</w:t>
      </w:r>
    </w:p>
    <w:p w:rsidR="00955676" w:rsidRPr="00714DB9" w:rsidRDefault="00955676" w:rsidP="009556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55676" w:rsidRDefault="00955676" w:rsidP="00BC7F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أشكال است</w:t>
      </w:r>
      <w:r w:rsidR="00BC7F82">
        <w:rPr>
          <w:rFonts w:hint="cs"/>
          <w:rtl/>
        </w:rPr>
        <w:t>غلال</w:t>
      </w:r>
      <w:r>
        <w:rPr>
          <w:rFonts w:hint="cs"/>
          <w:rtl/>
        </w:rPr>
        <w:t xml:space="preserve"> المرأة</w:t>
      </w:r>
    </w:p>
    <w:p w:rsidR="00955676" w:rsidRDefault="00955676" w:rsidP="00955676">
      <w:pPr>
        <w:pStyle w:val="SingleTxt"/>
        <w:rPr>
          <w:rFonts w:hint="cs"/>
          <w:rtl/>
        </w:rPr>
      </w:pPr>
      <w:r>
        <w:rPr>
          <w:rFonts w:hint="cs"/>
          <w:rtl/>
        </w:rPr>
        <w:t>106 -</w:t>
      </w:r>
      <w:r>
        <w:rPr>
          <w:rFonts w:hint="cs"/>
          <w:rtl/>
        </w:rPr>
        <w:tab/>
        <w:t xml:space="preserve">لا يمكن اتخاذ إجراء ضد استغلال المرأة، من وجهة نظر الشرطة، إلا إذا كان لهذا الاستغلال طابع إجرامي. ويشتمل القانون على أحكام كافية </w:t>
      </w:r>
      <w:r w:rsidR="00BC7F82">
        <w:rPr>
          <w:rFonts w:hint="cs"/>
          <w:rtl/>
        </w:rPr>
        <w:t>ل</w:t>
      </w:r>
      <w:r>
        <w:rPr>
          <w:rFonts w:hint="cs"/>
          <w:rtl/>
        </w:rPr>
        <w:t>اتخاذ إجراء ضد من يعيش على العائدات اللاأخلاقية الناجمة عن استغلال المرأة ومن هؤلاء على سبيل المثال القوادون ومشغلو أوكار الرذيلة و/أو أي شخص متورط، بصورة مباشرة أو غير مباشرة في صناعة الجنس. كما أن ماليزيا إحدى الدول الموقعة على اتفاقية مكافحة الجريمة المنظمة عبر الوطنية الملحق بها بروتوكول لمنع الاتجار بالنساء والأطفال.</w:t>
      </w:r>
    </w:p>
    <w:p w:rsidR="00955676" w:rsidRPr="00E37BE4"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القوانين ذات الصلة بالعنف ضد المشتغلين بالجنس</w:t>
      </w:r>
    </w:p>
    <w:p w:rsidR="00955676" w:rsidRDefault="00955676" w:rsidP="00BC7F82">
      <w:pPr>
        <w:pStyle w:val="SingleTxt"/>
        <w:rPr>
          <w:rFonts w:hint="cs"/>
          <w:rtl/>
        </w:rPr>
      </w:pPr>
      <w:r>
        <w:rPr>
          <w:rFonts w:hint="cs"/>
          <w:rtl/>
        </w:rPr>
        <w:t>107 -</w:t>
      </w:r>
      <w:r>
        <w:rPr>
          <w:rFonts w:hint="cs"/>
          <w:rtl/>
        </w:rPr>
        <w:tab/>
        <w:t>لا توجد نصوص خاصة لها علاقة بالعنف ضد المشتغلين ب</w:t>
      </w:r>
      <w:r w:rsidR="00BC7F82">
        <w:rPr>
          <w:rFonts w:hint="cs"/>
          <w:rtl/>
        </w:rPr>
        <w:t>الجنس وفي هذه الحالة</w:t>
      </w:r>
      <w:r>
        <w:rPr>
          <w:rFonts w:hint="cs"/>
          <w:rtl/>
        </w:rPr>
        <w:t xml:space="preserve"> تدخل الجريمة ضمن نطاق قانون العقوبات الذي يفرض عقوبات على ارتكاب أفعال من قبيل الاعتداء واستخدام </w:t>
      </w:r>
      <w:r w:rsidR="00BC7F82">
        <w:rPr>
          <w:rFonts w:hint="cs"/>
          <w:rtl/>
        </w:rPr>
        <w:t xml:space="preserve">القوة الإجرامية </w:t>
      </w:r>
      <w:r>
        <w:rPr>
          <w:rFonts w:hint="cs"/>
          <w:rtl/>
        </w:rPr>
        <w:t>والتقييد أو الحبس أو التسبب بأذى أو إلحاق أذى فادح. ويكمل قانون العنف العائلي لعام 1994 (القانون رقم 521) الذي يوفر حماية قانونية لضحايا العنف في المنزل الجرائم المنصوص عليها في قانون العقوبات من ناحية حماية المجني عليهم.</w:t>
      </w:r>
    </w:p>
    <w:p w:rsidR="00955676" w:rsidRDefault="00955676" w:rsidP="00BC7F82">
      <w:pPr>
        <w:pStyle w:val="SingleTxt"/>
        <w:rPr>
          <w:rFonts w:hint="cs"/>
          <w:rtl/>
        </w:rPr>
      </w:pPr>
      <w:r>
        <w:rPr>
          <w:rFonts w:hint="cs"/>
          <w:rtl/>
        </w:rPr>
        <w:t>108 -</w:t>
      </w:r>
      <w:r>
        <w:rPr>
          <w:rFonts w:hint="cs"/>
          <w:rtl/>
        </w:rPr>
        <w:tab/>
        <w:t xml:space="preserve">واستنادا إلى ذلك، يوفر قانون العقوبات للمشتغلين بالجنس حماية من العنف. ومع ذلك، فإن المواقف الاجتماعية السلبية تجاه المشتغلين بالجنس تجعل من الصعب على الحكومة اتخاذ إجراء ضد مقترفي تلك الأفعال. وفي عام 1989، عدلت الحكومة قانون البينات لعام 1950 على نحو يحظر توجيه أسئلة في المحكمة إلى ضحية </w:t>
      </w:r>
      <w:r w:rsidR="00BC7F82">
        <w:rPr>
          <w:rFonts w:hint="cs"/>
          <w:rtl/>
        </w:rPr>
        <w:t xml:space="preserve">الاغتصاب </w:t>
      </w:r>
      <w:r>
        <w:rPr>
          <w:rFonts w:hint="cs"/>
          <w:rtl/>
        </w:rPr>
        <w:t>بشأن تاريخها الجنسي.</w:t>
      </w:r>
    </w:p>
    <w:p w:rsidR="00955676" w:rsidRDefault="00955676" w:rsidP="00955676">
      <w:pPr>
        <w:pStyle w:val="SingleTxt"/>
        <w:ind w:left="2592" w:hanging="1325"/>
        <w:rPr>
          <w:rFonts w:hint="cs"/>
          <w:rtl/>
        </w:rPr>
      </w:pPr>
      <w:r>
        <w:rPr>
          <w:rFonts w:hint="cs"/>
          <w:rtl/>
        </w:rPr>
        <w:tab/>
        <w:t>’1‘</w:t>
      </w:r>
      <w:r>
        <w:rPr>
          <w:rFonts w:hint="cs"/>
          <w:rtl/>
        </w:rPr>
        <w:tab/>
        <w:t xml:space="preserve">تنص المادة 146 ألف على ما يلي </w:t>
      </w:r>
      <w:r>
        <w:rPr>
          <w:rFonts w:hint="eastAsia"/>
          <w:rtl/>
        </w:rPr>
        <w:t>”على الرغم مما ينص عليه قانون البينات لعام 1950، لا يقدم المتهم</w:t>
      </w:r>
      <w:r>
        <w:rPr>
          <w:rFonts w:hint="cs"/>
          <w:rtl/>
        </w:rPr>
        <w:t xml:space="preserve"> أو من ينوبه في المحاكمات المتعلقة بجريمة الاغتصاب أي دليل ولا يطرح </w:t>
      </w:r>
      <w:r w:rsidR="00BC7F82">
        <w:rPr>
          <w:rFonts w:hint="cs"/>
          <w:rtl/>
        </w:rPr>
        <w:t xml:space="preserve">عليه </w:t>
      </w:r>
      <w:r>
        <w:rPr>
          <w:rFonts w:hint="cs"/>
          <w:rtl/>
        </w:rPr>
        <w:t>أي</w:t>
      </w:r>
      <w:r w:rsidR="00BC7F82">
        <w:rPr>
          <w:rFonts w:hint="cs"/>
          <w:rtl/>
        </w:rPr>
        <w:t xml:space="preserve"> سؤال في معرض استجواب الشهود له</w:t>
      </w:r>
      <w:r>
        <w:rPr>
          <w:rFonts w:hint="cs"/>
          <w:rtl/>
        </w:rPr>
        <w:t xml:space="preserve"> علاقة بالنشاط الجنسي للشاكي مع أي شخص آخر غير المتهم ما لم: </w:t>
      </w:r>
    </w:p>
    <w:p w:rsidR="00955676" w:rsidRDefault="00955676" w:rsidP="00955676">
      <w:pPr>
        <w:pStyle w:val="SingleTxt"/>
        <w:ind w:left="2592" w:hanging="1325"/>
        <w:rPr>
          <w:rFonts w:hint="cs"/>
          <w:rtl/>
        </w:rPr>
      </w:pPr>
      <w:r>
        <w:rPr>
          <w:rFonts w:hint="cs"/>
          <w:rtl/>
        </w:rPr>
        <w:tab/>
        <w:t>’2‘</w:t>
      </w:r>
      <w:r>
        <w:rPr>
          <w:rFonts w:hint="cs"/>
          <w:rtl/>
        </w:rPr>
        <w:tab/>
        <w:t>يبرهن على أن الدفوع أو السؤال الذي يفضي إلى الدفع يشكل دليلا على النشاط الجنسي للشاكي أو ينفيه وكان المدعي العام قد قدمه من قبل؛</w:t>
      </w:r>
    </w:p>
    <w:p w:rsidR="00955676" w:rsidRDefault="00955676" w:rsidP="00BC7F82">
      <w:pPr>
        <w:pStyle w:val="SingleTxt"/>
        <w:ind w:left="2592" w:hanging="1325"/>
        <w:rPr>
          <w:rFonts w:hint="cs"/>
          <w:rtl/>
        </w:rPr>
      </w:pPr>
      <w:r>
        <w:rPr>
          <w:rFonts w:hint="cs"/>
          <w:rtl/>
        </w:rPr>
        <w:tab/>
        <w:t>’3‘</w:t>
      </w:r>
      <w:r>
        <w:rPr>
          <w:rFonts w:hint="cs"/>
          <w:rtl/>
        </w:rPr>
        <w:tab/>
        <w:t>يكن هناك دليل على، أو سؤال عن أمثلة محددة على النشاط الجنسي للشاكي ت</w:t>
      </w:r>
      <w:r w:rsidR="00BC7F82">
        <w:rPr>
          <w:rFonts w:hint="cs"/>
          <w:rtl/>
        </w:rPr>
        <w:t>ف</w:t>
      </w:r>
      <w:r>
        <w:rPr>
          <w:rFonts w:hint="cs"/>
          <w:rtl/>
        </w:rPr>
        <w:t>ضي إلى تحديد هوية الشخص الذي مارس الاتصال الجنسي مع الشاكي في الحادثة المحددة في التهمة؛ أو</w:t>
      </w:r>
    </w:p>
    <w:p w:rsidR="00955676" w:rsidRDefault="00955676" w:rsidP="00BC7F82">
      <w:pPr>
        <w:pStyle w:val="SingleTxt"/>
        <w:ind w:left="2592" w:hanging="1325"/>
        <w:rPr>
          <w:rFonts w:hint="cs"/>
          <w:rtl/>
        </w:rPr>
      </w:pPr>
      <w:r>
        <w:rPr>
          <w:rFonts w:hint="cs"/>
          <w:rtl/>
        </w:rPr>
        <w:tab/>
        <w:t>’4‘</w:t>
      </w:r>
      <w:r>
        <w:rPr>
          <w:rFonts w:hint="cs"/>
          <w:rtl/>
        </w:rPr>
        <w:tab/>
        <w:t>يكن هناك دليل على، أو سؤال عن نشاط جنسي جرى في أثناء نفس الحادثة التي جرى فيها النشاط الجنسي الذي يشكل موضوع الاتهام إذا كان ذلك الدليل أو السؤال يتصل بالرضا الذي يعتقد المتهم، حسب زعمه، أن الشاكي أعطاه له</w:t>
      </w:r>
      <w:r w:rsidR="00BC7F82">
        <w:rPr>
          <w:rFonts w:hint="eastAsia"/>
          <w:rtl/>
        </w:rPr>
        <w:t>“</w:t>
      </w:r>
      <w:r>
        <w:rPr>
          <w:rFonts w:hint="cs"/>
          <w:rtl/>
        </w:rPr>
        <w:t>.</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حماية وإعادة تأهيل ضحايا الاستغلال</w:t>
      </w:r>
    </w:p>
    <w:p w:rsidR="00955676" w:rsidRDefault="00955676" w:rsidP="00BC7F82">
      <w:pPr>
        <w:pStyle w:val="SingleTxt"/>
        <w:rPr>
          <w:rFonts w:hint="cs"/>
          <w:rtl/>
        </w:rPr>
      </w:pPr>
      <w:r>
        <w:rPr>
          <w:rFonts w:hint="cs"/>
          <w:rtl/>
        </w:rPr>
        <w:t>109 -</w:t>
      </w:r>
      <w:r>
        <w:rPr>
          <w:rFonts w:hint="cs"/>
          <w:rtl/>
        </w:rPr>
        <w:tab/>
        <w:t xml:space="preserve">تتولى إدارة الرعايا الاجتماعية مسؤولية توفير الحماية وإعادة التأهيل والمشورة للفتيات والنساء اللائي تقل أعمارهن عن 18 عاما اللائي شاركن في الرذيلة والدعارة. ويوجد للإدارة </w:t>
      </w:r>
      <w:r w:rsidR="00BC7F82">
        <w:rPr>
          <w:rFonts w:hint="cs"/>
          <w:rtl/>
        </w:rPr>
        <w:t xml:space="preserve">خمسة </w:t>
      </w:r>
      <w:r>
        <w:rPr>
          <w:rFonts w:hint="cs"/>
          <w:rtl/>
        </w:rPr>
        <w:t>مراكز لإعادة التأهيل في سائر أرجاء البلد. ويدخل نزلاء هذه المراكز عادة ضمن فئتين رئيسيتين هما:</w:t>
      </w:r>
    </w:p>
    <w:p w:rsidR="00955676" w:rsidRDefault="00955676" w:rsidP="00955676">
      <w:pPr>
        <w:pStyle w:val="SingleTxt"/>
        <w:ind w:left="2592" w:hanging="1325"/>
        <w:rPr>
          <w:rFonts w:hint="cs"/>
          <w:rtl/>
        </w:rPr>
      </w:pPr>
      <w:r>
        <w:rPr>
          <w:rFonts w:hint="cs"/>
          <w:rtl/>
        </w:rPr>
        <w:tab/>
        <w:t>’1‘</w:t>
      </w:r>
      <w:r>
        <w:rPr>
          <w:rFonts w:hint="cs"/>
          <w:rtl/>
        </w:rPr>
        <w:tab/>
        <w:t>الفتيات اللائي ثبت تعرضهن لخطر أخلاقي أو شاركن في الدعارة أو هن بحاجة للحماية بموجب قانون الأطفال لعام 2001 (القانون رقم 611)؛</w:t>
      </w:r>
    </w:p>
    <w:p w:rsidR="00955676" w:rsidRDefault="00955676" w:rsidP="007C2B35">
      <w:pPr>
        <w:pStyle w:val="SingleTxt"/>
        <w:ind w:left="2592" w:hanging="1325"/>
        <w:rPr>
          <w:rFonts w:hint="cs"/>
          <w:rtl/>
        </w:rPr>
      </w:pPr>
      <w:r>
        <w:rPr>
          <w:rFonts w:hint="cs"/>
          <w:rtl/>
        </w:rPr>
        <w:tab/>
        <w:t>’2‘</w:t>
      </w:r>
      <w:r>
        <w:rPr>
          <w:rFonts w:hint="cs"/>
          <w:rtl/>
        </w:rPr>
        <w:tab/>
        <w:t xml:space="preserve">الفتيات </w:t>
      </w:r>
      <w:r w:rsidR="00BC7F82">
        <w:rPr>
          <w:rFonts w:hint="cs"/>
          <w:rtl/>
        </w:rPr>
        <w:t xml:space="preserve">اللائي </w:t>
      </w:r>
      <w:r>
        <w:rPr>
          <w:rFonts w:hint="cs"/>
          <w:rtl/>
        </w:rPr>
        <w:t>تقدم والد</w:t>
      </w:r>
      <w:r w:rsidR="00BC7F82">
        <w:rPr>
          <w:rFonts w:hint="cs"/>
          <w:rtl/>
        </w:rPr>
        <w:t>ا</w:t>
      </w:r>
      <w:r>
        <w:rPr>
          <w:rFonts w:hint="cs"/>
          <w:rtl/>
        </w:rPr>
        <w:t xml:space="preserve">هن بطلب رسمي إلى </w:t>
      </w:r>
      <w:r w:rsidR="00BC7F82">
        <w:rPr>
          <w:rFonts w:hint="eastAsia"/>
          <w:rtl/>
        </w:rPr>
        <w:t>”</w:t>
      </w:r>
      <w:r>
        <w:rPr>
          <w:rFonts w:hint="cs"/>
          <w:rtl/>
        </w:rPr>
        <w:t>الحامي</w:t>
      </w:r>
      <w:r w:rsidR="00BC7F82">
        <w:rPr>
          <w:rFonts w:hint="eastAsia"/>
          <w:rtl/>
        </w:rPr>
        <w:t>“</w:t>
      </w:r>
      <w:r>
        <w:rPr>
          <w:rFonts w:hint="cs"/>
          <w:rtl/>
        </w:rPr>
        <w:t xml:space="preserve"> لتوفير الحماية لابنتهما لأنها توجد في رفقة مشغلي بيت للدعارة أو وكر للرذيلة و</w:t>
      </w:r>
      <w:r w:rsidR="007C2B35">
        <w:rPr>
          <w:rFonts w:hint="cs"/>
          <w:rtl/>
        </w:rPr>
        <w:t>ل</w:t>
      </w:r>
      <w:r w:rsidR="00BC7F82">
        <w:rPr>
          <w:rFonts w:hint="cs"/>
          <w:rtl/>
        </w:rPr>
        <w:t xml:space="preserve">كونها معرضة </w:t>
      </w:r>
      <w:r>
        <w:rPr>
          <w:rFonts w:hint="cs"/>
          <w:rtl/>
        </w:rPr>
        <w:t xml:space="preserve">بشدة للاستغلال الجنسي أو للإجبار أو للإكراه على البغاء. ويعرّف قانون الأطفال </w:t>
      </w:r>
      <w:r>
        <w:rPr>
          <w:rFonts w:hint="eastAsia"/>
          <w:rtl/>
        </w:rPr>
        <w:t>”الحامي</w:t>
      </w:r>
      <w:r>
        <w:rPr>
          <w:rFonts w:hint="cs"/>
          <w:rtl/>
        </w:rPr>
        <w:t>“ أنه شخص من أمثال المدير العام للرعاية الاجتماعية، ونائب المدير العام للرعاية الاجتماعية ومدير أقسام الرعاية الاجتماعية وإدارة الرعاية الاجتماعية ومدير الرعاية الاجتماعية في الولاية وموظفي الرعاية الاجتماعية الذين يعينهم الوزير المعني.</w:t>
      </w:r>
    </w:p>
    <w:p w:rsidR="00955676" w:rsidRDefault="00955676" w:rsidP="00BC7F82">
      <w:pPr>
        <w:pStyle w:val="SingleTxt"/>
        <w:rPr>
          <w:rFonts w:hint="cs"/>
          <w:rtl/>
        </w:rPr>
      </w:pPr>
      <w:r>
        <w:rPr>
          <w:rFonts w:hint="cs"/>
          <w:rtl/>
        </w:rPr>
        <w:t>110 -</w:t>
      </w:r>
      <w:r>
        <w:rPr>
          <w:rFonts w:hint="cs"/>
          <w:rtl/>
        </w:rPr>
        <w:tab/>
        <w:t>وفي نهاية عام 2001، بلغ عدد نز</w:t>
      </w:r>
      <w:r w:rsidR="00BC7F82">
        <w:rPr>
          <w:rFonts w:hint="cs"/>
          <w:rtl/>
        </w:rPr>
        <w:t>يلات</w:t>
      </w:r>
      <w:r>
        <w:rPr>
          <w:rFonts w:hint="cs"/>
          <w:rtl/>
        </w:rPr>
        <w:t xml:space="preserve"> مركز تامان سري بوتوري لإعادة التأهيل الذي تديره إدارة ال</w:t>
      </w:r>
      <w:r w:rsidR="00BC7F82">
        <w:rPr>
          <w:rFonts w:hint="cs"/>
          <w:rtl/>
        </w:rPr>
        <w:t>رعاية الاجتماعية حوالي 626 نزيلة</w:t>
      </w:r>
      <w:r>
        <w:rPr>
          <w:rFonts w:hint="cs"/>
          <w:rtl/>
        </w:rPr>
        <w:t xml:space="preserve">. وتجري عملية إعادة التأهيل داخل هذه المؤسسة من خلال التعليم (الرسمي وغير الرسمي) فضلا عن توفير التدريب المهني، على سبيل المثال، على الحرف اليدوية والإلمام بتكنولوجيا المعلومات والاتصالات وغير ذلك من المهارات ذات الصلة الكفيلة بإعدادهن لإعادة الدخول </w:t>
      </w:r>
      <w:r w:rsidR="00BC7F82">
        <w:rPr>
          <w:rFonts w:hint="cs"/>
          <w:rtl/>
        </w:rPr>
        <w:t xml:space="preserve">إلى </w:t>
      </w:r>
      <w:r>
        <w:rPr>
          <w:rFonts w:hint="cs"/>
          <w:rtl/>
        </w:rPr>
        <w:t>المجتمع.</w:t>
      </w:r>
    </w:p>
    <w:p w:rsidR="00955676" w:rsidRDefault="00955676" w:rsidP="00955676">
      <w:pPr>
        <w:pStyle w:val="SingleTxt"/>
        <w:rPr>
          <w:rFonts w:hint="cs"/>
          <w:rtl/>
        </w:rPr>
      </w:pPr>
      <w:r>
        <w:rPr>
          <w:rFonts w:hint="cs"/>
          <w:rtl/>
        </w:rPr>
        <w:t>111 -</w:t>
      </w:r>
      <w:r>
        <w:rPr>
          <w:rFonts w:hint="cs"/>
          <w:rtl/>
        </w:rPr>
        <w:tab/>
        <w:t>وارتفع عدد حالات العنف العائلي المبلغ عنها إلى إدارة الشرطة الملكية في بداية إنفاذ قانون العنف العائلي. فعلى سبيل المثال، تجاوز عدد الحالات المبلغ عنها  000 3 حالة في عامي 1999 و 2000. غير أن إحصاءات الحالة ذاتها تظهر بعض الانخفاض في عامي 2001 و 2002.  ويعزى ذلك إلى حملات التوعية الناجحة فضلا عن البرامج الأخرى الموجهة ضد العنف التي اضطلعت بها الحكومة، ولا سيما من خلال وزارة شؤون المرأة وتنمية الأسرة.</w:t>
      </w:r>
    </w:p>
    <w:p w:rsidR="00955676" w:rsidRDefault="00955676" w:rsidP="00955676">
      <w:pPr>
        <w:pStyle w:val="SingleTxt"/>
        <w:spacing w:after="0" w:line="120" w:lineRule="exact"/>
        <w:rPr>
          <w:rFonts w:hint="cs"/>
          <w:sz w:val="10"/>
          <w:rtl/>
        </w:rPr>
      </w:pPr>
    </w:p>
    <w:p w:rsidR="00BC7F82" w:rsidRPr="003A028C" w:rsidRDefault="00BC7F82"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955676" w:rsidRPr="003A028C"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الحياة السياسية والعامة</w:t>
      </w:r>
    </w:p>
    <w:p w:rsidR="00955676" w:rsidRPr="003A028C"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955676" w:rsidRDefault="00955676" w:rsidP="00BC7F82">
      <w:pPr>
        <w:pStyle w:val="SingleTxt"/>
        <w:rPr>
          <w:rFonts w:hint="cs"/>
          <w:rtl/>
        </w:rPr>
      </w:pPr>
      <w:r>
        <w:rPr>
          <w:rFonts w:hint="cs"/>
          <w:rtl/>
        </w:rPr>
        <w:t>112 -</w:t>
      </w:r>
      <w:r>
        <w:rPr>
          <w:rFonts w:hint="cs"/>
          <w:rtl/>
        </w:rPr>
        <w:tab/>
        <w:t>لا يوجد في ماليزيا تمييز قانوني ضد أي شخص على أساس نوع الجنس فيما يتعلق بالاشتراك في العملية الانتخابية وفي شغل مناصب عن طريق الانتخاب. وقد منحت المرأة الماليزية منذ الاستقلال الحق في التصويت. وبناء عليه، ليس هناك في ماليزيا ما يمنع المرأة من الاشتراك في الانتخابات على مستوى أي منصب ومن الاشتراك بحرية في الحركة السياسية. كما لا توجد أي حواجز قانونية أمام مشاركة المرأة في الحياة العامة. ومع ذلك، فإن تمثيل المرأة في هذين المجالين ما زال منخفضا.</w:t>
      </w:r>
    </w:p>
    <w:p w:rsidR="00955676" w:rsidRPr="003A028C"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الحياة السياسية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الناخبون</w:t>
      </w:r>
    </w:p>
    <w:p w:rsidR="00955676" w:rsidRDefault="00955676" w:rsidP="00955676">
      <w:pPr>
        <w:pStyle w:val="SingleTxt"/>
        <w:rPr>
          <w:rFonts w:hint="cs"/>
          <w:rtl/>
        </w:rPr>
      </w:pPr>
      <w:r>
        <w:rPr>
          <w:rFonts w:hint="cs"/>
          <w:rtl/>
        </w:rPr>
        <w:t>113 -</w:t>
      </w:r>
      <w:r>
        <w:rPr>
          <w:rFonts w:hint="cs"/>
          <w:rtl/>
        </w:rPr>
        <w:tab/>
        <w:t xml:space="preserve">يضمن الدستور لأي فرد الحق في التصويت ما دام مواطنا من مواطني الاتحاد وبلغ الحادية والعشرين من العمر </w:t>
      </w:r>
      <w:r w:rsidR="00BC7F82">
        <w:rPr>
          <w:rFonts w:hint="cs"/>
          <w:rtl/>
        </w:rPr>
        <w:t xml:space="preserve">في اليوم </w:t>
      </w:r>
      <w:r>
        <w:rPr>
          <w:rFonts w:hint="cs"/>
          <w:rtl/>
        </w:rPr>
        <w:t>المحدد للانتخابات وكان يقيم في الدائرة الانتخابية ذات الصلة في التاريخ المحدد للانتخابات. ويجرد الناخب من حق التصويت في ظل ظروف معينة إذا ثبت أنه مختل عقليا أو يقضي عقوبة السجن المحكوم بها.</w:t>
      </w:r>
    </w:p>
    <w:p w:rsidR="00955676" w:rsidRDefault="00955676" w:rsidP="00955676">
      <w:pPr>
        <w:pStyle w:val="SingleTxt"/>
        <w:rPr>
          <w:rFonts w:hint="cs"/>
          <w:rtl/>
        </w:rPr>
      </w:pPr>
      <w:r>
        <w:rPr>
          <w:rFonts w:hint="cs"/>
          <w:rtl/>
        </w:rPr>
        <w:t>114 -</w:t>
      </w:r>
      <w:r>
        <w:rPr>
          <w:rFonts w:hint="cs"/>
          <w:rtl/>
        </w:rPr>
        <w:tab/>
        <w:t>وفي عام 1999، كان هناك ما مجموعه 332 509 9 من الناخبين المسجلين منهم نسبة 49.8 في المائة من النساء (أو 395 737 4 امرأة) ونسبة 50.2 في المائة من الرجال (أو 937 771 4 رجلا).</w:t>
      </w:r>
    </w:p>
    <w:p w:rsidR="00955676" w:rsidRPr="003A028C" w:rsidRDefault="00955676" w:rsidP="00955676">
      <w:pPr>
        <w:pStyle w:val="SingleTxt"/>
        <w:spacing w:after="0" w:line="120" w:lineRule="exact"/>
        <w:rPr>
          <w:rFonts w:hint="cs"/>
          <w:sz w:val="10"/>
          <w:rtl/>
        </w:rPr>
      </w:pP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البرلمان</w:t>
      </w:r>
    </w:p>
    <w:p w:rsidR="00955676" w:rsidRDefault="00955676" w:rsidP="00955676">
      <w:pPr>
        <w:pStyle w:val="SingleTxt"/>
        <w:rPr>
          <w:rFonts w:hint="cs"/>
          <w:rtl/>
        </w:rPr>
      </w:pPr>
      <w:r>
        <w:rPr>
          <w:rFonts w:hint="cs"/>
          <w:rtl/>
        </w:rPr>
        <w:t>115 -</w:t>
      </w:r>
      <w:r>
        <w:rPr>
          <w:rFonts w:hint="cs"/>
          <w:rtl/>
        </w:rPr>
        <w:tab/>
        <w:t>صيغ البرلمان الماليزي على نموذج نظام ويستمينستر الذي يتألف فيه المجلس الأدنى من نواب منتخبين ويتألف فيه المجلس الأعلى من شيوخ معينين. ومنذ الاستقلال (1957) والانتخابات الأولى لشغل الجمعية التشريعية الاتحادية آنذاك في عام 1959، ارتفع عدد المرشحات المنتخبات إلى البرلمان بنسبة ضئيلة. فعلى سبيل المثال، بلغت نسبة النساء في انتخابات عام 1959 2.9 في المائة فقط (3 مرشحات من أصل 104) تم انتخابهن لعضوية المجلس الأدنى. وارتفعت هذه النسبة إلى 4.1 في المائة في عام 1986 وإلى 7.3 في المائة في عام 1995 وإلى 10.4 في المائة في عام 2000.</w:t>
      </w:r>
    </w:p>
    <w:p w:rsidR="00955676" w:rsidRDefault="00955676" w:rsidP="00955676">
      <w:pPr>
        <w:pStyle w:val="SingleTxt"/>
        <w:rPr>
          <w:rFonts w:hint="cs"/>
          <w:rtl/>
        </w:rPr>
      </w:pPr>
      <w:r>
        <w:rPr>
          <w:rFonts w:hint="cs"/>
          <w:rtl/>
        </w:rPr>
        <w:t>116 -</w:t>
      </w:r>
      <w:r>
        <w:rPr>
          <w:rFonts w:hint="cs"/>
          <w:rtl/>
        </w:rPr>
        <w:tab/>
        <w:t>وازداد تدريجيا كذلك خلال هذه الفترة عدد النساء المنتخبات لعضوية مختلف الجمعيات التابعة للولايات حيث ارتفع من نسبة 2.7 في المائة فقط في عام 1986 إلى 4.8 في المائة في عام 1995 وإلى 5.5 في المائة في عام 2000. بيد أن عدد الوزيرات على المستوى الاتحادي (الوطني) ظل على حاله تقريبا دون تغيير طيلة هذه الفترة بوجود وزيرتين في الوزارة من أصل ما مجموعه 28 وزيرا في الحكومة بأكملها. وبالنظر إلى إنشاء وزارة جديدة، هي وزارة شؤون المرأة وتنمية الأسرة في عام 2001، يوجد الآن 3 وزيرات في الحكومة.</w:t>
      </w:r>
    </w:p>
    <w:p w:rsidR="00955676" w:rsidRDefault="00955676" w:rsidP="00955676">
      <w:pPr>
        <w:pStyle w:val="SingleTxt"/>
        <w:rPr>
          <w:rFonts w:hint="cs"/>
          <w:rtl/>
        </w:rPr>
      </w:pPr>
      <w:r>
        <w:rPr>
          <w:rFonts w:hint="cs"/>
          <w:rtl/>
        </w:rPr>
        <w:t>117 -</w:t>
      </w:r>
      <w:r>
        <w:rPr>
          <w:rFonts w:hint="cs"/>
          <w:rtl/>
        </w:rPr>
        <w:tab/>
        <w:t>ويوضع الجدول 7-1 نسبة النساء اللائي انتخبت أو ع</w:t>
      </w:r>
      <w:r w:rsidR="00BC7F82">
        <w:rPr>
          <w:rFonts w:hint="cs"/>
          <w:rtl/>
        </w:rPr>
        <w:t>ُ</w:t>
      </w:r>
      <w:r>
        <w:rPr>
          <w:rFonts w:hint="cs"/>
          <w:rtl/>
        </w:rPr>
        <w:t>ي</w:t>
      </w:r>
      <w:r w:rsidR="00BC7F82">
        <w:rPr>
          <w:rFonts w:hint="cs"/>
          <w:rtl/>
        </w:rPr>
        <w:t>ّ</w:t>
      </w:r>
      <w:r>
        <w:rPr>
          <w:rFonts w:hint="cs"/>
          <w:rtl/>
        </w:rPr>
        <w:t>ن في مختلف المناصب على مستوى الاتحاد أو على مستوى الولاية. كما يوضح الجدول 7-1 العدد الإجمالي لنواب الولايات المنتخبين. ويتضح منه أن عدد النساء في المناصب التي تشغل عن طريق الانتخاب، وإن كان عددا ضئيلا، يزداد بصورة مطردة.</w:t>
      </w:r>
    </w:p>
    <w:p w:rsidR="00955676" w:rsidRPr="00454737"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7-1: النساء اللائي يشغلن مناصب تملأ عن طريق الانتخاب أو التعيين في أعوام 1986 و 1990 و 1995 و 2000</w:t>
      </w:r>
    </w:p>
    <w:p w:rsidR="00955676" w:rsidRPr="00454737"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927"/>
        <w:gridCol w:w="824"/>
        <w:gridCol w:w="721"/>
        <w:gridCol w:w="824"/>
        <w:gridCol w:w="1106"/>
      </w:tblGrid>
      <w:tr w:rsidR="00955676" w:rsidRPr="005F2590">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955676" w:rsidRPr="005F2590" w:rsidRDefault="00955676" w:rsidP="0035381B">
            <w:pPr>
              <w:tabs>
                <w:tab w:val="left" w:pos="288"/>
                <w:tab w:val="left" w:pos="576"/>
                <w:tab w:val="left" w:pos="864"/>
                <w:tab w:val="left" w:pos="1152"/>
              </w:tabs>
              <w:spacing w:before="80" w:after="80" w:line="240" w:lineRule="exact"/>
              <w:ind w:left="170" w:right="170"/>
              <w:jc w:val="center"/>
              <w:rPr>
                <w:rFonts w:hint="cs"/>
                <w:i/>
                <w:iCs/>
                <w:sz w:val="16"/>
                <w:szCs w:val="24"/>
                <w:rtl/>
              </w:rPr>
            </w:pPr>
            <w:r w:rsidRPr="005F2590">
              <w:rPr>
                <w:rFonts w:hint="cs"/>
                <w:i/>
                <w:iCs/>
                <w:sz w:val="16"/>
                <w:szCs w:val="24"/>
                <w:rtl/>
              </w:rPr>
              <w:t>المنصب</w:t>
            </w:r>
          </w:p>
        </w:tc>
        <w:tc>
          <w:tcPr>
            <w:tcW w:w="927" w:type="dxa"/>
            <w:tcBorders>
              <w:top w:val="single" w:sz="4" w:space="0" w:color="auto"/>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5F2590">
              <w:rPr>
                <w:rFonts w:hint="cs"/>
                <w:i/>
                <w:iCs/>
                <w:sz w:val="16"/>
                <w:szCs w:val="24"/>
                <w:rtl/>
              </w:rPr>
              <w:t>السنة</w:t>
            </w:r>
          </w:p>
        </w:tc>
        <w:tc>
          <w:tcPr>
            <w:tcW w:w="824" w:type="dxa"/>
            <w:tcBorders>
              <w:top w:val="single" w:sz="4" w:space="0" w:color="auto"/>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5F2590">
              <w:rPr>
                <w:rFonts w:hint="cs"/>
                <w:i/>
                <w:iCs/>
                <w:sz w:val="16"/>
                <w:szCs w:val="24"/>
                <w:rtl/>
              </w:rPr>
              <w:t>عدد الرجال</w:t>
            </w:r>
          </w:p>
        </w:tc>
        <w:tc>
          <w:tcPr>
            <w:tcW w:w="721" w:type="dxa"/>
            <w:tcBorders>
              <w:top w:val="single" w:sz="4" w:space="0" w:color="auto"/>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5F2590">
              <w:rPr>
                <w:rFonts w:hint="cs"/>
                <w:i/>
                <w:iCs/>
                <w:sz w:val="16"/>
                <w:szCs w:val="24"/>
                <w:rtl/>
              </w:rPr>
              <w:t>عدد النساء</w:t>
            </w:r>
          </w:p>
        </w:tc>
        <w:tc>
          <w:tcPr>
            <w:tcW w:w="824" w:type="dxa"/>
            <w:tcBorders>
              <w:top w:val="single" w:sz="4" w:space="0" w:color="auto"/>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5F2590">
              <w:rPr>
                <w:rFonts w:hint="cs"/>
                <w:i/>
                <w:iCs/>
                <w:sz w:val="16"/>
                <w:szCs w:val="24"/>
                <w:rtl/>
              </w:rPr>
              <w:t>المجموع</w:t>
            </w:r>
          </w:p>
        </w:tc>
        <w:tc>
          <w:tcPr>
            <w:tcW w:w="1106" w:type="dxa"/>
            <w:tcBorders>
              <w:top w:val="single" w:sz="4" w:space="0" w:color="auto"/>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5F2590">
              <w:rPr>
                <w:rFonts w:hint="cs"/>
                <w:i/>
                <w:iCs/>
                <w:sz w:val="16"/>
                <w:szCs w:val="24"/>
                <w:rtl/>
              </w:rPr>
              <w:t>النسبة المئوية للنساء</w:t>
            </w:r>
          </w:p>
        </w:tc>
      </w:tr>
      <w:tr w:rsidR="00955676" w:rsidRPr="005F2590">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824"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721"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824"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06" w:type="dxa"/>
            <w:tcBorders>
              <w:top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5F2590">
        <w:tblPrEx>
          <w:tblCellMar>
            <w:top w:w="0" w:type="dxa"/>
            <w:bottom w:w="0" w:type="dxa"/>
          </w:tblCellMar>
        </w:tblPrEx>
        <w:trPr>
          <w:cantSplit/>
        </w:trPr>
        <w:tc>
          <w:tcPr>
            <w:tcW w:w="2918" w:type="dxa"/>
            <w:vMerge w:val="restart"/>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sidRPr="005F2590">
              <w:rPr>
                <w:rFonts w:hint="cs"/>
                <w:sz w:val="16"/>
                <w:szCs w:val="24"/>
                <w:rtl/>
              </w:rPr>
              <w:t>أعضاء البرلمان</w:t>
            </w: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1986</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164</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171</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162</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171</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166</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13</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179</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7.3</w:t>
            </w:r>
          </w:p>
        </w:tc>
      </w:tr>
      <w:tr w:rsidR="00955676" w:rsidRPr="005F2590">
        <w:tblPrEx>
          <w:tblCellMar>
            <w:top w:w="0" w:type="dxa"/>
            <w:bottom w:w="0" w:type="dxa"/>
          </w:tblCellMar>
        </w:tblPrEx>
        <w:trPr>
          <w:cantSplit/>
        </w:trPr>
        <w:tc>
          <w:tcPr>
            <w:tcW w:w="2918" w:type="dxa"/>
            <w:vMerge/>
            <w:tcBorders>
              <w:bottom w:val="single" w:sz="4"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173</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193</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10.4</w:t>
            </w:r>
          </w:p>
        </w:tc>
      </w:tr>
      <w:tr w:rsidR="00955676" w:rsidRPr="005F2590">
        <w:tblPrEx>
          <w:tblCellMar>
            <w:top w:w="0" w:type="dxa"/>
            <w:bottom w:w="0" w:type="dxa"/>
          </w:tblCellMar>
        </w:tblPrEx>
        <w:trPr>
          <w:cantSplit/>
        </w:trPr>
        <w:tc>
          <w:tcPr>
            <w:tcW w:w="2918" w:type="dxa"/>
            <w:vMerge w:val="restart"/>
            <w:tcBorders>
              <w:top w:val="single" w:sz="4" w:space="0" w:color="auto"/>
            </w:tcBorders>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Pr>
                <w:rFonts w:hint="cs"/>
                <w:sz w:val="16"/>
                <w:szCs w:val="24"/>
                <w:rtl/>
              </w:rPr>
              <w:t>نواب الجمعيات التابعة للولايات</w:t>
            </w: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1986</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435</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447</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428</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443</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3.4</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474</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498</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4.8</w:t>
            </w:r>
          </w:p>
        </w:tc>
      </w:tr>
      <w:tr w:rsidR="00955676" w:rsidRPr="005F2590">
        <w:tblPrEx>
          <w:tblCellMar>
            <w:top w:w="0" w:type="dxa"/>
            <w:bottom w:w="0" w:type="dxa"/>
          </w:tblCellMar>
        </w:tblPrEx>
        <w:trPr>
          <w:cantSplit/>
        </w:trPr>
        <w:tc>
          <w:tcPr>
            <w:tcW w:w="2918" w:type="dxa"/>
            <w:vMerge/>
            <w:tcBorders>
              <w:bottom w:val="single" w:sz="4"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476</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504</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5.5</w:t>
            </w:r>
          </w:p>
        </w:tc>
      </w:tr>
      <w:tr w:rsidR="00955676" w:rsidRPr="005F2590">
        <w:tblPrEx>
          <w:tblCellMar>
            <w:top w:w="0" w:type="dxa"/>
            <w:bottom w:w="0" w:type="dxa"/>
          </w:tblCellMar>
        </w:tblPrEx>
        <w:trPr>
          <w:cantSplit/>
        </w:trPr>
        <w:tc>
          <w:tcPr>
            <w:tcW w:w="2918" w:type="dxa"/>
            <w:vMerge w:val="restart"/>
            <w:tcBorders>
              <w:top w:val="single" w:sz="4" w:space="0" w:color="auto"/>
            </w:tcBorders>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Pr>
                <w:rFonts w:hint="cs"/>
                <w:sz w:val="16"/>
                <w:szCs w:val="24"/>
                <w:rtl/>
              </w:rPr>
              <w:t>الشيوخ المعينون</w:t>
            </w: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1986</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49</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18.3</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45</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55</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18.2</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46</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57</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19.3</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1998</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48</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14</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62</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22.6</w:t>
            </w:r>
          </w:p>
        </w:tc>
      </w:tr>
      <w:tr w:rsidR="00955676" w:rsidRPr="005F2590">
        <w:tblPrEx>
          <w:tblCellMar>
            <w:top w:w="0" w:type="dxa"/>
            <w:bottom w:w="0" w:type="dxa"/>
          </w:tblCellMar>
        </w:tblPrEx>
        <w:trPr>
          <w:cantSplit/>
        </w:trPr>
        <w:tc>
          <w:tcPr>
            <w:tcW w:w="2918" w:type="dxa"/>
            <w:vMerge/>
            <w:tcBorders>
              <w:bottom w:val="single" w:sz="4"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45</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62</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27.4</w:t>
            </w:r>
          </w:p>
        </w:tc>
      </w:tr>
      <w:tr w:rsidR="00955676" w:rsidRPr="005F2590">
        <w:tblPrEx>
          <w:tblCellMar>
            <w:top w:w="0" w:type="dxa"/>
            <w:bottom w:w="0" w:type="dxa"/>
          </w:tblCellMar>
        </w:tblPrEx>
        <w:trPr>
          <w:cantSplit/>
        </w:trPr>
        <w:tc>
          <w:tcPr>
            <w:tcW w:w="2918" w:type="dxa"/>
            <w:vMerge w:val="restart"/>
            <w:tcBorders>
              <w:top w:val="single" w:sz="4" w:space="0" w:color="auto"/>
            </w:tcBorders>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Pr>
                <w:rFonts w:hint="cs"/>
                <w:sz w:val="16"/>
                <w:szCs w:val="24"/>
                <w:rtl/>
              </w:rPr>
              <w:t>الوزراء</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23</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8.0</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23</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8.0</w:t>
            </w:r>
          </w:p>
        </w:tc>
      </w:tr>
      <w:tr w:rsidR="00955676" w:rsidRPr="005F2590">
        <w:tblPrEx>
          <w:tblCellMar>
            <w:top w:w="0" w:type="dxa"/>
            <w:bottom w:w="0" w:type="dxa"/>
          </w:tblCellMar>
        </w:tblPrEx>
        <w:trPr>
          <w:cantSplit/>
        </w:trPr>
        <w:tc>
          <w:tcPr>
            <w:tcW w:w="2918" w:type="dxa"/>
            <w:vMerge/>
            <w:tcBorders>
              <w:bottom w:val="single" w:sz="4"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w:t>
            </w:r>
          </w:p>
        </w:tc>
      </w:tr>
      <w:tr w:rsidR="00955676" w:rsidRPr="005F2590">
        <w:tblPrEx>
          <w:tblCellMar>
            <w:top w:w="0" w:type="dxa"/>
            <w:bottom w:w="0" w:type="dxa"/>
          </w:tblCellMar>
        </w:tblPrEx>
        <w:trPr>
          <w:cantSplit/>
        </w:trPr>
        <w:tc>
          <w:tcPr>
            <w:tcW w:w="2918" w:type="dxa"/>
            <w:vMerge w:val="restart"/>
            <w:tcBorders>
              <w:top w:val="single" w:sz="4" w:space="0" w:color="auto"/>
            </w:tcBorders>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Pr>
                <w:rFonts w:hint="cs"/>
                <w:sz w:val="16"/>
                <w:szCs w:val="24"/>
                <w:rtl/>
              </w:rPr>
              <w:t>نواب الوزراء</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30</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10.0</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30</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w:t>
            </w:r>
          </w:p>
        </w:tc>
      </w:tr>
      <w:tr w:rsidR="00955676" w:rsidRPr="005F2590">
        <w:tblPrEx>
          <w:tblCellMar>
            <w:top w:w="0" w:type="dxa"/>
            <w:bottom w:w="0" w:type="dxa"/>
          </w:tblCellMar>
        </w:tblPrEx>
        <w:trPr>
          <w:cantSplit/>
        </w:trPr>
        <w:tc>
          <w:tcPr>
            <w:tcW w:w="2918" w:type="dxa"/>
            <w:vMerge/>
            <w:tcBorders>
              <w:bottom w:val="single" w:sz="4"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w:t>
            </w:r>
          </w:p>
        </w:tc>
      </w:tr>
      <w:tr w:rsidR="00955676" w:rsidRPr="005F2590">
        <w:tblPrEx>
          <w:tblCellMar>
            <w:top w:w="0" w:type="dxa"/>
            <w:bottom w:w="0" w:type="dxa"/>
          </w:tblCellMar>
        </w:tblPrEx>
        <w:trPr>
          <w:cantSplit/>
        </w:trPr>
        <w:tc>
          <w:tcPr>
            <w:tcW w:w="2918" w:type="dxa"/>
            <w:vMerge w:val="restart"/>
            <w:tcBorders>
              <w:top w:val="single" w:sz="4" w:space="0" w:color="auto"/>
            </w:tcBorders>
            <w:shd w:val="clear" w:color="auto" w:fill="auto"/>
            <w:vAlign w:val="center"/>
          </w:tcPr>
          <w:p w:rsidR="00955676" w:rsidRPr="005F2590" w:rsidRDefault="00955676" w:rsidP="00C43389">
            <w:pPr>
              <w:tabs>
                <w:tab w:val="left" w:pos="288"/>
                <w:tab w:val="left" w:pos="576"/>
                <w:tab w:val="left" w:pos="864"/>
                <w:tab w:val="left" w:pos="1152"/>
              </w:tabs>
              <w:spacing w:before="40" w:after="80" w:line="240" w:lineRule="exact"/>
              <w:ind w:left="170" w:right="170"/>
              <w:jc w:val="center"/>
              <w:rPr>
                <w:rFonts w:hint="cs"/>
                <w:sz w:val="16"/>
                <w:szCs w:val="24"/>
                <w:rtl/>
              </w:rPr>
            </w:pPr>
            <w:r>
              <w:rPr>
                <w:rFonts w:hint="cs"/>
                <w:sz w:val="16"/>
                <w:szCs w:val="24"/>
                <w:rtl/>
              </w:rPr>
              <w:t>أمناء الهيئات البرلمانية</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1990</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14</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14</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0.0</w:t>
            </w:r>
          </w:p>
        </w:tc>
      </w:tr>
      <w:tr w:rsidR="00955676" w:rsidRPr="005F2590">
        <w:tblPrEx>
          <w:tblCellMar>
            <w:top w:w="0" w:type="dxa"/>
            <w:bottom w:w="0" w:type="dxa"/>
          </w:tblCellMar>
        </w:tblPrEx>
        <w:trPr>
          <w:cantSplit/>
        </w:trPr>
        <w:tc>
          <w:tcPr>
            <w:tcW w:w="2918" w:type="dxa"/>
            <w:vMerge/>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1995</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w:t>
            </w:r>
          </w:p>
        </w:tc>
        <w:tc>
          <w:tcPr>
            <w:tcW w:w="721"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w:t>
            </w:r>
          </w:p>
        </w:tc>
        <w:tc>
          <w:tcPr>
            <w:tcW w:w="1106" w:type="dxa"/>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11.7</w:t>
            </w:r>
          </w:p>
        </w:tc>
      </w:tr>
      <w:tr w:rsidR="00955676" w:rsidRPr="005F2590">
        <w:tblPrEx>
          <w:tblCellMar>
            <w:top w:w="0" w:type="dxa"/>
            <w:bottom w:w="0" w:type="dxa"/>
          </w:tblCellMar>
        </w:tblPrEx>
        <w:trPr>
          <w:cantSplit/>
        </w:trPr>
        <w:tc>
          <w:tcPr>
            <w:tcW w:w="2918" w:type="dxa"/>
            <w:vMerge/>
            <w:tcBorders>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2000</w:t>
            </w:r>
          </w:p>
        </w:tc>
        <w:tc>
          <w:tcPr>
            <w:tcW w:w="824" w:type="dxa"/>
            <w:tcBorders>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w:t>
            </w:r>
          </w:p>
        </w:tc>
        <w:tc>
          <w:tcPr>
            <w:tcW w:w="721" w:type="dxa"/>
            <w:tcBorders>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w:t>
            </w:r>
          </w:p>
        </w:tc>
        <w:tc>
          <w:tcPr>
            <w:tcW w:w="824" w:type="dxa"/>
            <w:tcBorders>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w:t>
            </w:r>
          </w:p>
        </w:tc>
        <w:tc>
          <w:tcPr>
            <w:tcW w:w="1106" w:type="dxa"/>
            <w:tcBorders>
              <w:bottom w:val="single" w:sz="12" w:space="0" w:color="auto"/>
            </w:tcBorders>
            <w:shd w:val="clear" w:color="auto" w:fill="auto"/>
            <w:vAlign w:val="bottom"/>
          </w:tcPr>
          <w:p w:rsidR="00955676" w:rsidRPr="005F2590"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w:t>
            </w:r>
          </w:p>
        </w:tc>
      </w:tr>
    </w:tbl>
    <w:p w:rsidR="00955676" w:rsidRPr="00B8696E"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البرلمان الماليزي.</w:t>
      </w:r>
    </w:p>
    <w:p w:rsidR="00955676" w:rsidRPr="00B8696E"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35381B">
      <w:pPr>
        <w:pStyle w:val="SingleTxt"/>
        <w:rPr>
          <w:rFonts w:hint="cs"/>
          <w:rtl/>
        </w:rPr>
      </w:pPr>
      <w:r>
        <w:rPr>
          <w:rFonts w:hint="cs"/>
          <w:rtl/>
        </w:rPr>
        <w:t>118 -</w:t>
      </w:r>
      <w:r>
        <w:rPr>
          <w:rFonts w:hint="cs"/>
          <w:rtl/>
        </w:rPr>
        <w:tab/>
        <w:t>في ماليزيا</w:t>
      </w:r>
      <w:r w:rsidR="000867E5">
        <w:rPr>
          <w:rFonts w:hint="cs"/>
          <w:rtl/>
        </w:rPr>
        <w:t>،</w:t>
      </w:r>
      <w:r>
        <w:rPr>
          <w:rFonts w:hint="cs"/>
          <w:rtl/>
        </w:rPr>
        <w:t xml:space="preserve"> </w:t>
      </w:r>
      <w:r w:rsidR="0035381B">
        <w:rPr>
          <w:rFonts w:hint="cs"/>
          <w:rtl/>
        </w:rPr>
        <w:t xml:space="preserve">يرأس إدارة الولايات في شبه الجزيرة </w:t>
      </w:r>
      <w:r>
        <w:rPr>
          <w:rFonts w:hint="cs"/>
          <w:rtl/>
        </w:rPr>
        <w:t xml:space="preserve">كبير الوزراء أو (منتيري بيسار) </w:t>
      </w:r>
      <w:r w:rsidR="000867E5">
        <w:rPr>
          <w:rFonts w:hint="cs"/>
          <w:rtl/>
        </w:rPr>
        <w:t>و</w:t>
      </w:r>
      <w:r>
        <w:rPr>
          <w:rFonts w:hint="cs"/>
          <w:rtl/>
        </w:rPr>
        <w:t>مجلس تنفيذي</w:t>
      </w:r>
      <w:r w:rsidR="0035381B">
        <w:rPr>
          <w:rFonts w:hint="cs"/>
          <w:rtl/>
        </w:rPr>
        <w:t>،</w:t>
      </w:r>
      <w:r>
        <w:rPr>
          <w:rFonts w:hint="cs"/>
          <w:rtl/>
        </w:rPr>
        <w:t xml:space="preserve"> وترأسها في صباح و</w:t>
      </w:r>
      <w:r w:rsidR="0035381B">
        <w:rPr>
          <w:rFonts w:hint="cs"/>
          <w:rtl/>
        </w:rPr>
        <w:t>ساراواك</w:t>
      </w:r>
      <w:r>
        <w:rPr>
          <w:rFonts w:hint="cs"/>
          <w:rtl/>
        </w:rPr>
        <w:t xml:space="preserve"> وزارة خاصة بالولاية. ويوضح الجدول 7-2 نسبة الذكور والإناث الأعضاء في المجلس التنفيذي، والنواب في </w:t>
      </w:r>
      <w:r w:rsidR="0035381B">
        <w:rPr>
          <w:rFonts w:hint="cs"/>
          <w:rtl/>
        </w:rPr>
        <w:t>ال</w:t>
      </w:r>
      <w:r>
        <w:rPr>
          <w:rFonts w:hint="cs"/>
          <w:rtl/>
        </w:rPr>
        <w:t>جمعيات التابعة للولايات، في عام 2000.</w:t>
      </w:r>
    </w:p>
    <w:p w:rsidR="00955676" w:rsidRPr="00B8696E"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7-2: أعضاء المجلس التنفيذي والجمعيات التابعة للولايات، بحسب نوع الجنس، عام 2000</w:t>
      </w:r>
    </w:p>
    <w:p w:rsidR="00955676" w:rsidRPr="00B8696E"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39"/>
        <w:gridCol w:w="824"/>
        <w:gridCol w:w="927"/>
        <w:gridCol w:w="824"/>
        <w:gridCol w:w="1106"/>
      </w:tblGrid>
      <w:tr w:rsidR="00955676" w:rsidRPr="00B8696E">
        <w:tblPrEx>
          <w:tblCellMar>
            <w:top w:w="0" w:type="dxa"/>
            <w:bottom w:w="0" w:type="dxa"/>
          </w:tblCellMar>
        </w:tblPrEx>
        <w:trPr>
          <w:cantSplit/>
          <w:tblHeader/>
        </w:trPr>
        <w:tc>
          <w:tcPr>
            <w:tcW w:w="3639" w:type="dxa"/>
            <w:vMerge w:val="restart"/>
            <w:tcBorders>
              <w:top w:val="single" w:sz="4"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80" w:after="80" w:line="240" w:lineRule="exact"/>
              <w:ind w:left="113" w:right="170"/>
              <w:rPr>
                <w:rFonts w:hint="cs"/>
                <w:i/>
                <w:iCs/>
                <w:sz w:val="16"/>
                <w:szCs w:val="24"/>
                <w:rtl/>
              </w:rPr>
            </w:pPr>
            <w:r w:rsidRPr="00B8696E">
              <w:rPr>
                <w:rFonts w:hint="cs"/>
                <w:i/>
                <w:iCs/>
                <w:sz w:val="16"/>
                <w:szCs w:val="24"/>
                <w:rtl/>
              </w:rPr>
              <w:t>الهيئات التابعة للولاية</w:t>
            </w:r>
          </w:p>
        </w:tc>
        <w:tc>
          <w:tcPr>
            <w:tcW w:w="3681" w:type="dxa"/>
            <w:gridSpan w:val="4"/>
            <w:tcBorders>
              <w:top w:val="single" w:sz="4" w:space="0" w:color="auto"/>
              <w:bottom w:val="single" w:sz="4"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80" w:after="80" w:line="240" w:lineRule="exact"/>
              <w:ind w:left="113" w:right="144"/>
              <w:jc w:val="center"/>
              <w:rPr>
                <w:rFonts w:hint="cs"/>
                <w:i/>
                <w:iCs/>
                <w:sz w:val="16"/>
                <w:szCs w:val="24"/>
                <w:rtl/>
              </w:rPr>
            </w:pPr>
            <w:r w:rsidRPr="00B8696E">
              <w:rPr>
                <w:rFonts w:hint="cs"/>
                <w:i/>
                <w:iCs/>
                <w:sz w:val="16"/>
                <w:szCs w:val="24"/>
                <w:rtl/>
              </w:rPr>
              <w:t>2000</w:t>
            </w:r>
          </w:p>
        </w:tc>
      </w:tr>
      <w:tr w:rsidR="00955676" w:rsidRPr="00B8696E">
        <w:tblPrEx>
          <w:tblCellMar>
            <w:top w:w="0" w:type="dxa"/>
            <w:bottom w:w="0" w:type="dxa"/>
          </w:tblCellMar>
        </w:tblPrEx>
        <w:trPr>
          <w:cantSplit/>
          <w:tblHeader/>
        </w:trPr>
        <w:tc>
          <w:tcPr>
            <w:tcW w:w="3639" w:type="dxa"/>
            <w:vMerge/>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after="80" w:line="240" w:lineRule="exact"/>
              <w:ind w:left="113" w:right="170"/>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after="80" w:line="240" w:lineRule="exact"/>
              <w:ind w:left="113" w:right="144"/>
              <w:jc w:val="lowKashida"/>
              <w:rPr>
                <w:rFonts w:hint="cs"/>
                <w:i/>
                <w:iCs/>
                <w:sz w:val="16"/>
                <w:szCs w:val="24"/>
                <w:rtl/>
              </w:rPr>
            </w:pPr>
            <w:r w:rsidRPr="00B8696E">
              <w:rPr>
                <w:rFonts w:hint="cs"/>
                <w:i/>
                <w:iCs/>
                <w:sz w:val="16"/>
                <w:szCs w:val="24"/>
                <w:rtl/>
              </w:rPr>
              <w:t>الذكور</w:t>
            </w:r>
          </w:p>
        </w:tc>
        <w:tc>
          <w:tcPr>
            <w:tcW w:w="927" w:type="dxa"/>
            <w:tcBorders>
              <w:top w:val="single" w:sz="4" w:space="0" w:color="auto"/>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after="80" w:line="240" w:lineRule="exact"/>
              <w:ind w:left="113" w:right="144"/>
              <w:jc w:val="lowKashida"/>
              <w:rPr>
                <w:rFonts w:hint="cs"/>
                <w:i/>
                <w:iCs/>
                <w:sz w:val="16"/>
                <w:szCs w:val="24"/>
                <w:rtl/>
              </w:rPr>
            </w:pPr>
            <w:r w:rsidRPr="00B8696E">
              <w:rPr>
                <w:rFonts w:hint="cs"/>
                <w:i/>
                <w:iCs/>
                <w:sz w:val="16"/>
                <w:szCs w:val="24"/>
                <w:rtl/>
              </w:rPr>
              <w:t>الإناث</w:t>
            </w:r>
          </w:p>
        </w:tc>
        <w:tc>
          <w:tcPr>
            <w:tcW w:w="824" w:type="dxa"/>
            <w:tcBorders>
              <w:top w:val="single" w:sz="4" w:space="0" w:color="auto"/>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after="80" w:line="240" w:lineRule="exact"/>
              <w:ind w:left="113" w:right="144"/>
              <w:jc w:val="lowKashida"/>
              <w:rPr>
                <w:rFonts w:hint="cs"/>
                <w:i/>
                <w:iCs/>
                <w:sz w:val="16"/>
                <w:szCs w:val="24"/>
                <w:rtl/>
              </w:rPr>
            </w:pPr>
            <w:r w:rsidRPr="00B8696E">
              <w:rPr>
                <w:rFonts w:hint="cs"/>
                <w:i/>
                <w:iCs/>
                <w:sz w:val="16"/>
                <w:szCs w:val="24"/>
                <w:rtl/>
              </w:rPr>
              <w:t>المجموع</w:t>
            </w:r>
          </w:p>
        </w:tc>
        <w:tc>
          <w:tcPr>
            <w:tcW w:w="1106" w:type="dxa"/>
            <w:tcBorders>
              <w:top w:val="single" w:sz="4" w:space="0" w:color="auto"/>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after="80" w:line="240" w:lineRule="exact"/>
              <w:ind w:left="113" w:right="144"/>
              <w:jc w:val="lowKashida"/>
              <w:rPr>
                <w:rFonts w:hint="cs"/>
                <w:i/>
                <w:iCs/>
                <w:sz w:val="16"/>
                <w:szCs w:val="24"/>
                <w:rtl/>
              </w:rPr>
            </w:pPr>
            <w:r w:rsidRPr="00B8696E">
              <w:rPr>
                <w:rFonts w:hint="cs"/>
                <w:i/>
                <w:iCs/>
                <w:sz w:val="16"/>
                <w:szCs w:val="24"/>
                <w:rtl/>
              </w:rPr>
              <w:t>النسبة المئوية للمرأة</w:t>
            </w:r>
          </w:p>
        </w:tc>
      </w:tr>
      <w:tr w:rsidR="00955676" w:rsidRPr="00B8696E">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p>
        </w:tc>
        <w:tc>
          <w:tcPr>
            <w:tcW w:w="824" w:type="dxa"/>
            <w:tcBorders>
              <w:top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927" w:type="dxa"/>
            <w:tcBorders>
              <w:top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824" w:type="dxa"/>
            <w:tcBorders>
              <w:top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1106" w:type="dxa"/>
            <w:tcBorders>
              <w:top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r>
      <w:tr w:rsidR="00955676" w:rsidRPr="00B8696E">
        <w:tblPrEx>
          <w:tblCellMar>
            <w:top w:w="0" w:type="dxa"/>
            <w:bottom w:w="0" w:type="dxa"/>
          </w:tblCellMar>
        </w:tblPrEx>
        <w:trPr>
          <w:cantSplit/>
        </w:trPr>
        <w:tc>
          <w:tcPr>
            <w:tcW w:w="3639" w:type="dxa"/>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المجلس التنفيذي</w:t>
            </w:r>
          </w:p>
        </w:tc>
        <w:tc>
          <w:tcPr>
            <w:tcW w:w="824" w:type="dxa"/>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73</w:t>
            </w:r>
          </w:p>
        </w:tc>
        <w:tc>
          <w:tcPr>
            <w:tcW w:w="927" w:type="dxa"/>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7</w:t>
            </w:r>
          </w:p>
        </w:tc>
        <w:tc>
          <w:tcPr>
            <w:tcW w:w="824" w:type="dxa"/>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80</w:t>
            </w:r>
          </w:p>
        </w:tc>
        <w:tc>
          <w:tcPr>
            <w:tcW w:w="1106" w:type="dxa"/>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8.8</w:t>
            </w:r>
          </w:p>
        </w:tc>
      </w:tr>
      <w:tr w:rsidR="00955676" w:rsidRPr="00B8696E">
        <w:tblPrEx>
          <w:tblCellMar>
            <w:top w:w="0" w:type="dxa"/>
            <w:bottom w:w="0" w:type="dxa"/>
          </w:tblCellMar>
        </w:tblPrEx>
        <w:trPr>
          <w:cantSplit/>
        </w:trPr>
        <w:tc>
          <w:tcPr>
            <w:tcW w:w="3639" w:type="dxa"/>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جمعيية الولاية</w:t>
            </w:r>
          </w:p>
        </w:tc>
        <w:tc>
          <w:tcPr>
            <w:tcW w:w="824" w:type="dxa"/>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476</w:t>
            </w:r>
          </w:p>
        </w:tc>
        <w:tc>
          <w:tcPr>
            <w:tcW w:w="927" w:type="dxa"/>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504</w:t>
            </w:r>
          </w:p>
        </w:tc>
        <w:tc>
          <w:tcPr>
            <w:tcW w:w="1106" w:type="dxa"/>
            <w:tcBorders>
              <w:bottom w:val="single" w:sz="12" w:space="0" w:color="auto"/>
            </w:tcBorders>
            <w:shd w:val="clear" w:color="auto" w:fill="auto"/>
            <w:vAlign w:val="bottom"/>
          </w:tcPr>
          <w:p w:rsidR="00955676" w:rsidRPr="00B8696E"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5.5</w:t>
            </w:r>
          </w:p>
        </w:tc>
      </w:tr>
    </w:tbl>
    <w:p w:rsidR="00955676" w:rsidRPr="00435AC8" w:rsidRDefault="00955676" w:rsidP="00955676">
      <w:pPr>
        <w:pStyle w:val="SingleTxt"/>
        <w:spacing w:after="0" w:line="120" w:lineRule="exact"/>
        <w:rPr>
          <w:rFonts w:hint="cs"/>
          <w:sz w:val="10"/>
          <w:rtl/>
        </w:rPr>
      </w:pP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الأحزاب السياسية</w:t>
      </w:r>
    </w:p>
    <w:p w:rsidR="00955676" w:rsidRDefault="00955676" w:rsidP="0035381B">
      <w:pPr>
        <w:pStyle w:val="SingleTxt"/>
        <w:rPr>
          <w:rFonts w:hint="cs"/>
          <w:rtl/>
        </w:rPr>
      </w:pPr>
      <w:r>
        <w:rPr>
          <w:rFonts w:hint="cs"/>
          <w:rtl/>
        </w:rPr>
        <w:t>119 -</w:t>
      </w:r>
      <w:r>
        <w:rPr>
          <w:rFonts w:hint="cs"/>
          <w:rtl/>
        </w:rPr>
        <w:tab/>
        <w:t>يعتبر انخفاض تمثيل المرأة في البرلمان وجمعيات الولايات مؤشرا على قلة عدد النساء المنتخبات لعضوية الهيئات الرفيعة المستوى في مختلف الأحزاب السياسية. ولكن من المتوقع أن يتغير هذا الاتجاه على مدى السنوات القادمة نتيجة سعي جميع الأحزاب السياسية الآن وراء انضمام أعداد أكبر من النساء إلى عضويتها. ويوضح الجدول 7-3 عدد الرجال والنساء المنتخبين لعضوية المجلس الأدنى في عام 2000 ويبين انتما</w:t>
      </w:r>
      <w:r w:rsidR="0035381B">
        <w:rPr>
          <w:rFonts w:hint="cs"/>
          <w:rtl/>
        </w:rPr>
        <w:t>ء</w:t>
      </w:r>
      <w:r>
        <w:rPr>
          <w:rFonts w:hint="cs"/>
          <w:rtl/>
        </w:rPr>
        <w:t>هم السياسي في حين يشير الجدول 7-4 إلى الأحزاب الرئيسية الأربعة المكونة لائتلاف الجبهة الوطنية الحاكم ويبين عدد العضوات المنتخبات أو المعينات لشغل مناصب مثل منصب الأمين السياسي، بعد الانتخابات العامة التي جرت في عام 1995.</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7-3: أعضاء البرلمان بحسب نوع الجنس والأحزاب السياسية في عام 2000</w:t>
      </w:r>
    </w:p>
    <w:p w:rsidR="00955676" w:rsidRPr="00CB3AD8" w:rsidRDefault="00955676" w:rsidP="0095567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948"/>
        <w:gridCol w:w="1648"/>
        <w:gridCol w:w="824"/>
        <w:gridCol w:w="900"/>
      </w:tblGrid>
      <w:tr w:rsidR="00955676" w:rsidRPr="00CB3AD8">
        <w:tblPrEx>
          <w:tblCellMar>
            <w:top w:w="0" w:type="dxa"/>
            <w:bottom w:w="0" w:type="dxa"/>
          </w:tblCellMar>
        </w:tblPrEx>
        <w:trPr>
          <w:cantSplit/>
          <w:tblHeader/>
        </w:trPr>
        <w:tc>
          <w:tcPr>
            <w:tcW w:w="3948" w:type="dxa"/>
            <w:tcBorders>
              <w:top w:val="single" w:sz="4" w:space="0" w:color="auto"/>
              <w:bottom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70"/>
              <w:rPr>
                <w:rFonts w:hint="cs"/>
                <w:i/>
                <w:iCs/>
                <w:sz w:val="16"/>
                <w:szCs w:val="24"/>
                <w:rtl/>
              </w:rPr>
            </w:pPr>
          </w:p>
        </w:tc>
        <w:tc>
          <w:tcPr>
            <w:tcW w:w="1648" w:type="dxa"/>
            <w:tcBorders>
              <w:top w:val="single" w:sz="4" w:space="0" w:color="auto"/>
              <w:bottom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i/>
                <w:iCs/>
                <w:sz w:val="16"/>
                <w:szCs w:val="24"/>
                <w:rtl/>
              </w:rPr>
            </w:pPr>
            <w:r w:rsidRPr="00CB3AD8">
              <w:rPr>
                <w:rFonts w:hint="cs"/>
                <w:i/>
                <w:iCs/>
                <w:sz w:val="16"/>
                <w:szCs w:val="24"/>
                <w:rtl/>
              </w:rPr>
              <w:t>أعضاء المجلس الأدنى</w:t>
            </w:r>
          </w:p>
        </w:tc>
        <w:tc>
          <w:tcPr>
            <w:tcW w:w="824" w:type="dxa"/>
            <w:tcBorders>
              <w:top w:val="single" w:sz="4" w:space="0" w:color="auto"/>
              <w:bottom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i/>
                <w:iCs/>
                <w:sz w:val="16"/>
                <w:szCs w:val="24"/>
                <w:rtl/>
              </w:rPr>
            </w:pPr>
            <w:r w:rsidRPr="00CB3AD8">
              <w:rPr>
                <w:rFonts w:hint="cs"/>
                <w:i/>
                <w:iCs/>
                <w:sz w:val="16"/>
                <w:szCs w:val="24"/>
                <w:rtl/>
              </w:rPr>
              <w:t>الذكور</w:t>
            </w:r>
          </w:p>
        </w:tc>
        <w:tc>
          <w:tcPr>
            <w:tcW w:w="900" w:type="dxa"/>
            <w:tcBorders>
              <w:top w:val="single" w:sz="4" w:space="0" w:color="auto"/>
              <w:bottom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i/>
                <w:iCs/>
                <w:sz w:val="16"/>
                <w:szCs w:val="24"/>
                <w:rtl/>
              </w:rPr>
            </w:pPr>
            <w:r w:rsidRPr="00CB3AD8">
              <w:rPr>
                <w:rFonts w:hint="cs"/>
                <w:i/>
                <w:iCs/>
                <w:sz w:val="16"/>
                <w:szCs w:val="24"/>
                <w:rtl/>
              </w:rPr>
              <w:t>الإناث</w:t>
            </w:r>
          </w:p>
        </w:tc>
      </w:tr>
      <w:tr w:rsidR="00955676" w:rsidRPr="00CB3AD8">
        <w:tblPrEx>
          <w:tblCellMar>
            <w:top w:w="0" w:type="dxa"/>
            <w:bottom w:w="0" w:type="dxa"/>
          </w:tblCellMar>
        </w:tblPrEx>
        <w:trPr>
          <w:cantSplit/>
          <w:trHeight w:hRule="exact" w:val="115"/>
          <w:tblHeader/>
        </w:trPr>
        <w:tc>
          <w:tcPr>
            <w:tcW w:w="3948" w:type="dxa"/>
            <w:tcBorders>
              <w:top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70"/>
              <w:rPr>
                <w:rFonts w:hint="cs"/>
                <w:sz w:val="16"/>
                <w:szCs w:val="24"/>
                <w:rtl/>
              </w:rPr>
            </w:pPr>
          </w:p>
        </w:tc>
        <w:tc>
          <w:tcPr>
            <w:tcW w:w="1648" w:type="dxa"/>
            <w:tcBorders>
              <w:top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824" w:type="dxa"/>
            <w:tcBorders>
              <w:top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900" w:type="dxa"/>
            <w:tcBorders>
              <w:top w:val="single" w:sz="12" w:space="0" w:color="auto"/>
            </w:tcBorders>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70"/>
              <w:rPr>
                <w:rFonts w:hint="cs"/>
                <w:sz w:val="16"/>
                <w:szCs w:val="24"/>
                <w:rtl/>
              </w:rPr>
            </w:pPr>
            <w:r w:rsidRPr="00CB3AD8">
              <w:rPr>
                <w:rFonts w:hint="cs"/>
                <w:sz w:val="16"/>
                <w:szCs w:val="24"/>
                <w:rtl/>
              </w:rPr>
              <w:t>الجبهة الوطنية (باريزان ناسيونال)</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المنظمة الوطنية للملايو المتحدة</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72</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63</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9</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رابطة الصينيين الماليزيين</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30</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26</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4</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مؤتمر الهنود الماليزيين</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6</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5</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1</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حزب الحركة الشعبية الماليزية</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5</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5</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 xml:space="preserve">الحزب الوطني </w:t>
            </w:r>
            <w:r w:rsidR="007C4740">
              <w:rPr>
                <w:rFonts w:hint="cs"/>
                <w:sz w:val="16"/>
                <w:szCs w:val="24"/>
                <w:rtl/>
              </w:rPr>
              <w:t>ل</w:t>
            </w:r>
            <w:r>
              <w:rPr>
                <w:rFonts w:hint="cs"/>
                <w:sz w:val="16"/>
                <w:szCs w:val="24"/>
                <w:rtl/>
              </w:rPr>
              <w:t>ساراواك</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4</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4</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حزب بانساداياك لساراواك</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7</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7</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حزب الشعب المتحد لساراواك</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7</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7</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حزب بيساكابومبيوترا (ساراواك)</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10</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8</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2</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الحزب الديمقراطي الليبرالي</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Pr>
            </w:pPr>
            <w:r>
              <w:rPr>
                <w:rFonts w:hint="cs"/>
                <w:sz w:val="16"/>
                <w:szCs w:val="24"/>
                <w:rtl/>
              </w:rPr>
              <w:t>1</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1</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B3AD8"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الحزب التقدمي في صباح</w:t>
            </w:r>
          </w:p>
        </w:tc>
        <w:tc>
          <w:tcPr>
            <w:tcW w:w="1648"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2</w:t>
            </w:r>
          </w:p>
        </w:tc>
        <w:tc>
          <w:tcPr>
            <w:tcW w:w="824"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2</w:t>
            </w:r>
          </w:p>
        </w:tc>
        <w:tc>
          <w:tcPr>
            <w:tcW w:w="900" w:type="dxa"/>
            <w:shd w:val="clear" w:color="auto" w:fill="auto"/>
            <w:vAlign w:val="bottom"/>
          </w:tcPr>
          <w:p w:rsidR="00955676" w:rsidRPr="00CB3AD8"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منظمة باسوك موموغان كادازان دوسون المتحدة</w:t>
            </w:r>
          </w:p>
        </w:tc>
        <w:tc>
          <w:tcPr>
            <w:tcW w:w="1648"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3</w:t>
            </w:r>
          </w:p>
        </w:tc>
        <w:tc>
          <w:tcPr>
            <w:tcW w:w="824"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3</w:t>
            </w:r>
          </w:p>
        </w:tc>
        <w:tc>
          <w:tcPr>
            <w:tcW w:w="900"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الشيوخ</w:t>
            </w:r>
          </w:p>
        </w:tc>
        <w:tc>
          <w:tcPr>
            <w:tcW w:w="1648"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5</w:t>
            </w:r>
          </w:p>
        </w:tc>
        <w:tc>
          <w:tcPr>
            <w:tcW w:w="824"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4</w:t>
            </w:r>
          </w:p>
        </w:tc>
        <w:tc>
          <w:tcPr>
            <w:tcW w:w="900"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1</w:t>
            </w:r>
          </w:p>
        </w:tc>
      </w:tr>
      <w:tr w:rsidR="00955676" w:rsidRPr="00CB3AD8">
        <w:tblPrEx>
          <w:tblCellMar>
            <w:top w:w="0" w:type="dxa"/>
            <w:bottom w:w="0" w:type="dxa"/>
          </w:tblCellMar>
        </w:tblPrEx>
        <w:trPr>
          <w:cantSplit/>
        </w:trPr>
        <w:tc>
          <w:tcPr>
            <w:tcW w:w="39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70"/>
              <w:rPr>
                <w:rFonts w:hint="cs"/>
                <w:b/>
                <w:bCs/>
                <w:sz w:val="16"/>
                <w:szCs w:val="24"/>
              </w:rPr>
            </w:pPr>
            <w:r>
              <w:rPr>
                <w:rFonts w:hint="cs"/>
                <w:b/>
                <w:bCs/>
                <w:sz w:val="16"/>
                <w:szCs w:val="24"/>
                <w:rtl/>
              </w:rPr>
              <w:t>المجموع</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152</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135</w:t>
            </w:r>
          </w:p>
        </w:tc>
        <w:tc>
          <w:tcPr>
            <w:tcW w:w="900"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17</w:t>
            </w:r>
          </w:p>
        </w:tc>
      </w:tr>
      <w:tr w:rsidR="0035381B" w:rsidRPr="00CB3AD8">
        <w:tblPrEx>
          <w:tblCellMar>
            <w:top w:w="0" w:type="dxa"/>
            <w:bottom w:w="0" w:type="dxa"/>
          </w:tblCellMar>
        </w:tblPrEx>
        <w:trPr>
          <w:cantSplit/>
        </w:trPr>
        <w:tc>
          <w:tcPr>
            <w:tcW w:w="3948" w:type="dxa"/>
            <w:shd w:val="clear" w:color="auto" w:fill="auto"/>
            <w:vAlign w:val="bottom"/>
          </w:tcPr>
          <w:p w:rsidR="0035381B"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المعارضة</w:t>
            </w:r>
          </w:p>
        </w:tc>
        <w:tc>
          <w:tcPr>
            <w:tcW w:w="1648" w:type="dxa"/>
            <w:shd w:val="clear" w:color="auto" w:fill="auto"/>
            <w:vAlign w:val="bottom"/>
          </w:tcPr>
          <w:p w:rsidR="0035381B" w:rsidRPr="00CD30DB" w:rsidRDefault="0035381B"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824" w:type="dxa"/>
            <w:shd w:val="clear" w:color="auto" w:fill="auto"/>
            <w:vAlign w:val="bottom"/>
          </w:tcPr>
          <w:p w:rsidR="0035381B" w:rsidRPr="00CD30DB" w:rsidRDefault="0035381B" w:rsidP="00D90777">
            <w:pPr>
              <w:tabs>
                <w:tab w:val="left" w:pos="288"/>
                <w:tab w:val="left" w:pos="576"/>
                <w:tab w:val="left" w:pos="864"/>
                <w:tab w:val="left" w:pos="1152"/>
              </w:tabs>
              <w:spacing w:after="80" w:line="220" w:lineRule="exact"/>
              <w:ind w:left="113" w:right="144"/>
              <w:jc w:val="lowKashida"/>
              <w:rPr>
                <w:rFonts w:hint="cs"/>
                <w:sz w:val="16"/>
                <w:szCs w:val="24"/>
                <w:rtl/>
              </w:rPr>
            </w:pPr>
          </w:p>
        </w:tc>
        <w:tc>
          <w:tcPr>
            <w:tcW w:w="900" w:type="dxa"/>
            <w:shd w:val="clear" w:color="auto" w:fill="auto"/>
            <w:vAlign w:val="bottom"/>
          </w:tcPr>
          <w:p w:rsidR="0035381B" w:rsidRPr="00CD30DB" w:rsidRDefault="0035381B" w:rsidP="00D90777">
            <w:pPr>
              <w:tabs>
                <w:tab w:val="left" w:pos="288"/>
                <w:tab w:val="left" w:pos="576"/>
                <w:tab w:val="left" w:pos="864"/>
                <w:tab w:val="left" w:pos="1152"/>
              </w:tabs>
              <w:spacing w:after="80" w:line="220" w:lineRule="exact"/>
              <w:ind w:left="113" w:right="144"/>
              <w:jc w:val="lowKashida"/>
              <w:rPr>
                <w:rFonts w:hint="cs"/>
                <w:sz w:val="16"/>
                <w:szCs w:val="24"/>
                <w:rtl/>
              </w:rPr>
            </w:pPr>
          </w:p>
        </w:tc>
      </w:tr>
      <w:tr w:rsidR="00955676" w:rsidRPr="00CB3AD8">
        <w:tblPrEx>
          <w:tblCellMar>
            <w:top w:w="0" w:type="dxa"/>
            <w:bottom w:w="0" w:type="dxa"/>
          </w:tblCellMar>
        </w:tblPrEx>
        <w:trPr>
          <w:cantSplit/>
        </w:trPr>
        <w:tc>
          <w:tcPr>
            <w:tcW w:w="3948" w:type="dxa"/>
            <w:shd w:val="clear" w:color="auto" w:fill="auto"/>
            <w:vAlign w:val="bottom"/>
          </w:tcPr>
          <w:p w:rsidR="00955676" w:rsidRPr="00CD30DB"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w:t>
            </w:r>
            <w:r w:rsidR="007C4740">
              <w:rPr>
                <w:rFonts w:hint="cs"/>
                <w:sz w:val="16"/>
                <w:szCs w:val="24"/>
                <w:rtl/>
              </w:rPr>
              <w:t>ز</w:t>
            </w:r>
            <w:r>
              <w:rPr>
                <w:rFonts w:hint="cs"/>
                <w:sz w:val="16"/>
                <w:szCs w:val="24"/>
                <w:rtl/>
              </w:rPr>
              <w:t>ب العمل الديمقراطي</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10</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7</w:t>
            </w:r>
          </w:p>
        </w:tc>
        <w:tc>
          <w:tcPr>
            <w:tcW w:w="900"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3</w:t>
            </w:r>
          </w:p>
        </w:tc>
      </w:tr>
      <w:tr w:rsidR="00955676" w:rsidRPr="00CB3AD8">
        <w:tblPrEx>
          <w:tblCellMar>
            <w:top w:w="0" w:type="dxa"/>
            <w:bottom w:w="0" w:type="dxa"/>
          </w:tblCellMar>
        </w:tblPrEx>
        <w:trPr>
          <w:cantSplit/>
        </w:trPr>
        <w:tc>
          <w:tcPr>
            <w:tcW w:w="3948" w:type="dxa"/>
            <w:shd w:val="clear" w:color="auto" w:fill="auto"/>
            <w:vAlign w:val="bottom"/>
          </w:tcPr>
          <w:p w:rsidR="00955676"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الحزب الإسلامي لعموم ماليزيا</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27</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27</w:t>
            </w:r>
          </w:p>
        </w:tc>
        <w:tc>
          <w:tcPr>
            <w:tcW w:w="900"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Default="0035381B" w:rsidP="00D90777">
            <w:pPr>
              <w:tabs>
                <w:tab w:val="left" w:pos="288"/>
                <w:tab w:val="left" w:pos="576"/>
                <w:tab w:val="left" w:pos="864"/>
                <w:tab w:val="left" w:pos="1152"/>
              </w:tabs>
              <w:spacing w:after="80" w:line="220" w:lineRule="exact"/>
              <w:ind w:left="113" w:right="170"/>
              <w:rPr>
                <w:rFonts w:hint="cs"/>
                <w:sz w:val="16"/>
                <w:szCs w:val="24"/>
              </w:rPr>
            </w:pPr>
            <w:r>
              <w:rPr>
                <w:rFonts w:hint="cs"/>
                <w:sz w:val="16"/>
                <w:szCs w:val="24"/>
                <w:rtl/>
              </w:rPr>
              <w:t>حزب بيرساتو</w:t>
            </w:r>
            <w:r w:rsidR="007C4740">
              <w:rPr>
                <w:rFonts w:hint="cs"/>
                <w:sz w:val="16"/>
                <w:szCs w:val="24"/>
                <w:rtl/>
              </w:rPr>
              <w:t>في</w:t>
            </w:r>
            <w:r>
              <w:rPr>
                <w:rFonts w:hint="cs"/>
                <w:sz w:val="16"/>
                <w:szCs w:val="24"/>
                <w:rtl/>
              </w:rPr>
              <w:t xml:space="preserve"> صباح</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3</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3</w:t>
            </w:r>
          </w:p>
        </w:tc>
        <w:tc>
          <w:tcPr>
            <w:tcW w:w="900"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صفر</w:t>
            </w:r>
          </w:p>
        </w:tc>
      </w:tr>
      <w:tr w:rsidR="00955676" w:rsidRPr="00CB3AD8">
        <w:tblPrEx>
          <w:tblCellMar>
            <w:top w:w="0" w:type="dxa"/>
            <w:bottom w:w="0" w:type="dxa"/>
          </w:tblCellMar>
        </w:tblPrEx>
        <w:trPr>
          <w:cantSplit/>
        </w:trPr>
        <w:tc>
          <w:tcPr>
            <w:tcW w:w="3948" w:type="dxa"/>
            <w:shd w:val="clear" w:color="auto" w:fill="auto"/>
            <w:vAlign w:val="bottom"/>
          </w:tcPr>
          <w:p w:rsidR="00955676" w:rsidRPr="00CD30DB" w:rsidRDefault="0035381B" w:rsidP="00D90777">
            <w:pPr>
              <w:tabs>
                <w:tab w:val="left" w:pos="288"/>
                <w:tab w:val="left" w:pos="576"/>
                <w:tab w:val="left" w:pos="864"/>
                <w:tab w:val="left" w:pos="1152"/>
              </w:tabs>
              <w:spacing w:after="80" w:line="220" w:lineRule="exact"/>
              <w:ind w:left="113" w:right="170"/>
              <w:rPr>
                <w:rFonts w:hint="cs"/>
                <w:b/>
                <w:bCs/>
                <w:i/>
                <w:iCs/>
                <w:sz w:val="16"/>
                <w:szCs w:val="24"/>
              </w:rPr>
            </w:pPr>
            <w:r>
              <w:rPr>
                <w:rFonts w:hint="cs"/>
                <w:b/>
                <w:bCs/>
                <w:i/>
                <w:iCs/>
                <w:sz w:val="16"/>
                <w:szCs w:val="24"/>
                <w:rtl/>
              </w:rPr>
              <w:t>حزب كيديلان الوطني</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Pr>
                <w:rFonts w:hint="cs"/>
                <w:sz w:val="16"/>
                <w:szCs w:val="24"/>
                <w:rtl/>
              </w:rPr>
              <w:t>5</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4</w:t>
            </w:r>
          </w:p>
        </w:tc>
        <w:tc>
          <w:tcPr>
            <w:tcW w:w="900"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sz w:val="16"/>
                <w:szCs w:val="24"/>
                <w:rtl/>
              </w:rPr>
            </w:pPr>
            <w:r w:rsidRPr="00CD30DB">
              <w:rPr>
                <w:rFonts w:hint="cs"/>
                <w:sz w:val="16"/>
                <w:szCs w:val="24"/>
                <w:rtl/>
              </w:rPr>
              <w:t>1</w:t>
            </w:r>
          </w:p>
        </w:tc>
      </w:tr>
      <w:tr w:rsidR="00955676" w:rsidRPr="00CB3AD8">
        <w:tblPrEx>
          <w:tblCellMar>
            <w:top w:w="0" w:type="dxa"/>
            <w:bottom w:w="0" w:type="dxa"/>
          </w:tblCellMar>
        </w:tblPrEx>
        <w:trPr>
          <w:cantSplit/>
        </w:trPr>
        <w:tc>
          <w:tcPr>
            <w:tcW w:w="39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70"/>
              <w:rPr>
                <w:rFonts w:hint="cs"/>
                <w:b/>
                <w:bCs/>
                <w:sz w:val="16"/>
                <w:szCs w:val="24"/>
              </w:rPr>
            </w:pPr>
            <w:r>
              <w:rPr>
                <w:rFonts w:hint="cs"/>
                <w:b/>
                <w:bCs/>
                <w:sz w:val="16"/>
                <w:szCs w:val="24"/>
                <w:rtl/>
              </w:rPr>
              <w:t>المجموع</w:t>
            </w:r>
          </w:p>
        </w:tc>
        <w:tc>
          <w:tcPr>
            <w:tcW w:w="1648"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45</w:t>
            </w:r>
          </w:p>
        </w:tc>
        <w:tc>
          <w:tcPr>
            <w:tcW w:w="824" w:type="dxa"/>
            <w:shd w:val="clear" w:color="auto" w:fill="auto"/>
            <w:vAlign w:val="bottom"/>
          </w:tcPr>
          <w:p w:rsidR="00955676" w:rsidRPr="00CD30DB"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41</w:t>
            </w:r>
          </w:p>
        </w:tc>
        <w:tc>
          <w:tcPr>
            <w:tcW w:w="900" w:type="dxa"/>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4</w:t>
            </w:r>
          </w:p>
        </w:tc>
      </w:tr>
      <w:tr w:rsidR="00955676" w:rsidRPr="00CB3AD8">
        <w:tblPrEx>
          <w:tblCellMar>
            <w:top w:w="0" w:type="dxa"/>
            <w:bottom w:w="0" w:type="dxa"/>
          </w:tblCellMar>
        </w:tblPrEx>
        <w:trPr>
          <w:cantSplit/>
        </w:trPr>
        <w:tc>
          <w:tcPr>
            <w:tcW w:w="3948" w:type="dxa"/>
            <w:tcBorders>
              <w:bottom w:val="single" w:sz="12" w:space="0" w:color="auto"/>
            </w:tcBorders>
            <w:shd w:val="clear" w:color="auto" w:fill="auto"/>
            <w:vAlign w:val="bottom"/>
          </w:tcPr>
          <w:p w:rsidR="00955676" w:rsidRPr="00CD30DB" w:rsidRDefault="0035381B" w:rsidP="00D90777">
            <w:pPr>
              <w:tabs>
                <w:tab w:val="left" w:pos="288"/>
                <w:tab w:val="left" w:pos="576"/>
                <w:tab w:val="left" w:pos="864"/>
                <w:tab w:val="left" w:pos="1152"/>
              </w:tabs>
              <w:spacing w:after="80" w:line="220" w:lineRule="exact"/>
              <w:ind w:left="113" w:right="170"/>
              <w:rPr>
                <w:rFonts w:hint="cs"/>
                <w:b/>
                <w:bCs/>
                <w:sz w:val="16"/>
                <w:szCs w:val="24"/>
                <w:rtl/>
              </w:rPr>
            </w:pPr>
            <w:r>
              <w:rPr>
                <w:rFonts w:hint="cs"/>
                <w:b/>
                <w:bCs/>
                <w:sz w:val="16"/>
                <w:szCs w:val="24"/>
                <w:rtl/>
              </w:rPr>
              <w:t>المجموع الإجمالي</w:t>
            </w:r>
          </w:p>
        </w:tc>
        <w:tc>
          <w:tcPr>
            <w:tcW w:w="1648" w:type="dxa"/>
            <w:tcBorders>
              <w:bottom w:val="single" w:sz="12" w:space="0" w:color="auto"/>
            </w:tcBorders>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197</w:t>
            </w:r>
          </w:p>
        </w:tc>
        <w:tc>
          <w:tcPr>
            <w:tcW w:w="824" w:type="dxa"/>
            <w:tcBorders>
              <w:bottom w:val="single" w:sz="12" w:space="0" w:color="auto"/>
            </w:tcBorders>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176</w:t>
            </w:r>
          </w:p>
        </w:tc>
        <w:tc>
          <w:tcPr>
            <w:tcW w:w="900" w:type="dxa"/>
            <w:tcBorders>
              <w:bottom w:val="single" w:sz="12" w:space="0" w:color="auto"/>
            </w:tcBorders>
            <w:shd w:val="clear" w:color="auto" w:fill="auto"/>
            <w:vAlign w:val="bottom"/>
          </w:tcPr>
          <w:p w:rsidR="00955676" w:rsidRDefault="00955676" w:rsidP="00D90777">
            <w:pPr>
              <w:tabs>
                <w:tab w:val="left" w:pos="288"/>
                <w:tab w:val="left" w:pos="576"/>
                <w:tab w:val="left" w:pos="864"/>
                <w:tab w:val="left" w:pos="1152"/>
              </w:tabs>
              <w:spacing w:after="80" w:line="220" w:lineRule="exact"/>
              <w:ind w:left="113" w:right="144"/>
              <w:jc w:val="lowKashida"/>
              <w:rPr>
                <w:rFonts w:hint="cs"/>
                <w:b/>
                <w:bCs/>
                <w:sz w:val="16"/>
                <w:szCs w:val="24"/>
                <w:rtl/>
              </w:rPr>
            </w:pPr>
            <w:r>
              <w:rPr>
                <w:rFonts w:hint="cs"/>
                <w:b/>
                <w:bCs/>
                <w:sz w:val="16"/>
                <w:szCs w:val="24"/>
                <w:rtl/>
              </w:rPr>
              <w:t>21</w:t>
            </w:r>
          </w:p>
        </w:tc>
      </w:tr>
    </w:tbl>
    <w:p w:rsidR="00955676" w:rsidRPr="00CB3AD8"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برلمان ماليزيا.</w:t>
      </w:r>
    </w:p>
    <w:p w:rsidR="00955676" w:rsidRDefault="00955676" w:rsidP="00F504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7-4: الأحزاب السياسية الرئيسية في ائتلاف الجبهة الوطنية وبعض الحقائب السياسية التي </w:t>
      </w:r>
      <w:r w:rsidR="00F50427">
        <w:rPr>
          <w:rFonts w:hint="cs"/>
          <w:rtl/>
        </w:rPr>
        <w:t xml:space="preserve">شغلتها </w:t>
      </w:r>
      <w:r>
        <w:rPr>
          <w:rFonts w:hint="cs"/>
          <w:rtl/>
        </w:rPr>
        <w:t xml:space="preserve">المرأة </w:t>
      </w:r>
      <w:r w:rsidR="00F50427">
        <w:rPr>
          <w:rFonts w:hint="cs"/>
          <w:rtl/>
        </w:rPr>
        <w:t xml:space="preserve">في عامي </w:t>
      </w:r>
      <w:r>
        <w:rPr>
          <w:rFonts w:hint="cs"/>
          <w:rtl/>
        </w:rPr>
        <w:t>1996/1997</w:t>
      </w:r>
    </w:p>
    <w:p w:rsidR="00955676" w:rsidRPr="006762E1"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339"/>
        <w:gridCol w:w="1133"/>
        <w:gridCol w:w="1133"/>
        <w:gridCol w:w="1106"/>
      </w:tblGrid>
      <w:tr w:rsidR="00955676" w:rsidRPr="006762E1">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955676" w:rsidRPr="006762E1" w:rsidRDefault="00955676" w:rsidP="00F50427">
            <w:pPr>
              <w:tabs>
                <w:tab w:val="left" w:pos="288"/>
                <w:tab w:val="left" w:pos="576"/>
                <w:tab w:val="left" w:pos="864"/>
                <w:tab w:val="left" w:pos="1152"/>
              </w:tabs>
              <w:spacing w:before="80" w:after="80" w:line="240" w:lineRule="exact"/>
              <w:ind w:left="113" w:right="170"/>
              <w:jc w:val="center"/>
              <w:rPr>
                <w:rFonts w:hint="cs"/>
                <w:i/>
                <w:iCs/>
                <w:sz w:val="16"/>
                <w:szCs w:val="24"/>
                <w:rtl/>
              </w:rPr>
            </w:pPr>
            <w:r w:rsidRPr="006762E1">
              <w:rPr>
                <w:rFonts w:hint="cs"/>
                <w:i/>
                <w:iCs/>
                <w:sz w:val="16"/>
                <w:szCs w:val="24"/>
                <w:rtl/>
              </w:rPr>
              <w:t>الحزب السياسي</w:t>
            </w:r>
          </w:p>
        </w:tc>
        <w:tc>
          <w:tcPr>
            <w:tcW w:w="1339" w:type="dxa"/>
            <w:tcBorders>
              <w:top w:val="single" w:sz="4" w:space="0" w:color="auto"/>
              <w:bottom w:val="single" w:sz="12" w:space="0" w:color="auto"/>
            </w:tcBorders>
            <w:shd w:val="clear" w:color="auto" w:fill="auto"/>
            <w:vAlign w:val="bottom"/>
          </w:tcPr>
          <w:p w:rsidR="00955676" w:rsidRPr="006762E1" w:rsidRDefault="00F50427" w:rsidP="00C43389">
            <w:pPr>
              <w:tabs>
                <w:tab w:val="left" w:pos="288"/>
                <w:tab w:val="left" w:pos="576"/>
                <w:tab w:val="left" w:pos="864"/>
                <w:tab w:val="left" w:pos="1152"/>
              </w:tabs>
              <w:spacing w:before="80" w:after="80" w:line="240" w:lineRule="exact"/>
              <w:ind w:left="113" w:right="144"/>
              <w:jc w:val="lowKashida"/>
              <w:rPr>
                <w:rFonts w:hint="cs"/>
                <w:i/>
                <w:iCs/>
                <w:sz w:val="16"/>
                <w:szCs w:val="24"/>
              </w:rPr>
            </w:pPr>
            <w:r>
              <w:rPr>
                <w:rFonts w:hint="cs"/>
                <w:i/>
                <w:iCs/>
                <w:sz w:val="16"/>
                <w:szCs w:val="24"/>
                <w:rtl/>
              </w:rPr>
              <w:t>المنظمة الوطنية للملايو المتحدة</w:t>
            </w:r>
          </w:p>
        </w:tc>
        <w:tc>
          <w:tcPr>
            <w:tcW w:w="1133" w:type="dxa"/>
            <w:tcBorders>
              <w:top w:val="single" w:sz="4" w:space="0" w:color="auto"/>
              <w:bottom w:val="single" w:sz="12" w:space="0" w:color="auto"/>
            </w:tcBorders>
            <w:shd w:val="clear" w:color="auto" w:fill="auto"/>
            <w:vAlign w:val="bottom"/>
          </w:tcPr>
          <w:p w:rsidR="00955676" w:rsidRPr="006762E1" w:rsidRDefault="00F50427" w:rsidP="00C43389">
            <w:pPr>
              <w:tabs>
                <w:tab w:val="left" w:pos="288"/>
                <w:tab w:val="left" w:pos="576"/>
                <w:tab w:val="left" w:pos="864"/>
                <w:tab w:val="left" w:pos="1152"/>
              </w:tabs>
              <w:spacing w:before="80" w:after="80" w:line="240" w:lineRule="exact"/>
              <w:ind w:left="113" w:right="144"/>
              <w:jc w:val="lowKashida"/>
              <w:rPr>
                <w:rFonts w:hint="cs"/>
                <w:i/>
                <w:iCs/>
                <w:sz w:val="16"/>
                <w:szCs w:val="24"/>
                <w:rtl/>
              </w:rPr>
            </w:pPr>
            <w:r>
              <w:rPr>
                <w:rFonts w:hint="cs"/>
                <w:i/>
                <w:iCs/>
                <w:sz w:val="16"/>
                <w:szCs w:val="24"/>
                <w:rtl/>
              </w:rPr>
              <w:t>رابطة الصينيين الماليزيين</w:t>
            </w:r>
          </w:p>
        </w:tc>
        <w:tc>
          <w:tcPr>
            <w:tcW w:w="1133" w:type="dxa"/>
            <w:tcBorders>
              <w:top w:val="single" w:sz="4" w:space="0" w:color="auto"/>
              <w:bottom w:val="single" w:sz="12" w:space="0" w:color="auto"/>
            </w:tcBorders>
            <w:shd w:val="clear" w:color="auto" w:fill="auto"/>
            <w:vAlign w:val="bottom"/>
          </w:tcPr>
          <w:p w:rsidR="00955676" w:rsidRPr="006762E1" w:rsidRDefault="00F77BAB" w:rsidP="00C43389">
            <w:pPr>
              <w:tabs>
                <w:tab w:val="left" w:pos="288"/>
                <w:tab w:val="left" w:pos="576"/>
                <w:tab w:val="left" w:pos="864"/>
                <w:tab w:val="left" w:pos="1152"/>
              </w:tabs>
              <w:spacing w:before="80" w:after="80" w:line="240" w:lineRule="exact"/>
              <w:ind w:left="113" w:right="144"/>
              <w:jc w:val="lowKashida"/>
              <w:rPr>
                <w:rFonts w:hint="cs"/>
                <w:i/>
                <w:iCs/>
                <w:sz w:val="16"/>
                <w:szCs w:val="24"/>
                <w:rtl/>
              </w:rPr>
            </w:pPr>
            <w:r>
              <w:rPr>
                <w:rFonts w:hint="cs"/>
                <w:i/>
                <w:iCs/>
                <w:sz w:val="16"/>
                <w:szCs w:val="24"/>
                <w:rtl/>
              </w:rPr>
              <w:t>مؤتمر</w:t>
            </w:r>
            <w:r w:rsidR="00F50427">
              <w:rPr>
                <w:rFonts w:hint="cs"/>
                <w:i/>
                <w:iCs/>
                <w:sz w:val="16"/>
                <w:szCs w:val="24"/>
                <w:rtl/>
              </w:rPr>
              <w:t xml:space="preserve"> الهنود الماليزيين</w:t>
            </w:r>
          </w:p>
        </w:tc>
        <w:tc>
          <w:tcPr>
            <w:tcW w:w="1106" w:type="dxa"/>
            <w:tcBorders>
              <w:top w:val="single" w:sz="4" w:space="0" w:color="auto"/>
              <w:bottom w:val="single" w:sz="12" w:space="0" w:color="auto"/>
            </w:tcBorders>
            <w:shd w:val="clear" w:color="auto" w:fill="auto"/>
            <w:vAlign w:val="bottom"/>
          </w:tcPr>
          <w:p w:rsidR="00955676" w:rsidRPr="006762E1" w:rsidRDefault="00F50427" w:rsidP="00C43389">
            <w:pPr>
              <w:tabs>
                <w:tab w:val="left" w:pos="288"/>
                <w:tab w:val="left" w:pos="576"/>
                <w:tab w:val="left" w:pos="864"/>
                <w:tab w:val="left" w:pos="1152"/>
              </w:tabs>
              <w:spacing w:before="80" w:after="80" w:line="240" w:lineRule="exact"/>
              <w:ind w:left="113" w:right="144"/>
              <w:jc w:val="lowKashida"/>
              <w:rPr>
                <w:rFonts w:hint="cs"/>
                <w:i/>
                <w:iCs/>
                <w:sz w:val="16"/>
                <w:szCs w:val="24"/>
                <w:rtl/>
              </w:rPr>
            </w:pPr>
            <w:r>
              <w:rPr>
                <w:rFonts w:hint="cs"/>
                <w:i/>
                <w:iCs/>
                <w:sz w:val="16"/>
                <w:szCs w:val="24"/>
                <w:rtl/>
              </w:rPr>
              <w:t>حزب جيراكان</w:t>
            </w:r>
          </w:p>
        </w:tc>
      </w:tr>
      <w:tr w:rsidR="00955676" w:rsidRPr="006762E1">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p>
        </w:tc>
        <w:tc>
          <w:tcPr>
            <w:tcW w:w="1339" w:type="dxa"/>
            <w:tcBorders>
              <w:top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c>
          <w:tcPr>
            <w:tcW w:w="1106" w:type="dxa"/>
            <w:tcBorders>
              <w:top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p>
        </w:tc>
      </w:tr>
      <w:tr w:rsidR="00955676" w:rsidRPr="006762E1">
        <w:tblPrEx>
          <w:tblCellMar>
            <w:top w:w="0" w:type="dxa"/>
            <w:bottom w:w="0" w:type="dxa"/>
          </w:tblCellMar>
        </w:tblPrEx>
        <w:trPr>
          <w:cantSplit/>
        </w:trPr>
        <w:tc>
          <w:tcPr>
            <w:tcW w:w="260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مجموع الأعضاء</w:t>
            </w:r>
          </w:p>
        </w:tc>
        <w:tc>
          <w:tcPr>
            <w:tcW w:w="133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000 200 1</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000 220</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000 130</w:t>
            </w:r>
          </w:p>
        </w:tc>
        <w:tc>
          <w:tcPr>
            <w:tcW w:w="1106"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000 50</w:t>
            </w:r>
          </w:p>
        </w:tc>
      </w:tr>
      <w:tr w:rsidR="00955676" w:rsidRPr="006762E1">
        <w:tblPrEx>
          <w:tblCellMar>
            <w:top w:w="0" w:type="dxa"/>
            <w:bottom w:w="0" w:type="dxa"/>
          </w:tblCellMar>
        </w:tblPrEx>
        <w:trPr>
          <w:cantSplit/>
        </w:trPr>
        <w:tc>
          <w:tcPr>
            <w:tcW w:w="260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أعضاء المجالس التنفيذية للولايات</w:t>
            </w:r>
          </w:p>
        </w:tc>
        <w:tc>
          <w:tcPr>
            <w:tcW w:w="133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22</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1</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w:t>
            </w:r>
          </w:p>
        </w:tc>
        <w:tc>
          <w:tcPr>
            <w:tcW w:w="1106"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2</w:t>
            </w:r>
          </w:p>
        </w:tc>
      </w:tr>
      <w:tr w:rsidR="00955676" w:rsidRPr="006762E1">
        <w:tblPrEx>
          <w:tblCellMar>
            <w:top w:w="0" w:type="dxa"/>
            <w:bottom w:w="0" w:type="dxa"/>
          </w:tblCellMar>
        </w:tblPrEx>
        <w:trPr>
          <w:cantSplit/>
        </w:trPr>
        <w:tc>
          <w:tcPr>
            <w:tcW w:w="260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الأمناء السياسيون</w:t>
            </w:r>
          </w:p>
        </w:tc>
        <w:tc>
          <w:tcPr>
            <w:tcW w:w="1339"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1</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w:t>
            </w:r>
          </w:p>
        </w:tc>
        <w:tc>
          <w:tcPr>
            <w:tcW w:w="1133"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w:t>
            </w:r>
          </w:p>
        </w:tc>
        <w:tc>
          <w:tcPr>
            <w:tcW w:w="1106" w:type="dxa"/>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w:t>
            </w:r>
          </w:p>
        </w:tc>
      </w:tr>
      <w:tr w:rsidR="00955676" w:rsidRPr="006762E1">
        <w:tblPrEx>
          <w:tblCellMar>
            <w:top w:w="0" w:type="dxa"/>
            <w:bottom w:w="0" w:type="dxa"/>
          </w:tblCellMar>
        </w:tblPrEx>
        <w:trPr>
          <w:cantSplit/>
        </w:trPr>
        <w:tc>
          <w:tcPr>
            <w:tcW w:w="2609" w:type="dxa"/>
            <w:tcBorders>
              <w:bottom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70"/>
              <w:rPr>
                <w:rFonts w:hint="cs"/>
                <w:sz w:val="16"/>
                <w:szCs w:val="24"/>
                <w:rtl/>
              </w:rPr>
            </w:pPr>
            <w:r>
              <w:rPr>
                <w:rFonts w:hint="cs"/>
                <w:sz w:val="16"/>
                <w:szCs w:val="24"/>
                <w:rtl/>
              </w:rPr>
              <w:t>الشيوخ</w:t>
            </w:r>
          </w:p>
        </w:tc>
        <w:tc>
          <w:tcPr>
            <w:tcW w:w="1339" w:type="dxa"/>
            <w:tcBorders>
              <w:bottom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8</w:t>
            </w:r>
          </w:p>
        </w:tc>
        <w:tc>
          <w:tcPr>
            <w:tcW w:w="1133" w:type="dxa"/>
            <w:tcBorders>
              <w:bottom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1</w:t>
            </w:r>
          </w:p>
        </w:tc>
        <w:tc>
          <w:tcPr>
            <w:tcW w:w="1133" w:type="dxa"/>
            <w:tcBorders>
              <w:bottom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1</w:t>
            </w:r>
          </w:p>
        </w:tc>
        <w:tc>
          <w:tcPr>
            <w:tcW w:w="1106" w:type="dxa"/>
            <w:tcBorders>
              <w:bottom w:val="single" w:sz="12" w:space="0" w:color="auto"/>
            </w:tcBorders>
            <w:shd w:val="clear" w:color="auto" w:fill="auto"/>
            <w:vAlign w:val="bottom"/>
          </w:tcPr>
          <w:p w:rsidR="00955676" w:rsidRPr="006762E1" w:rsidRDefault="00955676" w:rsidP="00C43389">
            <w:pPr>
              <w:tabs>
                <w:tab w:val="left" w:pos="288"/>
                <w:tab w:val="left" w:pos="576"/>
                <w:tab w:val="left" w:pos="864"/>
                <w:tab w:val="left" w:pos="1152"/>
              </w:tabs>
              <w:spacing w:before="40" w:after="80" w:line="240" w:lineRule="exact"/>
              <w:ind w:left="113" w:right="144"/>
              <w:jc w:val="lowKashida"/>
              <w:rPr>
                <w:rFonts w:hint="cs"/>
                <w:sz w:val="16"/>
                <w:szCs w:val="24"/>
                <w:rtl/>
              </w:rPr>
            </w:pPr>
            <w:r>
              <w:rPr>
                <w:rFonts w:hint="cs"/>
                <w:sz w:val="16"/>
                <w:szCs w:val="24"/>
                <w:rtl/>
              </w:rPr>
              <w:t>-</w:t>
            </w:r>
          </w:p>
        </w:tc>
      </w:tr>
    </w:tbl>
    <w:p w:rsidR="00955676" w:rsidRPr="006762E1" w:rsidRDefault="00955676" w:rsidP="00955676">
      <w:pPr>
        <w:pStyle w:val="SingleTxt"/>
        <w:spacing w:after="0" w:line="120" w:lineRule="exact"/>
        <w:rPr>
          <w:rFonts w:hint="cs"/>
          <w:sz w:val="10"/>
          <w:rtl/>
        </w:rPr>
      </w:pPr>
    </w:p>
    <w:p w:rsidR="00955676" w:rsidRDefault="00955676" w:rsidP="00F50427">
      <w:pPr>
        <w:pStyle w:val="SingleTxt"/>
        <w:rPr>
          <w:rFonts w:hint="cs"/>
          <w:rtl/>
        </w:rPr>
      </w:pPr>
      <w:r>
        <w:rPr>
          <w:rFonts w:hint="cs"/>
          <w:rtl/>
        </w:rPr>
        <w:t>120 -</w:t>
      </w:r>
      <w:r>
        <w:rPr>
          <w:rFonts w:hint="cs"/>
          <w:rtl/>
        </w:rPr>
        <w:tab/>
        <w:t>إن عدم وجود بيانات كاملة مصنفة بحسب نوع الجنس ما زال يضعف إلى كبير المحاولات الرامية إلى إجراء تحليلات مفصلة بشأن اشتراك المرأة الماليزية في الساحة السياسية. والأحزاب السياسية بحاجة إلى بيانات مستكملة عن عضواتها كيما تتمكن من وضع صورة أوضح عن وضع المرأة في الحياة السياسية والعامة. ويبدو في هذه اللحظة أن العقبات الرئيسية في طريق زيادة اشتراك المرأة في الساحة السياسية تتمثل في مسؤوليات الأسرة ال</w:t>
      </w:r>
      <w:r w:rsidR="00F50427">
        <w:rPr>
          <w:rFonts w:hint="cs"/>
          <w:rtl/>
        </w:rPr>
        <w:t xml:space="preserve">ملقاة على عاتق </w:t>
      </w:r>
      <w:r>
        <w:rPr>
          <w:rFonts w:hint="cs"/>
          <w:rtl/>
        </w:rPr>
        <w:t>المرأة ومتطلبات العمل المهني و</w:t>
      </w:r>
      <w:r w:rsidR="00F50427">
        <w:rPr>
          <w:rFonts w:hint="cs"/>
          <w:rtl/>
        </w:rPr>
        <w:t xml:space="preserve">المحظورات </w:t>
      </w:r>
      <w:r>
        <w:rPr>
          <w:rFonts w:hint="cs"/>
          <w:rtl/>
        </w:rPr>
        <w:t>الاجتماعية. وعلى الجانب الإيجابي، كثفت الأحزاب السياسية التزامها بزيادة عدد العضوات فيها وتشجيع المرأة على القيام بدور أنشط فيها. وفي الواقع، شرعت بعض الأحزاب السياسية بتطبيق استراتيجيات العمل الإيجابي من أجل المرأة. فعلى سبيل المثال،  خصص حزب</w:t>
      </w:r>
      <w:r w:rsidR="00F50427">
        <w:rPr>
          <w:rFonts w:hint="cs"/>
          <w:rtl/>
        </w:rPr>
        <w:t xml:space="preserve"> مؤتمر الهنود</w:t>
      </w:r>
      <w:r>
        <w:rPr>
          <w:rFonts w:hint="cs"/>
          <w:rtl/>
        </w:rPr>
        <w:t xml:space="preserve"> </w:t>
      </w:r>
      <w:r w:rsidR="00F50427">
        <w:rPr>
          <w:rFonts w:hint="cs"/>
          <w:rtl/>
        </w:rPr>
        <w:t xml:space="preserve">الماليزيين </w:t>
      </w:r>
      <w:r>
        <w:rPr>
          <w:rFonts w:hint="cs"/>
          <w:rtl/>
        </w:rPr>
        <w:t>(عضو في ائتلاف الجبهة الوطنية الحاكم) نسبة 30 في المائة من مناصب أعضاء المجالس البلدية للمرأة وأعلن سنة 2000 كتاريخ مستهدف لبلوغ هذه النسبة. ومن المرجح أن تحذو الأحزاب الأخرى حذوه.</w:t>
      </w:r>
    </w:p>
    <w:p w:rsidR="00955676" w:rsidRPr="00D3436A"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الحياة العامة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الاشتراك في القطاع العام</w:t>
      </w:r>
    </w:p>
    <w:p w:rsidR="00955676" w:rsidRDefault="00955676" w:rsidP="00F50427">
      <w:pPr>
        <w:pStyle w:val="SingleTxt"/>
        <w:rPr>
          <w:rFonts w:hint="cs"/>
          <w:rtl/>
        </w:rPr>
      </w:pPr>
      <w:r>
        <w:rPr>
          <w:rFonts w:hint="cs"/>
          <w:rtl/>
        </w:rPr>
        <w:t>121 -</w:t>
      </w:r>
      <w:r>
        <w:rPr>
          <w:rFonts w:hint="cs"/>
          <w:rtl/>
        </w:rPr>
        <w:tab/>
        <w:t xml:space="preserve">يشير الجدول 7-5 إلى زيادة الاشتراك الكلي للمرأة </w:t>
      </w:r>
      <w:r w:rsidR="00F50427">
        <w:rPr>
          <w:rFonts w:hint="cs"/>
          <w:rtl/>
        </w:rPr>
        <w:t xml:space="preserve">في القطاع العام </w:t>
      </w:r>
      <w:r>
        <w:rPr>
          <w:rFonts w:hint="cs"/>
          <w:rtl/>
        </w:rPr>
        <w:t>بمعدل متوسط من 33 في المائة في عام 1990 إلى 44.7 في المائة في عام 2001</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7-5: عدد الموظفين العاملين في القطاع العام بحسب نوع الجنس والسنة</w:t>
      </w:r>
    </w:p>
    <w:p w:rsidR="00955676" w:rsidRPr="00D3436A"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76"/>
        <w:gridCol w:w="1236"/>
        <w:gridCol w:w="1133"/>
        <w:gridCol w:w="1133"/>
        <w:gridCol w:w="1122"/>
        <w:gridCol w:w="1220"/>
      </w:tblGrid>
      <w:tr w:rsidR="00955676" w:rsidRPr="00D3436A">
        <w:tblPrEx>
          <w:tblCellMar>
            <w:top w:w="0" w:type="dxa"/>
            <w:bottom w:w="0" w:type="dxa"/>
          </w:tblCellMar>
        </w:tblPrEx>
        <w:trPr>
          <w:cantSplit/>
          <w:tblHeader/>
        </w:trPr>
        <w:tc>
          <w:tcPr>
            <w:tcW w:w="1476"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D3436A">
              <w:rPr>
                <w:rFonts w:hint="cs"/>
                <w:i/>
                <w:iCs/>
                <w:sz w:val="16"/>
                <w:szCs w:val="24"/>
                <w:rtl/>
              </w:rPr>
              <w:t>السنة</w:t>
            </w:r>
          </w:p>
        </w:tc>
        <w:tc>
          <w:tcPr>
            <w:tcW w:w="1236"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D3436A">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D3436A">
              <w:rPr>
                <w:rFonts w:hint="cs"/>
                <w:i/>
                <w:iCs/>
                <w:sz w:val="16"/>
                <w:szCs w:val="24"/>
                <w:rtl/>
              </w:rPr>
              <w:t>النسبة المئوية للذكور</w:t>
            </w:r>
          </w:p>
        </w:tc>
        <w:tc>
          <w:tcPr>
            <w:tcW w:w="1133"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D3436A">
              <w:rPr>
                <w:rFonts w:hint="cs"/>
                <w:i/>
                <w:iCs/>
                <w:sz w:val="16"/>
                <w:szCs w:val="24"/>
                <w:rtl/>
              </w:rPr>
              <w:t>الإناث</w:t>
            </w:r>
          </w:p>
        </w:tc>
        <w:tc>
          <w:tcPr>
            <w:tcW w:w="1122"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D3436A">
              <w:rPr>
                <w:rFonts w:hint="cs"/>
                <w:i/>
                <w:iCs/>
                <w:sz w:val="16"/>
                <w:szCs w:val="24"/>
                <w:rtl/>
              </w:rPr>
              <w:t>النسبة المئوية للإناث</w:t>
            </w:r>
          </w:p>
        </w:tc>
        <w:tc>
          <w:tcPr>
            <w:tcW w:w="1220" w:type="dxa"/>
            <w:tcBorders>
              <w:top w:val="single" w:sz="4" w:space="0" w:color="auto"/>
              <w:bottom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D3436A">
              <w:rPr>
                <w:rFonts w:hint="cs"/>
                <w:i/>
                <w:iCs/>
                <w:sz w:val="16"/>
                <w:szCs w:val="24"/>
                <w:rtl/>
              </w:rPr>
              <w:t>المجموع</w:t>
            </w:r>
          </w:p>
        </w:tc>
      </w:tr>
      <w:tr w:rsidR="00955676" w:rsidRPr="00D3436A">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22"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20" w:type="dxa"/>
            <w:tcBorders>
              <w:top w:val="single" w:sz="12" w:space="0" w:color="auto"/>
            </w:tcBorders>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1990</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637 468</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67</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785 229</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33.0</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422 698</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1991</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603 470</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66.4</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415 238</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33.6</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018 709</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1992</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079 449</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65.1</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935 240</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34.9</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014 690</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1993</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535 441</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64.6</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949 241</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35.4</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484 683</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1994</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120 419</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61.9</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274 258</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38.1</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394 677</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1995</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199 410</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61.1</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759 260</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38.9</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958 670</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1996</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631 405</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60.6</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905 263</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39.4</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536 669</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1997</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534 399</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59.95</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905 266</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40.1</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439 666</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1998</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153 395</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59.4</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435 269</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40.6</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588 664</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1999</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344 390</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58.9</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039 272</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41.1</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383 662</w:t>
            </w:r>
          </w:p>
        </w:tc>
      </w:tr>
      <w:tr w:rsidR="00955676" w:rsidRPr="00D3436A">
        <w:tblPrEx>
          <w:tblCellMar>
            <w:top w:w="0" w:type="dxa"/>
            <w:bottom w:w="0" w:type="dxa"/>
          </w:tblCellMar>
        </w:tblPrEx>
        <w:trPr>
          <w:cantSplit/>
        </w:trPr>
        <w:tc>
          <w:tcPr>
            <w:tcW w:w="147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2000</w:t>
            </w:r>
          </w:p>
        </w:tc>
        <w:tc>
          <w:tcPr>
            <w:tcW w:w="1236"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251 393</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58.2</w:t>
            </w:r>
          </w:p>
        </w:tc>
        <w:tc>
          <w:tcPr>
            <w:tcW w:w="1133"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654 282</w:t>
            </w:r>
          </w:p>
        </w:tc>
        <w:tc>
          <w:tcPr>
            <w:tcW w:w="1122"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41.8</w:t>
            </w:r>
          </w:p>
        </w:tc>
        <w:tc>
          <w:tcPr>
            <w:tcW w:w="1220" w:type="dxa"/>
            <w:shd w:val="clear" w:color="auto" w:fill="auto"/>
            <w:vAlign w:val="bottom"/>
          </w:tcPr>
          <w:p w:rsidR="00955676" w:rsidRPr="00D3436A"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905 675</w:t>
            </w:r>
          </w:p>
        </w:tc>
      </w:tr>
      <w:tr w:rsidR="00955676" w:rsidRPr="00D3436A">
        <w:tblPrEx>
          <w:tblCellMar>
            <w:top w:w="0" w:type="dxa"/>
            <w:bottom w:w="0" w:type="dxa"/>
          </w:tblCellMar>
        </w:tblPrEx>
        <w:trPr>
          <w:cantSplit/>
        </w:trPr>
        <w:tc>
          <w:tcPr>
            <w:tcW w:w="1476"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2001</w:t>
            </w:r>
          </w:p>
        </w:tc>
        <w:tc>
          <w:tcPr>
            <w:tcW w:w="1236"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783 397</w:t>
            </w:r>
          </w:p>
        </w:tc>
        <w:tc>
          <w:tcPr>
            <w:tcW w:w="1133"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55.3</w:t>
            </w:r>
          </w:p>
        </w:tc>
        <w:tc>
          <w:tcPr>
            <w:tcW w:w="1133"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074 322</w:t>
            </w:r>
          </w:p>
        </w:tc>
        <w:tc>
          <w:tcPr>
            <w:tcW w:w="1122"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44.7</w:t>
            </w:r>
          </w:p>
        </w:tc>
        <w:tc>
          <w:tcPr>
            <w:tcW w:w="1220"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857 719</w:t>
            </w:r>
          </w:p>
        </w:tc>
      </w:tr>
    </w:tbl>
    <w:p w:rsidR="00955676" w:rsidRPr="008F210A"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إدارة الخدمة العامة.</w:t>
      </w:r>
    </w:p>
    <w:p w:rsidR="00955676" w:rsidRPr="008F210A"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955676">
      <w:pPr>
        <w:pStyle w:val="SingleTxt"/>
        <w:rPr>
          <w:rFonts w:hint="cs"/>
          <w:rtl/>
        </w:rPr>
      </w:pPr>
      <w:r>
        <w:rPr>
          <w:rFonts w:hint="cs"/>
          <w:rtl/>
        </w:rPr>
        <w:t>122 -</w:t>
      </w:r>
      <w:r>
        <w:rPr>
          <w:rFonts w:hint="cs"/>
          <w:rtl/>
        </w:rPr>
        <w:tab/>
        <w:t>غير أن المرأة ممثلة تمثيلا ناقصا في العديد من الميادين التقنية والمهنية، ولا سيما الميادين المرتبطـــة تقليديا بالرجال مثل الأعمال الهندسية والفنون المعمارية، كما يتضح من الجدول 7-6. كما أن المرأة ممثلة تمثيلا ناقصا إلى حد كبير في مناصب الإدارة العليا ومناصب صنع القرار حسبما يتضح من الجدول 7-7 الذي يبين توزيع الموظفين العاملين في القطاع الخاص في الفترة من 1998 إلى 2000 مصنفة بحسب نوع الجنس وفئة الخدمة.</w:t>
      </w:r>
    </w:p>
    <w:p w:rsidR="00955676" w:rsidRDefault="00955676"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7-6: موظفو الخدمــــة المدنيــــة بحسب نــوع الجنس و</w:t>
      </w:r>
      <w:r w:rsidR="00824999">
        <w:rPr>
          <w:rFonts w:hint="cs"/>
          <w:rtl/>
        </w:rPr>
        <w:t>فئة</w:t>
      </w:r>
      <w:r>
        <w:rPr>
          <w:rFonts w:hint="cs"/>
          <w:rtl/>
        </w:rPr>
        <w:t xml:space="preserve"> الخدمة، 1998-2000</w:t>
      </w:r>
    </w:p>
    <w:p w:rsidR="00955676" w:rsidRPr="008F210A" w:rsidRDefault="00955676" w:rsidP="0095567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3052"/>
        <w:gridCol w:w="1133"/>
        <w:gridCol w:w="1133"/>
        <w:gridCol w:w="1133"/>
        <w:gridCol w:w="1133"/>
        <w:gridCol w:w="1133"/>
        <w:gridCol w:w="1132"/>
      </w:tblGrid>
      <w:tr w:rsidR="00955676" w:rsidRPr="008F210A">
        <w:tblPrEx>
          <w:tblCellMar>
            <w:top w:w="0" w:type="dxa"/>
            <w:bottom w:w="0" w:type="dxa"/>
          </w:tblCellMar>
        </w:tblPrEx>
        <w:trPr>
          <w:cantSplit/>
          <w:tblHeader/>
          <w:jc w:val="center"/>
        </w:trPr>
        <w:tc>
          <w:tcPr>
            <w:tcW w:w="3052" w:type="dxa"/>
            <w:vMerge w:val="restart"/>
            <w:tcBorders>
              <w:top w:val="single" w:sz="4" w:space="0" w:color="auto"/>
            </w:tcBorders>
            <w:shd w:val="clear" w:color="auto" w:fill="auto"/>
            <w:tcMar>
              <w:left w:w="0" w:type="dxa"/>
              <w:right w:w="0" w:type="dxa"/>
            </w:tcMar>
            <w:vAlign w:val="bottom"/>
          </w:tcPr>
          <w:p w:rsidR="00955676" w:rsidRPr="008F210A" w:rsidRDefault="00824999" w:rsidP="00C43389">
            <w:pPr>
              <w:spacing w:before="80" w:after="80" w:line="240" w:lineRule="exact"/>
              <w:ind w:left="170" w:right="170"/>
              <w:rPr>
                <w:rFonts w:hint="cs"/>
                <w:i/>
                <w:iCs/>
                <w:sz w:val="16"/>
                <w:szCs w:val="24"/>
                <w:rtl/>
              </w:rPr>
            </w:pPr>
            <w:r>
              <w:rPr>
                <w:rFonts w:hint="cs"/>
                <w:i/>
                <w:iCs/>
                <w:sz w:val="16"/>
                <w:szCs w:val="24"/>
                <w:rtl/>
              </w:rPr>
              <w:t xml:space="preserve">فئة </w:t>
            </w:r>
            <w:r w:rsidR="00955676" w:rsidRPr="008F210A">
              <w:rPr>
                <w:rFonts w:hint="cs"/>
                <w:i/>
                <w:iCs/>
                <w:sz w:val="16"/>
                <w:szCs w:val="24"/>
                <w:rtl/>
              </w:rPr>
              <w:t>الخدمة</w:t>
            </w:r>
          </w:p>
        </w:tc>
        <w:tc>
          <w:tcPr>
            <w:tcW w:w="2266" w:type="dxa"/>
            <w:gridSpan w:val="2"/>
            <w:tcBorders>
              <w:top w:val="single" w:sz="4" w:space="0" w:color="auto"/>
              <w:bottom w:val="single" w:sz="4" w:space="0" w:color="auto"/>
            </w:tcBorders>
            <w:shd w:val="clear" w:color="auto" w:fill="auto"/>
            <w:vAlign w:val="bottom"/>
          </w:tcPr>
          <w:p w:rsidR="00955676" w:rsidRPr="008F210A" w:rsidRDefault="00955676" w:rsidP="00C43389">
            <w:pPr>
              <w:spacing w:before="80" w:after="80" w:line="240" w:lineRule="exact"/>
              <w:ind w:left="170" w:right="144"/>
              <w:jc w:val="center"/>
              <w:rPr>
                <w:rFonts w:hint="cs"/>
                <w:i/>
                <w:iCs/>
                <w:sz w:val="16"/>
                <w:szCs w:val="24"/>
                <w:rtl/>
              </w:rPr>
            </w:pPr>
            <w:r w:rsidRPr="008F210A">
              <w:rPr>
                <w:rFonts w:hint="cs"/>
                <w:i/>
                <w:iCs/>
                <w:sz w:val="16"/>
                <w:szCs w:val="24"/>
                <w:rtl/>
              </w:rPr>
              <w:t>1998</w:t>
            </w:r>
          </w:p>
        </w:tc>
        <w:tc>
          <w:tcPr>
            <w:tcW w:w="2266" w:type="dxa"/>
            <w:gridSpan w:val="2"/>
            <w:tcBorders>
              <w:top w:val="single" w:sz="4" w:space="0" w:color="auto"/>
              <w:bottom w:val="single" w:sz="4" w:space="0" w:color="auto"/>
            </w:tcBorders>
            <w:shd w:val="clear" w:color="auto" w:fill="auto"/>
            <w:vAlign w:val="bottom"/>
          </w:tcPr>
          <w:p w:rsidR="00955676" w:rsidRPr="008F210A" w:rsidRDefault="00955676" w:rsidP="00C43389">
            <w:pPr>
              <w:spacing w:before="80" w:after="80" w:line="240" w:lineRule="exact"/>
              <w:ind w:left="170" w:right="144"/>
              <w:jc w:val="center"/>
              <w:rPr>
                <w:rFonts w:hint="cs"/>
                <w:i/>
                <w:iCs/>
                <w:sz w:val="16"/>
                <w:szCs w:val="24"/>
                <w:rtl/>
              </w:rPr>
            </w:pPr>
            <w:r w:rsidRPr="008F210A">
              <w:rPr>
                <w:rFonts w:hint="cs"/>
                <w:i/>
                <w:iCs/>
                <w:sz w:val="16"/>
                <w:szCs w:val="24"/>
                <w:rtl/>
              </w:rPr>
              <w:t>1999</w:t>
            </w:r>
          </w:p>
        </w:tc>
        <w:tc>
          <w:tcPr>
            <w:tcW w:w="2265" w:type="dxa"/>
            <w:gridSpan w:val="2"/>
            <w:tcBorders>
              <w:top w:val="single" w:sz="4" w:space="0" w:color="auto"/>
              <w:bottom w:val="single" w:sz="4" w:space="0" w:color="auto"/>
            </w:tcBorders>
            <w:shd w:val="clear" w:color="auto" w:fill="auto"/>
            <w:vAlign w:val="bottom"/>
          </w:tcPr>
          <w:p w:rsidR="00955676" w:rsidRPr="008F210A" w:rsidRDefault="00955676" w:rsidP="00C43389">
            <w:pPr>
              <w:spacing w:before="80" w:after="80" w:line="240" w:lineRule="exact"/>
              <w:ind w:left="170" w:right="144"/>
              <w:jc w:val="center"/>
              <w:rPr>
                <w:rFonts w:hint="cs"/>
                <w:i/>
                <w:iCs/>
                <w:sz w:val="16"/>
                <w:szCs w:val="24"/>
                <w:rtl/>
              </w:rPr>
            </w:pPr>
            <w:r w:rsidRPr="008F210A">
              <w:rPr>
                <w:rFonts w:hint="cs"/>
                <w:i/>
                <w:iCs/>
                <w:sz w:val="16"/>
                <w:szCs w:val="24"/>
                <w:rtl/>
              </w:rPr>
              <w:t>2000</w:t>
            </w:r>
          </w:p>
        </w:tc>
      </w:tr>
      <w:tr w:rsidR="00955676" w:rsidRPr="008F210A">
        <w:tblPrEx>
          <w:tblCellMar>
            <w:top w:w="0" w:type="dxa"/>
            <w:bottom w:w="0" w:type="dxa"/>
          </w:tblCellMar>
        </w:tblPrEx>
        <w:trPr>
          <w:cantSplit/>
          <w:tblHeader/>
          <w:jc w:val="center"/>
        </w:trPr>
        <w:tc>
          <w:tcPr>
            <w:tcW w:w="3052" w:type="dxa"/>
            <w:vMerge/>
            <w:tcBorders>
              <w:bottom w:val="single" w:sz="12" w:space="0" w:color="auto"/>
            </w:tcBorders>
            <w:shd w:val="clear" w:color="auto" w:fill="auto"/>
            <w:vAlign w:val="bottom"/>
          </w:tcPr>
          <w:p w:rsidR="00955676" w:rsidRPr="008F210A" w:rsidRDefault="00955676" w:rsidP="00C43389">
            <w:pPr>
              <w:spacing w:after="80" w:line="240" w:lineRule="exact"/>
              <w:ind w:left="170" w:right="17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 xml:space="preserve">الذكور </w:t>
            </w:r>
          </w:p>
        </w:tc>
        <w:tc>
          <w:tcPr>
            <w:tcW w:w="1132" w:type="dxa"/>
            <w:tcBorders>
              <w:top w:val="single" w:sz="4" w:space="0" w:color="auto"/>
              <w:bottom w:val="single" w:sz="12" w:space="0" w:color="auto"/>
            </w:tcBorders>
            <w:shd w:val="clear" w:color="auto" w:fill="auto"/>
            <w:vAlign w:val="bottom"/>
          </w:tcPr>
          <w:p w:rsidR="00955676" w:rsidRPr="008F210A" w:rsidRDefault="00955676" w:rsidP="00C43389">
            <w:pPr>
              <w:spacing w:after="80" w:line="240" w:lineRule="exact"/>
              <w:ind w:left="170" w:right="144"/>
              <w:jc w:val="lowKashida"/>
              <w:rPr>
                <w:rFonts w:hint="cs"/>
                <w:i/>
                <w:iCs/>
                <w:sz w:val="16"/>
                <w:szCs w:val="24"/>
                <w:rtl/>
              </w:rPr>
            </w:pPr>
            <w:r w:rsidRPr="008F210A">
              <w:rPr>
                <w:rFonts w:hint="cs"/>
                <w:i/>
                <w:iCs/>
                <w:sz w:val="16"/>
                <w:szCs w:val="24"/>
                <w:rtl/>
              </w:rPr>
              <w:t>الإناث</w:t>
            </w:r>
          </w:p>
        </w:tc>
      </w:tr>
      <w:tr w:rsidR="00955676" w:rsidRPr="008F210A">
        <w:tblPrEx>
          <w:tblCellMar>
            <w:top w:w="0" w:type="dxa"/>
            <w:bottom w:w="0" w:type="dxa"/>
          </w:tblCellMar>
        </w:tblPrEx>
        <w:trPr>
          <w:cantSplit/>
          <w:trHeight w:hRule="exact" w:val="115"/>
          <w:tblHeader/>
          <w:jc w:val="center"/>
        </w:trPr>
        <w:tc>
          <w:tcPr>
            <w:tcW w:w="3052"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70"/>
              <w:rPr>
                <w:rFonts w:hint="cs"/>
                <w:sz w:val="16"/>
                <w:szCs w:val="24"/>
                <w:rtl/>
              </w:rPr>
            </w:pPr>
          </w:p>
        </w:tc>
        <w:tc>
          <w:tcPr>
            <w:tcW w:w="1133"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tcBorders>
              <w:top w:val="single" w:sz="12" w:space="0" w:color="auto"/>
            </w:tcBorders>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مهندس معماري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166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173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74</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160</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79</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مهندس مدني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493 2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287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504 2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295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594 2</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340</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824999" w:rsidP="00C43389">
            <w:pPr>
              <w:spacing w:before="40" w:after="80" w:line="240" w:lineRule="exact"/>
              <w:ind w:left="170" w:right="170"/>
              <w:rPr>
                <w:rFonts w:hint="cs"/>
                <w:sz w:val="16"/>
                <w:szCs w:val="24"/>
                <w:rtl/>
              </w:rPr>
            </w:pPr>
            <w:r>
              <w:rPr>
                <w:rFonts w:hint="cs"/>
                <w:sz w:val="16"/>
                <w:szCs w:val="24"/>
                <w:rtl/>
              </w:rPr>
              <w:t>مساح كمي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166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118</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131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مساح</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227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227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إحصائي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90</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89</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مساعد إجصائي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85</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117</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موظف دعم</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574</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593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569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591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598</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681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أمين مكتبة</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73</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مساعد أمين مكتبة</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40</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100</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موظف دعم</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332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493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333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499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348</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526</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موظف تكنولوجيا المعلومات</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463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422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459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440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489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525</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مساعد موظف تكنولوجيا المعلومات</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366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538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375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555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429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650</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مشغل حاسوب</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166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375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165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369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146</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334</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محاسب</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194</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206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308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225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316</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252</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مساعد محاسب</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610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850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609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857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619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910</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موظف دعم</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557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181 1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553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175 1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560</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207 1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موظف قانوني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440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325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441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322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448</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356</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Pr="008F210A" w:rsidRDefault="00955676" w:rsidP="00C43389">
            <w:pPr>
              <w:spacing w:before="40" w:after="80" w:line="240" w:lineRule="exact"/>
              <w:ind w:left="170" w:right="170"/>
              <w:rPr>
                <w:rFonts w:hint="cs"/>
                <w:sz w:val="16"/>
                <w:szCs w:val="24"/>
                <w:rtl/>
              </w:rPr>
            </w:pPr>
            <w:r>
              <w:rPr>
                <w:rFonts w:hint="cs"/>
                <w:sz w:val="16"/>
                <w:szCs w:val="24"/>
                <w:rtl/>
              </w:rPr>
              <w:t>مساعد موظف قانوني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موظف دعم</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صفر</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صفر</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صفر</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صفر</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108</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طبيب</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772 3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910 2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773 3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040 3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116 4</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476 3</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طبيب أسنان</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194</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533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196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191</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545</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ممرض (من المرتبة الأولى)</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221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390 18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270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145 19</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354</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825 22</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ممرض (من المرتبة الثانية)</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576 8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275 8</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275</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302 11</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رجل إطفاء حرائق (إداري)</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176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193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89</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رجل إطفاء حرائق (المجموعة الأولى)</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417</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23</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421</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24</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130</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3</w:t>
            </w:r>
          </w:p>
        </w:tc>
      </w:tr>
      <w:tr w:rsidR="00955676" w:rsidRPr="008F210A">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رجل إطفاء حرائق (المجموعة الثانية)</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499 6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262</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549 6</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60</w:t>
            </w:r>
          </w:p>
        </w:tc>
        <w:tc>
          <w:tcPr>
            <w:tcW w:w="1133"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447 7</w:t>
            </w:r>
          </w:p>
        </w:tc>
        <w:tc>
          <w:tcPr>
            <w:tcW w:w="1132" w:type="dxa"/>
            <w:shd w:val="clear" w:color="auto" w:fill="auto"/>
            <w:vAlign w:val="bottom"/>
          </w:tcPr>
          <w:p w:rsidR="00955676" w:rsidRPr="008F210A" w:rsidRDefault="00955676" w:rsidP="00C43389">
            <w:pPr>
              <w:spacing w:before="40" w:after="80" w:line="240" w:lineRule="exact"/>
              <w:ind w:left="170" w:right="144"/>
              <w:jc w:val="lowKashida"/>
              <w:rPr>
                <w:rFonts w:hint="cs"/>
                <w:sz w:val="16"/>
                <w:szCs w:val="24"/>
                <w:rtl/>
              </w:rPr>
            </w:pPr>
            <w:r>
              <w:rPr>
                <w:rFonts w:hint="cs"/>
                <w:sz w:val="16"/>
                <w:szCs w:val="24"/>
                <w:rtl/>
              </w:rPr>
              <w:t>94</w:t>
            </w:r>
          </w:p>
        </w:tc>
      </w:tr>
      <w:tr w:rsidR="00955676" w:rsidRPr="008F210A">
        <w:tblPrEx>
          <w:tblCellMar>
            <w:top w:w="0" w:type="dxa"/>
            <w:bottom w:w="0" w:type="dxa"/>
          </w:tblCellMar>
        </w:tblPrEx>
        <w:trPr>
          <w:cantSplit/>
          <w:jc w:val="center"/>
        </w:trPr>
        <w:tc>
          <w:tcPr>
            <w:tcW w:w="3052"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70"/>
              <w:rPr>
                <w:rFonts w:hint="cs"/>
                <w:b/>
                <w:bCs/>
                <w:sz w:val="16"/>
                <w:szCs w:val="24"/>
                <w:rtl/>
              </w:rPr>
            </w:pPr>
            <w:r w:rsidRPr="00C36892">
              <w:rPr>
                <w:rFonts w:hint="cs"/>
                <w:b/>
                <w:bCs/>
                <w:sz w:val="16"/>
                <w:szCs w:val="24"/>
                <w:rtl/>
              </w:rPr>
              <w:t>المجموع</w:t>
            </w:r>
          </w:p>
        </w:tc>
        <w:tc>
          <w:tcPr>
            <w:tcW w:w="1133"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679 18</w:t>
            </w:r>
          </w:p>
        </w:tc>
        <w:tc>
          <w:tcPr>
            <w:tcW w:w="1133"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794 36</w:t>
            </w:r>
          </w:p>
        </w:tc>
        <w:tc>
          <w:tcPr>
            <w:tcW w:w="1133"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834 18</w:t>
            </w:r>
          </w:p>
        </w:tc>
        <w:tc>
          <w:tcPr>
            <w:tcW w:w="1133"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208 37</w:t>
            </w:r>
          </w:p>
        </w:tc>
        <w:tc>
          <w:tcPr>
            <w:tcW w:w="1133"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063 20</w:t>
            </w:r>
          </w:p>
        </w:tc>
        <w:tc>
          <w:tcPr>
            <w:tcW w:w="1132" w:type="dxa"/>
            <w:tcBorders>
              <w:bottom w:val="single" w:sz="12" w:space="0" w:color="auto"/>
            </w:tcBorders>
            <w:shd w:val="clear" w:color="auto" w:fill="auto"/>
            <w:vAlign w:val="bottom"/>
          </w:tcPr>
          <w:p w:rsidR="00955676" w:rsidRPr="00C36892" w:rsidRDefault="00955676" w:rsidP="00C43389">
            <w:pPr>
              <w:spacing w:before="40" w:after="80" w:line="240" w:lineRule="exact"/>
              <w:ind w:left="170" w:right="144"/>
              <w:jc w:val="lowKashida"/>
              <w:rPr>
                <w:rFonts w:hint="cs"/>
                <w:b/>
                <w:bCs/>
                <w:sz w:val="16"/>
                <w:szCs w:val="24"/>
                <w:rtl/>
              </w:rPr>
            </w:pPr>
            <w:r w:rsidRPr="00C36892">
              <w:rPr>
                <w:rFonts w:hint="cs"/>
                <w:b/>
                <w:bCs/>
                <w:sz w:val="16"/>
                <w:szCs w:val="24"/>
                <w:rtl/>
              </w:rPr>
              <w:t>897 44</w:t>
            </w:r>
          </w:p>
        </w:tc>
      </w:tr>
    </w:tbl>
    <w:p w:rsidR="00955676" w:rsidRPr="00982EF2"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sectPr w:rsidR="00955676" w:rsidSect="00955676">
          <w:headerReference w:type="even" r:id="rId13"/>
          <w:headerReference w:type="default" r:id="rId14"/>
          <w:footerReference w:type="even" r:id="rId15"/>
          <w:footerReference w:type="default" r:id="rId16"/>
          <w:endnotePr>
            <w:numFmt w:val="decimal"/>
          </w:endnotePr>
          <w:pgSz w:w="12240" w:h="15840" w:code="1"/>
          <w:pgMar w:top="1742" w:right="1195" w:bottom="1898" w:left="1195" w:header="576" w:footer="1030" w:gutter="0"/>
          <w:cols w:space="720"/>
          <w:bidi/>
          <w:rtlGutter/>
          <w:docGrid w:linePitch="280"/>
        </w:sectPr>
      </w:pPr>
    </w:p>
    <w:p w:rsidR="00F36E18" w:rsidRDefault="00F36E18"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
    <w:p w:rsidR="00955676" w:rsidRDefault="00955676"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7-7 </w:t>
      </w:r>
      <w:r w:rsidR="00824999">
        <w:rPr>
          <w:rFonts w:hint="cs"/>
          <w:rtl/>
        </w:rPr>
        <w:t>(أ)</w:t>
      </w:r>
      <w:r>
        <w:rPr>
          <w:rFonts w:hint="cs"/>
          <w:rtl/>
        </w:rPr>
        <w:t>: الموظفون العاملون في القطاع العام بحسب نوع الجنس والوكالة (باستثناء الشرطة والقوات المسلحة)، 1998</w:t>
      </w:r>
    </w:p>
    <w:p w:rsidR="00955676" w:rsidRPr="00982EF2" w:rsidRDefault="00955676" w:rsidP="00955676">
      <w:pPr>
        <w:pStyle w:val="SingleTxt"/>
        <w:spacing w:after="0" w:line="120" w:lineRule="exact"/>
        <w:rPr>
          <w:rFonts w:hint="cs"/>
          <w:sz w:val="10"/>
          <w:rtl/>
        </w:rPr>
      </w:pPr>
    </w:p>
    <w:tbl>
      <w:tblPr>
        <w:bidiVisual/>
        <w:tblW w:w="12115" w:type="dxa"/>
        <w:jc w:val="center"/>
        <w:tblInd w:w="-1274" w:type="dxa"/>
        <w:tblLayout w:type="fixed"/>
        <w:tblCellMar>
          <w:left w:w="0" w:type="dxa"/>
          <w:right w:w="0" w:type="dxa"/>
        </w:tblCellMar>
        <w:tblLook w:val="0000" w:firstRow="0" w:lastRow="0" w:firstColumn="0" w:lastColumn="0" w:noHBand="0" w:noVBand="0"/>
      </w:tblPr>
      <w:tblGrid>
        <w:gridCol w:w="1300"/>
        <w:gridCol w:w="515"/>
        <w:gridCol w:w="515"/>
        <w:gridCol w:w="515"/>
        <w:gridCol w:w="515"/>
        <w:gridCol w:w="515"/>
        <w:gridCol w:w="515"/>
        <w:gridCol w:w="515"/>
        <w:gridCol w:w="515"/>
        <w:gridCol w:w="515"/>
        <w:gridCol w:w="515"/>
        <w:gridCol w:w="515"/>
        <w:gridCol w:w="515"/>
        <w:gridCol w:w="721"/>
        <w:gridCol w:w="721"/>
        <w:gridCol w:w="721"/>
        <w:gridCol w:w="824"/>
        <w:gridCol w:w="824"/>
        <w:gridCol w:w="824"/>
      </w:tblGrid>
      <w:tr w:rsidR="00955676" w:rsidRPr="001818D9">
        <w:tblPrEx>
          <w:tblCellMar>
            <w:top w:w="0" w:type="dxa"/>
            <w:bottom w:w="0" w:type="dxa"/>
          </w:tblCellMar>
        </w:tblPrEx>
        <w:trPr>
          <w:cantSplit/>
          <w:tblHeader/>
          <w:jc w:val="center"/>
        </w:trPr>
        <w:tc>
          <w:tcPr>
            <w:tcW w:w="1300" w:type="dxa"/>
            <w:vMerge w:val="restart"/>
            <w:tcBorders>
              <w:top w:val="single" w:sz="4" w:space="0" w:color="auto"/>
            </w:tcBorders>
            <w:shd w:val="clear" w:color="auto" w:fill="auto"/>
            <w:tcMar>
              <w:left w:w="0" w:type="dxa"/>
              <w:right w:w="0" w:type="dxa"/>
            </w:tcMar>
            <w:vAlign w:val="bottom"/>
          </w:tcPr>
          <w:p w:rsidR="00955676" w:rsidRPr="001818D9" w:rsidRDefault="00955676" w:rsidP="00C43389">
            <w:pPr>
              <w:spacing w:before="80" w:after="80" w:line="240" w:lineRule="exact"/>
              <w:ind w:left="57" w:right="57"/>
              <w:rPr>
                <w:rFonts w:hint="cs"/>
                <w:i/>
                <w:iCs/>
                <w:sz w:val="18"/>
                <w:szCs w:val="18"/>
                <w:rtl/>
              </w:rPr>
            </w:pPr>
            <w:r w:rsidRPr="001818D9">
              <w:rPr>
                <w:rFonts w:hint="cs"/>
                <w:i/>
                <w:iCs/>
                <w:sz w:val="18"/>
                <w:szCs w:val="18"/>
                <w:rtl/>
              </w:rPr>
              <w:t>الوكالة</w:t>
            </w:r>
          </w:p>
        </w:tc>
        <w:tc>
          <w:tcPr>
            <w:tcW w:w="3090" w:type="dxa"/>
            <w:gridSpan w:val="6"/>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وظيفة رئيسية</w:t>
            </w:r>
          </w:p>
        </w:tc>
        <w:tc>
          <w:tcPr>
            <w:tcW w:w="3090" w:type="dxa"/>
            <w:gridSpan w:val="6"/>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رئيسية</w:t>
            </w:r>
          </w:p>
        </w:tc>
        <w:tc>
          <w:tcPr>
            <w:tcW w:w="1442" w:type="dxa"/>
            <w:gridSpan w:val="2"/>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إدارية ومهنية</w:t>
            </w:r>
          </w:p>
        </w:tc>
        <w:tc>
          <w:tcPr>
            <w:tcW w:w="3193" w:type="dxa"/>
            <w:gridSpan w:val="4"/>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موظفو دعم</w:t>
            </w:r>
          </w:p>
        </w:tc>
      </w:tr>
      <w:tr w:rsidR="00955676" w:rsidRPr="001818D9">
        <w:tblPrEx>
          <w:tblCellMar>
            <w:top w:w="0" w:type="dxa"/>
            <w:bottom w:w="0" w:type="dxa"/>
          </w:tblCellMar>
        </w:tblPrEx>
        <w:trPr>
          <w:cantSplit/>
          <w:tblHeader/>
          <w:jc w:val="center"/>
        </w:trPr>
        <w:tc>
          <w:tcPr>
            <w:tcW w:w="1300" w:type="dxa"/>
            <w:vMerge/>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1</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2</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3</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ألف</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باء</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جيم</w:t>
            </w:r>
          </w:p>
        </w:tc>
        <w:tc>
          <w:tcPr>
            <w:tcW w:w="1442"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p>
        </w:tc>
        <w:tc>
          <w:tcPr>
            <w:tcW w:w="1545"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الأولى</w:t>
            </w:r>
          </w:p>
        </w:tc>
        <w:tc>
          <w:tcPr>
            <w:tcW w:w="1648"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الثانية</w:t>
            </w:r>
          </w:p>
        </w:tc>
      </w:tr>
      <w:tr w:rsidR="00955676" w:rsidRPr="001818D9">
        <w:tblPrEx>
          <w:tblCellMar>
            <w:top w:w="0" w:type="dxa"/>
            <w:bottom w:w="0" w:type="dxa"/>
          </w:tblCellMar>
        </w:tblPrEx>
        <w:trPr>
          <w:cantSplit/>
          <w:tblHeader/>
          <w:jc w:val="center"/>
        </w:trPr>
        <w:tc>
          <w:tcPr>
            <w:tcW w:w="1300" w:type="dxa"/>
            <w:vMerge/>
            <w:tcBorders>
              <w:bottom w:val="single" w:sz="12" w:space="0" w:color="auto"/>
            </w:tcBorders>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r>
      <w:tr w:rsidR="00955676" w:rsidRPr="001818D9">
        <w:tblPrEx>
          <w:tblCellMar>
            <w:top w:w="0" w:type="dxa"/>
            <w:bottom w:w="0" w:type="dxa"/>
          </w:tblCellMar>
        </w:tblPrEx>
        <w:trPr>
          <w:cantSplit/>
          <w:trHeight w:hRule="exact" w:val="115"/>
          <w:tblHeader/>
          <w:jc w:val="center"/>
        </w:trPr>
        <w:tc>
          <w:tcPr>
            <w:tcW w:w="1300"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57"/>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الخدمة العامة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16</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022 31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566 30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217 75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918 101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195 122</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657 81</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الخدمة العامة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793 2</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503</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450 3</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659 1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443 55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684 12</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15</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259</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53</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170 9</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548 5</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995 4</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489 3</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289 38</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153 20</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292 1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340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980</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480</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795 11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687 3</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سلطة محلية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598</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133</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431 1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458</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972 35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972 35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078 6</w:t>
            </w:r>
          </w:p>
        </w:tc>
      </w:tr>
      <w:tr w:rsidR="00955676" w:rsidRPr="001818D9">
        <w:tblPrEx>
          <w:tblCellMar>
            <w:top w:w="0" w:type="dxa"/>
            <w:bottom w:w="0" w:type="dxa"/>
          </w:tblCellMar>
        </w:tblPrEx>
        <w:trPr>
          <w:cantSplit/>
          <w:jc w:val="center"/>
        </w:trPr>
        <w:tc>
          <w:tcPr>
            <w:tcW w:w="1300" w:type="dxa"/>
            <w:tcBorders>
              <w:bottom w:val="single" w:sz="2" w:space="0" w:color="auto"/>
            </w:tcBorders>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المجموع</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38</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84</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373</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69</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875 44</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090 37</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073 86</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004 108</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694 263</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264 124</w:t>
            </w:r>
          </w:p>
        </w:tc>
      </w:tr>
    </w:tbl>
    <w:p w:rsidR="00955676" w:rsidRPr="00914AE2" w:rsidRDefault="00955676" w:rsidP="00955676">
      <w:pPr>
        <w:pStyle w:val="SingleTxt"/>
        <w:spacing w:after="0" w:line="120" w:lineRule="exact"/>
        <w:rPr>
          <w:sz w:val="10"/>
          <w:rtl/>
        </w:rPr>
      </w:pPr>
    </w:p>
    <w:p w:rsidR="00955676" w:rsidRDefault="00955676"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 xml:space="preserve">الجدول 7-7 </w:t>
      </w:r>
      <w:r w:rsidR="00824999">
        <w:rPr>
          <w:rFonts w:hint="cs"/>
          <w:rtl/>
        </w:rPr>
        <w:t>(ب)</w:t>
      </w:r>
      <w:r>
        <w:rPr>
          <w:rFonts w:hint="cs"/>
          <w:rtl/>
        </w:rPr>
        <w:t>: الموظفون العاملون في القطاع العام بحسب نوع الجنس والوكالة (باستثناء الشرطة والقوات المسلحة)، 1999</w:t>
      </w:r>
    </w:p>
    <w:p w:rsidR="00955676" w:rsidRPr="00914AE2" w:rsidRDefault="00955676" w:rsidP="00955676">
      <w:pPr>
        <w:pStyle w:val="SingleTxt"/>
        <w:spacing w:after="0" w:line="120" w:lineRule="exact"/>
        <w:rPr>
          <w:rFonts w:hint="cs"/>
          <w:sz w:val="10"/>
          <w:rtl/>
        </w:rPr>
      </w:pPr>
    </w:p>
    <w:p w:rsidR="00955676" w:rsidRPr="00982EF2" w:rsidRDefault="00955676" w:rsidP="00955676">
      <w:pPr>
        <w:pStyle w:val="SingleTxt"/>
        <w:spacing w:after="0" w:line="120" w:lineRule="exact"/>
        <w:rPr>
          <w:rFonts w:hint="cs"/>
          <w:sz w:val="10"/>
          <w:rtl/>
        </w:rPr>
      </w:pPr>
    </w:p>
    <w:tbl>
      <w:tblPr>
        <w:bidiVisual/>
        <w:tblW w:w="12115" w:type="dxa"/>
        <w:jc w:val="center"/>
        <w:tblInd w:w="-1274" w:type="dxa"/>
        <w:tblLayout w:type="fixed"/>
        <w:tblCellMar>
          <w:left w:w="0" w:type="dxa"/>
          <w:right w:w="0" w:type="dxa"/>
        </w:tblCellMar>
        <w:tblLook w:val="0000" w:firstRow="0" w:lastRow="0" w:firstColumn="0" w:lastColumn="0" w:noHBand="0" w:noVBand="0"/>
      </w:tblPr>
      <w:tblGrid>
        <w:gridCol w:w="1300"/>
        <w:gridCol w:w="515"/>
        <w:gridCol w:w="515"/>
        <w:gridCol w:w="515"/>
        <w:gridCol w:w="515"/>
        <w:gridCol w:w="515"/>
        <w:gridCol w:w="515"/>
        <w:gridCol w:w="515"/>
        <w:gridCol w:w="515"/>
        <w:gridCol w:w="515"/>
        <w:gridCol w:w="515"/>
        <w:gridCol w:w="515"/>
        <w:gridCol w:w="515"/>
        <w:gridCol w:w="721"/>
        <w:gridCol w:w="721"/>
        <w:gridCol w:w="721"/>
        <w:gridCol w:w="824"/>
        <w:gridCol w:w="824"/>
        <w:gridCol w:w="824"/>
      </w:tblGrid>
      <w:tr w:rsidR="00955676" w:rsidRPr="001818D9">
        <w:tblPrEx>
          <w:tblCellMar>
            <w:top w:w="0" w:type="dxa"/>
            <w:bottom w:w="0" w:type="dxa"/>
          </w:tblCellMar>
        </w:tblPrEx>
        <w:trPr>
          <w:cantSplit/>
          <w:tblHeader/>
          <w:jc w:val="center"/>
        </w:trPr>
        <w:tc>
          <w:tcPr>
            <w:tcW w:w="1300" w:type="dxa"/>
            <w:vMerge w:val="restart"/>
            <w:tcBorders>
              <w:top w:val="single" w:sz="4" w:space="0" w:color="auto"/>
            </w:tcBorders>
            <w:shd w:val="clear" w:color="auto" w:fill="auto"/>
            <w:tcMar>
              <w:left w:w="0" w:type="dxa"/>
              <w:right w:w="0" w:type="dxa"/>
            </w:tcMar>
            <w:vAlign w:val="bottom"/>
          </w:tcPr>
          <w:p w:rsidR="00955676" w:rsidRPr="001818D9" w:rsidRDefault="00955676" w:rsidP="00C43389">
            <w:pPr>
              <w:spacing w:before="80" w:after="80" w:line="240" w:lineRule="exact"/>
              <w:ind w:left="57" w:right="57"/>
              <w:rPr>
                <w:rFonts w:hint="cs"/>
                <w:i/>
                <w:iCs/>
                <w:sz w:val="18"/>
                <w:szCs w:val="18"/>
                <w:rtl/>
              </w:rPr>
            </w:pPr>
            <w:r w:rsidRPr="001818D9">
              <w:rPr>
                <w:rFonts w:hint="cs"/>
                <w:i/>
                <w:iCs/>
                <w:sz w:val="18"/>
                <w:szCs w:val="18"/>
                <w:rtl/>
              </w:rPr>
              <w:t>الوكالة</w:t>
            </w:r>
          </w:p>
        </w:tc>
        <w:tc>
          <w:tcPr>
            <w:tcW w:w="3090" w:type="dxa"/>
            <w:gridSpan w:val="6"/>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وظيفة رئيسية</w:t>
            </w:r>
          </w:p>
        </w:tc>
        <w:tc>
          <w:tcPr>
            <w:tcW w:w="3090" w:type="dxa"/>
            <w:gridSpan w:val="6"/>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رئيسية</w:t>
            </w:r>
          </w:p>
        </w:tc>
        <w:tc>
          <w:tcPr>
            <w:tcW w:w="1442" w:type="dxa"/>
            <w:gridSpan w:val="2"/>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إدارية ومهنية</w:t>
            </w:r>
          </w:p>
        </w:tc>
        <w:tc>
          <w:tcPr>
            <w:tcW w:w="3193" w:type="dxa"/>
            <w:gridSpan w:val="4"/>
            <w:tcBorders>
              <w:top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موظفو دعم</w:t>
            </w:r>
          </w:p>
        </w:tc>
      </w:tr>
      <w:tr w:rsidR="00955676" w:rsidRPr="001818D9">
        <w:tblPrEx>
          <w:tblCellMar>
            <w:top w:w="0" w:type="dxa"/>
            <w:bottom w:w="0" w:type="dxa"/>
          </w:tblCellMar>
        </w:tblPrEx>
        <w:trPr>
          <w:cantSplit/>
          <w:tblHeader/>
          <w:jc w:val="center"/>
        </w:trPr>
        <w:tc>
          <w:tcPr>
            <w:tcW w:w="1300" w:type="dxa"/>
            <w:vMerge/>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1</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2</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3</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ألف</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باء</w:t>
            </w:r>
          </w:p>
        </w:tc>
        <w:tc>
          <w:tcPr>
            <w:tcW w:w="1030" w:type="dxa"/>
            <w:gridSpan w:val="2"/>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جيم</w:t>
            </w:r>
          </w:p>
        </w:tc>
        <w:tc>
          <w:tcPr>
            <w:tcW w:w="1442"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p>
        </w:tc>
        <w:tc>
          <w:tcPr>
            <w:tcW w:w="1545"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الأولى</w:t>
            </w:r>
          </w:p>
        </w:tc>
        <w:tc>
          <w:tcPr>
            <w:tcW w:w="1648" w:type="dxa"/>
            <w:gridSpan w:val="2"/>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الثانية</w:t>
            </w:r>
          </w:p>
        </w:tc>
      </w:tr>
      <w:tr w:rsidR="00955676" w:rsidRPr="001818D9">
        <w:tblPrEx>
          <w:tblCellMar>
            <w:top w:w="0" w:type="dxa"/>
            <w:bottom w:w="0" w:type="dxa"/>
          </w:tblCellMar>
        </w:tblPrEx>
        <w:trPr>
          <w:cantSplit/>
          <w:tblHeader/>
          <w:jc w:val="center"/>
        </w:trPr>
        <w:tc>
          <w:tcPr>
            <w:tcW w:w="1300" w:type="dxa"/>
            <w:vMerge/>
            <w:tcBorders>
              <w:bottom w:val="single" w:sz="12" w:space="0" w:color="auto"/>
            </w:tcBorders>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21"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824" w:type="dxa"/>
            <w:tcBorders>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r>
      <w:tr w:rsidR="00955676" w:rsidRPr="001818D9">
        <w:tblPrEx>
          <w:tblCellMar>
            <w:top w:w="0" w:type="dxa"/>
            <w:bottom w:w="0" w:type="dxa"/>
          </w:tblCellMar>
        </w:tblPrEx>
        <w:trPr>
          <w:cantSplit/>
          <w:trHeight w:hRule="exact" w:val="115"/>
          <w:tblHeader/>
          <w:jc w:val="center"/>
        </w:trPr>
        <w:tc>
          <w:tcPr>
            <w:tcW w:w="1300"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57"/>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خدمة 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99</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17</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111 31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965 30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917 74</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549 102</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509 121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340 81</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خدمة 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799 2</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517</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403 3</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651 1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166 55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715 12</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15</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252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52</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163 9</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599 5</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970 4</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540 3</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075 38</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082 20</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287 1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341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969</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480</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732 11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682 3</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سلطة محلية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596</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135</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433 1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470</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832 35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092 6</w:t>
            </w:r>
          </w:p>
        </w:tc>
      </w:tr>
      <w:tr w:rsidR="00955676" w:rsidRPr="001818D9">
        <w:tblPrEx>
          <w:tblCellMar>
            <w:top w:w="0" w:type="dxa"/>
            <w:bottom w:w="0" w:type="dxa"/>
          </w:tblCellMar>
        </w:tblPrEx>
        <w:trPr>
          <w:cantSplit/>
          <w:jc w:val="center"/>
        </w:trPr>
        <w:tc>
          <w:tcPr>
            <w:tcW w:w="1300" w:type="dxa"/>
            <w:tcBorders>
              <w:bottom w:val="single" w:sz="2" w:space="0" w:color="auto"/>
            </w:tcBorders>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المجموع</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77</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370</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69</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956 44</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557 37</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692 85</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690 108</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314 262</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911 123</w:t>
            </w:r>
          </w:p>
        </w:tc>
      </w:tr>
    </w:tbl>
    <w:p w:rsidR="00955676" w:rsidRPr="00A8208E" w:rsidRDefault="00955676" w:rsidP="00955676">
      <w:pPr>
        <w:pStyle w:val="SingleTxt"/>
        <w:spacing w:after="0" w:line="120" w:lineRule="exact"/>
        <w:rPr>
          <w:rFonts w:hint="cs"/>
          <w:sz w:val="10"/>
          <w:rtl/>
        </w:rPr>
      </w:pPr>
    </w:p>
    <w:p w:rsidR="0004748B" w:rsidRDefault="00955676"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p>
    <w:p w:rsidR="00955676" w:rsidRDefault="00955676" w:rsidP="00824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7-7 </w:t>
      </w:r>
      <w:r w:rsidR="00824999">
        <w:rPr>
          <w:rFonts w:hint="cs"/>
          <w:rtl/>
        </w:rPr>
        <w:t>(ج)</w:t>
      </w:r>
      <w:r>
        <w:rPr>
          <w:rFonts w:hint="cs"/>
          <w:rtl/>
        </w:rPr>
        <w:t>: الموظفون العاملون في القطاع العام بحسب نوع الجنس والوكالة (باستثناء الشرطة والقوات المسلحة)، 2000</w:t>
      </w:r>
    </w:p>
    <w:p w:rsidR="00955676" w:rsidRPr="00982EF2" w:rsidRDefault="00955676" w:rsidP="00955676">
      <w:pPr>
        <w:pStyle w:val="SingleTxt"/>
        <w:spacing w:after="0" w:line="120" w:lineRule="exact"/>
        <w:rPr>
          <w:rFonts w:hint="cs"/>
          <w:sz w:val="10"/>
          <w:rtl/>
        </w:rPr>
      </w:pPr>
    </w:p>
    <w:tbl>
      <w:tblPr>
        <w:bidiVisual/>
        <w:tblW w:w="12115" w:type="dxa"/>
        <w:jc w:val="center"/>
        <w:tblInd w:w="-1274" w:type="dxa"/>
        <w:tblLayout w:type="fixed"/>
        <w:tblCellMar>
          <w:left w:w="0" w:type="dxa"/>
          <w:right w:w="0" w:type="dxa"/>
        </w:tblCellMar>
        <w:tblLook w:val="0000" w:firstRow="0" w:lastRow="0" w:firstColumn="0" w:lastColumn="0" w:noHBand="0" w:noVBand="0"/>
      </w:tblPr>
      <w:tblGrid>
        <w:gridCol w:w="1300"/>
        <w:gridCol w:w="515"/>
        <w:gridCol w:w="453"/>
        <w:gridCol w:w="515"/>
        <w:gridCol w:w="515"/>
        <w:gridCol w:w="515"/>
        <w:gridCol w:w="515"/>
        <w:gridCol w:w="515"/>
        <w:gridCol w:w="515"/>
        <w:gridCol w:w="515"/>
        <w:gridCol w:w="515"/>
        <w:gridCol w:w="515"/>
        <w:gridCol w:w="515"/>
        <w:gridCol w:w="721"/>
        <w:gridCol w:w="721"/>
        <w:gridCol w:w="783"/>
        <w:gridCol w:w="824"/>
        <w:gridCol w:w="865"/>
        <w:gridCol w:w="783"/>
      </w:tblGrid>
      <w:tr w:rsidR="00955676" w:rsidRPr="001818D9">
        <w:tblPrEx>
          <w:tblCellMar>
            <w:top w:w="0" w:type="dxa"/>
            <w:bottom w:w="0" w:type="dxa"/>
          </w:tblCellMar>
        </w:tblPrEx>
        <w:trPr>
          <w:cantSplit/>
          <w:tblHeader/>
          <w:jc w:val="center"/>
        </w:trPr>
        <w:tc>
          <w:tcPr>
            <w:tcW w:w="1300" w:type="dxa"/>
            <w:vMerge w:val="restart"/>
            <w:tcBorders>
              <w:top w:val="single" w:sz="4" w:space="0" w:color="auto"/>
            </w:tcBorders>
            <w:shd w:val="clear" w:color="auto" w:fill="auto"/>
            <w:tcMar>
              <w:left w:w="0" w:type="dxa"/>
              <w:right w:w="0" w:type="dxa"/>
            </w:tcMar>
            <w:vAlign w:val="bottom"/>
          </w:tcPr>
          <w:p w:rsidR="00955676" w:rsidRPr="001818D9" w:rsidRDefault="00955676" w:rsidP="00C43389">
            <w:pPr>
              <w:spacing w:before="80" w:after="80" w:line="240" w:lineRule="exact"/>
              <w:ind w:left="57" w:right="57"/>
              <w:rPr>
                <w:rFonts w:hint="cs"/>
                <w:i/>
                <w:iCs/>
                <w:sz w:val="18"/>
                <w:szCs w:val="18"/>
                <w:rtl/>
              </w:rPr>
            </w:pPr>
            <w:r w:rsidRPr="001818D9">
              <w:rPr>
                <w:rFonts w:hint="cs"/>
                <w:i/>
                <w:iCs/>
                <w:sz w:val="18"/>
                <w:szCs w:val="18"/>
                <w:rtl/>
              </w:rPr>
              <w:t>الوكالة</w:t>
            </w:r>
          </w:p>
        </w:tc>
        <w:tc>
          <w:tcPr>
            <w:tcW w:w="3028" w:type="dxa"/>
            <w:gridSpan w:val="6"/>
            <w:tcBorders>
              <w:top w:val="single" w:sz="4" w:space="0" w:color="auto"/>
              <w:bottom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وظيفة رئيسية</w:t>
            </w:r>
          </w:p>
        </w:tc>
        <w:tc>
          <w:tcPr>
            <w:tcW w:w="3090" w:type="dxa"/>
            <w:gridSpan w:val="6"/>
            <w:tcBorders>
              <w:top w:val="single" w:sz="4" w:space="0" w:color="auto"/>
              <w:bottom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رئيسية</w:t>
            </w:r>
          </w:p>
        </w:tc>
        <w:tc>
          <w:tcPr>
            <w:tcW w:w="1442" w:type="dxa"/>
            <w:gridSpan w:val="2"/>
            <w:tcBorders>
              <w:top w:val="single" w:sz="4" w:space="0" w:color="auto"/>
              <w:bottom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إدارية ومهنية</w:t>
            </w:r>
          </w:p>
        </w:tc>
        <w:tc>
          <w:tcPr>
            <w:tcW w:w="3255" w:type="dxa"/>
            <w:gridSpan w:val="4"/>
            <w:tcBorders>
              <w:top w:val="single" w:sz="4" w:space="0" w:color="auto"/>
              <w:bottom w:val="single" w:sz="4" w:space="0" w:color="auto"/>
            </w:tcBorders>
            <w:shd w:val="clear" w:color="auto" w:fill="auto"/>
            <w:vAlign w:val="bottom"/>
          </w:tcPr>
          <w:p w:rsidR="00955676" w:rsidRPr="001818D9" w:rsidRDefault="00955676" w:rsidP="00C43389">
            <w:pPr>
              <w:spacing w:before="80" w:after="80" w:line="240" w:lineRule="exact"/>
              <w:ind w:left="57" w:right="144"/>
              <w:jc w:val="center"/>
              <w:rPr>
                <w:rFonts w:hint="cs"/>
                <w:i/>
                <w:iCs/>
                <w:sz w:val="18"/>
                <w:szCs w:val="18"/>
                <w:rtl/>
              </w:rPr>
            </w:pPr>
            <w:r w:rsidRPr="001818D9">
              <w:rPr>
                <w:rFonts w:hint="cs"/>
                <w:i/>
                <w:iCs/>
                <w:sz w:val="18"/>
                <w:szCs w:val="18"/>
                <w:rtl/>
              </w:rPr>
              <w:t>موظفو دعم</w:t>
            </w:r>
          </w:p>
        </w:tc>
      </w:tr>
      <w:tr w:rsidR="00955676" w:rsidRPr="001818D9">
        <w:tblPrEx>
          <w:tblCellMar>
            <w:top w:w="0" w:type="dxa"/>
            <w:bottom w:w="0" w:type="dxa"/>
          </w:tblCellMar>
        </w:tblPrEx>
        <w:trPr>
          <w:cantSplit/>
          <w:tblHeader/>
          <w:jc w:val="center"/>
        </w:trPr>
        <w:tc>
          <w:tcPr>
            <w:tcW w:w="1300" w:type="dxa"/>
            <w:vMerge/>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968"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1</w:t>
            </w:r>
          </w:p>
        </w:tc>
        <w:tc>
          <w:tcPr>
            <w:tcW w:w="1030"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2</w:t>
            </w:r>
          </w:p>
        </w:tc>
        <w:tc>
          <w:tcPr>
            <w:tcW w:w="1030"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3</w:t>
            </w:r>
          </w:p>
        </w:tc>
        <w:tc>
          <w:tcPr>
            <w:tcW w:w="1030"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ألف</w:t>
            </w:r>
          </w:p>
        </w:tc>
        <w:tc>
          <w:tcPr>
            <w:tcW w:w="1030"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باء</w:t>
            </w:r>
          </w:p>
        </w:tc>
        <w:tc>
          <w:tcPr>
            <w:tcW w:w="1030"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center"/>
              <w:rPr>
                <w:rFonts w:hint="cs"/>
                <w:i/>
                <w:iCs/>
                <w:sz w:val="18"/>
                <w:szCs w:val="18"/>
                <w:rtl/>
              </w:rPr>
            </w:pPr>
            <w:r w:rsidRPr="001818D9">
              <w:rPr>
                <w:rFonts w:hint="cs"/>
                <w:i/>
                <w:iCs/>
                <w:sz w:val="18"/>
                <w:szCs w:val="18"/>
                <w:rtl/>
              </w:rPr>
              <w:t>جيم</w:t>
            </w:r>
          </w:p>
        </w:tc>
        <w:tc>
          <w:tcPr>
            <w:tcW w:w="1442"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p>
        </w:tc>
        <w:tc>
          <w:tcPr>
            <w:tcW w:w="1607"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الأولى</w:t>
            </w:r>
          </w:p>
        </w:tc>
        <w:tc>
          <w:tcPr>
            <w:tcW w:w="1648" w:type="dxa"/>
            <w:gridSpan w:val="2"/>
            <w:tcBorders>
              <w:top w:val="single" w:sz="4" w:space="0" w:color="auto"/>
              <w:bottom w:val="single" w:sz="4"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الدرجة الثانية</w:t>
            </w:r>
          </w:p>
        </w:tc>
      </w:tr>
      <w:tr w:rsidR="00955676" w:rsidRPr="001818D9">
        <w:tblPrEx>
          <w:tblCellMar>
            <w:top w:w="0" w:type="dxa"/>
            <w:bottom w:w="0" w:type="dxa"/>
          </w:tblCellMar>
        </w:tblPrEx>
        <w:trPr>
          <w:cantSplit/>
          <w:tblHeader/>
          <w:jc w:val="center"/>
        </w:trPr>
        <w:tc>
          <w:tcPr>
            <w:tcW w:w="1300" w:type="dxa"/>
            <w:vMerge/>
            <w:tcBorders>
              <w:bottom w:val="single" w:sz="12" w:space="0" w:color="auto"/>
            </w:tcBorders>
            <w:shd w:val="clear" w:color="auto" w:fill="auto"/>
            <w:vAlign w:val="bottom"/>
          </w:tcPr>
          <w:p w:rsidR="00955676" w:rsidRPr="001818D9" w:rsidRDefault="00955676" w:rsidP="00C43389">
            <w:pPr>
              <w:spacing w:after="80" w:line="240" w:lineRule="exact"/>
              <w:ind w:left="57" w:right="57"/>
              <w:rPr>
                <w:rFonts w:hint="cs"/>
                <w:i/>
                <w:iCs/>
                <w:sz w:val="18"/>
                <w:szCs w:val="18"/>
                <w:rtl/>
              </w:rPr>
            </w:pP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453"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51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21"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721"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783"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824"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c>
          <w:tcPr>
            <w:tcW w:w="865"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ذكور</w:t>
            </w:r>
          </w:p>
        </w:tc>
        <w:tc>
          <w:tcPr>
            <w:tcW w:w="783" w:type="dxa"/>
            <w:tcBorders>
              <w:top w:val="single" w:sz="4" w:space="0" w:color="auto"/>
              <w:bottom w:val="single" w:sz="12" w:space="0" w:color="auto"/>
            </w:tcBorders>
            <w:shd w:val="clear" w:color="auto" w:fill="auto"/>
            <w:vAlign w:val="bottom"/>
          </w:tcPr>
          <w:p w:rsidR="00955676" w:rsidRPr="001818D9" w:rsidRDefault="00955676" w:rsidP="00C43389">
            <w:pPr>
              <w:spacing w:after="80" w:line="240" w:lineRule="exact"/>
              <w:ind w:left="57" w:right="144"/>
              <w:jc w:val="lowKashida"/>
              <w:rPr>
                <w:rFonts w:hint="cs"/>
                <w:i/>
                <w:iCs/>
                <w:sz w:val="18"/>
                <w:szCs w:val="18"/>
                <w:rtl/>
              </w:rPr>
            </w:pPr>
            <w:r w:rsidRPr="001818D9">
              <w:rPr>
                <w:rFonts w:hint="cs"/>
                <w:i/>
                <w:iCs/>
                <w:sz w:val="18"/>
                <w:szCs w:val="18"/>
                <w:rtl/>
              </w:rPr>
              <w:t>إناث</w:t>
            </w:r>
          </w:p>
        </w:tc>
      </w:tr>
      <w:tr w:rsidR="00955676" w:rsidRPr="001818D9">
        <w:tblPrEx>
          <w:tblCellMar>
            <w:top w:w="0" w:type="dxa"/>
            <w:bottom w:w="0" w:type="dxa"/>
          </w:tblCellMar>
        </w:tblPrEx>
        <w:trPr>
          <w:cantSplit/>
          <w:trHeight w:hRule="exact" w:val="115"/>
          <w:tblHeader/>
          <w:jc w:val="center"/>
        </w:trPr>
        <w:tc>
          <w:tcPr>
            <w:tcW w:w="1300"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57"/>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65"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tcBorders>
              <w:top w:val="single" w:sz="1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خدمة 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55</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220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103</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712 60</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510 46</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616 99</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214 116</w:t>
            </w: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887 127</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495 103</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Pr="001818D9"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خدمة عامة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16</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731 3</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151 1</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405 3</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638 1</w:t>
            </w: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876 65</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552 20</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380</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147</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366 11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201 7</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022 5</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770 3</w:t>
            </w: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256 38</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632 22</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الاتحاد)</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هيئة تشريعية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14</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614 1</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711</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837</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419</w:t>
            </w: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262 12</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154 4</w:t>
            </w: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(على مستوى الولايات)</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r>
      <w:tr w:rsidR="00955676" w:rsidRPr="001818D9">
        <w:tblPrEx>
          <w:tblCellMar>
            <w:top w:w="0" w:type="dxa"/>
            <w:bottom w:w="0" w:type="dxa"/>
          </w:tblCellMar>
        </w:tblPrEx>
        <w:trPr>
          <w:cantSplit/>
          <w:jc w:val="center"/>
        </w:trPr>
        <w:tc>
          <w:tcPr>
            <w:tcW w:w="1300" w:type="dxa"/>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سلطة محلية</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45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w:t>
            </w:r>
          </w:p>
        </w:tc>
        <w:tc>
          <w:tcPr>
            <w:tcW w:w="51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627</w:t>
            </w:r>
          </w:p>
        </w:tc>
        <w:tc>
          <w:tcPr>
            <w:tcW w:w="721"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172</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417 1</w:t>
            </w:r>
          </w:p>
        </w:tc>
        <w:tc>
          <w:tcPr>
            <w:tcW w:w="824"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474</w:t>
            </w:r>
          </w:p>
        </w:tc>
        <w:tc>
          <w:tcPr>
            <w:tcW w:w="865"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367 36</w:t>
            </w:r>
          </w:p>
        </w:tc>
        <w:tc>
          <w:tcPr>
            <w:tcW w:w="783" w:type="dxa"/>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082 6</w:t>
            </w:r>
          </w:p>
        </w:tc>
      </w:tr>
      <w:tr w:rsidR="00955676" w:rsidRPr="001818D9">
        <w:tblPrEx>
          <w:tblCellMar>
            <w:top w:w="0" w:type="dxa"/>
            <w:bottom w:w="0" w:type="dxa"/>
          </w:tblCellMar>
        </w:tblPrEx>
        <w:trPr>
          <w:cantSplit/>
          <w:jc w:val="center"/>
        </w:trPr>
        <w:tc>
          <w:tcPr>
            <w:tcW w:w="1300" w:type="dxa"/>
            <w:tcBorders>
              <w:bottom w:val="single" w:sz="2" w:space="0" w:color="auto"/>
            </w:tcBorders>
            <w:shd w:val="clear" w:color="auto" w:fill="auto"/>
            <w:vAlign w:val="bottom"/>
          </w:tcPr>
          <w:p w:rsidR="00955676" w:rsidRDefault="00955676" w:rsidP="00C43389">
            <w:pPr>
              <w:spacing w:before="40" w:after="80" w:line="240" w:lineRule="exact"/>
              <w:ind w:left="57" w:right="57"/>
              <w:rPr>
                <w:rFonts w:hint="cs"/>
                <w:sz w:val="18"/>
                <w:szCs w:val="18"/>
                <w:rtl/>
              </w:rPr>
            </w:pPr>
            <w:r>
              <w:rPr>
                <w:rFonts w:hint="cs"/>
                <w:sz w:val="18"/>
                <w:szCs w:val="18"/>
                <w:rtl/>
              </w:rPr>
              <w:t>المجموع</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453"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33</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1</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73</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653</w:t>
            </w:r>
          </w:p>
        </w:tc>
        <w:tc>
          <w:tcPr>
            <w:tcW w:w="51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274</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050 78</w:t>
            </w:r>
          </w:p>
        </w:tc>
        <w:tc>
          <w:tcPr>
            <w:tcW w:w="721"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745 55</w:t>
            </w:r>
          </w:p>
        </w:tc>
        <w:tc>
          <w:tcPr>
            <w:tcW w:w="783"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297 110</w:t>
            </w:r>
          </w:p>
        </w:tc>
        <w:tc>
          <w:tcPr>
            <w:tcW w:w="824"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515 122</w:t>
            </w:r>
          </w:p>
        </w:tc>
        <w:tc>
          <w:tcPr>
            <w:tcW w:w="865"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648 280</w:t>
            </w:r>
          </w:p>
        </w:tc>
        <w:tc>
          <w:tcPr>
            <w:tcW w:w="783" w:type="dxa"/>
            <w:tcBorders>
              <w:bottom w:val="single" w:sz="2" w:space="0" w:color="auto"/>
            </w:tcBorders>
            <w:shd w:val="clear" w:color="auto" w:fill="auto"/>
            <w:vAlign w:val="bottom"/>
          </w:tcPr>
          <w:p w:rsidR="00955676" w:rsidRPr="001818D9" w:rsidRDefault="00955676" w:rsidP="00C43389">
            <w:pPr>
              <w:spacing w:before="40" w:after="80" w:line="240" w:lineRule="exact"/>
              <w:ind w:left="57" w:right="144"/>
              <w:jc w:val="lowKashida"/>
              <w:rPr>
                <w:rFonts w:hint="cs"/>
                <w:sz w:val="18"/>
                <w:szCs w:val="18"/>
                <w:rtl/>
              </w:rPr>
            </w:pPr>
            <w:r>
              <w:rPr>
                <w:rFonts w:hint="cs"/>
                <w:sz w:val="18"/>
                <w:szCs w:val="18"/>
                <w:rtl/>
              </w:rPr>
              <w:t>915 156</w:t>
            </w:r>
          </w:p>
        </w:tc>
      </w:tr>
    </w:tbl>
    <w:p w:rsidR="00955676" w:rsidRPr="00A8208E" w:rsidRDefault="00955676" w:rsidP="00955676">
      <w:pPr>
        <w:pStyle w:val="SingleTxt"/>
        <w:spacing w:after="0" w:line="120" w:lineRule="exact"/>
        <w:rPr>
          <w:rFonts w:hint="cs"/>
          <w:sz w:val="10"/>
          <w:rtl/>
        </w:rPr>
      </w:pPr>
    </w:p>
    <w:p w:rsidR="00955676" w:rsidRDefault="00955676" w:rsidP="00955676">
      <w:pPr>
        <w:pStyle w:val="SingleTxt"/>
        <w:rPr>
          <w:rtl/>
        </w:rPr>
        <w:sectPr w:rsidR="00955676" w:rsidSect="00C43389">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901" w:header="576" w:footer="1037" w:gutter="0"/>
          <w:cols w:space="720"/>
          <w:noEndnote/>
          <w:bidi/>
          <w:rtlGutter/>
          <w:docGrid w:linePitch="280"/>
        </w:sectPr>
      </w:pPr>
    </w:p>
    <w:p w:rsidR="00824999" w:rsidRDefault="00955676" w:rsidP="00955676">
      <w:pPr>
        <w:pStyle w:val="SingleTxt"/>
        <w:rPr>
          <w:rFonts w:hint="cs"/>
          <w:rtl/>
        </w:rPr>
      </w:pPr>
      <w:r>
        <w:rPr>
          <w:rFonts w:hint="cs"/>
          <w:rtl/>
        </w:rPr>
        <w:t>الجدول 7-7 يوضح أيضا أن عدد النساء العاملات في المستويات المختلفة في الولايات، وبخاصة على مستوى السلطة المحلية منخفض جدا. ويتضح أن المرأة ممثلة تمثيلا ناقصا جدا في المستويات العليا للمجالس المحلية.</w:t>
      </w:r>
    </w:p>
    <w:p w:rsidR="00955676" w:rsidRDefault="00824999" w:rsidP="00824999">
      <w:pPr>
        <w:pStyle w:val="SingleTxt"/>
        <w:rPr>
          <w:rFonts w:hint="cs"/>
          <w:rtl/>
        </w:rPr>
      </w:pPr>
      <w:r>
        <w:rPr>
          <w:rFonts w:hint="cs"/>
          <w:rtl/>
        </w:rPr>
        <w:tab/>
      </w:r>
      <w:r w:rsidR="00955676">
        <w:rPr>
          <w:rFonts w:hint="cs"/>
          <w:rtl/>
        </w:rPr>
        <w:t xml:space="preserve">ويعتبر </w:t>
      </w:r>
      <w:r>
        <w:rPr>
          <w:rFonts w:hint="cs"/>
          <w:rtl/>
        </w:rPr>
        <w:t xml:space="preserve">التمثيل </w:t>
      </w:r>
      <w:r w:rsidR="00955676">
        <w:rPr>
          <w:rFonts w:hint="cs"/>
          <w:rtl/>
        </w:rPr>
        <w:t xml:space="preserve">الناقص للمرأة في مستويات الإدارة العليا وفي المناصب الرئيسية أحد الملامح الرئيسية للجدولين 7-8 و 7-9. ولا توجد حصص أو أهداف رسمية للتوظيف على أساس نوع الجنس. وتبذل </w:t>
      </w:r>
      <w:r>
        <w:rPr>
          <w:rFonts w:hint="cs"/>
          <w:rtl/>
        </w:rPr>
        <w:t xml:space="preserve">وزارة </w:t>
      </w:r>
      <w:r w:rsidR="00955676">
        <w:rPr>
          <w:rFonts w:hint="cs"/>
          <w:rtl/>
        </w:rPr>
        <w:t>شؤون المرأة وتنمية الأسرة حاليا جهودا لزيادة عدد النساء على مستوى صنع القرار إلى نسبة لا تقل عن 30 في المائة.</w:t>
      </w:r>
    </w:p>
    <w:p w:rsidR="00955676" w:rsidRPr="00063050"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7-8: الموظفــــون بحسب نوع الجنس وفئــــة الخدمة في القطاع العام، 1998-2000</w:t>
      </w:r>
    </w:p>
    <w:p w:rsidR="00955676" w:rsidRPr="00063050" w:rsidRDefault="00955676" w:rsidP="00955676">
      <w:pPr>
        <w:pStyle w:val="SingleTxt"/>
        <w:spacing w:after="0" w:line="120" w:lineRule="exact"/>
        <w:rPr>
          <w:rFonts w:hint="cs"/>
          <w:sz w:val="10"/>
          <w:rtl/>
        </w:rPr>
      </w:pPr>
    </w:p>
    <w:p w:rsidR="00955676" w:rsidRPr="00063050" w:rsidRDefault="00955676" w:rsidP="00955676">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1301"/>
        <w:gridCol w:w="1030"/>
        <w:gridCol w:w="927"/>
        <w:gridCol w:w="927"/>
        <w:gridCol w:w="927"/>
        <w:gridCol w:w="927"/>
        <w:gridCol w:w="927"/>
        <w:gridCol w:w="927"/>
        <w:gridCol w:w="927"/>
        <w:gridCol w:w="1030"/>
      </w:tblGrid>
      <w:tr w:rsidR="00955676" w:rsidRPr="00063050">
        <w:tblPrEx>
          <w:tblCellMar>
            <w:top w:w="0" w:type="dxa"/>
            <w:bottom w:w="0" w:type="dxa"/>
          </w:tblCellMar>
        </w:tblPrEx>
        <w:trPr>
          <w:cantSplit/>
          <w:tblHeader/>
          <w:jc w:val="center"/>
        </w:trPr>
        <w:tc>
          <w:tcPr>
            <w:tcW w:w="1301" w:type="dxa"/>
            <w:vMerge w:val="restart"/>
            <w:tcBorders>
              <w:top w:val="single" w:sz="4" w:space="0" w:color="auto"/>
            </w:tcBorders>
            <w:shd w:val="clear" w:color="auto" w:fill="auto"/>
            <w:tcMar>
              <w:left w:w="0" w:type="dxa"/>
              <w:right w:w="0" w:type="dxa"/>
            </w:tcMar>
            <w:vAlign w:val="bottom"/>
          </w:tcPr>
          <w:p w:rsidR="00955676" w:rsidRPr="00063050" w:rsidRDefault="00955676" w:rsidP="00C43389">
            <w:pPr>
              <w:spacing w:before="80" w:after="80" w:line="240" w:lineRule="exact"/>
              <w:ind w:left="57" w:right="57"/>
              <w:rPr>
                <w:rFonts w:hint="cs"/>
                <w:i/>
                <w:iCs/>
                <w:sz w:val="16"/>
                <w:szCs w:val="24"/>
                <w:rtl/>
              </w:rPr>
            </w:pPr>
            <w:r w:rsidRPr="00063050">
              <w:rPr>
                <w:rFonts w:hint="cs"/>
                <w:i/>
                <w:iCs/>
                <w:sz w:val="16"/>
                <w:szCs w:val="24"/>
                <w:rtl/>
              </w:rPr>
              <w:t xml:space="preserve">فئة الخدمة </w:t>
            </w:r>
          </w:p>
        </w:tc>
        <w:tc>
          <w:tcPr>
            <w:tcW w:w="2884" w:type="dxa"/>
            <w:gridSpan w:val="3"/>
            <w:tcBorders>
              <w:top w:val="single" w:sz="4" w:space="0" w:color="auto"/>
            </w:tcBorders>
            <w:shd w:val="clear" w:color="auto" w:fill="auto"/>
            <w:vAlign w:val="bottom"/>
          </w:tcPr>
          <w:p w:rsidR="00955676" w:rsidRPr="00063050" w:rsidRDefault="00955676" w:rsidP="00C43389">
            <w:pPr>
              <w:spacing w:before="80" w:after="80" w:line="240" w:lineRule="exact"/>
              <w:ind w:left="57" w:right="144"/>
              <w:jc w:val="center"/>
              <w:rPr>
                <w:rFonts w:hint="cs"/>
                <w:i/>
                <w:iCs/>
                <w:sz w:val="16"/>
                <w:szCs w:val="24"/>
                <w:rtl/>
              </w:rPr>
            </w:pPr>
            <w:r w:rsidRPr="00063050">
              <w:rPr>
                <w:rFonts w:hint="cs"/>
                <w:i/>
                <w:iCs/>
                <w:sz w:val="16"/>
                <w:szCs w:val="24"/>
                <w:rtl/>
              </w:rPr>
              <w:t>1998</w:t>
            </w:r>
          </w:p>
        </w:tc>
        <w:tc>
          <w:tcPr>
            <w:tcW w:w="2781" w:type="dxa"/>
            <w:gridSpan w:val="3"/>
            <w:tcBorders>
              <w:top w:val="single" w:sz="4" w:space="0" w:color="auto"/>
            </w:tcBorders>
            <w:shd w:val="clear" w:color="auto" w:fill="auto"/>
            <w:vAlign w:val="bottom"/>
          </w:tcPr>
          <w:p w:rsidR="00955676" w:rsidRPr="00063050" w:rsidRDefault="00955676" w:rsidP="00C43389">
            <w:pPr>
              <w:spacing w:before="80" w:after="80" w:line="240" w:lineRule="exact"/>
              <w:ind w:left="57" w:right="144"/>
              <w:jc w:val="center"/>
              <w:rPr>
                <w:rFonts w:hint="cs"/>
                <w:i/>
                <w:iCs/>
                <w:sz w:val="16"/>
                <w:szCs w:val="24"/>
                <w:rtl/>
              </w:rPr>
            </w:pPr>
            <w:r w:rsidRPr="00063050">
              <w:rPr>
                <w:rFonts w:hint="cs"/>
                <w:i/>
                <w:iCs/>
                <w:sz w:val="16"/>
                <w:szCs w:val="24"/>
                <w:rtl/>
              </w:rPr>
              <w:t>1999</w:t>
            </w:r>
          </w:p>
        </w:tc>
        <w:tc>
          <w:tcPr>
            <w:tcW w:w="2884" w:type="dxa"/>
            <w:gridSpan w:val="3"/>
            <w:tcBorders>
              <w:top w:val="single" w:sz="4" w:space="0" w:color="auto"/>
            </w:tcBorders>
            <w:shd w:val="clear" w:color="auto" w:fill="auto"/>
            <w:vAlign w:val="bottom"/>
          </w:tcPr>
          <w:p w:rsidR="00955676" w:rsidRPr="00063050" w:rsidRDefault="00955676" w:rsidP="00C43389">
            <w:pPr>
              <w:spacing w:before="80" w:after="80" w:line="240" w:lineRule="exact"/>
              <w:ind w:left="57" w:right="144"/>
              <w:jc w:val="center"/>
              <w:rPr>
                <w:rFonts w:hint="cs"/>
                <w:i/>
                <w:iCs/>
                <w:sz w:val="16"/>
                <w:szCs w:val="24"/>
                <w:rtl/>
              </w:rPr>
            </w:pPr>
            <w:r w:rsidRPr="00063050">
              <w:rPr>
                <w:rFonts w:hint="cs"/>
                <w:i/>
                <w:iCs/>
                <w:sz w:val="16"/>
                <w:szCs w:val="24"/>
                <w:rtl/>
              </w:rPr>
              <w:t>2000</w:t>
            </w:r>
          </w:p>
        </w:tc>
      </w:tr>
      <w:tr w:rsidR="00955676" w:rsidRPr="00063050">
        <w:tblPrEx>
          <w:tblCellMar>
            <w:top w:w="0" w:type="dxa"/>
            <w:bottom w:w="0" w:type="dxa"/>
          </w:tblCellMar>
        </w:tblPrEx>
        <w:trPr>
          <w:cantSplit/>
          <w:tblHeader/>
          <w:jc w:val="center"/>
        </w:trPr>
        <w:tc>
          <w:tcPr>
            <w:tcW w:w="1301" w:type="dxa"/>
            <w:vMerge/>
            <w:tcBorders>
              <w:bottom w:val="single" w:sz="12" w:space="0" w:color="auto"/>
            </w:tcBorders>
            <w:shd w:val="clear" w:color="auto" w:fill="auto"/>
            <w:vAlign w:val="bottom"/>
          </w:tcPr>
          <w:p w:rsidR="00955676" w:rsidRPr="00063050" w:rsidRDefault="00955676" w:rsidP="00C43389">
            <w:pPr>
              <w:spacing w:after="80" w:line="240" w:lineRule="exact"/>
              <w:ind w:left="57" w:right="57"/>
              <w:rPr>
                <w:rFonts w:hint="cs"/>
                <w:i/>
                <w:iCs/>
                <w:sz w:val="16"/>
                <w:szCs w:val="24"/>
                <w:rtl/>
              </w:rPr>
            </w:pPr>
          </w:p>
        </w:tc>
        <w:tc>
          <w:tcPr>
            <w:tcW w:w="1030"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الذكور</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الإناث</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المجموع</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الذكور</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الإناث</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المجموع</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 xml:space="preserve">الذكور </w:t>
            </w:r>
          </w:p>
        </w:tc>
        <w:tc>
          <w:tcPr>
            <w:tcW w:w="927"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الإناث</w:t>
            </w:r>
          </w:p>
        </w:tc>
        <w:tc>
          <w:tcPr>
            <w:tcW w:w="1030" w:type="dxa"/>
            <w:tcBorders>
              <w:bottom w:val="single" w:sz="12" w:space="0" w:color="auto"/>
            </w:tcBorders>
            <w:shd w:val="clear" w:color="auto" w:fill="auto"/>
            <w:vAlign w:val="bottom"/>
          </w:tcPr>
          <w:p w:rsidR="00955676" w:rsidRPr="00063050" w:rsidRDefault="00955676" w:rsidP="00C43389">
            <w:pPr>
              <w:spacing w:after="80" w:line="240" w:lineRule="exact"/>
              <w:ind w:left="57" w:right="144"/>
              <w:jc w:val="lowKashida"/>
              <w:rPr>
                <w:rFonts w:hint="cs"/>
                <w:i/>
                <w:iCs/>
                <w:sz w:val="16"/>
                <w:szCs w:val="24"/>
                <w:rtl/>
              </w:rPr>
            </w:pPr>
            <w:r w:rsidRPr="00063050">
              <w:rPr>
                <w:rFonts w:hint="cs"/>
                <w:i/>
                <w:iCs/>
                <w:sz w:val="16"/>
                <w:szCs w:val="24"/>
                <w:rtl/>
              </w:rPr>
              <w:t>المجموع</w:t>
            </w:r>
          </w:p>
        </w:tc>
      </w:tr>
      <w:tr w:rsidR="00955676" w:rsidRPr="00063050">
        <w:tblPrEx>
          <w:tblCellMar>
            <w:top w:w="0" w:type="dxa"/>
            <w:bottom w:w="0" w:type="dxa"/>
          </w:tblCellMar>
        </w:tblPrEx>
        <w:trPr>
          <w:cantSplit/>
          <w:trHeight w:hRule="exact" w:val="115"/>
          <w:tblHeader/>
          <w:jc w:val="center"/>
        </w:trPr>
        <w:tc>
          <w:tcPr>
            <w:tcW w:w="1301"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1030"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كبير الأمناء</w:t>
            </w:r>
          </w:p>
        </w:tc>
        <w:tc>
          <w:tcPr>
            <w:tcW w:w="1030"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صفر</w:t>
            </w:r>
          </w:p>
        </w:tc>
        <w:tc>
          <w:tcPr>
            <w:tcW w:w="1030" w:type="dxa"/>
            <w:shd w:val="clear" w:color="auto" w:fill="auto"/>
            <w:vAlign w:val="bottom"/>
          </w:tcPr>
          <w:p w:rsidR="00955676" w:rsidRPr="00063050" w:rsidRDefault="00955676" w:rsidP="00C43389">
            <w:pPr>
              <w:spacing w:before="40" w:after="80" w:line="240" w:lineRule="exact"/>
              <w:ind w:left="57" w:right="144"/>
              <w:jc w:val="lowKashida"/>
              <w:rPr>
                <w:rFonts w:hint="cs"/>
                <w:sz w:val="16"/>
                <w:szCs w:val="24"/>
                <w:rtl/>
              </w:rPr>
            </w:pPr>
            <w:r>
              <w:rPr>
                <w:rFonts w:hint="cs"/>
                <w:sz w:val="16"/>
                <w:szCs w:val="24"/>
                <w:rtl/>
              </w:rPr>
              <w:t>1</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من الدرجة الأولى</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من الدرجة الثانية</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5</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5</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من الدرجة الثالثة</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 من الفئة ألف</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38</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39</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31</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1</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34</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 من الفئة باء</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84</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6</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90</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77</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6</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83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73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7</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80</w:t>
            </w:r>
          </w:p>
        </w:tc>
      </w:tr>
      <w:tr w:rsidR="00955676" w:rsidRPr="00063050">
        <w:tblPrEx>
          <w:tblCellMar>
            <w:top w:w="0" w:type="dxa"/>
            <w:bottom w:w="0" w:type="dxa"/>
          </w:tblCellMar>
        </w:tblPrEx>
        <w:trPr>
          <w:cantSplit/>
          <w:jc w:val="center"/>
        </w:trPr>
        <w:tc>
          <w:tcPr>
            <w:tcW w:w="1301"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وظيفة رئيسية من الفئة جيم</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373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69</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442</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370</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69</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439</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653</w:t>
            </w:r>
          </w:p>
        </w:tc>
        <w:tc>
          <w:tcPr>
            <w:tcW w:w="927"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274</w:t>
            </w:r>
          </w:p>
        </w:tc>
        <w:tc>
          <w:tcPr>
            <w:tcW w:w="1030" w:type="dxa"/>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927</w:t>
            </w:r>
          </w:p>
        </w:tc>
      </w:tr>
      <w:tr w:rsidR="00955676" w:rsidRPr="00063050">
        <w:tblPrEx>
          <w:tblCellMar>
            <w:top w:w="0" w:type="dxa"/>
            <w:bottom w:w="0" w:type="dxa"/>
          </w:tblCellMar>
        </w:tblPrEx>
        <w:trPr>
          <w:cantSplit/>
          <w:jc w:val="center"/>
        </w:trPr>
        <w:tc>
          <w:tcPr>
            <w:tcW w:w="1301" w:type="dxa"/>
            <w:tcBorders>
              <w:bottom w:val="single" w:sz="12" w:space="0" w:color="auto"/>
            </w:tcBorders>
            <w:shd w:val="clear" w:color="auto" w:fill="auto"/>
            <w:vAlign w:val="bottom"/>
          </w:tcPr>
          <w:p w:rsidR="00955676" w:rsidRDefault="00955676" w:rsidP="00C43389">
            <w:pPr>
              <w:spacing w:before="40" w:after="80" w:line="240" w:lineRule="exact"/>
              <w:ind w:left="57" w:right="57"/>
              <w:rPr>
                <w:rFonts w:hint="cs"/>
                <w:sz w:val="16"/>
                <w:szCs w:val="24"/>
                <w:rtl/>
              </w:rPr>
            </w:pPr>
            <w:r>
              <w:rPr>
                <w:rFonts w:hint="cs"/>
                <w:sz w:val="16"/>
                <w:szCs w:val="24"/>
                <w:rtl/>
              </w:rPr>
              <w:t>وظيفة إدارية أو مهنية</w:t>
            </w:r>
          </w:p>
        </w:tc>
        <w:tc>
          <w:tcPr>
            <w:tcW w:w="1030"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875 44</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090 37</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965 81</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956 44</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557 37</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513 82</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050 73</w:t>
            </w:r>
          </w:p>
        </w:tc>
        <w:tc>
          <w:tcPr>
            <w:tcW w:w="927"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745 60</w:t>
            </w:r>
          </w:p>
        </w:tc>
        <w:tc>
          <w:tcPr>
            <w:tcW w:w="1030" w:type="dxa"/>
            <w:tcBorders>
              <w:bottom w:val="single" w:sz="12" w:space="0" w:color="auto"/>
            </w:tcBorders>
            <w:shd w:val="clear" w:color="auto" w:fill="auto"/>
            <w:vAlign w:val="bottom"/>
          </w:tcPr>
          <w:p w:rsidR="00955676" w:rsidRPr="00063050" w:rsidRDefault="00955676" w:rsidP="00C43389">
            <w:pPr>
              <w:spacing w:before="40" w:after="80" w:line="240" w:lineRule="exact"/>
              <w:ind w:left="57" w:right="57"/>
              <w:rPr>
                <w:rFonts w:hint="cs"/>
                <w:sz w:val="16"/>
                <w:szCs w:val="24"/>
                <w:rtl/>
              </w:rPr>
            </w:pPr>
            <w:r>
              <w:rPr>
                <w:rFonts w:hint="cs"/>
                <w:sz w:val="16"/>
                <w:szCs w:val="24"/>
                <w:rtl/>
              </w:rPr>
              <w:t>795 133</w:t>
            </w:r>
          </w:p>
        </w:tc>
      </w:tr>
    </w:tbl>
    <w:p w:rsidR="00955676" w:rsidRPr="005F2CF1" w:rsidRDefault="00955676" w:rsidP="00955676">
      <w:pPr>
        <w:pStyle w:val="SingleTxt"/>
        <w:spacing w:after="0" w:line="120" w:lineRule="exact"/>
        <w:rPr>
          <w:rFonts w:hint="cs"/>
          <w:sz w:val="10"/>
          <w:rtl/>
        </w:rPr>
      </w:pPr>
    </w:p>
    <w:p w:rsidR="00955676" w:rsidRDefault="00955676" w:rsidP="00514C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tab/>
      </w:r>
      <w:r>
        <w:rPr>
          <w:rFonts w:hint="cs"/>
          <w:rtl/>
        </w:rPr>
        <w:tab/>
        <w:t>الجدول 7-9: الموظفون الإداريون والدبلوماسيون، بحسب نوع الجنس و</w:t>
      </w:r>
      <w:r w:rsidR="00514C69">
        <w:rPr>
          <w:rFonts w:hint="cs"/>
          <w:rtl/>
        </w:rPr>
        <w:t xml:space="preserve">الدرجة </w:t>
      </w:r>
      <w:r>
        <w:rPr>
          <w:rFonts w:hint="cs"/>
          <w:rtl/>
        </w:rPr>
        <w:t>(1998-2000)</w:t>
      </w:r>
      <w:r w:rsidR="00DA66C1">
        <w:t xml:space="preserve"> </w:t>
      </w:r>
    </w:p>
    <w:p w:rsidR="00955676" w:rsidRPr="005F2CF1" w:rsidRDefault="00955676" w:rsidP="0095567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403"/>
        <w:gridCol w:w="927"/>
        <w:gridCol w:w="824"/>
        <w:gridCol w:w="927"/>
        <w:gridCol w:w="721"/>
        <w:gridCol w:w="824"/>
        <w:gridCol w:w="696"/>
      </w:tblGrid>
      <w:tr w:rsidR="00955676" w:rsidRPr="005F2CF1">
        <w:tblPrEx>
          <w:tblCellMar>
            <w:top w:w="0" w:type="dxa"/>
            <w:bottom w:w="0" w:type="dxa"/>
          </w:tblCellMar>
        </w:tblPrEx>
        <w:trPr>
          <w:cantSplit/>
          <w:tblHeader/>
        </w:trPr>
        <w:tc>
          <w:tcPr>
            <w:tcW w:w="2403" w:type="dxa"/>
            <w:vMerge w:val="restart"/>
            <w:tcBorders>
              <w:top w:val="single" w:sz="4"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80" w:after="80" w:line="240" w:lineRule="exact"/>
              <w:ind w:left="57" w:right="57"/>
              <w:rPr>
                <w:rFonts w:hint="cs"/>
                <w:i/>
                <w:iCs/>
                <w:sz w:val="16"/>
                <w:szCs w:val="24"/>
                <w:rtl/>
              </w:rPr>
            </w:pPr>
            <w:r w:rsidRPr="005F2CF1">
              <w:rPr>
                <w:rFonts w:hint="cs"/>
                <w:i/>
                <w:iCs/>
                <w:sz w:val="16"/>
                <w:szCs w:val="24"/>
                <w:rtl/>
              </w:rPr>
              <w:t>الدرجة</w:t>
            </w:r>
          </w:p>
        </w:tc>
        <w:tc>
          <w:tcPr>
            <w:tcW w:w="1751" w:type="dxa"/>
            <w:gridSpan w:val="2"/>
            <w:tcBorders>
              <w:top w:val="single" w:sz="4"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80" w:after="80" w:line="240" w:lineRule="exact"/>
              <w:ind w:left="57" w:right="144"/>
              <w:jc w:val="lowKashida"/>
              <w:rPr>
                <w:rFonts w:hint="cs"/>
                <w:i/>
                <w:iCs/>
                <w:sz w:val="16"/>
                <w:szCs w:val="24"/>
                <w:rtl/>
              </w:rPr>
            </w:pPr>
            <w:r w:rsidRPr="005F2CF1">
              <w:rPr>
                <w:rFonts w:hint="cs"/>
                <w:i/>
                <w:iCs/>
                <w:sz w:val="16"/>
                <w:szCs w:val="24"/>
                <w:rtl/>
              </w:rPr>
              <w:t>1998</w:t>
            </w:r>
          </w:p>
        </w:tc>
        <w:tc>
          <w:tcPr>
            <w:tcW w:w="1648" w:type="dxa"/>
            <w:gridSpan w:val="2"/>
            <w:tcBorders>
              <w:top w:val="single" w:sz="4"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80" w:after="80" w:line="240" w:lineRule="exact"/>
              <w:ind w:left="57" w:right="144"/>
              <w:jc w:val="lowKashida"/>
              <w:rPr>
                <w:rFonts w:hint="cs"/>
                <w:i/>
                <w:iCs/>
                <w:sz w:val="16"/>
                <w:szCs w:val="24"/>
                <w:rtl/>
              </w:rPr>
            </w:pPr>
            <w:r w:rsidRPr="005F2CF1">
              <w:rPr>
                <w:rFonts w:hint="cs"/>
                <w:i/>
                <w:iCs/>
                <w:sz w:val="16"/>
                <w:szCs w:val="24"/>
                <w:rtl/>
              </w:rPr>
              <w:t>1999</w:t>
            </w:r>
          </w:p>
        </w:tc>
        <w:tc>
          <w:tcPr>
            <w:tcW w:w="1520" w:type="dxa"/>
            <w:gridSpan w:val="2"/>
            <w:tcBorders>
              <w:top w:val="single" w:sz="4"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80" w:after="80" w:line="240" w:lineRule="exact"/>
              <w:ind w:left="57" w:right="144"/>
              <w:jc w:val="lowKashida"/>
              <w:rPr>
                <w:rFonts w:hint="cs"/>
                <w:i/>
                <w:iCs/>
                <w:sz w:val="16"/>
                <w:szCs w:val="24"/>
                <w:rtl/>
              </w:rPr>
            </w:pPr>
            <w:r w:rsidRPr="005F2CF1">
              <w:rPr>
                <w:rFonts w:hint="cs"/>
                <w:i/>
                <w:iCs/>
                <w:sz w:val="16"/>
                <w:szCs w:val="24"/>
                <w:rtl/>
              </w:rPr>
              <w:t>2000</w:t>
            </w:r>
          </w:p>
        </w:tc>
      </w:tr>
      <w:tr w:rsidR="00955676" w:rsidRPr="005F2CF1">
        <w:tblPrEx>
          <w:tblCellMar>
            <w:top w:w="0" w:type="dxa"/>
            <w:bottom w:w="0" w:type="dxa"/>
          </w:tblCellMar>
        </w:tblPrEx>
        <w:trPr>
          <w:cantSplit/>
          <w:tblHeader/>
        </w:trPr>
        <w:tc>
          <w:tcPr>
            <w:tcW w:w="2403" w:type="dxa"/>
            <w:vMerge/>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57"/>
              <w:rPr>
                <w:rFonts w:hint="cs"/>
                <w:i/>
                <w:iCs/>
                <w:sz w:val="16"/>
                <w:szCs w:val="24"/>
                <w:rtl/>
              </w:rPr>
            </w:pPr>
          </w:p>
        </w:tc>
        <w:tc>
          <w:tcPr>
            <w:tcW w:w="927"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الذكور</w:t>
            </w:r>
          </w:p>
        </w:tc>
        <w:tc>
          <w:tcPr>
            <w:tcW w:w="824"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الإناث</w:t>
            </w:r>
          </w:p>
        </w:tc>
        <w:tc>
          <w:tcPr>
            <w:tcW w:w="927"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الذكور</w:t>
            </w:r>
          </w:p>
        </w:tc>
        <w:tc>
          <w:tcPr>
            <w:tcW w:w="721"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الإناث</w:t>
            </w:r>
          </w:p>
        </w:tc>
        <w:tc>
          <w:tcPr>
            <w:tcW w:w="824"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الذكور</w:t>
            </w:r>
          </w:p>
        </w:tc>
        <w:tc>
          <w:tcPr>
            <w:tcW w:w="696"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after="80" w:line="240" w:lineRule="exact"/>
              <w:ind w:left="57" w:right="144"/>
              <w:jc w:val="lowKashida"/>
              <w:rPr>
                <w:rFonts w:hint="cs"/>
                <w:i/>
                <w:iCs/>
                <w:sz w:val="16"/>
                <w:szCs w:val="24"/>
                <w:rtl/>
              </w:rPr>
            </w:pPr>
            <w:r w:rsidRPr="005F2CF1">
              <w:rPr>
                <w:rFonts w:hint="cs"/>
                <w:i/>
                <w:iCs/>
                <w:sz w:val="16"/>
                <w:szCs w:val="24"/>
                <w:rtl/>
              </w:rPr>
              <w:t>الإناث</w:t>
            </w:r>
          </w:p>
        </w:tc>
      </w:tr>
      <w:tr w:rsidR="00955676" w:rsidRPr="005F2CF1">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927"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824"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927"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721"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824"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696" w:type="dxa"/>
            <w:tcBorders>
              <w:top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كبير الأمناء</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وظيفة رئيسية من الدرجة الأولى</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وظيفة رئيسية من الدرجة الثانية</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2</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وظيفة رئيسية من الدرجة الثالثة</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6</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10</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ألف</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17</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13</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14</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باء</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36</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38</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صفر</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21</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7</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جيم</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46</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52</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78</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24</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1</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168</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27</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144</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20</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192</w:t>
            </w: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53</w:t>
            </w:r>
          </w:p>
        </w:tc>
      </w:tr>
      <w:tr w:rsidR="00955676" w:rsidRPr="005F2CF1">
        <w:tblPrEx>
          <w:tblCellMar>
            <w:top w:w="0" w:type="dxa"/>
            <w:bottom w:w="0" w:type="dxa"/>
          </w:tblCellMar>
        </w:tblPrEx>
        <w:trPr>
          <w:cantSplit/>
        </w:trPr>
        <w:tc>
          <w:tcPr>
            <w:tcW w:w="2403"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2</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809</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170</w:t>
            </w:r>
          </w:p>
        </w:tc>
        <w:tc>
          <w:tcPr>
            <w:tcW w:w="927"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777</w:t>
            </w:r>
          </w:p>
        </w:tc>
        <w:tc>
          <w:tcPr>
            <w:tcW w:w="721"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150</w:t>
            </w:r>
          </w:p>
        </w:tc>
        <w:tc>
          <w:tcPr>
            <w:tcW w:w="824"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c>
          <w:tcPr>
            <w:tcW w:w="696" w:type="dxa"/>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p>
        </w:tc>
      </w:tr>
      <w:tr w:rsidR="00955676" w:rsidRPr="005F2CF1">
        <w:tblPrEx>
          <w:tblCellMar>
            <w:top w:w="0" w:type="dxa"/>
            <w:bottom w:w="0" w:type="dxa"/>
          </w:tblCellMar>
        </w:tblPrEx>
        <w:trPr>
          <w:cantSplit/>
        </w:trPr>
        <w:tc>
          <w:tcPr>
            <w:tcW w:w="2403"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الدرجة 3</w:t>
            </w:r>
          </w:p>
        </w:tc>
        <w:tc>
          <w:tcPr>
            <w:tcW w:w="927"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057 2</w:t>
            </w:r>
          </w:p>
        </w:tc>
        <w:tc>
          <w:tcPr>
            <w:tcW w:w="824"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567</w:t>
            </w:r>
          </w:p>
        </w:tc>
        <w:tc>
          <w:tcPr>
            <w:tcW w:w="927"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091 2</w:t>
            </w:r>
          </w:p>
        </w:tc>
        <w:tc>
          <w:tcPr>
            <w:tcW w:w="721"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592</w:t>
            </w:r>
          </w:p>
        </w:tc>
        <w:tc>
          <w:tcPr>
            <w:tcW w:w="824"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602 1</w:t>
            </w:r>
          </w:p>
        </w:tc>
        <w:tc>
          <w:tcPr>
            <w:tcW w:w="696" w:type="dxa"/>
            <w:tcBorders>
              <w:bottom w:val="single" w:sz="12" w:space="0" w:color="auto"/>
            </w:tcBorders>
            <w:shd w:val="clear" w:color="auto" w:fill="auto"/>
            <w:vAlign w:val="bottom"/>
          </w:tcPr>
          <w:p w:rsidR="00955676" w:rsidRPr="005F2CF1" w:rsidRDefault="00955676" w:rsidP="00C43389">
            <w:pPr>
              <w:tabs>
                <w:tab w:val="left" w:pos="288"/>
                <w:tab w:val="left" w:pos="576"/>
                <w:tab w:val="left" w:pos="864"/>
                <w:tab w:val="left" w:pos="1152"/>
              </w:tabs>
              <w:spacing w:before="40" w:after="80" w:line="240" w:lineRule="exact"/>
              <w:ind w:left="57" w:right="57"/>
              <w:rPr>
                <w:rFonts w:hint="cs"/>
                <w:sz w:val="16"/>
                <w:szCs w:val="24"/>
                <w:rtl/>
              </w:rPr>
            </w:pPr>
            <w:r>
              <w:rPr>
                <w:rFonts w:hint="cs"/>
                <w:sz w:val="16"/>
                <w:szCs w:val="24"/>
                <w:rtl/>
              </w:rPr>
              <w:t>617</w:t>
            </w:r>
          </w:p>
        </w:tc>
      </w:tr>
    </w:tbl>
    <w:p w:rsidR="00955676" w:rsidRPr="002775E4" w:rsidRDefault="00955676" w:rsidP="00955676">
      <w:pPr>
        <w:pStyle w:val="SingleTxt"/>
        <w:spacing w:after="0" w:line="120" w:lineRule="exact"/>
        <w:rPr>
          <w:rFonts w:hint="cs"/>
          <w:sz w:val="10"/>
          <w:rtl/>
        </w:rPr>
      </w:pPr>
    </w:p>
    <w:p w:rsidR="00514C69" w:rsidRDefault="00514C69"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955676" w:rsidRPr="00514C69" w:rsidRDefault="00514C69" w:rsidP="00514C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55676" w:rsidRPr="00514C69">
        <w:rPr>
          <w:rFonts w:hint="cs"/>
          <w:rtl/>
        </w:rPr>
        <w:t>أسباب تمثيل المرأة تمثيلا ناقصا في الرتب الرئيسية</w:t>
      </w:r>
      <w:r>
        <w:rPr>
          <w:rFonts w:hint="cs"/>
          <w:rtl/>
        </w:rPr>
        <w:t>/رتب صنع القرار في القطاع العام</w:t>
      </w:r>
    </w:p>
    <w:p w:rsidR="00955676" w:rsidRDefault="00955676" w:rsidP="00514C69">
      <w:pPr>
        <w:pStyle w:val="SingleTxt"/>
        <w:rPr>
          <w:rFonts w:hint="cs"/>
          <w:rtl/>
        </w:rPr>
      </w:pPr>
      <w:r>
        <w:rPr>
          <w:rFonts w:hint="cs"/>
          <w:rtl/>
        </w:rPr>
        <w:t>123 -</w:t>
      </w:r>
      <w:r>
        <w:rPr>
          <w:rFonts w:hint="cs"/>
          <w:rtl/>
        </w:rPr>
        <w:tab/>
        <w:t>على الرغم من إجراء عدد من الدراسات بشأن المسائل المتصلة بالمرأة في القطاع العام في ماليزيا، لم تجر أي دراسة مفصلة بشأن العقبا</w:t>
      </w:r>
      <w:r w:rsidR="00514C69">
        <w:rPr>
          <w:rFonts w:hint="cs"/>
          <w:rtl/>
        </w:rPr>
        <w:t>ت المحددة التي تسهم في ندرة عدد</w:t>
      </w:r>
      <w:r>
        <w:rPr>
          <w:rFonts w:hint="cs"/>
          <w:rtl/>
        </w:rPr>
        <w:t xml:space="preserve"> النساء في هذا المجال. ولربما تعزى هذه الفجوة إلى أن مسألة </w:t>
      </w:r>
      <w:r w:rsidR="00514C69">
        <w:rPr>
          <w:rFonts w:hint="cs"/>
          <w:rtl/>
        </w:rPr>
        <w:t xml:space="preserve">المرأة </w:t>
      </w:r>
      <w:r>
        <w:rPr>
          <w:rFonts w:hint="cs"/>
          <w:rtl/>
        </w:rPr>
        <w:t xml:space="preserve">في القطاع العام في ماليزيا حديثة نسبيا. ولهذا، يستخدم هذا التقرير، في محاولة للعثور على أسباب أو إيضاحات ممكنة لتمثيل المرأة تمثيلا ناقصا في القطاع العام، دراسة </w:t>
      </w:r>
      <w:r w:rsidR="00514C69">
        <w:rPr>
          <w:rFonts w:hint="cs"/>
          <w:rtl/>
        </w:rPr>
        <w:t xml:space="preserve">تفحّصت </w:t>
      </w:r>
      <w:r>
        <w:rPr>
          <w:rFonts w:hint="cs"/>
          <w:rtl/>
        </w:rPr>
        <w:t xml:space="preserve">العوامل التي تقف كعقبات أمام مواصلة المرأة حياة وظيفية في </w:t>
      </w:r>
      <w:r w:rsidR="00514C69">
        <w:rPr>
          <w:rFonts w:hint="cs"/>
          <w:rtl/>
        </w:rPr>
        <w:t>السلك الإداري والدبلوماسي</w:t>
      </w:r>
      <w:r>
        <w:rPr>
          <w:rFonts w:hint="cs"/>
          <w:rtl/>
        </w:rPr>
        <w:t xml:space="preserve"> على مدى فترة عشر سنوات (1984-1994). وفي هذه الدراسة، تم فحص كل مرحلة من مراحل العملية بعناية (التوظيف، وتقديم الطلبات، وإسناد الوظائف وما إلى ذلك). ويرد أدناه موجز للنتائج الرئيسية التي توصلت إليها الدراسة.</w:t>
      </w:r>
    </w:p>
    <w:p w:rsidR="00955676" w:rsidRDefault="00955676" w:rsidP="00955676">
      <w:pPr>
        <w:pStyle w:val="SingleTxt"/>
        <w:rPr>
          <w:rFonts w:hint="cs"/>
          <w:rtl/>
        </w:rPr>
      </w:pPr>
      <w:r>
        <w:rPr>
          <w:rFonts w:hint="cs"/>
          <w:rtl/>
        </w:rPr>
        <w:t>(أ)</w:t>
      </w:r>
      <w:r>
        <w:rPr>
          <w:rFonts w:hint="cs"/>
          <w:rtl/>
        </w:rPr>
        <w:tab/>
        <w:t>تقديم الطلبات</w:t>
      </w:r>
    </w:p>
    <w:p w:rsidR="00955676" w:rsidRDefault="00955676" w:rsidP="00955676">
      <w:pPr>
        <w:pStyle w:val="SingleTxt"/>
        <w:rPr>
          <w:rFonts w:hint="cs"/>
          <w:rtl/>
        </w:rPr>
      </w:pPr>
      <w:r>
        <w:rPr>
          <w:rFonts w:hint="cs"/>
          <w:rtl/>
        </w:rPr>
        <w:tab/>
        <w:t>في التسعينات، لم يكن هناك نقص في عدد المتقدمات الواعدات، كما يستدل من عدد الطلبات المقدمة من النساء على مدى السنوات المشمولة بالدراسة (1984-1994).</w:t>
      </w:r>
    </w:p>
    <w:p w:rsidR="00955676" w:rsidRDefault="00955676" w:rsidP="00955676">
      <w:pPr>
        <w:pStyle w:val="SingleTxt"/>
        <w:rPr>
          <w:rFonts w:hint="cs"/>
          <w:rtl/>
        </w:rPr>
      </w:pPr>
      <w:r>
        <w:rPr>
          <w:rtl/>
        </w:rPr>
        <w:br w:type="page"/>
      </w:r>
      <w:r>
        <w:rPr>
          <w:rFonts w:hint="cs"/>
          <w:rtl/>
        </w:rPr>
        <w:t>(ب)</w:t>
      </w:r>
      <w:r>
        <w:rPr>
          <w:rFonts w:hint="cs"/>
          <w:rtl/>
        </w:rPr>
        <w:tab/>
        <w:t>التوظيف</w:t>
      </w:r>
    </w:p>
    <w:p w:rsidR="00955676" w:rsidRDefault="00955676" w:rsidP="00955676">
      <w:pPr>
        <w:pStyle w:val="SingleTxt"/>
        <w:rPr>
          <w:rFonts w:hint="cs"/>
          <w:rtl/>
        </w:rPr>
      </w:pPr>
      <w:r>
        <w:rPr>
          <w:rFonts w:hint="cs"/>
          <w:rtl/>
        </w:rPr>
        <w:tab/>
        <w:t>توضح الدراسة أن أكبر مصدر للتفاوت العددي بين الرجال والنساء في القطاع العام هو كثرة عدد الرجال المعينين بداية في الخدمة.</w:t>
      </w:r>
    </w:p>
    <w:p w:rsidR="00955676" w:rsidRDefault="00955676" w:rsidP="00955676">
      <w:pPr>
        <w:pStyle w:val="SingleTxt"/>
        <w:rPr>
          <w:rFonts w:hint="cs"/>
          <w:rtl/>
        </w:rPr>
      </w:pPr>
      <w:r>
        <w:rPr>
          <w:rFonts w:hint="cs"/>
          <w:rtl/>
        </w:rPr>
        <w:t>(ج)</w:t>
      </w:r>
      <w:r>
        <w:rPr>
          <w:rFonts w:hint="cs"/>
          <w:rtl/>
        </w:rPr>
        <w:tab/>
        <w:t>التدريب في أثناء الخدمة</w:t>
      </w:r>
    </w:p>
    <w:p w:rsidR="00955676" w:rsidRDefault="00955676" w:rsidP="00955676">
      <w:pPr>
        <w:pStyle w:val="SingleTxt"/>
        <w:rPr>
          <w:rFonts w:hint="cs"/>
          <w:rtl/>
        </w:rPr>
      </w:pPr>
      <w:r>
        <w:rPr>
          <w:rFonts w:hint="cs"/>
          <w:rtl/>
        </w:rPr>
        <w:tab/>
        <w:t>تكشف الدراسة النقاب عن أن المتدربات لم يخضعن للتمييز ولم يعاملن معاملة مختلفة في أي وحدة من وحدات البرامج التدريبية السابقة للخدمة في السلك الإداري والدبلوماسي.</w:t>
      </w:r>
    </w:p>
    <w:p w:rsidR="00955676" w:rsidRDefault="00955676" w:rsidP="00955676">
      <w:pPr>
        <w:pStyle w:val="SingleTxt"/>
        <w:rPr>
          <w:rFonts w:hint="cs"/>
          <w:rtl/>
        </w:rPr>
      </w:pPr>
      <w:r>
        <w:rPr>
          <w:rFonts w:hint="cs"/>
          <w:rtl/>
        </w:rPr>
        <w:t>(د)</w:t>
      </w:r>
      <w:r>
        <w:rPr>
          <w:rFonts w:hint="cs"/>
          <w:rtl/>
        </w:rPr>
        <w:tab/>
        <w:t>إسناد الوظائف</w:t>
      </w:r>
    </w:p>
    <w:p w:rsidR="00955676" w:rsidRDefault="00955676" w:rsidP="00955676">
      <w:pPr>
        <w:pStyle w:val="SingleTxt"/>
        <w:rPr>
          <w:rFonts w:hint="cs"/>
          <w:rtl/>
        </w:rPr>
      </w:pPr>
      <w:r>
        <w:rPr>
          <w:rFonts w:hint="cs"/>
          <w:rtl/>
        </w:rPr>
        <w:tab/>
        <w:t xml:space="preserve">كلفت الموظفات ذوات الرتب الدنيا في السلك الإداري والدبلوماسي بالعمل في البداية في جميع الوزارات والإدارات بنفس عدد نظرائهم تقريبا من الموظفين الذكور. ولكن مع ارتقاء تلك الموظفات السلم الوظيفي، تبين أنهن يتجمعن فيما يسمى </w:t>
      </w:r>
      <w:r>
        <w:rPr>
          <w:rFonts w:hint="eastAsia"/>
          <w:rtl/>
        </w:rPr>
        <w:t>”المنظمات النسائية</w:t>
      </w:r>
      <w:r>
        <w:rPr>
          <w:rFonts w:hint="cs"/>
          <w:rtl/>
        </w:rPr>
        <w:t>“.</w:t>
      </w:r>
    </w:p>
    <w:p w:rsidR="00955676" w:rsidRDefault="00955676" w:rsidP="00955676">
      <w:pPr>
        <w:pStyle w:val="SingleTxt"/>
        <w:rPr>
          <w:rFonts w:hint="cs"/>
          <w:rtl/>
        </w:rPr>
      </w:pPr>
      <w:r>
        <w:rPr>
          <w:rFonts w:hint="cs"/>
          <w:rtl/>
        </w:rPr>
        <w:t>(هـ)</w:t>
      </w:r>
      <w:r>
        <w:rPr>
          <w:rFonts w:hint="cs"/>
          <w:rtl/>
        </w:rPr>
        <w:tab/>
        <w:t>التدريب</w:t>
      </w:r>
    </w:p>
    <w:p w:rsidR="00955676" w:rsidRDefault="00955676" w:rsidP="00514C69">
      <w:pPr>
        <w:pStyle w:val="SingleTxt"/>
        <w:rPr>
          <w:rFonts w:hint="cs"/>
          <w:rtl/>
        </w:rPr>
      </w:pPr>
      <w:r>
        <w:rPr>
          <w:rFonts w:hint="cs"/>
          <w:rtl/>
        </w:rPr>
        <w:tab/>
        <w:t>يتضح من تحليل العدد الإجمالي والحصص النسبية للرجال والنساء الذين حضروا الدورات التدريبية الخاصة بالسلك الإداري والدبلوماسي في الفترة من 1984 إلى 1992 أن عدد ونسبة النساء كانا أقل بكثير من عدد ونسبة الرجال في جميع الدورات التدريبية على اختلاف أنواعها. وتبين من تحليل أربعة أنماط من الدورات التدريبية التي حضرها الرجال والنساء على مدى فترة تسع سنوات أن النساء لم يتجاوز</w:t>
      </w:r>
      <w:r w:rsidR="00514C69">
        <w:rPr>
          <w:rFonts w:hint="cs"/>
          <w:rtl/>
        </w:rPr>
        <w:t>ن</w:t>
      </w:r>
      <w:r>
        <w:rPr>
          <w:rFonts w:hint="cs"/>
          <w:rtl/>
        </w:rPr>
        <w:t xml:space="preserve"> نسبة 20 في المائة من العدد الإجمالي للمشتركين في الدورات.</w:t>
      </w:r>
    </w:p>
    <w:p w:rsidR="00955676" w:rsidRDefault="00955676" w:rsidP="00955676">
      <w:pPr>
        <w:pStyle w:val="SingleTxt"/>
        <w:rPr>
          <w:rFonts w:hint="cs"/>
          <w:rtl/>
        </w:rPr>
      </w:pPr>
      <w:r>
        <w:rPr>
          <w:rFonts w:hint="cs"/>
          <w:rtl/>
        </w:rPr>
        <w:t>(و)</w:t>
      </w:r>
      <w:r>
        <w:rPr>
          <w:rFonts w:hint="cs"/>
          <w:rtl/>
        </w:rPr>
        <w:tab/>
        <w:t>فرص الترقية</w:t>
      </w:r>
    </w:p>
    <w:p w:rsidR="00955676" w:rsidRDefault="00955676" w:rsidP="00955676">
      <w:pPr>
        <w:pStyle w:val="SingleTxt"/>
        <w:rPr>
          <w:rFonts w:hint="cs"/>
          <w:rtl/>
        </w:rPr>
      </w:pPr>
      <w:r>
        <w:rPr>
          <w:rFonts w:hint="cs"/>
          <w:rtl/>
        </w:rPr>
        <w:tab/>
        <w:t xml:space="preserve">توضح الدراسة </w:t>
      </w:r>
      <w:r w:rsidR="00514C69">
        <w:rPr>
          <w:rFonts w:hint="cs"/>
          <w:rtl/>
        </w:rPr>
        <w:t xml:space="preserve">بصفة عامة </w:t>
      </w:r>
      <w:r>
        <w:rPr>
          <w:rFonts w:hint="cs"/>
          <w:rtl/>
        </w:rPr>
        <w:t>وجود احتمال ضئيل باستبعاد الموظفات العاملات في السلك الإداري والدبلوماسي من الترقية بالمقارنة مع نظرائهن من الموظفين الذكور، وبخاصة في رتب الإدارة الوسطى.</w:t>
      </w:r>
    </w:p>
    <w:p w:rsidR="00955676" w:rsidRDefault="00955676" w:rsidP="00514C69">
      <w:pPr>
        <w:pStyle w:val="SingleTxt"/>
        <w:rPr>
          <w:rFonts w:hint="cs"/>
          <w:rtl/>
        </w:rPr>
      </w:pPr>
      <w:r>
        <w:rPr>
          <w:rFonts w:hint="cs"/>
          <w:rtl/>
        </w:rPr>
        <w:tab/>
        <w:t>وتبين الدراسة أيضا أن قلة عدد الموظفات اللائي يعبرن م</w:t>
      </w:r>
      <w:r w:rsidR="00514C69">
        <w:rPr>
          <w:rFonts w:hint="cs"/>
          <w:rtl/>
        </w:rPr>
        <w:t>صفاة</w:t>
      </w:r>
      <w:r>
        <w:rPr>
          <w:rFonts w:hint="cs"/>
          <w:rtl/>
        </w:rPr>
        <w:t xml:space="preserve"> الترقية تعزى إلى قلة عدد الموظفات في الرتبة السابقة مباشرة للوظيفة المشمولة بالترقية وذلك بالنظر لتعيين عدد أقل من النساء في الخدمة كل سنة بالمقارنة مع عدد الرجال.</w:t>
      </w:r>
    </w:p>
    <w:p w:rsidR="00955676" w:rsidRPr="00645C52" w:rsidRDefault="00955676" w:rsidP="00955676">
      <w:pPr>
        <w:pStyle w:val="SingleTxt"/>
        <w:spacing w:after="0" w:line="120" w:lineRule="exact"/>
        <w:rPr>
          <w:rFonts w:hint="cs"/>
          <w:sz w:val="10"/>
          <w:rtl/>
        </w:rPr>
      </w:pP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المرأة في النقابات العمالية</w:t>
      </w:r>
    </w:p>
    <w:p w:rsidR="00955676" w:rsidRDefault="00955676" w:rsidP="00514C69">
      <w:pPr>
        <w:pStyle w:val="SingleTxt"/>
        <w:rPr>
          <w:rFonts w:hint="cs"/>
          <w:rtl/>
        </w:rPr>
      </w:pPr>
      <w:r>
        <w:rPr>
          <w:rFonts w:hint="cs"/>
          <w:rtl/>
        </w:rPr>
        <w:t>124 -</w:t>
      </w:r>
      <w:r>
        <w:rPr>
          <w:rFonts w:hint="cs"/>
          <w:rtl/>
        </w:rPr>
        <w:tab/>
        <w:t>فـــي عام 1995، كــــان هناك 504 نقابــــ</w:t>
      </w:r>
      <w:r w:rsidR="00514C69">
        <w:rPr>
          <w:rFonts w:hint="cs"/>
          <w:rtl/>
        </w:rPr>
        <w:t>ات</w:t>
      </w:r>
      <w:r>
        <w:rPr>
          <w:rFonts w:hint="cs"/>
          <w:rtl/>
        </w:rPr>
        <w:t xml:space="preserve"> عمالية يبلغ مجموع أعضائها حوالي 300 706 عضو منهم 946 255 عضوة (أي نسبة 36.2 في المائة) من النساء. وارتفع عدد العمال الأعضاء في النقابات العمالية بحلول عام 1998 إلى 636 739 عضوا منهم 143 468 من الرجال (نسبة 63.3 في المائة) و 493 271 من ا</w:t>
      </w:r>
      <w:r w:rsidR="00514C69">
        <w:rPr>
          <w:rFonts w:hint="cs"/>
          <w:rtl/>
        </w:rPr>
        <w:t xml:space="preserve">لنساء </w:t>
      </w:r>
      <w:r>
        <w:rPr>
          <w:rFonts w:hint="cs"/>
          <w:rtl/>
        </w:rPr>
        <w:t xml:space="preserve">(36.7 في المائة). ومن ثم، حدثت زيادة طفيفة في عدد العضوات في النقابات العمالية خلال هذه الفترة. غير أن هذه الأرقام لا تشمل أعضاء اتحادات النقابات أو رابطات أو منظمات </w:t>
      </w:r>
      <w:r w:rsidR="00514C69">
        <w:rPr>
          <w:rFonts w:hint="cs"/>
          <w:rtl/>
        </w:rPr>
        <w:t>أربا</w:t>
      </w:r>
      <w:r w:rsidR="00DA0E07">
        <w:rPr>
          <w:rFonts w:hint="cs"/>
          <w:rtl/>
        </w:rPr>
        <w:t>ب</w:t>
      </w:r>
      <w:r w:rsidR="00514C69">
        <w:rPr>
          <w:rFonts w:hint="cs"/>
          <w:rtl/>
        </w:rPr>
        <w:t xml:space="preserve"> العمل</w:t>
      </w:r>
      <w:r>
        <w:rPr>
          <w:rFonts w:hint="cs"/>
          <w:rtl/>
        </w:rPr>
        <w:t>.</w:t>
      </w:r>
    </w:p>
    <w:p w:rsidR="00955676" w:rsidRDefault="00955676" w:rsidP="00514C69">
      <w:pPr>
        <w:pStyle w:val="SingleTxt"/>
        <w:rPr>
          <w:rFonts w:hint="cs"/>
          <w:rtl/>
        </w:rPr>
      </w:pPr>
      <w:r>
        <w:rPr>
          <w:rFonts w:hint="cs"/>
          <w:rtl/>
        </w:rPr>
        <w:t>125 -</w:t>
      </w:r>
      <w:r>
        <w:rPr>
          <w:rFonts w:hint="cs"/>
          <w:rtl/>
        </w:rPr>
        <w:tab/>
        <w:t>وعلى الرغم من أن النساء يشكلن حوالي ثلث عدد أعضاء النقابات العمالية فإن تمثيلهن على صعيد القيادة تمثيل منخفض. وعند إعداد هذا التقرير، لم تتوفر تفاصيل كاملة عن عدد العضوات في قيادات النقابات العمالية ولكن تشير التقديرات إلى أن نسبتهن لا تتجاوز 1 في المائة على مستوى القيادة أو في رتب الإدارة العليا في النقابات. وهذا الغياب العام على مستوى قمة حركة النقابات العمالية أثر على المسائل المتصلة بالمرأة من قبيل بيئة العمل. وبالرغم من ذلك، يجب التشديد على أن المرأة تحصل على أجر متساو مقابل العمل المتساوي القيمة.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المتخذة وآفاق المستقبل</w:t>
      </w:r>
    </w:p>
    <w:p w:rsidR="00955676" w:rsidRPr="000C1EE9" w:rsidRDefault="00955676" w:rsidP="00955676">
      <w:pPr>
        <w:pStyle w:val="SingleTxt"/>
        <w:rPr>
          <w:rFonts w:hint="cs"/>
          <w:rtl/>
        </w:rPr>
      </w:pPr>
      <w:r>
        <w:rPr>
          <w:rFonts w:hint="cs"/>
          <w:rtl/>
        </w:rPr>
        <w:t>القضاء على القوالب النمطية والافتراضات السلبية حيال المرأة في مكان العمل</w:t>
      </w:r>
    </w:p>
    <w:p w:rsidR="00955676" w:rsidRDefault="00955676" w:rsidP="00212869">
      <w:pPr>
        <w:pStyle w:val="SingleTxt"/>
        <w:rPr>
          <w:rFonts w:hint="cs"/>
          <w:rtl/>
        </w:rPr>
      </w:pPr>
      <w:r>
        <w:rPr>
          <w:rFonts w:hint="cs"/>
          <w:rtl/>
        </w:rPr>
        <w:t>126 -</w:t>
      </w:r>
      <w:r>
        <w:rPr>
          <w:rFonts w:hint="cs"/>
          <w:rtl/>
        </w:rPr>
        <w:tab/>
        <w:t xml:space="preserve">كيما يحدث تغيير في وضع المرأة في الإدارة، لا بد من أن تسود في الممارسة التنظيمية عقلية </w:t>
      </w:r>
      <w:r w:rsidR="00212869">
        <w:rPr>
          <w:rFonts w:hint="cs"/>
          <w:rtl/>
        </w:rPr>
        <w:t>تُثمِّن</w:t>
      </w:r>
      <w:r>
        <w:rPr>
          <w:rFonts w:hint="cs"/>
          <w:rtl/>
        </w:rPr>
        <w:t xml:space="preserve"> مفهوم المساواة في العمل وتصبح جزءا لا يتجزأ منها. ولا بد كذلك من القضاء على جوانب القيم والثقافة التنظيمية الضارة بالمرأة، بما في ذلك الافتراضات المقولبة وأنماط السلوك التمييزي السائدة بين موظفي المنظمات، وبخاصة على مستوى الإدارة العليا وصناع القرار.</w:t>
      </w:r>
    </w:p>
    <w:p w:rsidR="00955676" w:rsidRDefault="00955676" w:rsidP="00212869">
      <w:pPr>
        <w:pStyle w:val="SingleTxt"/>
        <w:rPr>
          <w:rFonts w:hint="cs"/>
          <w:rtl/>
        </w:rPr>
      </w:pPr>
      <w:r>
        <w:rPr>
          <w:rFonts w:hint="cs"/>
          <w:rtl/>
        </w:rPr>
        <w:t>127 -</w:t>
      </w:r>
      <w:r>
        <w:rPr>
          <w:rFonts w:hint="cs"/>
          <w:rtl/>
        </w:rPr>
        <w:tab/>
        <w:t>و</w:t>
      </w:r>
      <w:r w:rsidR="00212869">
        <w:rPr>
          <w:rFonts w:hint="cs"/>
          <w:rtl/>
        </w:rPr>
        <w:t xml:space="preserve">تبين </w:t>
      </w:r>
      <w:r>
        <w:rPr>
          <w:rFonts w:hint="cs"/>
          <w:rtl/>
        </w:rPr>
        <w:t xml:space="preserve">في هذا السياق أن </w:t>
      </w:r>
      <w:r w:rsidR="00212869">
        <w:rPr>
          <w:rFonts w:hint="cs"/>
          <w:rtl/>
        </w:rPr>
        <w:t>إ</w:t>
      </w:r>
      <w:r>
        <w:rPr>
          <w:rFonts w:hint="cs"/>
          <w:rtl/>
        </w:rPr>
        <w:t xml:space="preserve">تباع سياسة رسمية قائمة على </w:t>
      </w:r>
      <w:r>
        <w:rPr>
          <w:rFonts w:hint="eastAsia"/>
          <w:rtl/>
        </w:rPr>
        <w:t>”عدم التمييز الجنسي</w:t>
      </w:r>
      <w:r>
        <w:rPr>
          <w:rFonts w:hint="cs"/>
          <w:rtl/>
        </w:rPr>
        <w:t xml:space="preserve">“ لا يمثل أفضل حل. فمن الضروري بالأحرى وضع سياسات محددة ترمي أولا إلى كفالة عدم معاقبة المرأة بسبب الافتراضات المقولبة السائدة حول النساء كمجموعة وثانيا الاستجابة لتطلعات الجيل الجديد من النساء المتحلي بنشاط أكبر وبراعات أكثر وطموحات أوسع </w:t>
      </w:r>
      <w:r>
        <w:rPr>
          <w:rtl/>
        </w:rPr>
        <w:t>–</w:t>
      </w:r>
      <w:r>
        <w:rPr>
          <w:rFonts w:hint="cs"/>
          <w:rtl/>
        </w:rPr>
        <w:t xml:space="preserve"> وهي خصائص ثبتت ملا</w:t>
      </w:r>
      <w:r w:rsidR="00212869">
        <w:rPr>
          <w:rFonts w:hint="cs"/>
          <w:rtl/>
        </w:rPr>
        <w:t>ء</w:t>
      </w:r>
      <w:r>
        <w:rPr>
          <w:rFonts w:hint="cs"/>
          <w:rtl/>
        </w:rPr>
        <w:t>متها وفعاليتها في المناصب الإدارية.</w:t>
      </w:r>
    </w:p>
    <w:p w:rsidR="00955676" w:rsidRDefault="00955676" w:rsidP="00212869">
      <w:pPr>
        <w:pStyle w:val="SingleTxt"/>
        <w:rPr>
          <w:rFonts w:hint="cs"/>
          <w:rtl/>
        </w:rPr>
      </w:pPr>
      <w:r>
        <w:rPr>
          <w:rFonts w:hint="cs"/>
          <w:rtl/>
        </w:rPr>
        <w:t>128 -</w:t>
      </w:r>
      <w:r>
        <w:rPr>
          <w:rFonts w:hint="cs"/>
          <w:rtl/>
        </w:rPr>
        <w:tab/>
        <w:t>وتحقيقا لهذا الهدف، سوف يتواصل تحسين التدريب على التوعية بالفوارق بين الجنسين لتلبية الحاجة إلى القضاء على المواقف السلب</w:t>
      </w:r>
      <w:r w:rsidR="00212869">
        <w:rPr>
          <w:rFonts w:hint="cs"/>
          <w:rtl/>
        </w:rPr>
        <w:t xml:space="preserve">ية تجاه المرأة وإعادة توجيه منحى </w:t>
      </w:r>
      <w:r>
        <w:rPr>
          <w:rFonts w:hint="cs"/>
          <w:rtl/>
        </w:rPr>
        <w:t xml:space="preserve">تفكير صناع السياسة والمنفذين وموظفي الخدمة العامة وتغيير </w:t>
      </w:r>
      <w:r w:rsidR="00212869">
        <w:rPr>
          <w:rFonts w:hint="cs"/>
          <w:rtl/>
        </w:rPr>
        <w:t xml:space="preserve">مواقفهم </w:t>
      </w:r>
      <w:r>
        <w:rPr>
          <w:rFonts w:hint="cs"/>
          <w:rtl/>
        </w:rPr>
        <w:t>حيال ذلك. وقد أجرت وزارة شؤون المرأة وتنمية الأسرة مباحثات مع المعهد الوطني للإدارة العامة لإدماج التوعية بالفوارق بين الجنسين في جميع الدورات التدريبية للموظفين العموميين، ولا سيما دورات التدريب في أثناء الخدمة وقبل الترقية.</w:t>
      </w:r>
    </w:p>
    <w:p w:rsidR="00955676" w:rsidRDefault="00955676" w:rsidP="00955676">
      <w:pPr>
        <w:pStyle w:val="SingleTxt"/>
        <w:rPr>
          <w:rFonts w:hint="cs"/>
          <w:rtl/>
        </w:rPr>
      </w:pPr>
      <w:r>
        <w:rPr>
          <w:rFonts w:hint="cs"/>
          <w:rtl/>
        </w:rPr>
        <w:t>تحسين التدريب وتطوير المهارات</w:t>
      </w:r>
    </w:p>
    <w:p w:rsidR="00955676" w:rsidRDefault="00955676" w:rsidP="00212869">
      <w:pPr>
        <w:pStyle w:val="SingleTxt"/>
        <w:rPr>
          <w:rFonts w:hint="cs"/>
          <w:rtl/>
        </w:rPr>
      </w:pPr>
      <w:r>
        <w:rPr>
          <w:rFonts w:hint="cs"/>
          <w:rtl/>
        </w:rPr>
        <w:t>129 -</w:t>
      </w:r>
      <w:r>
        <w:rPr>
          <w:rFonts w:hint="cs"/>
          <w:rtl/>
        </w:rPr>
        <w:tab/>
        <w:t xml:space="preserve">افتتحت أبواب التدريب على مسائل الإدارة وتطوير المهارات الأخرى أمام </w:t>
      </w:r>
      <w:r w:rsidR="00212869">
        <w:rPr>
          <w:rFonts w:hint="cs"/>
          <w:rtl/>
        </w:rPr>
        <w:t>المديرات</w:t>
      </w:r>
      <w:r>
        <w:rPr>
          <w:rFonts w:hint="cs"/>
          <w:rtl/>
        </w:rPr>
        <w:t>. ووضعت الشُعب المسؤولة عن التدريب في جميع الإدارات نهجا أفضل تنظيما في تقييم الاحتياجات التدريبية الفردية لكفالة حصول المديرين على تدريب منتظم ومناسب.</w:t>
      </w:r>
    </w:p>
    <w:p w:rsidR="00955676" w:rsidRDefault="00955676" w:rsidP="00955676">
      <w:pPr>
        <w:pStyle w:val="SingleTxt"/>
        <w:rPr>
          <w:rFonts w:hint="cs"/>
          <w:rtl/>
        </w:rPr>
      </w:pPr>
      <w:r>
        <w:rPr>
          <w:rFonts w:hint="cs"/>
          <w:rtl/>
        </w:rPr>
        <w:t>130 -</w:t>
      </w:r>
      <w:r>
        <w:rPr>
          <w:rFonts w:hint="cs"/>
          <w:rtl/>
        </w:rPr>
        <w:tab/>
        <w:t>وشجعت المرأة كذلك على تلقي التدريب وتعزيز الخبرات على السواء في المجالات التي قلما كانت تحصل عليها من قبل وأتيحت لها إمكانية الاستفادة من الفرص المتاحة. وإدراكا للشواغل التي تساور العديد من المديرات ومفادها أنهن لم يحصلن على تدريب كاف لتحسين مهاراتهن كمد</w:t>
      </w:r>
      <w:r w:rsidR="00212869">
        <w:rPr>
          <w:rFonts w:hint="cs"/>
          <w:rtl/>
        </w:rPr>
        <w:t>ي</w:t>
      </w:r>
      <w:r>
        <w:rPr>
          <w:rFonts w:hint="cs"/>
          <w:rtl/>
        </w:rPr>
        <w:t>رات بسبب مسؤولياتهن العائلية أو لعدم توفر الفرص، يتم حاليا إيلاء اهتمام لمسألة نوع الجنس لدى وضع البرامج التدريبية بحيث تتمكن المرأة التي تتحمل أعباء عائلية من حضور أكبر عدد ممكن من الدورات التدريبية.</w:t>
      </w:r>
    </w:p>
    <w:p w:rsidR="00955676" w:rsidRDefault="00955676" w:rsidP="00955676">
      <w:pPr>
        <w:pStyle w:val="SingleTxt"/>
        <w:rPr>
          <w:rFonts w:hint="cs"/>
          <w:rtl/>
        </w:rPr>
      </w:pPr>
      <w:r>
        <w:rPr>
          <w:rFonts w:hint="cs"/>
          <w:rtl/>
        </w:rPr>
        <w:t>وضع سياسات ملائمة للأسرة</w:t>
      </w:r>
    </w:p>
    <w:p w:rsidR="00955676" w:rsidRDefault="00955676" w:rsidP="00212869">
      <w:pPr>
        <w:pStyle w:val="SingleTxt"/>
        <w:rPr>
          <w:rFonts w:hint="cs"/>
          <w:rtl/>
        </w:rPr>
      </w:pPr>
      <w:r>
        <w:rPr>
          <w:rFonts w:hint="cs"/>
          <w:rtl/>
        </w:rPr>
        <w:t>131 -</w:t>
      </w:r>
      <w:r>
        <w:rPr>
          <w:rFonts w:hint="cs"/>
          <w:rtl/>
        </w:rPr>
        <w:tab/>
        <w:t xml:space="preserve">شرعت الحكومة بتطبيق سياسات وممارسات </w:t>
      </w:r>
      <w:r>
        <w:rPr>
          <w:rFonts w:hint="eastAsia"/>
          <w:rtl/>
        </w:rPr>
        <w:t>”ملائمة للأسرة</w:t>
      </w:r>
      <w:r>
        <w:rPr>
          <w:rFonts w:hint="cs"/>
          <w:rtl/>
        </w:rPr>
        <w:t xml:space="preserve">“، بما فيها توفير مرافق لرعاية الأطفال ومنح إجازات الأبوة والأمومة والعمل بدوام مرن لمساعدة المستخدمين، وبخاصة الأمهات منهم، على مواجهة الأعباء المزدوجة للعمل وحياة الأسرة. فالدوام بساعات عمل مرنة يتيح للمستخدمين تحديد أوقات حضورهم ومغادرتهم ضمن الحدود التي تضعها الإدارة. وبالاقتران مع المرافق الفعالة للرعاية النهارية والوقت المستقطع للرضاعة الثديية، سوف تفضي ساعات العمل بدوام مرن إلى زيادة الإنتاجية في صفوف العاملات وتتيح في الوقت نفسه ضمان الحصول على رعاية جيدة لأطفالهن: وهو الهدف الأمثل الذي يبتغي مفهوم </w:t>
      </w:r>
      <w:r>
        <w:rPr>
          <w:rFonts w:hint="eastAsia"/>
          <w:rtl/>
        </w:rPr>
        <w:t xml:space="preserve">”المجتمع </w:t>
      </w:r>
      <w:r w:rsidR="00212869">
        <w:rPr>
          <w:rFonts w:hint="cs"/>
          <w:rtl/>
        </w:rPr>
        <w:t>الرؤوف</w:t>
      </w:r>
      <w:r>
        <w:rPr>
          <w:rFonts w:hint="cs"/>
          <w:rtl/>
        </w:rPr>
        <w:t xml:space="preserve">“ الماليزي تحقيقه. وتقوم الحكومة حاليا باستعراض قانون العمالة لعام 1955 بهدف إدخال تعديلات على القواعد ذات الصلة بالعمل بدوام جزئي على نحو </w:t>
      </w:r>
      <w:r w:rsidR="00212869">
        <w:rPr>
          <w:rFonts w:hint="cs"/>
          <w:rtl/>
        </w:rPr>
        <w:t xml:space="preserve">يُمكِّن </w:t>
      </w:r>
      <w:r>
        <w:rPr>
          <w:rFonts w:hint="cs"/>
          <w:rtl/>
        </w:rPr>
        <w:t>عددا أكبر من النساء اختيار العمل بدوام جزئي.</w:t>
      </w:r>
    </w:p>
    <w:p w:rsidR="00955676" w:rsidRDefault="00955676" w:rsidP="00955676">
      <w:pPr>
        <w:pStyle w:val="SingleTxt"/>
        <w:rPr>
          <w:rFonts w:hint="cs"/>
          <w:rtl/>
        </w:rPr>
      </w:pPr>
      <w:r>
        <w:rPr>
          <w:rFonts w:hint="cs"/>
          <w:rtl/>
        </w:rPr>
        <w:t>تشكيل الخيارات المهنية</w:t>
      </w:r>
    </w:p>
    <w:p w:rsidR="00955676" w:rsidRDefault="00955676" w:rsidP="00955676">
      <w:pPr>
        <w:pStyle w:val="SingleTxt"/>
        <w:rPr>
          <w:rFonts w:hint="cs"/>
          <w:rtl/>
        </w:rPr>
      </w:pPr>
      <w:r>
        <w:rPr>
          <w:rFonts w:hint="cs"/>
          <w:rtl/>
        </w:rPr>
        <w:t>132 -</w:t>
      </w:r>
      <w:r>
        <w:rPr>
          <w:rFonts w:hint="cs"/>
          <w:rtl/>
        </w:rPr>
        <w:tab/>
        <w:t>تثير المحاولات الرامية إلى تحسين وضع المرأة في الإدارة مجموعة واسعة من القضايا التي تتجاوز في بعض الأحيان نطاق المنظمة. فمن غير السهل، على سبيل المثال تعديل المعتقدات الاجتماعية والثقافية التي تشكل جزءا لا يتجزأ من عملية العلاقات الاجتماعية ولا</w:t>
      </w:r>
      <w:r>
        <w:rPr>
          <w:rFonts w:hint="eastAsia"/>
          <w:rtl/>
        </w:rPr>
        <w:t> </w:t>
      </w:r>
      <w:r>
        <w:rPr>
          <w:rFonts w:hint="cs"/>
          <w:rtl/>
        </w:rPr>
        <w:t>يمكن كذلك تغيير التثقيف الجنساني والتدريب الذي حصلت عليه غالبية الرجال والنساء في سن مبكرة.</w:t>
      </w:r>
    </w:p>
    <w:p w:rsidR="00955676" w:rsidRDefault="00955676" w:rsidP="00212869">
      <w:pPr>
        <w:pStyle w:val="SingleTxt"/>
        <w:rPr>
          <w:rFonts w:hint="cs"/>
          <w:rtl/>
        </w:rPr>
      </w:pPr>
      <w:r>
        <w:rPr>
          <w:rFonts w:hint="cs"/>
          <w:rtl/>
        </w:rPr>
        <w:t>133 -</w:t>
      </w:r>
      <w:r>
        <w:rPr>
          <w:rFonts w:hint="cs"/>
          <w:rtl/>
        </w:rPr>
        <w:tab/>
        <w:t xml:space="preserve">وتبذل حاليا جهود متضافرة لتعزيز </w:t>
      </w:r>
      <w:r w:rsidR="00212869">
        <w:rPr>
          <w:rFonts w:hint="cs"/>
          <w:rtl/>
        </w:rPr>
        <w:t xml:space="preserve">التثقيف </w:t>
      </w:r>
      <w:r>
        <w:rPr>
          <w:rFonts w:hint="cs"/>
          <w:rtl/>
        </w:rPr>
        <w:t xml:space="preserve">الذي يراعي </w:t>
      </w:r>
      <w:r w:rsidR="00212869">
        <w:rPr>
          <w:rFonts w:hint="cs"/>
          <w:rtl/>
        </w:rPr>
        <w:t>تحقيق الإنصاف</w:t>
      </w:r>
      <w:r>
        <w:rPr>
          <w:rFonts w:hint="cs"/>
          <w:rtl/>
        </w:rPr>
        <w:t xml:space="preserve"> بين الجنسين وزيادة مهارات المرأة، ولا سيما في المهن التي يسيطر عليها الذكور حاليا والمهن القابلة للتسويق أكثر من غيرها. ويتم حاليا تشجيع الفتيات على تطوير الاهتمامات والطموحات والمهارات الملائمة من خلال التخطيط الدقيق للمدارس والمناهج التدريبية. كما تبذل حاليا جهود لكفالة حصول الفتيات على المشورة المهنية الملائمة والمشجعة.</w:t>
      </w:r>
    </w:p>
    <w:p w:rsidR="00955676" w:rsidRDefault="00955676" w:rsidP="00955676">
      <w:pPr>
        <w:pStyle w:val="SingleTxt"/>
        <w:rPr>
          <w:rFonts w:hint="cs"/>
          <w:rtl/>
        </w:rPr>
      </w:pPr>
      <w:r>
        <w:rPr>
          <w:rFonts w:hint="cs"/>
          <w:rtl/>
        </w:rPr>
        <w:t>زيادة تمكين المرأة</w:t>
      </w:r>
    </w:p>
    <w:p w:rsidR="00955676" w:rsidRDefault="00955676" w:rsidP="00212869">
      <w:pPr>
        <w:pStyle w:val="SingleTxt"/>
        <w:rPr>
          <w:rFonts w:hint="cs"/>
          <w:rtl/>
        </w:rPr>
      </w:pPr>
      <w:r>
        <w:rPr>
          <w:rFonts w:hint="cs"/>
          <w:rtl/>
        </w:rPr>
        <w:t>134 -</w:t>
      </w:r>
      <w:r>
        <w:rPr>
          <w:rFonts w:hint="cs"/>
          <w:rtl/>
        </w:rPr>
        <w:tab/>
        <w:t xml:space="preserve">يجري حاليا وضع استراتيجيات لتزويد المرأة بإمكانية </w:t>
      </w:r>
      <w:r w:rsidR="00212869">
        <w:rPr>
          <w:rFonts w:hint="cs"/>
          <w:rtl/>
        </w:rPr>
        <w:t xml:space="preserve">الوصول إلى </w:t>
      </w:r>
      <w:r>
        <w:rPr>
          <w:rFonts w:hint="cs"/>
          <w:rtl/>
        </w:rPr>
        <w:t>هيكل السلطة. ويمكن توفير التدريب على سمات محددة من قبيل الاستقلال و</w:t>
      </w:r>
      <w:r w:rsidR="00212869">
        <w:rPr>
          <w:rFonts w:hint="cs"/>
          <w:rtl/>
        </w:rPr>
        <w:t xml:space="preserve">التحكم </w:t>
      </w:r>
      <w:r>
        <w:rPr>
          <w:rFonts w:hint="cs"/>
          <w:rtl/>
        </w:rPr>
        <w:t>والمسؤولية واحترام الذات والثقة الذاتية والوعي الذاتي وهي سمات تلائم الوظائف الإدارية ومن شأنها أن تزيد إحساس المرأة بالتمكن وأن تبطل آثار</w:t>
      </w:r>
      <w:r w:rsidR="00212869">
        <w:rPr>
          <w:rFonts w:hint="cs"/>
          <w:rtl/>
        </w:rPr>
        <w:t xml:space="preserve"> ال</w:t>
      </w:r>
      <w:r>
        <w:rPr>
          <w:rFonts w:hint="cs"/>
          <w:rtl/>
        </w:rPr>
        <w:t>نماذج السلبية والاتكال المرتبطين بالإناث واللذين يؤديان إلى كبحهن في أغلب الأحيان، ومن شأنها كذلك أن تمكن المرأة من التصدي للحالات التي يجري فيها رفض سلطتها أو الطعن بها.</w:t>
      </w:r>
    </w:p>
    <w:p w:rsidR="00955676" w:rsidRDefault="00955676" w:rsidP="002128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12869">
        <w:rPr>
          <w:rFonts w:hint="cs"/>
          <w:rtl/>
        </w:rPr>
        <w:t>النتيجة</w:t>
      </w:r>
    </w:p>
    <w:p w:rsidR="00955676" w:rsidRDefault="00955676" w:rsidP="00212869">
      <w:pPr>
        <w:pStyle w:val="SingleTxt"/>
        <w:rPr>
          <w:rFonts w:hint="cs"/>
          <w:rtl/>
        </w:rPr>
      </w:pPr>
      <w:r>
        <w:rPr>
          <w:rFonts w:hint="cs"/>
          <w:rtl/>
        </w:rPr>
        <w:t>135 -</w:t>
      </w:r>
      <w:r>
        <w:rPr>
          <w:rFonts w:hint="cs"/>
          <w:rtl/>
        </w:rPr>
        <w:tab/>
        <w:t xml:space="preserve">يتطلب إعمال جميع ما تقدم التخطيط الدقيق والتنفيذ والتقييم على نحو فعال وكفؤ والأهم من هذا وذاك يتطلب الالتزام الكامل من الوكالات المعنية والموظفين المسؤولين. ويجب أن يساند السياسات البيروقراطية التزام سياسي قوي بالنهوض بالمرأة. وتبين التجربة، في حالة ماليزيا، أن الدعم والالتزام السياسيين من القيادة العليا كانت لهما أهمية بالغة في التغيرات التي أدخلت على السياسة العامة. وفي ضوء الموجة الحالية للمنحى الإنمائي السائر في الخدمة العامة الماليزية والجهود الرامية إلى إدخال مجموعة واسعة من التحسينات الإدارية، وفي مقدمتها اعتماد </w:t>
      </w:r>
      <w:r w:rsidR="00212869">
        <w:rPr>
          <w:rFonts w:hint="cs"/>
          <w:rtl/>
        </w:rPr>
        <w:t xml:space="preserve">مواقف </w:t>
      </w:r>
      <w:r>
        <w:rPr>
          <w:rFonts w:hint="cs"/>
          <w:rtl/>
        </w:rPr>
        <w:t>جديد</w:t>
      </w:r>
      <w:r w:rsidR="00212869">
        <w:rPr>
          <w:rFonts w:hint="cs"/>
          <w:rtl/>
        </w:rPr>
        <w:t>ة</w:t>
      </w:r>
      <w:r>
        <w:rPr>
          <w:rFonts w:hint="cs"/>
          <w:rtl/>
        </w:rPr>
        <w:t xml:space="preserve"> ونموذج جديد للتفكير والتصرف، ليس هناك أي شك في إمكانية نجاح الاستراتيجيات الرامية إلى تحسين وضع المرأة مع توفر الدعم الكامل من القيادة العليا والالتزام من قِبل جميع الموظفين المسؤولين.</w:t>
      </w:r>
    </w:p>
    <w:p w:rsidR="00955676" w:rsidRPr="0092474F"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المادة 8</w:t>
      </w:r>
    </w:p>
    <w:p w:rsidR="00955676" w:rsidRPr="0092474F" w:rsidRDefault="00955676" w:rsidP="00955676">
      <w:pPr>
        <w:pStyle w:val="SingleTxt"/>
        <w:spacing w:after="0" w:line="120" w:lineRule="exact"/>
        <w:rPr>
          <w:rFonts w:hint="cs"/>
          <w:sz w:val="10"/>
          <w:rtl/>
        </w:rPr>
      </w:pPr>
    </w:p>
    <w:p w:rsidR="00955676" w:rsidRDefault="00955676" w:rsidP="002128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التمثيل والمشاركة </w:t>
      </w:r>
      <w:r w:rsidR="00212869">
        <w:rPr>
          <w:rFonts w:hint="cs"/>
          <w:rtl/>
        </w:rPr>
        <w:t>على الصعيد الدولي</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955676" w:rsidRDefault="00955676" w:rsidP="00955676">
      <w:pPr>
        <w:pStyle w:val="SingleTxt"/>
        <w:rPr>
          <w:rFonts w:hint="cs"/>
          <w:rtl/>
        </w:rPr>
      </w:pPr>
      <w:r>
        <w:rPr>
          <w:rFonts w:hint="cs"/>
          <w:rtl/>
        </w:rPr>
        <w:t>136 -</w:t>
      </w:r>
      <w:r>
        <w:rPr>
          <w:rFonts w:hint="cs"/>
          <w:rtl/>
        </w:rPr>
        <w:tab/>
        <w:t>يتم اختيار الموظفين للاشتراك في الشؤون الثنائية والإقليمية والمتعددة الأطراف على أساس مؤهلات مقدمي الطلبات واهتمامهم والتزامهم بالدرجة الأولى. ويتم تعيين الحاصلين على المؤهلات المناسبة منهم من الرجال والنساء في السلك الخارجي بعد اجتيازهم الدورات الإلزامية التي تعقد قبل الخدمة.</w:t>
      </w:r>
    </w:p>
    <w:p w:rsidR="00955676" w:rsidRDefault="00955676" w:rsidP="00212869">
      <w:pPr>
        <w:pStyle w:val="SingleTxt"/>
        <w:rPr>
          <w:rFonts w:hint="cs"/>
          <w:rtl/>
        </w:rPr>
      </w:pPr>
      <w:r>
        <w:rPr>
          <w:rFonts w:hint="cs"/>
          <w:rtl/>
        </w:rPr>
        <w:t>137 -</w:t>
      </w:r>
      <w:r>
        <w:rPr>
          <w:rFonts w:hint="cs"/>
          <w:rtl/>
        </w:rPr>
        <w:tab/>
        <w:t>وكموظفات في السلك الخارجي، تؤدي النساء نفس المسؤوليات والواجبات التي يؤديها نظرا</w:t>
      </w:r>
      <w:r w:rsidR="00212869">
        <w:rPr>
          <w:rFonts w:hint="cs"/>
          <w:rtl/>
        </w:rPr>
        <w:t>ؤ</w:t>
      </w:r>
      <w:r>
        <w:rPr>
          <w:rFonts w:hint="cs"/>
          <w:rtl/>
        </w:rPr>
        <w:t>هن من الرجال. ويتمتعن بالحق في تمثيل الحكومة في مختلف المحافل الدولية وفقا لمجالات مسؤولياتهن وخبراتهن، وتتاح لهن الفرصة لممارسة ذلك الحق. كما تتاح لموظفات السلك الخارجي فرص متساوية للتدريب في مختلف المؤسسات المحلية والأجنبية لتحسين مهاراتهن المهنية والإدارية.</w:t>
      </w:r>
    </w:p>
    <w:p w:rsidR="00955676" w:rsidRPr="00D321BC"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السلك الخارجي الماليزي</w:t>
      </w:r>
    </w:p>
    <w:p w:rsidR="00955676" w:rsidRDefault="00955676" w:rsidP="00212869">
      <w:pPr>
        <w:pStyle w:val="SingleTxt"/>
        <w:rPr>
          <w:rFonts w:hint="cs"/>
          <w:rtl/>
        </w:rPr>
      </w:pPr>
      <w:r>
        <w:rPr>
          <w:rFonts w:hint="cs"/>
          <w:rtl/>
        </w:rPr>
        <w:t>138 -</w:t>
      </w:r>
      <w:r>
        <w:rPr>
          <w:rFonts w:hint="cs"/>
          <w:rtl/>
        </w:rPr>
        <w:tab/>
        <w:t xml:space="preserve">ازداد عدد الموظفات العاملات في السلك الخارجي الماليزي باطراد ملحوظ على مدى السنين. ففي عام 2002، بلغت نسبة الموظفات </w:t>
      </w:r>
      <w:r w:rsidR="00212869">
        <w:rPr>
          <w:rFonts w:hint="cs"/>
          <w:rtl/>
        </w:rPr>
        <w:t>20.7</w:t>
      </w:r>
      <w:r>
        <w:rPr>
          <w:rFonts w:hint="cs"/>
          <w:rtl/>
        </w:rPr>
        <w:t xml:space="preserve"> في المائة من إجمالي عدد الموظفين (69 موظفة من أصل 333 موظفا) بالمقارنة مع نسبة 18.8 في المائة (64 موظفة من أصل 340 موظفا) في عام 2001 ونسبة 15.4 في المائة (42 موظفة من أصل 273 موظفا) في عام 1999. وبلغت نسبة الموظفات في المناصب العليا في عام 2002،  5 في المائة من أصل 69 موظفة في مناصب سفير/مفوض سامي/رئيس بعثة. ويوضح الجدول 8-1 عدد الموظفات في السلك الخارجي الماليز</w:t>
      </w:r>
      <w:r w:rsidR="00F443B7">
        <w:rPr>
          <w:rFonts w:hint="cs"/>
          <w:rtl/>
        </w:rPr>
        <w:t>ي ومناصبهن في عام 1992 و 1994 و</w:t>
      </w:r>
      <w:r w:rsidR="00F443B7">
        <w:rPr>
          <w:rFonts w:hint="eastAsia"/>
          <w:rtl/>
        </w:rPr>
        <w:t> </w:t>
      </w:r>
      <w:r>
        <w:rPr>
          <w:rFonts w:hint="cs"/>
          <w:rtl/>
        </w:rPr>
        <w:t>1999؛ في حين يوضح الجدول 8-2 توزيع الرجال والنساء في الإدارة الوسطى والعليا في عام 2002.</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8-1: موظفو السلك الخارجي الماليزي بحسب نوع الجنس في أعوام 1992 و 1994 و 1999</w:t>
      </w:r>
    </w:p>
    <w:p w:rsidR="00955676" w:rsidRPr="007E5AA4" w:rsidRDefault="00955676" w:rsidP="00955676">
      <w:pPr>
        <w:pStyle w:val="SingleTxt"/>
        <w:spacing w:after="0" w:line="120" w:lineRule="exact"/>
        <w:rPr>
          <w:rFonts w:hint="cs"/>
          <w:sz w:val="10"/>
          <w:rtl/>
        </w:rPr>
      </w:pPr>
    </w:p>
    <w:tbl>
      <w:tblPr>
        <w:bidiVisual/>
        <w:tblW w:w="9854" w:type="dxa"/>
        <w:jc w:val="center"/>
        <w:tblLayout w:type="fixed"/>
        <w:tblCellMar>
          <w:left w:w="0" w:type="dxa"/>
          <w:right w:w="0" w:type="dxa"/>
        </w:tblCellMar>
        <w:tblLook w:val="0000" w:firstRow="0" w:lastRow="0" w:firstColumn="0" w:lastColumn="0" w:noHBand="0" w:noVBand="0"/>
      </w:tblPr>
      <w:tblGrid>
        <w:gridCol w:w="1715"/>
        <w:gridCol w:w="721"/>
        <w:gridCol w:w="721"/>
        <w:gridCol w:w="824"/>
        <w:gridCol w:w="618"/>
        <w:gridCol w:w="721"/>
        <w:gridCol w:w="721"/>
        <w:gridCol w:w="721"/>
        <w:gridCol w:w="618"/>
        <w:gridCol w:w="618"/>
        <w:gridCol w:w="618"/>
        <w:gridCol w:w="618"/>
        <w:gridCol w:w="620"/>
      </w:tblGrid>
      <w:tr w:rsidR="00955676" w:rsidRPr="0077688A">
        <w:tblPrEx>
          <w:tblCellMar>
            <w:top w:w="0" w:type="dxa"/>
            <w:bottom w:w="0" w:type="dxa"/>
          </w:tblCellMar>
        </w:tblPrEx>
        <w:trPr>
          <w:cantSplit/>
          <w:tblHeader/>
          <w:jc w:val="center"/>
        </w:trPr>
        <w:tc>
          <w:tcPr>
            <w:tcW w:w="1715" w:type="dxa"/>
            <w:tcBorders>
              <w:top w:val="single" w:sz="4" w:space="0" w:color="auto"/>
            </w:tcBorders>
            <w:shd w:val="clear" w:color="auto" w:fill="auto"/>
            <w:tcMar>
              <w:left w:w="0" w:type="dxa"/>
              <w:right w:w="0" w:type="dxa"/>
            </w:tcMar>
            <w:vAlign w:val="bottom"/>
          </w:tcPr>
          <w:p w:rsidR="00955676" w:rsidRPr="0077688A" w:rsidRDefault="00955676" w:rsidP="00C43389">
            <w:pPr>
              <w:spacing w:before="80" w:after="80" w:line="240" w:lineRule="exact"/>
              <w:rPr>
                <w:rFonts w:hint="cs"/>
                <w:i/>
                <w:iCs/>
                <w:szCs w:val="20"/>
                <w:rtl/>
              </w:rPr>
            </w:pPr>
          </w:p>
        </w:tc>
        <w:tc>
          <w:tcPr>
            <w:tcW w:w="2884" w:type="dxa"/>
            <w:gridSpan w:val="4"/>
            <w:tcBorders>
              <w:top w:val="single" w:sz="4" w:space="0" w:color="auto"/>
              <w:bottom w:val="single" w:sz="4" w:space="0" w:color="auto"/>
            </w:tcBorders>
            <w:shd w:val="clear" w:color="auto" w:fill="auto"/>
            <w:vAlign w:val="bottom"/>
          </w:tcPr>
          <w:p w:rsidR="00955676" w:rsidRPr="0077688A" w:rsidRDefault="00955676" w:rsidP="00C43389">
            <w:pPr>
              <w:spacing w:before="80" w:after="80" w:line="240" w:lineRule="exact"/>
              <w:ind w:right="144"/>
              <w:jc w:val="center"/>
              <w:rPr>
                <w:rFonts w:hint="cs"/>
                <w:i/>
                <w:iCs/>
                <w:szCs w:val="20"/>
                <w:rtl/>
              </w:rPr>
            </w:pPr>
            <w:r w:rsidRPr="0077688A">
              <w:rPr>
                <w:rFonts w:hint="cs"/>
                <w:i/>
                <w:iCs/>
                <w:szCs w:val="20"/>
                <w:rtl/>
              </w:rPr>
              <w:t>1992</w:t>
            </w:r>
          </w:p>
        </w:tc>
        <w:tc>
          <w:tcPr>
            <w:tcW w:w="2781" w:type="dxa"/>
            <w:gridSpan w:val="4"/>
            <w:tcBorders>
              <w:top w:val="single" w:sz="4" w:space="0" w:color="auto"/>
              <w:bottom w:val="single" w:sz="4" w:space="0" w:color="auto"/>
            </w:tcBorders>
            <w:shd w:val="clear" w:color="auto" w:fill="auto"/>
            <w:vAlign w:val="bottom"/>
          </w:tcPr>
          <w:p w:rsidR="00955676" w:rsidRPr="0077688A" w:rsidRDefault="00955676" w:rsidP="00C43389">
            <w:pPr>
              <w:spacing w:before="80" w:after="80" w:line="240" w:lineRule="exact"/>
              <w:ind w:right="144"/>
              <w:jc w:val="center"/>
              <w:rPr>
                <w:rFonts w:hint="cs"/>
                <w:i/>
                <w:iCs/>
                <w:szCs w:val="20"/>
                <w:rtl/>
              </w:rPr>
            </w:pPr>
            <w:r w:rsidRPr="0077688A">
              <w:rPr>
                <w:rFonts w:hint="cs"/>
                <w:i/>
                <w:iCs/>
                <w:szCs w:val="20"/>
                <w:rtl/>
              </w:rPr>
              <w:t>1994</w:t>
            </w:r>
          </w:p>
        </w:tc>
        <w:tc>
          <w:tcPr>
            <w:tcW w:w="2474" w:type="dxa"/>
            <w:gridSpan w:val="4"/>
            <w:tcBorders>
              <w:top w:val="single" w:sz="4" w:space="0" w:color="auto"/>
              <w:bottom w:val="single" w:sz="4" w:space="0" w:color="auto"/>
            </w:tcBorders>
            <w:shd w:val="clear" w:color="auto" w:fill="auto"/>
            <w:vAlign w:val="bottom"/>
          </w:tcPr>
          <w:p w:rsidR="00955676" w:rsidRPr="0077688A" w:rsidRDefault="00955676" w:rsidP="00C43389">
            <w:pPr>
              <w:spacing w:before="80" w:after="80" w:line="240" w:lineRule="exact"/>
              <w:ind w:right="144"/>
              <w:jc w:val="center"/>
              <w:rPr>
                <w:rFonts w:hint="cs"/>
                <w:i/>
                <w:iCs/>
                <w:szCs w:val="20"/>
                <w:rtl/>
              </w:rPr>
            </w:pPr>
            <w:r w:rsidRPr="0077688A">
              <w:rPr>
                <w:rFonts w:hint="cs"/>
                <w:i/>
                <w:iCs/>
                <w:szCs w:val="20"/>
                <w:rtl/>
              </w:rPr>
              <w:t>1999</w:t>
            </w:r>
          </w:p>
        </w:tc>
      </w:tr>
      <w:tr w:rsidR="00955676" w:rsidRPr="0077688A">
        <w:tblPrEx>
          <w:tblCellMar>
            <w:top w:w="0" w:type="dxa"/>
            <w:bottom w:w="0" w:type="dxa"/>
          </w:tblCellMar>
        </w:tblPrEx>
        <w:trPr>
          <w:cantSplit/>
          <w:tblHeader/>
          <w:jc w:val="center"/>
        </w:trPr>
        <w:tc>
          <w:tcPr>
            <w:tcW w:w="1715" w:type="dxa"/>
            <w:tcBorders>
              <w:bottom w:val="single" w:sz="12" w:space="0" w:color="auto"/>
            </w:tcBorders>
            <w:shd w:val="clear" w:color="auto" w:fill="auto"/>
            <w:vAlign w:val="bottom"/>
          </w:tcPr>
          <w:p w:rsidR="00955676" w:rsidRPr="0077688A" w:rsidRDefault="00955676" w:rsidP="00C43389">
            <w:pPr>
              <w:spacing w:after="80" w:line="240" w:lineRule="exact"/>
              <w:rPr>
                <w:rFonts w:hint="cs"/>
                <w:i/>
                <w:iCs/>
                <w:szCs w:val="20"/>
                <w:rtl/>
              </w:rPr>
            </w:pPr>
          </w:p>
        </w:tc>
        <w:tc>
          <w:tcPr>
            <w:tcW w:w="721"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رجال</w:t>
            </w:r>
          </w:p>
        </w:tc>
        <w:tc>
          <w:tcPr>
            <w:tcW w:w="721"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نساء</w:t>
            </w:r>
          </w:p>
        </w:tc>
        <w:tc>
          <w:tcPr>
            <w:tcW w:w="824"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المجموع</w:t>
            </w:r>
          </w:p>
        </w:tc>
        <w:tc>
          <w:tcPr>
            <w:tcW w:w="618"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النسبة المئوية للنساء</w:t>
            </w:r>
          </w:p>
        </w:tc>
        <w:tc>
          <w:tcPr>
            <w:tcW w:w="721"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رجال</w:t>
            </w:r>
          </w:p>
        </w:tc>
        <w:tc>
          <w:tcPr>
            <w:tcW w:w="721"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نساء</w:t>
            </w:r>
          </w:p>
        </w:tc>
        <w:tc>
          <w:tcPr>
            <w:tcW w:w="721"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المجموع</w:t>
            </w:r>
          </w:p>
        </w:tc>
        <w:tc>
          <w:tcPr>
            <w:tcW w:w="618"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النسبة المئوية للنساء</w:t>
            </w:r>
          </w:p>
        </w:tc>
        <w:tc>
          <w:tcPr>
            <w:tcW w:w="618"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رجال</w:t>
            </w:r>
          </w:p>
        </w:tc>
        <w:tc>
          <w:tcPr>
            <w:tcW w:w="618"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نساء</w:t>
            </w:r>
          </w:p>
        </w:tc>
        <w:tc>
          <w:tcPr>
            <w:tcW w:w="618"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المجموع</w:t>
            </w:r>
          </w:p>
        </w:tc>
        <w:tc>
          <w:tcPr>
            <w:tcW w:w="620" w:type="dxa"/>
            <w:tcBorders>
              <w:top w:val="single" w:sz="4" w:space="0" w:color="auto"/>
              <w:bottom w:val="single" w:sz="12" w:space="0" w:color="auto"/>
            </w:tcBorders>
            <w:shd w:val="clear" w:color="auto" w:fill="auto"/>
            <w:vAlign w:val="bottom"/>
          </w:tcPr>
          <w:p w:rsidR="00955676" w:rsidRPr="0077688A" w:rsidRDefault="00955676" w:rsidP="00C43389">
            <w:pPr>
              <w:spacing w:after="80" w:line="240" w:lineRule="exact"/>
              <w:ind w:right="144"/>
              <w:jc w:val="center"/>
              <w:rPr>
                <w:rFonts w:hint="cs"/>
                <w:i/>
                <w:iCs/>
                <w:szCs w:val="20"/>
                <w:rtl/>
              </w:rPr>
            </w:pPr>
            <w:r w:rsidRPr="0077688A">
              <w:rPr>
                <w:rFonts w:hint="cs"/>
                <w:i/>
                <w:iCs/>
                <w:szCs w:val="20"/>
                <w:rtl/>
              </w:rPr>
              <w:t>النسبة المئوية للنساء</w:t>
            </w:r>
          </w:p>
        </w:tc>
      </w:tr>
      <w:tr w:rsidR="00955676" w:rsidRPr="0077688A">
        <w:tblPrEx>
          <w:tblCellMar>
            <w:top w:w="0" w:type="dxa"/>
            <w:bottom w:w="0" w:type="dxa"/>
          </w:tblCellMar>
        </w:tblPrEx>
        <w:trPr>
          <w:cantSplit/>
          <w:trHeight w:hRule="exact" w:val="115"/>
          <w:tblHeader/>
          <w:jc w:val="center"/>
        </w:trPr>
        <w:tc>
          <w:tcPr>
            <w:tcW w:w="1715" w:type="dxa"/>
            <w:tcBorders>
              <w:top w:val="single" w:sz="12" w:space="0" w:color="auto"/>
            </w:tcBorders>
            <w:shd w:val="clear" w:color="auto" w:fill="auto"/>
            <w:vAlign w:val="bottom"/>
          </w:tcPr>
          <w:p w:rsidR="00955676" w:rsidRPr="0077688A" w:rsidRDefault="00955676" w:rsidP="00C43389">
            <w:pPr>
              <w:spacing w:before="40" w:after="80" w:line="240" w:lineRule="exact"/>
              <w:rPr>
                <w:rFonts w:hint="cs"/>
                <w:szCs w:val="20"/>
                <w:rtl/>
              </w:rPr>
            </w:pPr>
          </w:p>
        </w:tc>
        <w:tc>
          <w:tcPr>
            <w:tcW w:w="721"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721"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824"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18"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721"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721"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721"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18"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18"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18"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18"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c>
          <w:tcPr>
            <w:tcW w:w="620" w:type="dxa"/>
            <w:tcBorders>
              <w:top w:val="single" w:sz="12" w:space="0" w:color="auto"/>
            </w:tcBorders>
            <w:shd w:val="clear" w:color="auto" w:fill="auto"/>
            <w:vAlign w:val="bottom"/>
          </w:tcPr>
          <w:p w:rsidR="00955676" w:rsidRPr="0077688A" w:rsidRDefault="00955676" w:rsidP="00C43389">
            <w:pPr>
              <w:spacing w:before="40" w:after="80" w:line="240" w:lineRule="exact"/>
              <w:ind w:right="144"/>
              <w:jc w:val="lowKashida"/>
              <w:rPr>
                <w:rFonts w:hint="cs"/>
                <w:szCs w:val="20"/>
                <w:rtl/>
              </w:rPr>
            </w:pPr>
          </w:p>
        </w:tc>
      </w:tr>
      <w:tr w:rsidR="00955676" w:rsidRPr="0077688A">
        <w:tblPrEx>
          <w:tblCellMar>
            <w:top w:w="0" w:type="dxa"/>
            <w:bottom w:w="0" w:type="dxa"/>
          </w:tblCellMar>
        </w:tblPrEx>
        <w:trPr>
          <w:cantSplit/>
          <w:jc w:val="center"/>
        </w:trPr>
        <w:tc>
          <w:tcPr>
            <w:tcW w:w="1715" w:type="dxa"/>
            <w:shd w:val="clear" w:color="auto" w:fill="auto"/>
            <w:vAlign w:val="bottom"/>
          </w:tcPr>
          <w:p w:rsidR="00955676" w:rsidRPr="0077688A" w:rsidRDefault="00955676" w:rsidP="00C43389">
            <w:pPr>
              <w:spacing w:before="40" w:after="80" w:line="240" w:lineRule="exact"/>
              <w:rPr>
                <w:rFonts w:hint="cs"/>
                <w:szCs w:val="20"/>
                <w:rtl/>
              </w:rPr>
            </w:pPr>
            <w:r>
              <w:rPr>
                <w:rFonts w:hint="cs"/>
                <w:szCs w:val="20"/>
                <w:rtl/>
              </w:rPr>
              <w:t xml:space="preserve"> الإدارة العليا</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26</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صفر</w:t>
            </w:r>
          </w:p>
        </w:tc>
        <w:tc>
          <w:tcPr>
            <w:tcW w:w="824"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26</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صفر</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28</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1</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29</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3.4</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19</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4</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23</w:t>
            </w:r>
          </w:p>
        </w:tc>
        <w:tc>
          <w:tcPr>
            <w:tcW w:w="620"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17.4</w:t>
            </w:r>
          </w:p>
        </w:tc>
      </w:tr>
      <w:tr w:rsidR="00955676" w:rsidRPr="0077688A">
        <w:tblPrEx>
          <w:tblCellMar>
            <w:top w:w="0" w:type="dxa"/>
            <w:bottom w:w="0" w:type="dxa"/>
          </w:tblCellMar>
        </w:tblPrEx>
        <w:trPr>
          <w:cantSplit/>
          <w:jc w:val="center"/>
        </w:trPr>
        <w:tc>
          <w:tcPr>
            <w:tcW w:w="1715" w:type="dxa"/>
            <w:shd w:val="clear" w:color="auto" w:fill="auto"/>
            <w:vAlign w:val="bottom"/>
          </w:tcPr>
          <w:p w:rsidR="00955676" w:rsidRPr="0077688A" w:rsidRDefault="00955676" w:rsidP="00C43389">
            <w:pPr>
              <w:spacing w:before="40" w:after="80" w:line="240" w:lineRule="exact"/>
              <w:rPr>
                <w:rFonts w:hint="cs"/>
                <w:szCs w:val="20"/>
                <w:rtl/>
              </w:rPr>
            </w:pPr>
            <w:r>
              <w:rPr>
                <w:rFonts w:hint="cs"/>
                <w:szCs w:val="20"/>
                <w:rtl/>
              </w:rPr>
              <w:t xml:space="preserve"> الإدارة الوسطى (</w:t>
            </w:r>
            <w:r>
              <w:rPr>
                <w:szCs w:val="20"/>
              </w:rPr>
              <w:t>M1</w:t>
            </w:r>
            <w:r>
              <w:rPr>
                <w:rFonts w:hint="cs"/>
                <w:szCs w:val="20"/>
                <w:rtl/>
              </w:rPr>
              <w:t>)</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23</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w:t>
            </w:r>
          </w:p>
        </w:tc>
        <w:tc>
          <w:tcPr>
            <w:tcW w:w="824"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25</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8.0</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40</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5</w:t>
            </w:r>
          </w:p>
        </w:tc>
        <w:tc>
          <w:tcPr>
            <w:tcW w:w="721"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45</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11.1</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32</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2</w:t>
            </w:r>
          </w:p>
        </w:tc>
        <w:tc>
          <w:tcPr>
            <w:tcW w:w="618"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34</w:t>
            </w:r>
          </w:p>
        </w:tc>
        <w:tc>
          <w:tcPr>
            <w:tcW w:w="620" w:type="dxa"/>
            <w:shd w:val="clear" w:color="auto" w:fill="auto"/>
            <w:vAlign w:val="bottom"/>
          </w:tcPr>
          <w:p w:rsidR="00955676" w:rsidRPr="0077688A" w:rsidRDefault="00955676" w:rsidP="00C43389">
            <w:pPr>
              <w:spacing w:before="40" w:after="80" w:line="240" w:lineRule="exact"/>
              <w:ind w:right="144"/>
              <w:jc w:val="center"/>
              <w:rPr>
                <w:rFonts w:hint="cs"/>
                <w:szCs w:val="20"/>
                <w:rtl/>
              </w:rPr>
            </w:pPr>
            <w:r>
              <w:rPr>
                <w:rFonts w:hint="cs"/>
                <w:szCs w:val="20"/>
                <w:rtl/>
              </w:rPr>
              <w:t>5.9</w:t>
            </w:r>
          </w:p>
        </w:tc>
      </w:tr>
      <w:tr w:rsidR="00955676" w:rsidRPr="0077688A">
        <w:tblPrEx>
          <w:tblCellMar>
            <w:top w:w="0" w:type="dxa"/>
            <w:bottom w:w="0" w:type="dxa"/>
          </w:tblCellMar>
        </w:tblPrEx>
        <w:trPr>
          <w:cantSplit/>
          <w:jc w:val="center"/>
        </w:trPr>
        <w:tc>
          <w:tcPr>
            <w:tcW w:w="1715" w:type="dxa"/>
            <w:shd w:val="clear" w:color="auto" w:fill="auto"/>
            <w:vAlign w:val="bottom"/>
          </w:tcPr>
          <w:p w:rsidR="00955676" w:rsidRPr="0077688A" w:rsidRDefault="00955676" w:rsidP="00C43389">
            <w:pPr>
              <w:spacing w:before="40" w:after="80" w:line="240" w:lineRule="exact"/>
              <w:rPr>
                <w:rFonts w:hint="cs"/>
                <w:szCs w:val="20"/>
                <w:rtl/>
              </w:rPr>
            </w:pPr>
            <w:r>
              <w:rPr>
                <w:rFonts w:hint="cs"/>
                <w:szCs w:val="20"/>
                <w:rtl/>
              </w:rPr>
              <w:t xml:space="preserve"> الإدارة الدنيا (</w:t>
            </w:r>
            <w:r>
              <w:rPr>
                <w:szCs w:val="20"/>
              </w:rPr>
              <w:t>M2</w:t>
            </w:r>
            <w:r>
              <w:rPr>
                <w:rFonts w:hint="cs"/>
                <w:szCs w:val="20"/>
                <w:rtl/>
              </w:rPr>
              <w:t>)</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82</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4</w:t>
            </w:r>
          </w:p>
        </w:tc>
        <w:tc>
          <w:tcPr>
            <w:tcW w:w="824"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86</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4.6</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76</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6</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82</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7.3</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73</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16</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89</w:t>
            </w:r>
          </w:p>
        </w:tc>
        <w:tc>
          <w:tcPr>
            <w:tcW w:w="620"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16.3</w:t>
            </w:r>
          </w:p>
        </w:tc>
      </w:tr>
      <w:tr w:rsidR="00955676" w:rsidRPr="0077688A">
        <w:tblPrEx>
          <w:tblCellMar>
            <w:top w:w="0" w:type="dxa"/>
            <w:bottom w:w="0" w:type="dxa"/>
          </w:tblCellMar>
        </w:tblPrEx>
        <w:trPr>
          <w:cantSplit/>
          <w:jc w:val="center"/>
        </w:trPr>
        <w:tc>
          <w:tcPr>
            <w:tcW w:w="1715" w:type="dxa"/>
            <w:shd w:val="clear" w:color="auto" w:fill="auto"/>
            <w:vAlign w:val="bottom"/>
          </w:tcPr>
          <w:p w:rsidR="00955676" w:rsidRPr="0077688A" w:rsidRDefault="00955676" w:rsidP="00C43389">
            <w:pPr>
              <w:spacing w:before="40" w:after="80" w:line="240" w:lineRule="exact"/>
              <w:rPr>
                <w:rFonts w:hint="cs"/>
                <w:szCs w:val="20"/>
                <w:rtl/>
              </w:rPr>
            </w:pPr>
            <w:r>
              <w:rPr>
                <w:rFonts w:hint="cs"/>
                <w:szCs w:val="20"/>
                <w:rtl/>
              </w:rPr>
              <w:t xml:space="preserve"> موظفو أقسام (</w:t>
            </w:r>
            <w:r>
              <w:rPr>
                <w:szCs w:val="20"/>
              </w:rPr>
              <w:t>M3</w:t>
            </w:r>
            <w:r>
              <w:rPr>
                <w:rFonts w:hint="cs"/>
                <w:szCs w:val="20"/>
                <w:rtl/>
              </w:rPr>
              <w:t>)</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110</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16</w:t>
            </w:r>
          </w:p>
        </w:tc>
        <w:tc>
          <w:tcPr>
            <w:tcW w:w="824"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126</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12.6</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71</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12</w:t>
            </w:r>
          </w:p>
        </w:tc>
        <w:tc>
          <w:tcPr>
            <w:tcW w:w="721"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83</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14.4</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107</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20</w:t>
            </w:r>
          </w:p>
        </w:tc>
        <w:tc>
          <w:tcPr>
            <w:tcW w:w="618"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127</w:t>
            </w:r>
          </w:p>
        </w:tc>
        <w:tc>
          <w:tcPr>
            <w:tcW w:w="620" w:type="dxa"/>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15.7</w:t>
            </w:r>
          </w:p>
        </w:tc>
      </w:tr>
      <w:tr w:rsidR="00955676" w:rsidRPr="0077688A">
        <w:tblPrEx>
          <w:tblCellMar>
            <w:top w:w="0" w:type="dxa"/>
            <w:bottom w:w="0" w:type="dxa"/>
          </w:tblCellMar>
        </w:tblPrEx>
        <w:trPr>
          <w:cantSplit/>
          <w:jc w:val="center"/>
        </w:trPr>
        <w:tc>
          <w:tcPr>
            <w:tcW w:w="1715" w:type="dxa"/>
            <w:tcBorders>
              <w:bottom w:val="single" w:sz="12" w:space="0" w:color="auto"/>
            </w:tcBorders>
            <w:shd w:val="clear" w:color="auto" w:fill="auto"/>
            <w:vAlign w:val="bottom"/>
          </w:tcPr>
          <w:p w:rsidR="00955676" w:rsidRPr="0077688A" w:rsidRDefault="00955676" w:rsidP="00C43389">
            <w:pPr>
              <w:spacing w:before="40" w:after="80" w:line="240" w:lineRule="exact"/>
              <w:rPr>
                <w:rFonts w:hint="cs"/>
                <w:szCs w:val="20"/>
                <w:rtl/>
              </w:rPr>
            </w:pPr>
            <w:r>
              <w:rPr>
                <w:rFonts w:hint="cs"/>
                <w:szCs w:val="20"/>
                <w:rtl/>
              </w:rPr>
              <w:t xml:space="preserve"> المجموع الإجمالي</w:t>
            </w:r>
          </w:p>
        </w:tc>
        <w:tc>
          <w:tcPr>
            <w:tcW w:w="721"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241</w:t>
            </w:r>
          </w:p>
        </w:tc>
        <w:tc>
          <w:tcPr>
            <w:tcW w:w="721"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22</w:t>
            </w:r>
          </w:p>
        </w:tc>
        <w:tc>
          <w:tcPr>
            <w:tcW w:w="824"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263</w:t>
            </w:r>
          </w:p>
        </w:tc>
        <w:tc>
          <w:tcPr>
            <w:tcW w:w="618"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8.3</w:t>
            </w:r>
          </w:p>
        </w:tc>
        <w:tc>
          <w:tcPr>
            <w:tcW w:w="721"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215</w:t>
            </w:r>
          </w:p>
        </w:tc>
        <w:tc>
          <w:tcPr>
            <w:tcW w:w="721"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24</w:t>
            </w:r>
          </w:p>
        </w:tc>
        <w:tc>
          <w:tcPr>
            <w:tcW w:w="721"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239</w:t>
            </w:r>
          </w:p>
        </w:tc>
        <w:tc>
          <w:tcPr>
            <w:tcW w:w="618"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10.0</w:t>
            </w:r>
          </w:p>
        </w:tc>
        <w:tc>
          <w:tcPr>
            <w:tcW w:w="618"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231</w:t>
            </w:r>
          </w:p>
        </w:tc>
        <w:tc>
          <w:tcPr>
            <w:tcW w:w="618"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42</w:t>
            </w:r>
          </w:p>
        </w:tc>
        <w:tc>
          <w:tcPr>
            <w:tcW w:w="618"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273</w:t>
            </w:r>
          </w:p>
        </w:tc>
        <w:tc>
          <w:tcPr>
            <w:tcW w:w="620" w:type="dxa"/>
            <w:tcBorders>
              <w:bottom w:val="single" w:sz="12" w:space="0" w:color="auto"/>
            </w:tcBorders>
            <w:shd w:val="clear" w:color="auto" w:fill="auto"/>
            <w:vAlign w:val="bottom"/>
          </w:tcPr>
          <w:p w:rsidR="00955676" w:rsidRPr="0077688A" w:rsidRDefault="00955676" w:rsidP="00C43389">
            <w:pPr>
              <w:spacing w:before="40" w:after="80" w:line="240" w:lineRule="exact"/>
              <w:jc w:val="center"/>
              <w:rPr>
                <w:rFonts w:hint="cs"/>
                <w:szCs w:val="20"/>
                <w:rtl/>
              </w:rPr>
            </w:pPr>
            <w:r>
              <w:rPr>
                <w:rFonts w:hint="cs"/>
                <w:szCs w:val="20"/>
                <w:rtl/>
              </w:rPr>
              <w:t>15.4</w:t>
            </w:r>
          </w:p>
        </w:tc>
      </w:tr>
    </w:tbl>
    <w:p w:rsidR="00955676" w:rsidRPr="0077688A"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المصدر: إدارة الموارد البشرية، وزارة الشؤون الخارجية.</w:t>
      </w:r>
    </w:p>
    <w:p w:rsidR="00955676" w:rsidRPr="0077688A" w:rsidRDefault="00955676" w:rsidP="0095567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8-2:موظفو السلك الخارجي الماليزي في الإدارة الوسطى والعليا بحسب نوع الجنس في عام 2002</w:t>
      </w:r>
    </w:p>
    <w:p w:rsidR="00955676" w:rsidRPr="0077688A" w:rsidRDefault="00955676" w:rsidP="00955676">
      <w:pPr>
        <w:pStyle w:val="SingleTxt"/>
        <w:spacing w:after="0" w:line="120" w:lineRule="exact"/>
        <w:rPr>
          <w:rFonts w:hint="cs"/>
          <w:sz w:val="10"/>
          <w:rtl/>
        </w:rPr>
      </w:pPr>
    </w:p>
    <w:tbl>
      <w:tblPr>
        <w:bidiVisual/>
        <w:tblW w:w="5459" w:type="dxa"/>
        <w:tblInd w:w="2022" w:type="dxa"/>
        <w:tblLayout w:type="fixed"/>
        <w:tblCellMar>
          <w:left w:w="0" w:type="dxa"/>
          <w:right w:w="0" w:type="dxa"/>
        </w:tblCellMar>
        <w:tblLook w:val="0000" w:firstRow="0" w:lastRow="0" w:firstColumn="0" w:lastColumn="0" w:noHBand="0" w:noVBand="0"/>
      </w:tblPr>
      <w:tblGrid>
        <w:gridCol w:w="1685"/>
        <w:gridCol w:w="2440"/>
        <w:gridCol w:w="1334"/>
      </w:tblGrid>
      <w:tr w:rsidR="00955676" w:rsidRPr="00904FB2">
        <w:tblPrEx>
          <w:tblCellMar>
            <w:top w:w="0" w:type="dxa"/>
            <w:bottom w:w="0" w:type="dxa"/>
          </w:tblCellMar>
        </w:tblPrEx>
        <w:trPr>
          <w:cantSplit/>
          <w:tblHeader/>
        </w:trPr>
        <w:tc>
          <w:tcPr>
            <w:tcW w:w="1685" w:type="dxa"/>
            <w:tcBorders>
              <w:top w:val="single" w:sz="4" w:space="0" w:color="auto"/>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904FB2">
              <w:rPr>
                <w:rFonts w:hint="cs"/>
                <w:i/>
                <w:iCs/>
                <w:sz w:val="16"/>
                <w:szCs w:val="24"/>
                <w:rtl/>
              </w:rPr>
              <w:t>الدرجة</w:t>
            </w:r>
          </w:p>
        </w:tc>
        <w:tc>
          <w:tcPr>
            <w:tcW w:w="2440" w:type="dxa"/>
            <w:tcBorders>
              <w:top w:val="single" w:sz="4" w:space="0" w:color="auto"/>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sidRPr="00904FB2">
              <w:rPr>
                <w:rFonts w:hint="cs"/>
                <w:i/>
                <w:iCs/>
                <w:sz w:val="16"/>
                <w:szCs w:val="24"/>
                <w:rtl/>
              </w:rPr>
              <w:t>النساء</w:t>
            </w:r>
          </w:p>
        </w:tc>
        <w:tc>
          <w:tcPr>
            <w:tcW w:w="1334" w:type="dxa"/>
            <w:tcBorders>
              <w:top w:val="single" w:sz="4" w:space="0" w:color="auto"/>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sidRPr="00904FB2">
              <w:rPr>
                <w:rFonts w:hint="cs"/>
                <w:i/>
                <w:iCs/>
                <w:sz w:val="16"/>
                <w:szCs w:val="24"/>
                <w:rtl/>
              </w:rPr>
              <w:t>الرجال</w:t>
            </w:r>
          </w:p>
        </w:tc>
      </w:tr>
      <w:tr w:rsidR="00955676" w:rsidRPr="00904FB2">
        <w:tblPrEx>
          <w:tblCellMar>
            <w:top w:w="0" w:type="dxa"/>
            <w:bottom w:w="0" w:type="dxa"/>
          </w:tblCellMar>
        </w:tblPrEx>
        <w:trPr>
          <w:cantSplit/>
          <w:trHeight w:hRule="exact" w:val="115"/>
          <w:tblHeader/>
        </w:trPr>
        <w:tc>
          <w:tcPr>
            <w:tcW w:w="1685" w:type="dxa"/>
            <w:tcBorders>
              <w:top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2440" w:type="dxa"/>
            <w:tcBorders>
              <w:top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p>
        </w:tc>
        <w:tc>
          <w:tcPr>
            <w:tcW w:w="1334" w:type="dxa"/>
            <w:tcBorders>
              <w:top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p>
        </w:tc>
      </w:tr>
      <w:tr w:rsidR="00955676" w:rsidRPr="00904FB2">
        <w:tblPrEx>
          <w:tblCellMar>
            <w:top w:w="0" w:type="dxa"/>
            <w:bottom w:w="0" w:type="dxa"/>
          </w:tblCellMar>
        </w:tblPrEx>
        <w:trPr>
          <w:cantSplit/>
        </w:trPr>
        <w:tc>
          <w:tcPr>
            <w:tcW w:w="1685" w:type="dxa"/>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الإدارة الوسطى</w:t>
            </w:r>
          </w:p>
        </w:tc>
        <w:tc>
          <w:tcPr>
            <w:tcW w:w="2440" w:type="dxa"/>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63</w:t>
            </w:r>
          </w:p>
        </w:tc>
        <w:tc>
          <w:tcPr>
            <w:tcW w:w="1334" w:type="dxa"/>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235</w:t>
            </w:r>
          </w:p>
        </w:tc>
      </w:tr>
      <w:tr w:rsidR="00955676" w:rsidRPr="00904FB2">
        <w:tblPrEx>
          <w:tblCellMar>
            <w:top w:w="0" w:type="dxa"/>
            <w:bottom w:w="0" w:type="dxa"/>
          </w:tblCellMar>
        </w:tblPrEx>
        <w:trPr>
          <w:cantSplit/>
        </w:trPr>
        <w:tc>
          <w:tcPr>
            <w:tcW w:w="1685" w:type="dxa"/>
            <w:tcBorders>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الإدارة العليا</w:t>
            </w:r>
          </w:p>
        </w:tc>
        <w:tc>
          <w:tcPr>
            <w:tcW w:w="2440" w:type="dxa"/>
            <w:tcBorders>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6</w:t>
            </w:r>
          </w:p>
        </w:tc>
        <w:tc>
          <w:tcPr>
            <w:tcW w:w="1334" w:type="dxa"/>
            <w:tcBorders>
              <w:bottom w:val="single" w:sz="12" w:space="0" w:color="auto"/>
            </w:tcBorders>
            <w:shd w:val="clear" w:color="auto" w:fill="auto"/>
            <w:vAlign w:val="bottom"/>
          </w:tcPr>
          <w:p w:rsidR="00955676" w:rsidRPr="00904FB2"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29</w:t>
            </w:r>
          </w:p>
        </w:tc>
      </w:tr>
    </w:tbl>
    <w:p w:rsidR="00955676" w:rsidRPr="00904FB2"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إدارة الموارد البشرية، وزارة الشؤون الخارجية.</w:t>
      </w:r>
    </w:p>
    <w:p w:rsidR="00955676" w:rsidRPr="00904FB2" w:rsidRDefault="00955676" w:rsidP="00955676">
      <w:pPr>
        <w:pStyle w:val="SingleTxt"/>
        <w:spacing w:after="0" w:line="120" w:lineRule="exact"/>
        <w:rPr>
          <w:rFonts w:hint="cs"/>
          <w:sz w:val="10"/>
          <w:rtl/>
        </w:rPr>
      </w:pPr>
    </w:p>
    <w:p w:rsidR="00955676" w:rsidRDefault="00955676" w:rsidP="00955676">
      <w:pPr>
        <w:pStyle w:val="SingleTxt"/>
        <w:rPr>
          <w:rFonts w:hint="cs"/>
          <w:rtl/>
        </w:rPr>
      </w:pPr>
      <w:r>
        <w:rPr>
          <w:rFonts w:hint="cs"/>
          <w:rtl/>
        </w:rPr>
        <w:t>139 -</w:t>
      </w:r>
      <w:r>
        <w:rPr>
          <w:rFonts w:hint="cs"/>
          <w:rtl/>
        </w:rPr>
        <w:tab/>
        <w:t>وفي بعض الأحيان، لا تعين المرأة في بعثات معينة بسبب القيود أو الحواجز الثقافية والمهنية المتعلقة بالمرأة في البلدان المضيفة. ولا يعزى عدم تعيين الموظفات الدبلوماسيات في تلك البلدان إلى سياسة قائمة على التمييز تمارسها الوزارة وإنما تقوم على احترام حساسيات البلدان المضيفة.</w:t>
      </w:r>
    </w:p>
    <w:p w:rsidR="00955676" w:rsidRPr="007A2808"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القواعد المنطبقة على المرأة في السلك الخارجي</w:t>
      </w:r>
    </w:p>
    <w:p w:rsidR="00955676" w:rsidRDefault="00955676" w:rsidP="00955676">
      <w:pPr>
        <w:pStyle w:val="SingleTxt"/>
        <w:rPr>
          <w:rFonts w:hint="cs"/>
          <w:rtl/>
        </w:rPr>
      </w:pPr>
      <w:r>
        <w:rPr>
          <w:rFonts w:hint="cs"/>
          <w:rtl/>
        </w:rPr>
        <w:t>140 -</w:t>
      </w:r>
      <w:r>
        <w:rPr>
          <w:rFonts w:hint="cs"/>
          <w:rtl/>
        </w:rPr>
        <w:tab/>
        <w:t>تنطبق جميع القواعد والأنظمة الحكومية المتصلة بالخدمة العامة بصورة متساوية على الموظفين الدبلوماسيين، ذكورا وإناثا، العاملين في السلك الخارجي الماليزي.</w:t>
      </w:r>
    </w:p>
    <w:p w:rsidR="00955676" w:rsidRPr="007A2808"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الاشتراك في الاجتماعات الدولية</w:t>
      </w:r>
    </w:p>
    <w:p w:rsidR="00955676" w:rsidRDefault="00955676" w:rsidP="00212869">
      <w:pPr>
        <w:pStyle w:val="SingleTxt"/>
        <w:rPr>
          <w:rFonts w:hint="cs"/>
          <w:rtl/>
        </w:rPr>
      </w:pPr>
      <w:r>
        <w:rPr>
          <w:rFonts w:hint="cs"/>
          <w:rtl/>
        </w:rPr>
        <w:t>141 -</w:t>
      </w:r>
      <w:r>
        <w:rPr>
          <w:rFonts w:hint="cs"/>
          <w:rtl/>
        </w:rPr>
        <w:tab/>
        <w:t>تحضر الموظفات العاملات في السلك الخارجي الماليزي جميع الاجتماعات الدولية الواقعة في نطاق عملهن. وتترأس المرأة الماليزية الوفود أو تكون عضوة في الوفود بصفة مستشارة أو خبيرة في مختلف ميادين الاختصاص والمسؤوليات. وت</w:t>
      </w:r>
      <w:r w:rsidR="00212869">
        <w:rPr>
          <w:rFonts w:hint="cs"/>
          <w:rtl/>
        </w:rPr>
        <w:t>ُ</w:t>
      </w:r>
      <w:r>
        <w:rPr>
          <w:rFonts w:hint="cs"/>
          <w:rtl/>
        </w:rPr>
        <w:t xml:space="preserve">ستقدم </w:t>
      </w:r>
      <w:r w:rsidR="00212869">
        <w:rPr>
          <w:rFonts w:hint="cs"/>
          <w:rtl/>
        </w:rPr>
        <w:t xml:space="preserve">عضوات </w:t>
      </w:r>
      <w:r>
        <w:rPr>
          <w:rFonts w:hint="cs"/>
          <w:rtl/>
        </w:rPr>
        <w:t xml:space="preserve">الوفود الماليزية إلى الاجتماعات الدولية، بصفة رئيسية، من القطاع الحكومي. ولكن يمكن أن </w:t>
      </w:r>
      <w:r w:rsidR="00212869">
        <w:rPr>
          <w:rFonts w:hint="cs"/>
          <w:rtl/>
        </w:rPr>
        <w:t>يُ</w:t>
      </w:r>
      <w:r>
        <w:rPr>
          <w:rFonts w:hint="cs"/>
          <w:rtl/>
        </w:rPr>
        <w:t>ستقدم</w:t>
      </w:r>
      <w:r w:rsidR="00212869">
        <w:rPr>
          <w:rFonts w:hint="cs"/>
          <w:rtl/>
        </w:rPr>
        <w:t>ن</w:t>
      </w:r>
      <w:r>
        <w:rPr>
          <w:rFonts w:hint="cs"/>
          <w:rtl/>
        </w:rPr>
        <w:t xml:space="preserve"> أيضا، عند الضرورة، من المنظمات غير الحكومية. </w:t>
      </w:r>
    </w:p>
    <w:p w:rsidR="00955676" w:rsidRPr="007A2808"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الاشتراك في المنظمات الدولية</w:t>
      </w:r>
    </w:p>
    <w:p w:rsidR="00955676" w:rsidRDefault="00955676" w:rsidP="00955676">
      <w:pPr>
        <w:pStyle w:val="SingleTxt"/>
        <w:rPr>
          <w:rFonts w:hint="cs"/>
          <w:rtl/>
        </w:rPr>
      </w:pPr>
      <w:r>
        <w:rPr>
          <w:rFonts w:hint="cs"/>
          <w:rtl/>
        </w:rPr>
        <w:t>142 -</w:t>
      </w:r>
      <w:r>
        <w:rPr>
          <w:rFonts w:hint="cs"/>
          <w:rtl/>
        </w:rPr>
        <w:tab/>
        <w:t>تدخل المرأة الماليزية العاملة في المنظمات الدولية مثل الأمم المتحدة في ثلاث فئات أو رتب، بصفة عامة، هي: الرتبة الفنية والرتبة الإدارية وموظفو الدعم. ويوضح الجدول 8-3 عدد الماليزيات الملحقات بالمنظمات الدولية ومناصبهن في عام 2002.</w:t>
      </w:r>
    </w:p>
    <w:p w:rsidR="00955676" w:rsidRPr="00A169EB"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rPr>
        <w:t>الجدول 8-3: الماليزيات الملحقات بالمنظمات الدولية في عام 2002</w:t>
      </w:r>
    </w:p>
    <w:p w:rsidR="00955676" w:rsidRPr="00A169EB" w:rsidRDefault="00955676" w:rsidP="0095567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948"/>
        <w:gridCol w:w="1236"/>
        <w:gridCol w:w="1133"/>
        <w:gridCol w:w="1133"/>
      </w:tblGrid>
      <w:tr w:rsidR="00955676" w:rsidRPr="00A169EB">
        <w:tblPrEx>
          <w:tblCellMar>
            <w:top w:w="0" w:type="dxa"/>
            <w:bottom w:w="0" w:type="dxa"/>
          </w:tblCellMar>
        </w:tblPrEx>
        <w:trPr>
          <w:cantSplit/>
          <w:tblHeader/>
        </w:trPr>
        <w:tc>
          <w:tcPr>
            <w:tcW w:w="3948" w:type="dxa"/>
            <w:tcBorders>
              <w:top w:val="single" w:sz="4" w:space="0" w:color="auto"/>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A169EB">
              <w:rPr>
                <w:rFonts w:hint="cs"/>
                <w:i/>
                <w:iCs/>
                <w:sz w:val="16"/>
                <w:szCs w:val="24"/>
                <w:rtl/>
              </w:rPr>
              <w:t>المنظمة</w:t>
            </w:r>
          </w:p>
        </w:tc>
        <w:tc>
          <w:tcPr>
            <w:tcW w:w="1236" w:type="dxa"/>
            <w:tcBorders>
              <w:top w:val="single" w:sz="4" w:space="0" w:color="auto"/>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sidRPr="00A169EB">
              <w:rPr>
                <w:rFonts w:hint="cs"/>
                <w:i/>
                <w:iCs/>
                <w:sz w:val="16"/>
                <w:szCs w:val="24"/>
                <w:rtl/>
              </w:rPr>
              <w:t>الرتبة الإدارية</w:t>
            </w:r>
          </w:p>
        </w:tc>
        <w:tc>
          <w:tcPr>
            <w:tcW w:w="1133" w:type="dxa"/>
            <w:tcBorders>
              <w:top w:val="single" w:sz="4" w:space="0" w:color="auto"/>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rPr>
            </w:pPr>
            <w:r>
              <w:rPr>
                <w:rFonts w:hint="cs"/>
                <w:i/>
                <w:iCs/>
                <w:sz w:val="16"/>
                <w:szCs w:val="24"/>
                <w:rtl/>
              </w:rPr>
              <w:t>الرتبة</w:t>
            </w:r>
            <w:r w:rsidRPr="00A169EB">
              <w:rPr>
                <w:rFonts w:hint="cs"/>
                <w:i/>
                <w:iCs/>
                <w:sz w:val="16"/>
                <w:szCs w:val="24"/>
                <w:rtl/>
              </w:rPr>
              <w:t xml:space="preserve"> الفنية</w:t>
            </w:r>
          </w:p>
        </w:tc>
        <w:tc>
          <w:tcPr>
            <w:tcW w:w="1133" w:type="dxa"/>
            <w:tcBorders>
              <w:top w:val="single" w:sz="4" w:space="0" w:color="auto"/>
              <w:bottom w:val="single" w:sz="12" w:space="0" w:color="auto"/>
            </w:tcBorders>
            <w:shd w:val="clear" w:color="auto" w:fill="auto"/>
            <w:vAlign w:val="bottom"/>
          </w:tcPr>
          <w:p w:rsidR="00955676" w:rsidRPr="00A169EB" w:rsidRDefault="00955676" w:rsidP="00C43389">
            <w:pPr>
              <w:pStyle w:val="FootnoteText"/>
              <w:spacing w:before="80" w:after="80" w:line="240" w:lineRule="exact"/>
              <w:ind w:right="144"/>
              <w:jc w:val="center"/>
              <w:rPr>
                <w:rFonts w:hint="cs"/>
                <w:i/>
                <w:iCs/>
                <w:sz w:val="16"/>
                <w:szCs w:val="24"/>
                <w:rtl/>
              </w:rPr>
            </w:pPr>
            <w:r w:rsidRPr="00A169EB">
              <w:rPr>
                <w:rFonts w:hint="cs"/>
                <w:i/>
                <w:iCs/>
                <w:sz w:val="16"/>
                <w:szCs w:val="24"/>
                <w:rtl/>
              </w:rPr>
              <w:t>موظفو الدعم</w:t>
            </w:r>
          </w:p>
        </w:tc>
      </w:tr>
      <w:tr w:rsidR="00955676" w:rsidRPr="00A169EB">
        <w:tblPrEx>
          <w:tblCellMar>
            <w:top w:w="0" w:type="dxa"/>
            <w:bottom w:w="0" w:type="dxa"/>
          </w:tblCellMar>
        </w:tblPrEx>
        <w:trPr>
          <w:cantSplit/>
          <w:trHeight w:hRule="exact" w:val="115"/>
          <w:tblHeader/>
        </w:trPr>
        <w:tc>
          <w:tcPr>
            <w:tcW w:w="3948" w:type="dxa"/>
            <w:tcBorders>
              <w:top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الوكالة الدولية للطاقة الذرية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5</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منظمة التجارة العالمية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المنظمة العالمية للملكية الفكرية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الاتحاد الدولي لجمعيات الصليب الأحمر والهلال الأحمر</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الأمم المتحدة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الاتحاد الدولي للاتصالات السلكية واللاسلكية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منظمة الصحة العالمية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مركز الحوار الإنساني</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منظمة العمل الدولية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المنتدى الاقتصادي العالمي</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مفوضية الأمم المتحدة السامية لشؤون اللاجئين</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مفوضية الأمم المتحدة السامية لحقوق الإنسان</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مؤتمر الأمم المتحدة للتجارة والتنمية</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لجنة الأمم المتحدة للتعويضات</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البنك الدول</w:t>
            </w:r>
            <w:r w:rsidR="00212869">
              <w:rPr>
                <w:rFonts w:hint="cs"/>
                <w:sz w:val="16"/>
                <w:szCs w:val="24"/>
                <w:rtl/>
              </w:rPr>
              <w:t>ي</w:t>
            </w:r>
          </w:p>
        </w:tc>
        <w:tc>
          <w:tcPr>
            <w:tcW w:w="1236"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2</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14</w:t>
            </w:r>
          </w:p>
        </w:tc>
        <w:tc>
          <w:tcPr>
            <w:tcW w:w="1133" w:type="dxa"/>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r w:rsidR="00955676" w:rsidRPr="00A169EB">
        <w:tblPrEx>
          <w:tblCellMar>
            <w:top w:w="0" w:type="dxa"/>
            <w:bottom w:w="0" w:type="dxa"/>
          </w:tblCellMar>
        </w:tblPrEx>
        <w:trPr>
          <w:cantSplit/>
        </w:trPr>
        <w:tc>
          <w:tcPr>
            <w:tcW w:w="3948" w:type="dxa"/>
            <w:tcBorders>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صندوق النقد الدولي</w:t>
            </w:r>
          </w:p>
        </w:tc>
        <w:tc>
          <w:tcPr>
            <w:tcW w:w="1236" w:type="dxa"/>
            <w:tcBorders>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c>
          <w:tcPr>
            <w:tcW w:w="1133" w:type="dxa"/>
            <w:tcBorders>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4</w:t>
            </w:r>
          </w:p>
        </w:tc>
        <w:tc>
          <w:tcPr>
            <w:tcW w:w="1133" w:type="dxa"/>
            <w:tcBorders>
              <w:bottom w:val="single" w:sz="12" w:space="0" w:color="auto"/>
            </w:tcBorders>
            <w:shd w:val="clear" w:color="auto" w:fill="auto"/>
            <w:vAlign w:val="bottom"/>
          </w:tcPr>
          <w:p w:rsidR="00955676" w:rsidRPr="00A169EB" w:rsidRDefault="00955676" w:rsidP="00C43389">
            <w:pPr>
              <w:tabs>
                <w:tab w:val="left" w:pos="288"/>
                <w:tab w:val="left" w:pos="576"/>
                <w:tab w:val="left" w:pos="864"/>
                <w:tab w:val="left" w:pos="1152"/>
              </w:tabs>
              <w:spacing w:before="40" w:after="80" w:line="240" w:lineRule="exact"/>
              <w:ind w:left="170" w:right="144"/>
              <w:jc w:val="center"/>
              <w:rPr>
                <w:rFonts w:hint="cs"/>
                <w:sz w:val="16"/>
                <w:szCs w:val="24"/>
                <w:rtl/>
              </w:rPr>
            </w:pPr>
            <w:r>
              <w:rPr>
                <w:rFonts w:hint="cs"/>
                <w:sz w:val="16"/>
                <w:szCs w:val="24"/>
                <w:rtl/>
              </w:rPr>
              <w:t>-</w:t>
            </w:r>
          </w:p>
        </w:tc>
      </w:tr>
    </w:tbl>
    <w:p w:rsidR="00955676" w:rsidRDefault="00955676" w:rsidP="00955676">
      <w:pPr>
        <w:pStyle w:val="SingleTxt"/>
        <w:rPr>
          <w:rFonts w:hint="cs"/>
          <w:rtl/>
        </w:rPr>
      </w:pPr>
    </w:p>
    <w:p w:rsidR="00955676" w:rsidRDefault="00955676" w:rsidP="00955676">
      <w:pPr>
        <w:pStyle w:val="SingleTxt"/>
        <w:rPr>
          <w:rFonts w:hint="cs"/>
          <w:rtl/>
        </w:rPr>
      </w:pPr>
      <w:r>
        <w:rPr>
          <w:rFonts w:hint="cs"/>
          <w:rtl/>
        </w:rPr>
        <w:t>143 -</w:t>
      </w:r>
      <w:r>
        <w:rPr>
          <w:rFonts w:hint="cs"/>
          <w:rtl/>
        </w:rPr>
        <w:tab/>
        <w:t>كما يتضح من الجدول 8-3، لا يزال عدد الماليزيات العاملات في تلك المنظمات الدولية منخفضا بكل أسف. ويعزى هذا أساسا إلى قيود ثقافية وإلى احترام حساسيات البلدان المضيفة مثل البلدان العربية. بيد أن ماليزيا ملتزمة بتحسين اشتراك المرأة على الصعيدين الدولي والإقليمي.</w:t>
      </w:r>
    </w:p>
    <w:p w:rsidR="00955676" w:rsidRPr="00A169EB"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الجنسية</w:t>
      </w:r>
    </w:p>
    <w:p w:rsidR="00955676" w:rsidRPr="00A169EB"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955676" w:rsidRDefault="00955676" w:rsidP="00955676">
      <w:pPr>
        <w:pStyle w:val="SingleTxt"/>
        <w:rPr>
          <w:rFonts w:hint="cs"/>
          <w:rtl/>
        </w:rPr>
      </w:pPr>
      <w:r>
        <w:rPr>
          <w:rFonts w:hint="cs"/>
          <w:rtl/>
        </w:rPr>
        <w:t>144 -</w:t>
      </w:r>
      <w:r>
        <w:rPr>
          <w:rFonts w:hint="cs"/>
          <w:rtl/>
        </w:rPr>
        <w:tab/>
        <w:t>يمنح الدستور الماليزي حقوقا متساوية للرجال والنساء في اكتساب جنسيتهم الماليزية والاحتفاظ بها. بيد أن ماليزيا قدمت تحفظا على الفقرة 2 من المادة 9 من اتفاقية القضاء على جميع أشكال التمييز ضد المرأة المتعلقة بمنح المرأة حقا مساويا لحق الرجل فيما يتعلق بجنسية أطفالها</w:t>
      </w:r>
      <w:r w:rsidR="00212869">
        <w:rPr>
          <w:rFonts w:hint="cs"/>
          <w:rtl/>
        </w:rPr>
        <w:t>،</w:t>
      </w:r>
      <w:r>
        <w:rPr>
          <w:rFonts w:hint="cs"/>
          <w:rtl/>
        </w:rPr>
        <w:t xml:space="preserve"> فالحق في الجنسية هو امتياز خاص معلن صراحة في الدستور الاتحادي.</w:t>
      </w:r>
    </w:p>
    <w:p w:rsidR="00955676" w:rsidRPr="00A169EB"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المتعلقة بالجنسية والإقامة</w:t>
      </w:r>
    </w:p>
    <w:p w:rsidR="00955676" w:rsidRDefault="00955676" w:rsidP="00212869">
      <w:pPr>
        <w:pStyle w:val="SingleTxt"/>
        <w:rPr>
          <w:rFonts w:hint="cs"/>
          <w:rtl/>
        </w:rPr>
      </w:pPr>
      <w:r>
        <w:rPr>
          <w:rFonts w:hint="cs"/>
          <w:rtl/>
        </w:rPr>
        <w:t>145 -</w:t>
      </w:r>
      <w:r>
        <w:rPr>
          <w:rFonts w:hint="cs"/>
          <w:rtl/>
        </w:rPr>
        <w:tab/>
        <w:t xml:space="preserve">تتقرر الجنسية في ماليزيا بمجموعة </w:t>
      </w:r>
      <w:r w:rsidR="00212869">
        <w:rPr>
          <w:rFonts w:hint="cs"/>
          <w:rtl/>
        </w:rPr>
        <w:t>من ال</w:t>
      </w:r>
      <w:r>
        <w:rPr>
          <w:rFonts w:hint="cs"/>
          <w:rtl/>
        </w:rPr>
        <w:t xml:space="preserve">عوامل مثل </w:t>
      </w:r>
      <w:r w:rsidR="00212869">
        <w:rPr>
          <w:rFonts w:hint="cs"/>
          <w:rtl/>
        </w:rPr>
        <w:t xml:space="preserve">الولادة </w:t>
      </w:r>
      <w:r>
        <w:rPr>
          <w:rFonts w:hint="cs"/>
          <w:rtl/>
        </w:rPr>
        <w:t xml:space="preserve">والنسب </w:t>
      </w:r>
      <w:r w:rsidR="00212869">
        <w:rPr>
          <w:rFonts w:hint="cs"/>
          <w:rtl/>
        </w:rPr>
        <w:t xml:space="preserve">وليس </w:t>
      </w:r>
      <w:r>
        <w:rPr>
          <w:rFonts w:hint="cs"/>
          <w:rtl/>
        </w:rPr>
        <w:t xml:space="preserve">بحسب نوع الجنس. ولا تتأثر جنسية المرأة بزواجها من شخص غير مواطن أو بتغيير جنسية زوجها ما لم تبد رغبتها في ذلك. </w:t>
      </w:r>
    </w:p>
    <w:p w:rsidR="00955676" w:rsidRDefault="00955676" w:rsidP="00212869">
      <w:pPr>
        <w:pStyle w:val="SingleTxt"/>
        <w:rPr>
          <w:rFonts w:hint="cs"/>
          <w:rtl/>
        </w:rPr>
      </w:pPr>
      <w:r>
        <w:rPr>
          <w:rFonts w:hint="cs"/>
          <w:rtl/>
        </w:rPr>
        <w:t>146 -</w:t>
      </w:r>
      <w:r>
        <w:rPr>
          <w:rFonts w:hint="cs"/>
          <w:rtl/>
        </w:rPr>
        <w:tab/>
        <w:t>وتعدد المادة 14 من الدستور الاتحادي فئ</w:t>
      </w:r>
      <w:r w:rsidR="00212869">
        <w:rPr>
          <w:rFonts w:hint="cs"/>
          <w:rtl/>
        </w:rPr>
        <w:t>ات</w:t>
      </w:r>
      <w:r>
        <w:rPr>
          <w:rFonts w:hint="cs"/>
          <w:rtl/>
        </w:rPr>
        <w:t xml:space="preserve"> الأشخاص المؤهلين لاكتساب الجنسية. وعلى الرغم من عدم الإشارة في الدستور صراحة إلى ذلك، يحق للمرأة غير الماليزية اكتساب الجنسية الماليزية ويحق للمرأة الماليزية تغيير جنسيتها أو الاحتفاظ بها بغض النظر عن الوضع الزوجي.</w:t>
      </w:r>
    </w:p>
    <w:p w:rsidR="00955676" w:rsidRDefault="00955676" w:rsidP="00955676">
      <w:pPr>
        <w:pStyle w:val="SingleTxt"/>
        <w:rPr>
          <w:rFonts w:hint="cs"/>
          <w:rtl/>
        </w:rPr>
      </w:pPr>
      <w:r>
        <w:rPr>
          <w:rFonts w:hint="cs"/>
          <w:rtl/>
        </w:rPr>
        <w:t>147 -</w:t>
      </w:r>
      <w:r>
        <w:rPr>
          <w:rFonts w:hint="cs"/>
          <w:rtl/>
        </w:rPr>
        <w:tab/>
        <w:t>ويمنح الطفل الجنسية الماليزية إذا:</w:t>
      </w:r>
    </w:p>
    <w:p w:rsidR="00955676" w:rsidRDefault="00955676" w:rsidP="00955676">
      <w:pPr>
        <w:pStyle w:val="SingleTxt"/>
        <w:rPr>
          <w:rFonts w:hint="cs"/>
          <w:rtl/>
        </w:rPr>
      </w:pPr>
      <w:r>
        <w:rPr>
          <w:rFonts w:hint="cs"/>
          <w:rtl/>
        </w:rPr>
        <w:tab/>
        <w:t>(أ)</w:t>
      </w:r>
      <w:r>
        <w:rPr>
          <w:rFonts w:hint="cs"/>
          <w:rtl/>
        </w:rPr>
        <w:tab/>
        <w:t xml:space="preserve">ولد داخل الاتحاد وكان أحد والديه </w:t>
      </w:r>
      <w:r w:rsidR="00212869">
        <w:rPr>
          <w:rFonts w:hint="cs"/>
          <w:rtl/>
        </w:rPr>
        <w:t xml:space="preserve">على الأقل </w:t>
      </w:r>
      <w:r>
        <w:rPr>
          <w:rFonts w:hint="cs"/>
          <w:rtl/>
        </w:rPr>
        <w:t>عند ولادته مواطنا أو مقيما دائما في الاتحاد؛</w:t>
      </w:r>
    </w:p>
    <w:p w:rsidR="00955676" w:rsidRDefault="00955676" w:rsidP="00212869">
      <w:pPr>
        <w:pStyle w:val="SingleTxt"/>
        <w:rPr>
          <w:rFonts w:hint="cs"/>
          <w:rtl/>
        </w:rPr>
      </w:pPr>
      <w:r>
        <w:rPr>
          <w:rFonts w:hint="cs"/>
          <w:rtl/>
        </w:rPr>
        <w:tab/>
        <w:t>(ب)</w:t>
      </w:r>
      <w:r>
        <w:rPr>
          <w:rFonts w:hint="cs"/>
          <w:rtl/>
        </w:rPr>
        <w:tab/>
        <w:t>و</w:t>
      </w:r>
      <w:r w:rsidR="00212869">
        <w:rPr>
          <w:rFonts w:hint="cs"/>
          <w:rtl/>
        </w:rPr>
        <w:t>ُ</w:t>
      </w:r>
      <w:r>
        <w:rPr>
          <w:rFonts w:hint="cs"/>
          <w:rtl/>
        </w:rPr>
        <w:t>لد خارج الاتحاد لكن والده كان مواطنا عند ولادته و</w:t>
      </w:r>
      <w:r w:rsidR="00212869">
        <w:rPr>
          <w:rFonts w:hint="cs"/>
          <w:rtl/>
        </w:rPr>
        <w:t xml:space="preserve">سجلت واقعة الولادة </w:t>
      </w:r>
      <w:r>
        <w:rPr>
          <w:rFonts w:hint="cs"/>
          <w:rtl/>
        </w:rPr>
        <w:t>في قنصلية تابعة للاتحاد.</w:t>
      </w:r>
    </w:p>
    <w:p w:rsidR="00955676" w:rsidRDefault="00955676" w:rsidP="00212869">
      <w:pPr>
        <w:pStyle w:val="SingleTxt"/>
        <w:rPr>
          <w:rFonts w:hint="cs"/>
          <w:rtl/>
        </w:rPr>
      </w:pPr>
      <w:r>
        <w:rPr>
          <w:rFonts w:hint="cs"/>
          <w:rtl/>
        </w:rPr>
        <w:t>148 -</w:t>
      </w:r>
      <w:r>
        <w:rPr>
          <w:rFonts w:hint="cs"/>
          <w:rtl/>
        </w:rPr>
        <w:tab/>
        <w:t xml:space="preserve">بجوز لأي شخص يزيد عمره على 18 عاما الحصول على جواز سفر. وفي عام 1999، عدل قانون الولاية على الأطفال الرضع لعام 1961 </w:t>
      </w:r>
      <w:r w:rsidR="00212869">
        <w:rPr>
          <w:rFonts w:hint="cs"/>
          <w:rtl/>
        </w:rPr>
        <w:t xml:space="preserve">(القانون رقم 351) </w:t>
      </w:r>
      <w:r>
        <w:rPr>
          <w:rFonts w:hint="cs"/>
          <w:rtl/>
        </w:rPr>
        <w:t xml:space="preserve">بحيث يمنح للأمهات حقا مساويا للآباء. وهذا </w:t>
      </w:r>
      <w:r w:rsidR="00212869">
        <w:rPr>
          <w:rFonts w:hint="cs"/>
          <w:rtl/>
        </w:rPr>
        <w:t xml:space="preserve">يُمكِّن </w:t>
      </w:r>
      <w:r>
        <w:rPr>
          <w:rFonts w:hint="cs"/>
          <w:rtl/>
        </w:rPr>
        <w:t>الأمهات من التوقيع على جميع الوثائق المتعلقة بأطفالهن و</w:t>
      </w:r>
      <w:r w:rsidR="00212869">
        <w:rPr>
          <w:rFonts w:hint="cs"/>
          <w:rtl/>
        </w:rPr>
        <w:t xml:space="preserve">يُمكِّن </w:t>
      </w:r>
      <w:r>
        <w:rPr>
          <w:rFonts w:hint="cs"/>
          <w:rtl/>
        </w:rPr>
        <w:t>الأمهات كذلك من القيام، نيابة عن أطفالهن، بتقديم طلب الحصول على جواز سفر لهم.</w:t>
      </w:r>
    </w:p>
    <w:p w:rsidR="00955676" w:rsidRPr="00A84756"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 ومسائل الهوية</w:t>
      </w:r>
    </w:p>
    <w:p w:rsidR="00955676" w:rsidRDefault="00955676" w:rsidP="00DF7C3C">
      <w:pPr>
        <w:pStyle w:val="SingleTxt"/>
        <w:rPr>
          <w:rFonts w:hint="cs"/>
          <w:rtl/>
        </w:rPr>
      </w:pPr>
      <w:r>
        <w:rPr>
          <w:rFonts w:hint="cs"/>
          <w:rtl/>
        </w:rPr>
        <w:t>149 -</w:t>
      </w:r>
      <w:r>
        <w:rPr>
          <w:rFonts w:hint="cs"/>
          <w:rtl/>
        </w:rPr>
        <w:tab/>
        <w:t xml:space="preserve">على الرغم من أن الدستور الاتحادي لا يمنع المرأة الماليزية من الزواج بمواطن أجنبي ولا يحرمها من حق تغيير جنسيتها فهو يحظر الجنسية المزدوجة. ويشترط القانون أن تسجل في ماليزيا، لاعتبارات الهجرة والجنسية، عقود الزواج التي تعقد </w:t>
      </w:r>
      <w:r w:rsidR="00212869">
        <w:rPr>
          <w:rFonts w:hint="cs"/>
          <w:rtl/>
        </w:rPr>
        <w:t xml:space="preserve">رسميا </w:t>
      </w:r>
      <w:r>
        <w:rPr>
          <w:rFonts w:hint="cs"/>
          <w:rtl/>
        </w:rPr>
        <w:t xml:space="preserve">في الخارج. وينص القانون الاتحادي على جواز منح الجنسية للزوجات الأجنبيات المتزوجات من أزواج ماليزيين لدى تقديمهن طلبا إلى الحكومة إذا كان الزواج </w:t>
      </w:r>
      <w:r w:rsidR="00DF7C3C">
        <w:rPr>
          <w:rFonts w:hint="cs"/>
          <w:rtl/>
        </w:rPr>
        <w:t xml:space="preserve">قائما </w:t>
      </w:r>
      <w:r>
        <w:rPr>
          <w:rFonts w:hint="cs"/>
          <w:rtl/>
        </w:rPr>
        <w:t>وكانت المرأة قد حصلت على مركز الإقامة الدائمة. غير أنه لا يوجد في القانون نص يبيح لزوج أجنبي إمكانية الحصول على مركز الجنسية نتيجة لزواجه من امرأة ماليزية.</w:t>
      </w:r>
    </w:p>
    <w:p w:rsidR="00955676" w:rsidRPr="00A84756" w:rsidRDefault="00955676" w:rsidP="00955676">
      <w:pPr>
        <w:pStyle w:val="SingleTxt"/>
        <w:spacing w:after="0" w:line="120" w:lineRule="exact"/>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955676" w:rsidRPr="00A8475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w:t>
      </w:r>
    </w:p>
    <w:p w:rsidR="00955676" w:rsidRPr="00A84756"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955676" w:rsidRDefault="00955676" w:rsidP="00955676">
      <w:pPr>
        <w:pStyle w:val="SingleTxt"/>
        <w:rPr>
          <w:rFonts w:hint="cs"/>
          <w:rtl/>
        </w:rPr>
      </w:pPr>
      <w:r>
        <w:rPr>
          <w:rFonts w:hint="cs"/>
          <w:rtl/>
        </w:rPr>
        <w:t>150 -</w:t>
      </w:r>
      <w:r>
        <w:rPr>
          <w:rFonts w:hint="cs"/>
          <w:rtl/>
        </w:rPr>
        <w:tab/>
        <w:t>يشرف نظام التعليم الوطني الماليزي على مراحل التعليم الابتدائي والثانوي والجامعي بهدف خلق مجتمع موحد ومنظم وماهر. وتخصص نسبة 20.4 في المائة من الميزانية الوطنية السنوية للتعليم. وتستخدم استراتيجيات مختلفة منها:</w:t>
      </w:r>
    </w:p>
    <w:p w:rsidR="00955676" w:rsidRDefault="00955676" w:rsidP="00955676">
      <w:pPr>
        <w:pStyle w:val="SingleTxt"/>
        <w:rPr>
          <w:rFonts w:hint="cs"/>
          <w:rtl/>
        </w:rPr>
      </w:pPr>
      <w:r>
        <w:rPr>
          <w:rFonts w:hint="cs"/>
          <w:rtl/>
        </w:rPr>
        <w:tab/>
        <w:t>’1‘</w:t>
      </w:r>
      <w:r>
        <w:rPr>
          <w:rFonts w:hint="cs"/>
          <w:rtl/>
        </w:rPr>
        <w:tab/>
        <w:t>توفير التعليم الابتدائي والثانوي مجانا؛</w:t>
      </w:r>
    </w:p>
    <w:p w:rsidR="00955676" w:rsidRDefault="00955676" w:rsidP="00955676">
      <w:pPr>
        <w:pStyle w:val="SingleTxt"/>
        <w:rPr>
          <w:rFonts w:hint="cs"/>
          <w:rtl/>
        </w:rPr>
      </w:pPr>
      <w:r>
        <w:rPr>
          <w:rFonts w:hint="cs"/>
          <w:rtl/>
        </w:rPr>
        <w:tab/>
        <w:t>’2‘</w:t>
      </w:r>
      <w:r>
        <w:rPr>
          <w:rFonts w:hint="cs"/>
          <w:rtl/>
        </w:rPr>
        <w:tab/>
        <w:t>توفير تدابير خاصة للفئات المحرومة؛</w:t>
      </w:r>
    </w:p>
    <w:p w:rsidR="00955676" w:rsidRDefault="00955676" w:rsidP="00955676">
      <w:pPr>
        <w:pStyle w:val="SingleTxt"/>
        <w:rPr>
          <w:rFonts w:hint="cs"/>
          <w:rtl/>
        </w:rPr>
      </w:pPr>
      <w:r>
        <w:rPr>
          <w:rFonts w:hint="cs"/>
          <w:rtl/>
        </w:rPr>
        <w:tab/>
        <w:t>’3‘</w:t>
      </w:r>
      <w:r>
        <w:rPr>
          <w:rFonts w:hint="cs"/>
          <w:rtl/>
        </w:rPr>
        <w:tab/>
        <w:t>إضفاء الطابع الديمقراطي على الفرص التعليمية؛</w:t>
      </w:r>
    </w:p>
    <w:p w:rsidR="00955676" w:rsidRDefault="00955676" w:rsidP="00955676">
      <w:pPr>
        <w:pStyle w:val="SingleTxt"/>
        <w:rPr>
          <w:rFonts w:hint="cs"/>
          <w:rtl/>
        </w:rPr>
      </w:pPr>
      <w:r>
        <w:rPr>
          <w:rFonts w:hint="cs"/>
          <w:rtl/>
        </w:rPr>
        <w:tab/>
        <w:t>’4‘</w:t>
      </w:r>
      <w:r>
        <w:rPr>
          <w:rFonts w:hint="cs"/>
          <w:rtl/>
        </w:rPr>
        <w:tab/>
        <w:t>النهوض بالتعليم التقني؛</w:t>
      </w:r>
    </w:p>
    <w:p w:rsidR="00955676" w:rsidRDefault="00955676" w:rsidP="00955676">
      <w:pPr>
        <w:pStyle w:val="SingleTxt"/>
        <w:rPr>
          <w:rFonts w:hint="cs"/>
          <w:rtl/>
        </w:rPr>
      </w:pPr>
      <w:r>
        <w:rPr>
          <w:rFonts w:hint="cs"/>
          <w:rtl/>
        </w:rPr>
        <w:tab/>
        <w:t>’5‘</w:t>
      </w:r>
      <w:r>
        <w:rPr>
          <w:rFonts w:hint="cs"/>
          <w:rtl/>
        </w:rPr>
        <w:tab/>
        <w:t>تنويع الفرص التعليمية، وبخاصة في الميدانين العلمي والتقني.</w:t>
      </w:r>
    </w:p>
    <w:p w:rsidR="00955676" w:rsidRDefault="00955676" w:rsidP="00955676">
      <w:pPr>
        <w:pStyle w:val="SingleTxt"/>
        <w:rPr>
          <w:rFonts w:hint="cs"/>
          <w:rtl/>
        </w:rPr>
      </w:pPr>
      <w:r>
        <w:rPr>
          <w:rFonts w:hint="cs"/>
          <w:rtl/>
        </w:rPr>
        <w:t>151 -</w:t>
      </w:r>
      <w:r>
        <w:rPr>
          <w:rFonts w:hint="cs"/>
          <w:rtl/>
        </w:rPr>
        <w:tab/>
        <w:t>وتطبق تلك الاستراتيجيات على الذكور والإناث على قدم المساواة. وبموجب نظام التعليم الوطني، يجري تعليم الطلاب والطالبات في المدارس باستخدام نفس المناهج الدراسية المشتركة ويتقدمون لنفس الامتحانات الوطنية التي تجريها هيئة مركزية هي مؤسسة الفحوص التابعة ل</w:t>
      </w:r>
      <w:r w:rsidR="0014328E">
        <w:rPr>
          <w:rFonts w:hint="cs"/>
          <w:rtl/>
        </w:rPr>
        <w:t>وزارة التربية</w:t>
      </w:r>
      <w:r>
        <w:rPr>
          <w:rFonts w:hint="cs"/>
          <w:rtl/>
        </w:rPr>
        <w:t>.</w:t>
      </w:r>
    </w:p>
    <w:p w:rsidR="00955676" w:rsidRDefault="00955676" w:rsidP="00DF7C3C">
      <w:pPr>
        <w:pStyle w:val="SingleTxt"/>
        <w:rPr>
          <w:rFonts w:hint="cs"/>
          <w:rtl/>
        </w:rPr>
      </w:pPr>
      <w:r>
        <w:rPr>
          <w:rFonts w:hint="cs"/>
          <w:rtl/>
        </w:rPr>
        <w:t>152 -</w:t>
      </w:r>
      <w:r>
        <w:rPr>
          <w:rFonts w:hint="cs"/>
          <w:rtl/>
        </w:rPr>
        <w:tab/>
        <w:t>وبإمكان الأطفال في ماليزيا الالتحاق بمدرسة حكومية (عامة) أو بمدرسة من المدارس الخاصة في البلد. وفي عام 1998، كانت هناك  696 8 مدرسة حكومية تقدم التعليم مجانا لـ 4.8 ملايين طالب تتراوح أعماره</w:t>
      </w:r>
      <w:r w:rsidR="00DF7C3C">
        <w:rPr>
          <w:rFonts w:hint="cs"/>
          <w:rtl/>
        </w:rPr>
        <w:t>م</w:t>
      </w:r>
      <w:r>
        <w:rPr>
          <w:rFonts w:hint="cs"/>
          <w:rtl/>
        </w:rPr>
        <w:t xml:space="preserve"> بين 6 سنوات فما فوق و 16 سنة فما فوق على صعيد البلد؛ و 219 مدرسة خاصة في البلد يبلغ مجموع الطلاب الملتحقين فيها 747 86 طالبا. ويشير وصف التعليم الأساسي الوارد أدناه إلى المدارس الحكومية.</w:t>
      </w:r>
    </w:p>
    <w:p w:rsidR="00955676" w:rsidRPr="00227D67"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الأساسي</w:t>
      </w:r>
    </w:p>
    <w:p w:rsidR="00955676" w:rsidRDefault="00955676" w:rsidP="0016686F">
      <w:pPr>
        <w:pStyle w:val="SingleTxt"/>
        <w:rPr>
          <w:rFonts w:hint="cs"/>
          <w:rtl/>
        </w:rPr>
      </w:pPr>
      <w:r>
        <w:rPr>
          <w:rFonts w:hint="cs"/>
          <w:rtl/>
        </w:rPr>
        <w:t>153 -</w:t>
      </w:r>
      <w:r>
        <w:rPr>
          <w:rFonts w:hint="cs"/>
          <w:rtl/>
        </w:rPr>
        <w:tab/>
        <w:t>توفر وزارة التربية للماليزيين إحدى عشر</w:t>
      </w:r>
      <w:r w:rsidR="0016686F">
        <w:rPr>
          <w:rFonts w:hint="cs"/>
          <w:rtl/>
        </w:rPr>
        <w:t>ة</w:t>
      </w:r>
      <w:r>
        <w:rPr>
          <w:rFonts w:hint="cs"/>
          <w:rtl/>
        </w:rPr>
        <w:t xml:space="preserve"> سنة من التعليم الأساسي المجاني (</w:t>
      </w:r>
      <w:r w:rsidR="0016686F">
        <w:rPr>
          <w:rFonts w:hint="cs"/>
          <w:rtl/>
        </w:rPr>
        <w:t>ست</w:t>
      </w:r>
      <w:r>
        <w:rPr>
          <w:rFonts w:hint="cs"/>
          <w:rtl/>
        </w:rPr>
        <w:t xml:space="preserve"> سنوات للمرحلة الابتدائية وثلاث سنوات للمرحلة الإعدادية وسنتان للمرحلة الثانوية). وفي عام 1998، بلغت نسبة الماليزيين الملتحقين بالمدارس الحكومية الذين تتراوح أعمارهم بين 6 سنوات فما فوق و 16 فما فوق 88 في المائة تقريبا.</w:t>
      </w:r>
    </w:p>
    <w:p w:rsidR="00955676" w:rsidRDefault="00955676" w:rsidP="00F31F01">
      <w:pPr>
        <w:pStyle w:val="SingleTxt"/>
        <w:rPr>
          <w:rFonts w:hint="cs"/>
          <w:rtl/>
        </w:rPr>
      </w:pPr>
      <w:r>
        <w:rPr>
          <w:rFonts w:hint="cs"/>
          <w:rtl/>
        </w:rPr>
        <w:t>154 -</w:t>
      </w:r>
      <w:r>
        <w:rPr>
          <w:rFonts w:hint="cs"/>
          <w:rtl/>
        </w:rPr>
        <w:tab/>
        <w:t xml:space="preserve">وفي تلك الســنة، كانت هنـــاك 128 7 مدرسة ابتدائيـــة يبلغ عدد التلاميذ الملتحقين بها 710 871 2 </w:t>
      </w:r>
      <w:r w:rsidR="0016686F">
        <w:rPr>
          <w:rFonts w:hint="cs"/>
          <w:rtl/>
        </w:rPr>
        <w:t>تلاميذ</w:t>
      </w:r>
      <w:r>
        <w:rPr>
          <w:rFonts w:hint="cs"/>
          <w:rtl/>
        </w:rPr>
        <w:t xml:space="preserve">، و 586 1 مدرسة ثانوية يبلغ عدد الطلاب الملتحقين فيها 264 882 1 طالبا. وتتركز غالبية المدارس الابتدائية (82.9 في المائة) في المناطق الريفية وتخدم ما مجموعه 707 839 1 </w:t>
      </w:r>
      <w:r w:rsidR="0016686F">
        <w:rPr>
          <w:rFonts w:hint="cs"/>
          <w:rtl/>
        </w:rPr>
        <w:t>تلاميذ</w:t>
      </w:r>
      <w:r>
        <w:rPr>
          <w:rFonts w:hint="cs"/>
          <w:rtl/>
        </w:rPr>
        <w:t xml:space="preserve"> (64.1 في المائة). أما بالنسبة للمدارس الثانوية، </w:t>
      </w:r>
      <w:r w:rsidR="0016686F">
        <w:rPr>
          <w:rFonts w:hint="cs"/>
          <w:rtl/>
        </w:rPr>
        <w:t>ف</w:t>
      </w:r>
      <w:r>
        <w:rPr>
          <w:rFonts w:hint="cs"/>
          <w:rtl/>
        </w:rPr>
        <w:t>تتمركز 918 مدرسة من أصل 568 1 مدرسة (</w:t>
      </w:r>
      <w:r w:rsidR="00F31F01">
        <w:rPr>
          <w:rFonts w:hint="cs"/>
          <w:rtl/>
        </w:rPr>
        <w:t>58</w:t>
      </w:r>
      <w:r>
        <w:rPr>
          <w:rFonts w:hint="cs"/>
          <w:rtl/>
        </w:rPr>
        <w:t>.5 في المائة) ف</w:t>
      </w:r>
      <w:r w:rsidR="0016686F">
        <w:rPr>
          <w:rFonts w:hint="cs"/>
          <w:rtl/>
        </w:rPr>
        <w:t>ي</w:t>
      </w:r>
      <w:r>
        <w:rPr>
          <w:rFonts w:hint="cs"/>
          <w:rtl/>
        </w:rPr>
        <w:t xml:space="preserve"> المناطق الريفية وتخدم 062 997 طالبا (56.1 في المائة). واستنادا إلى ذلك، فإن التعليم الأساسي في متناول جميع الأطفال الماليزيين بغض النظر عن مكان إقامتهم؛ حسبما هو مشار إليه في الجدول 10-1.</w:t>
      </w:r>
    </w:p>
    <w:p w:rsidR="00955676" w:rsidRPr="00783D0C" w:rsidRDefault="00955676" w:rsidP="00955676">
      <w:pPr>
        <w:pStyle w:val="SingleTxt"/>
        <w:spacing w:after="0" w:line="120" w:lineRule="exact"/>
        <w:rPr>
          <w:rFonts w:hint="cs"/>
          <w:sz w:val="10"/>
          <w:rtl/>
        </w:rPr>
      </w:pPr>
      <w:r>
        <w:rPr>
          <w:sz w:val="10"/>
          <w:rtl/>
        </w:rPr>
        <w:br w:type="page"/>
      </w:r>
    </w:p>
    <w:p w:rsidR="00955676" w:rsidRPr="00A80FC8" w:rsidRDefault="00955676" w:rsidP="00955676">
      <w:pPr>
        <w:framePr w:w="9792" w:h="432" w:hSpace="180" w:wrap="around" w:vAnchor="page" w:hAnchor="page" w:x="1303" w:y="13443"/>
        <w:spacing w:line="240" w:lineRule="auto"/>
        <w:jc w:val="lowKashida"/>
        <w:rPr>
          <w:szCs w:val="10"/>
          <w:rtl/>
        </w:rPr>
      </w:pPr>
    </w:p>
    <w:p w:rsidR="00955676" w:rsidRPr="00A80FC8" w:rsidRDefault="00955676" w:rsidP="00955676">
      <w:pPr>
        <w:framePr w:w="9792" w:h="432" w:hSpace="180" w:wrap="around" w:vAnchor="page" w:hAnchor="page" w:x="1303" w:y="13443"/>
        <w:spacing w:line="240" w:lineRule="auto"/>
        <w:jc w:val="lowKashida"/>
        <w:rPr>
          <w:szCs w:val="6"/>
          <w:rtl/>
        </w:rPr>
      </w:pPr>
    </w:p>
    <w:p w:rsidR="00955676" w:rsidRPr="00A80FC8" w:rsidRDefault="00955676" w:rsidP="00955676">
      <w:pPr>
        <w:framePr w:w="9792" w:h="432" w:hSpace="180" w:wrap="around" w:vAnchor="page" w:hAnchor="page" w:x="1303" w:y="13443"/>
        <w:tabs>
          <w:tab w:val="right" w:pos="1195"/>
          <w:tab w:val="left" w:pos="1267"/>
        </w:tabs>
        <w:spacing w:line="300" w:lineRule="exact"/>
        <w:ind w:left="1267" w:right="1267" w:hanging="547"/>
        <w:rPr>
          <w:rFonts w:hint="cs"/>
          <w:sz w:val="17"/>
          <w:szCs w:val="26"/>
        </w:rPr>
      </w:pPr>
      <w:r>
        <w:rPr>
          <w:noProof/>
          <w:w w:val="100"/>
        </w:rPr>
        <w:pict>
          <v:line id="_x0000_s2083" style="position:absolute;left:0;text-align:left;z-index:11" from="379.5pt,-1pt" to="451.5pt,-1pt"/>
        </w:pict>
      </w:r>
      <w:r>
        <w:rPr>
          <w:rFonts w:hint="cs"/>
          <w:sz w:val="17"/>
          <w:szCs w:val="26"/>
          <w:rtl/>
        </w:rPr>
        <w:tab/>
        <w:t>(5)</w:t>
      </w:r>
      <w:r>
        <w:rPr>
          <w:rFonts w:hint="cs"/>
          <w:sz w:val="17"/>
          <w:szCs w:val="26"/>
          <w:rtl/>
        </w:rPr>
        <w:tab/>
        <w:t>مصدر هذا الجدول هو شعبة التخطيط التعليمي وبحوث السياسة العامة التابعة لوزارة التربية، ماليزيا. وقد أخذت جميع الجداول الواردة في هذا الفصل من ذلك المصدر، ما لم ينص على خلاف ذلك.</w:t>
      </w:r>
    </w:p>
    <w:p w:rsidR="00955676" w:rsidRDefault="00955676" w:rsidP="00D969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vertAlign w:val="superscript"/>
          <w:rtl/>
        </w:rPr>
      </w:pPr>
      <w:r>
        <w:rPr>
          <w:rFonts w:hint="cs"/>
          <w:rtl/>
        </w:rPr>
        <w:tab/>
      </w:r>
      <w:r>
        <w:rPr>
          <w:rFonts w:hint="cs"/>
          <w:rtl/>
        </w:rPr>
        <w:tab/>
        <w:t xml:space="preserve">الجدول 10-1: توزيع المدارس الحكومية والطلاب، بحسب </w:t>
      </w:r>
      <w:r w:rsidR="00D969BE">
        <w:rPr>
          <w:rFonts w:hint="cs"/>
          <w:rtl/>
        </w:rPr>
        <w:t>المنطقة</w:t>
      </w:r>
      <w:r>
        <w:rPr>
          <w:rFonts w:hint="cs"/>
          <w:rtl/>
        </w:rPr>
        <w:t xml:space="preserve"> ونوع الجنس، في عام 1998</w:t>
      </w:r>
      <w:r w:rsidRPr="00A80FC8">
        <w:rPr>
          <w:rFonts w:hint="cs"/>
          <w:b w:val="0"/>
          <w:bCs w:val="0"/>
          <w:vertAlign w:val="superscript"/>
          <w:rtl/>
        </w:rPr>
        <w:t>(</w:t>
      </w:r>
      <w:r>
        <w:rPr>
          <w:rFonts w:hint="cs"/>
          <w:b w:val="0"/>
          <w:bCs w:val="0"/>
          <w:vertAlign w:val="superscript"/>
          <w:rtl/>
        </w:rPr>
        <w:t>5</w:t>
      </w:r>
      <w:r w:rsidRPr="00A80FC8">
        <w:rPr>
          <w:rFonts w:hint="cs"/>
          <w:b w:val="0"/>
          <w:bCs w:val="0"/>
          <w:vertAlign w:val="superscript"/>
          <w:rtl/>
        </w:rPr>
        <w:t>)</w:t>
      </w:r>
    </w:p>
    <w:p w:rsidR="00955676" w:rsidRPr="00A80FC8"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648"/>
        <w:gridCol w:w="1236"/>
        <w:gridCol w:w="1236"/>
        <w:gridCol w:w="1312"/>
      </w:tblGrid>
      <w:tr w:rsidR="00955676" w:rsidRPr="00A80FC8">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p>
        </w:tc>
        <w:tc>
          <w:tcPr>
            <w:tcW w:w="1648" w:type="dxa"/>
            <w:tcBorders>
              <w:top w:val="single" w:sz="4" w:space="0" w:color="auto"/>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80FC8">
              <w:rPr>
                <w:rFonts w:hint="cs"/>
                <w:i/>
                <w:iCs/>
                <w:sz w:val="16"/>
                <w:szCs w:val="24"/>
                <w:rtl/>
              </w:rPr>
              <w:t>المناطق الريفية</w:t>
            </w:r>
          </w:p>
        </w:tc>
        <w:tc>
          <w:tcPr>
            <w:tcW w:w="1236" w:type="dxa"/>
            <w:tcBorders>
              <w:top w:val="single" w:sz="4" w:space="0" w:color="auto"/>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80FC8">
              <w:rPr>
                <w:rFonts w:hint="cs"/>
                <w:i/>
                <w:iCs/>
                <w:sz w:val="16"/>
                <w:szCs w:val="24"/>
                <w:rtl/>
              </w:rPr>
              <w:t>المناطق الحضرية</w:t>
            </w:r>
          </w:p>
        </w:tc>
        <w:tc>
          <w:tcPr>
            <w:tcW w:w="1236" w:type="dxa"/>
            <w:tcBorders>
              <w:top w:val="single" w:sz="4" w:space="0" w:color="auto"/>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80FC8">
              <w:rPr>
                <w:rFonts w:hint="cs"/>
                <w:i/>
                <w:iCs/>
                <w:sz w:val="16"/>
                <w:szCs w:val="24"/>
                <w:rtl/>
              </w:rPr>
              <w:t>المجموع الفرعي</w:t>
            </w:r>
          </w:p>
        </w:tc>
        <w:tc>
          <w:tcPr>
            <w:tcW w:w="1312" w:type="dxa"/>
            <w:tcBorders>
              <w:top w:val="single" w:sz="4" w:space="0" w:color="auto"/>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80FC8">
              <w:rPr>
                <w:rFonts w:hint="cs"/>
                <w:i/>
                <w:iCs/>
                <w:sz w:val="16"/>
                <w:szCs w:val="24"/>
                <w:rtl/>
              </w:rPr>
              <w:t>المجموع الإجمالي</w:t>
            </w:r>
          </w:p>
        </w:tc>
      </w:tr>
      <w:tr w:rsidR="00955676" w:rsidRPr="00A80FC8">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648" w:type="dxa"/>
            <w:tcBorders>
              <w:top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tcBorders>
              <w:top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tcBorders>
              <w:top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tcBorders>
              <w:top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sidRPr="00A80FC8">
              <w:rPr>
                <w:rFonts w:hint="cs"/>
                <w:b/>
                <w:bCs/>
                <w:sz w:val="16"/>
                <w:szCs w:val="24"/>
                <w:rtl/>
              </w:rPr>
              <w:t>المدارس الابتدائية</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المدارس</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908 5</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220 1</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128 7</w:t>
            </w:r>
          </w:p>
        </w:tc>
      </w:tr>
      <w:tr w:rsidR="00955676" w:rsidRPr="00A80FC8">
        <w:tblPrEx>
          <w:tblCellMar>
            <w:top w:w="0" w:type="dxa"/>
            <w:bottom w:w="0" w:type="dxa"/>
          </w:tblCellMar>
        </w:tblPrEx>
        <w:trPr>
          <w:cantSplit/>
        </w:trPr>
        <w:tc>
          <w:tcPr>
            <w:tcW w:w="188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التلاميذ</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الذكور</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021 946</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292 529</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313 475 1</w:t>
            </w: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الإناث</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686 893</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711 502</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397 396 1</w:t>
            </w: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710 871 2</w:t>
            </w:r>
          </w:p>
        </w:tc>
      </w:tr>
      <w:tr w:rsidR="00955676" w:rsidRPr="00A80FC8">
        <w:tblPrEx>
          <w:tblCellMar>
            <w:top w:w="0" w:type="dxa"/>
            <w:bottom w:w="0" w:type="dxa"/>
          </w:tblCellMar>
        </w:tblPrEx>
        <w:trPr>
          <w:cantSplit/>
        </w:trPr>
        <w:tc>
          <w:tcPr>
            <w:tcW w:w="188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sidRPr="00A80FC8">
              <w:rPr>
                <w:rFonts w:hint="cs"/>
                <w:b/>
                <w:bCs/>
                <w:sz w:val="16"/>
                <w:szCs w:val="24"/>
                <w:rtl/>
              </w:rPr>
              <w:t>المدارس الثانوية</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المدارس</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918</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650</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568 1</w:t>
            </w: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الطلاب</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الذكور</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605 492</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410 429</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015 922</w:t>
            </w: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الإناث</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457 504</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792 455</w:t>
            </w: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249 960</w:t>
            </w: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264 882 1</w:t>
            </w:r>
          </w:p>
        </w:tc>
      </w:tr>
      <w:tr w:rsidR="00955676" w:rsidRPr="00A80FC8">
        <w:tblPrEx>
          <w:tblCellMar>
            <w:top w:w="0" w:type="dxa"/>
            <w:bottom w:w="0" w:type="dxa"/>
          </w:tblCellMar>
        </w:tblPrEx>
        <w:trPr>
          <w:cantSplit/>
        </w:trPr>
        <w:tc>
          <w:tcPr>
            <w:tcW w:w="188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sidRPr="00A80FC8">
              <w:rPr>
                <w:rFonts w:hint="cs"/>
                <w:b/>
                <w:bCs/>
                <w:sz w:val="16"/>
                <w:szCs w:val="24"/>
                <w:rtl/>
              </w:rPr>
              <w:t>المجموع</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المدارس</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696 8</w:t>
            </w:r>
          </w:p>
        </w:tc>
      </w:tr>
      <w:tr w:rsidR="00955676" w:rsidRPr="00A80FC8">
        <w:tblPrEx>
          <w:tblCellMar>
            <w:top w:w="0" w:type="dxa"/>
            <w:bottom w:w="0" w:type="dxa"/>
          </w:tblCellMar>
        </w:tblPrEx>
        <w:trPr>
          <w:cantSplit/>
        </w:trPr>
        <w:tc>
          <w:tcPr>
            <w:tcW w:w="1888"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الطلاب</w:t>
            </w:r>
          </w:p>
        </w:tc>
        <w:tc>
          <w:tcPr>
            <w:tcW w:w="1648"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974 753 4</w:t>
            </w:r>
          </w:p>
        </w:tc>
      </w:tr>
      <w:tr w:rsidR="00955676" w:rsidRPr="00A80FC8">
        <w:tblPrEx>
          <w:tblCellMar>
            <w:top w:w="0" w:type="dxa"/>
            <w:bottom w:w="0" w:type="dxa"/>
          </w:tblCellMar>
        </w:tblPrEx>
        <w:trPr>
          <w:cantSplit/>
        </w:trPr>
        <w:tc>
          <w:tcPr>
            <w:tcW w:w="6008" w:type="dxa"/>
            <w:gridSpan w:val="4"/>
            <w:shd w:val="clear" w:color="auto" w:fill="auto"/>
            <w:vAlign w:val="bottom"/>
          </w:tcPr>
          <w:p w:rsidR="00955676" w:rsidRPr="00A80FC8" w:rsidRDefault="00D969BE"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 xml:space="preserve">العدد الإجمالي </w:t>
            </w:r>
            <w:r w:rsidR="00955676">
              <w:rPr>
                <w:rFonts w:hint="cs"/>
                <w:sz w:val="16"/>
                <w:szCs w:val="24"/>
                <w:rtl/>
              </w:rPr>
              <w:t>(الفئ</w:t>
            </w:r>
            <w:r>
              <w:rPr>
                <w:rFonts w:hint="cs"/>
                <w:sz w:val="16"/>
                <w:szCs w:val="24"/>
                <w:rtl/>
              </w:rPr>
              <w:t>ة</w:t>
            </w:r>
            <w:r w:rsidR="00955676">
              <w:rPr>
                <w:rFonts w:hint="cs"/>
                <w:sz w:val="16"/>
                <w:szCs w:val="24"/>
                <w:rtl/>
              </w:rPr>
              <w:t xml:space="preserve"> العمرية بين 6 سنوات فما فوق و 16 سنة فما فوق)</w:t>
            </w:r>
          </w:p>
        </w:tc>
        <w:tc>
          <w:tcPr>
            <w:tcW w:w="1312" w:type="dxa"/>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608 583 5</w:t>
            </w:r>
          </w:p>
        </w:tc>
      </w:tr>
      <w:tr w:rsidR="00955676" w:rsidRPr="00A80FC8">
        <w:tblPrEx>
          <w:tblCellMar>
            <w:top w:w="0" w:type="dxa"/>
            <w:bottom w:w="0" w:type="dxa"/>
          </w:tblCellMar>
        </w:tblPrEx>
        <w:trPr>
          <w:cantSplit/>
        </w:trPr>
        <w:tc>
          <w:tcPr>
            <w:tcW w:w="6008" w:type="dxa"/>
            <w:gridSpan w:val="4"/>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معدل الاشتراك مقابل عدد أفراد الفئة العمرية (نسبة مئوية)</w:t>
            </w:r>
          </w:p>
        </w:tc>
        <w:tc>
          <w:tcPr>
            <w:tcW w:w="1312" w:type="dxa"/>
            <w:tcBorders>
              <w:bottom w:val="single" w:sz="12" w:space="0" w:color="auto"/>
            </w:tcBorders>
            <w:shd w:val="clear" w:color="auto" w:fill="auto"/>
            <w:vAlign w:val="bottom"/>
          </w:tcPr>
          <w:p w:rsidR="00955676" w:rsidRPr="00A80FC8"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88.30</w:t>
            </w:r>
          </w:p>
        </w:tc>
      </w:tr>
    </w:tbl>
    <w:p w:rsidR="00955676" w:rsidRPr="0066020D" w:rsidRDefault="00955676" w:rsidP="00955676">
      <w:pPr>
        <w:pStyle w:val="SingleTxt"/>
        <w:spacing w:after="0" w:line="120" w:lineRule="exact"/>
        <w:rPr>
          <w:rFonts w:hint="cs"/>
          <w:sz w:val="10"/>
          <w:rtl/>
        </w:rPr>
      </w:pPr>
    </w:p>
    <w:p w:rsidR="00955676" w:rsidRDefault="00955676" w:rsidP="00955676">
      <w:pPr>
        <w:pStyle w:val="SingleTxt"/>
        <w:rPr>
          <w:rFonts w:hint="cs"/>
          <w:rtl/>
        </w:rPr>
      </w:pPr>
      <w:r>
        <w:rPr>
          <w:rFonts w:hint="cs"/>
          <w:rtl/>
        </w:rPr>
        <w:t>155 -</w:t>
      </w:r>
      <w:r>
        <w:rPr>
          <w:rFonts w:hint="cs"/>
          <w:rtl/>
        </w:rPr>
        <w:tab/>
        <w:t>والتعليم مختلط في جميع مدارس البلد البالغ عددها 696 8 مدرسة باستثناء 70 مدرسة ابتدائية و 131 مدرسة ثانوية. وتوفر جميع المدارس للطلاب سواء كان التعليم فيها مختلطا أم لا، معيارا متماثلا من المباني والمعدات والمناهج الدراسية وموظفي التعليم والفرص للطلاب.</w:t>
      </w:r>
    </w:p>
    <w:p w:rsidR="00955676" w:rsidRDefault="00955676" w:rsidP="00955676">
      <w:pPr>
        <w:pStyle w:val="SingleTxt"/>
        <w:rPr>
          <w:rFonts w:hint="cs"/>
          <w:rtl/>
        </w:rPr>
      </w:pPr>
      <w:r>
        <w:rPr>
          <w:rFonts w:hint="cs"/>
          <w:rtl/>
        </w:rPr>
        <w:t>156 -</w:t>
      </w:r>
      <w:r>
        <w:rPr>
          <w:rFonts w:hint="cs"/>
          <w:rtl/>
        </w:rPr>
        <w:tab/>
        <w:t>ويوضح الجدول 10-2 عدد الطلاب الملتحقين في المدارس الحكومية وعددهم بحسب نوع الجنس والعدد الإجمالي للفئة العمرية.</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10-2: معدل الاشتراك في المدارس الحكومية، بحسب نوع الجنس والعدد الإجمالي للفئة العمرية في عام 1998</w:t>
      </w:r>
    </w:p>
    <w:p w:rsidR="00955676" w:rsidRPr="00C555BE" w:rsidRDefault="00955676" w:rsidP="0095567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227"/>
        <w:gridCol w:w="1339"/>
        <w:gridCol w:w="1339"/>
        <w:gridCol w:w="1415"/>
      </w:tblGrid>
      <w:tr w:rsidR="00955676" w:rsidRPr="00C555BE">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C555BE">
              <w:rPr>
                <w:rFonts w:hint="cs"/>
                <w:i/>
                <w:iCs/>
                <w:sz w:val="16"/>
                <w:szCs w:val="24"/>
                <w:rtl/>
              </w:rPr>
              <w:t>الذكور</w:t>
            </w:r>
          </w:p>
        </w:tc>
        <w:tc>
          <w:tcPr>
            <w:tcW w:w="1339" w:type="dxa"/>
            <w:tcBorders>
              <w:top w:val="single" w:sz="4" w:space="0" w:color="auto"/>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C555BE">
              <w:rPr>
                <w:rFonts w:hint="cs"/>
                <w:i/>
                <w:iCs/>
                <w:sz w:val="16"/>
                <w:szCs w:val="24"/>
                <w:rtl/>
              </w:rPr>
              <w:t>الإناث</w:t>
            </w:r>
          </w:p>
        </w:tc>
        <w:tc>
          <w:tcPr>
            <w:tcW w:w="1415" w:type="dxa"/>
            <w:tcBorders>
              <w:top w:val="single" w:sz="4" w:space="0" w:color="auto"/>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C555BE">
              <w:rPr>
                <w:rFonts w:hint="cs"/>
                <w:i/>
                <w:iCs/>
                <w:sz w:val="16"/>
                <w:szCs w:val="24"/>
                <w:rtl/>
              </w:rPr>
              <w:t>المجموع</w:t>
            </w:r>
          </w:p>
        </w:tc>
      </w:tr>
      <w:tr w:rsidR="00955676" w:rsidRPr="00C555BE">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p>
        </w:tc>
        <w:tc>
          <w:tcPr>
            <w:tcW w:w="1339" w:type="dxa"/>
            <w:tcBorders>
              <w:top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39" w:type="dxa"/>
            <w:tcBorders>
              <w:top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415" w:type="dxa"/>
            <w:tcBorders>
              <w:top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sidRPr="00C555BE">
              <w:rPr>
                <w:rFonts w:hint="cs"/>
                <w:b/>
                <w:bCs/>
                <w:sz w:val="16"/>
                <w:szCs w:val="24"/>
                <w:rtl/>
              </w:rPr>
              <w:t xml:space="preserve">الفئة العمرية بين 6 سنوات فما فوق </w:t>
            </w:r>
            <w:r w:rsidR="001D10FA">
              <w:rPr>
                <w:rFonts w:hint="cs"/>
                <w:b/>
                <w:bCs/>
                <w:sz w:val="16"/>
                <w:szCs w:val="24"/>
                <w:rtl/>
              </w:rPr>
              <w:t>و</w:t>
            </w:r>
            <w:r w:rsidRPr="00C555BE">
              <w:rPr>
                <w:rFonts w:hint="cs"/>
                <w:b/>
                <w:bCs/>
                <w:sz w:val="16"/>
                <w:szCs w:val="24"/>
                <w:rtl/>
              </w:rPr>
              <w:t xml:space="preserve"> 16 سنة فما فوق</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sidRPr="00C555BE">
              <w:rPr>
                <w:rFonts w:hint="cs"/>
                <w:sz w:val="16"/>
                <w:szCs w:val="24"/>
                <w:rtl/>
              </w:rPr>
              <w:t>عدد الطلاب</w:t>
            </w:r>
            <w:r>
              <w:rPr>
                <w:rFonts w:hint="cs"/>
                <w:sz w:val="16"/>
                <w:szCs w:val="24"/>
                <w:rtl/>
              </w:rPr>
              <w:t>*</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145 550 1</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533 460 1</w:t>
            </w: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678 010 3</w:t>
            </w: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الطلاب الملتحقين في المدارس الابتدائية الحكومية</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313 475 1</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397 396 1</w:t>
            </w: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710 871 2</w:t>
            </w: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معدل الاشتراك مقابل عدد الفئة العمرية (نسبة مئوية)</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95.2</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95.6</w:t>
            </w: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95.5</w:t>
            </w: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sidRPr="00C555BE">
              <w:rPr>
                <w:rFonts w:hint="cs"/>
                <w:b/>
                <w:bCs/>
                <w:sz w:val="16"/>
                <w:szCs w:val="24"/>
                <w:rtl/>
              </w:rPr>
              <w:t xml:space="preserve">الفئة العمرية بين 12 سنة فما فوق </w:t>
            </w:r>
            <w:r w:rsidR="001D10FA">
              <w:rPr>
                <w:rFonts w:hint="cs"/>
                <w:b/>
                <w:bCs/>
                <w:sz w:val="16"/>
                <w:szCs w:val="24"/>
                <w:rtl/>
              </w:rPr>
              <w:t>و</w:t>
            </w:r>
            <w:r w:rsidRPr="00C555BE">
              <w:rPr>
                <w:rFonts w:hint="cs"/>
                <w:b/>
                <w:bCs/>
                <w:sz w:val="16"/>
                <w:szCs w:val="24"/>
                <w:rtl/>
              </w:rPr>
              <w:t xml:space="preserve"> 16 سنة فما فوق</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C555BE">
        <w:tblPrEx>
          <w:tblCellMar>
            <w:top w:w="0" w:type="dxa"/>
            <w:bottom w:w="0" w:type="dxa"/>
          </w:tblCellMar>
        </w:tblPrEx>
        <w:trPr>
          <w:cantSplit/>
        </w:trPr>
        <w:tc>
          <w:tcPr>
            <w:tcW w:w="3227" w:type="dxa"/>
            <w:shd w:val="clear" w:color="auto" w:fill="auto"/>
            <w:vAlign w:val="bottom"/>
          </w:tcPr>
          <w:p w:rsidR="00955676"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الطلاب</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640 219 1</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287 153 1</w:t>
            </w: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827 372 2</w:t>
            </w:r>
          </w:p>
        </w:tc>
      </w:tr>
      <w:tr w:rsidR="00955676" w:rsidRPr="00C555BE">
        <w:tblPrEx>
          <w:tblCellMar>
            <w:top w:w="0" w:type="dxa"/>
            <w:bottom w:w="0" w:type="dxa"/>
          </w:tblCellMar>
        </w:tblPrEx>
        <w:trPr>
          <w:cantSplit/>
        </w:trPr>
        <w:tc>
          <w:tcPr>
            <w:tcW w:w="3227"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عدد الطلاب في المدارس الثانوية الحكومية</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015 922</w:t>
            </w:r>
          </w:p>
        </w:tc>
        <w:tc>
          <w:tcPr>
            <w:tcW w:w="1339"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249 960</w:t>
            </w:r>
          </w:p>
        </w:tc>
        <w:tc>
          <w:tcPr>
            <w:tcW w:w="1415" w:type="dxa"/>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264 882 1**</w:t>
            </w:r>
          </w:p>
        </w:tc>
      </w:tr>
      <w:tr w:rsidR="00955676" w:rsidRPr="00C555BE">
        <w:tblPrEx>
          <w:tblCellMar>
            <w:top w:w="0" w:type="dxa"/>
            <w:bottom w:w="0" w:type="dxa"/>
          </w:tblCellMar>
        </w:tblPrEx>
        <w:trPr>
          <w:cantSplit/>
        </w:trPr>
        <w:tc>
          <w:tcPr>
            <w:tcW w:w="3227" w:type="dxa"/>
            <w:tcBorders>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معدل الاشتراك مقابل عدد الفئة العمرية (نسبة مئوية)</w:t>
            </w:r>
          </w:p>
        </w:tc>
        <w:tc>
          <w:tcPr>
            <w:tcW w:w="1339" w:type="dxa"/>
            <w:tcBorders>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65.6</w:t>
            </w:r>
          </w:p>
        </w:tc>
        <w:tc>
          <w:tcPr>
            <w:tcW w:w="1339" w:type="dxa"/>
            <w:tcBorders>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83.3</w:t>
            </w:r>
          </w:p>
        </w:tc>
        <w:tc>
          <w:tcPr>
            <w:tcW w:w="1415" w:type="dxa"/>
            <w:tcBorders>
              <w:bottom w:val="single" w:sz="12" w:space="0" w:color="auto"/>
            </w:tcBorders>
            <w:shd w:val="clear" w:color="auto" w:fill="auto"/>
            <w:vAlign w:val="bottom"/>
          </w:tcPr>
          <w:p w:rsidR="00955676" w:rsidRPr="00C555B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79.3</w:t>
            </w:r>
          </w:p>
        </w:tc>
      </w:tr>
    </w:tbl>
    <w:p w:rsidR="00955676" w:rsidRPr="00925111"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r>
      <w:r>
        <w:rPr>
          <w:rFonts w:hint="cs"/>
          <w:rtl/>
        </w:rPr>
        <w:tab/>
        <w:t>المصدر: إدارة الإحصاءات، ماليزيا</w:t>
      </w:r>
      <w:r w:rsidR="001D10FA">
        <w:rPr>
          <w:rFonts w:hint="cs"/>
          <w:rtl/>
        </w:rPr>
        <w:t>.</w:t>
      </w: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r>
      <w:r>
        <w:rPr>
          <w:rFonts w:hint="cs"/>
          <w:rtl/>
        </w:rPr>
        <w:tab/>
        <w:t>يشمل هذا العدد 327 92 طالبا (منهم 666 46 من الذكور و 661 45 من الإناث) الذين تبلغ أعمارهم 17 سنة فما فوق والذين رفّعوا إلى الصف</w:t>
      </w:r>
      <w:r w:rsidR="001D10FA">
        <w:rPr>
          <w:rFonts w:hint="cs"/>
          <w:rtl/>
        </w:rPr>
        <w:t xml:space="preserve"> الانتقالي</w:t>
      </w:r>
      <w:r>
        <w:rPr>
          <w:rFonts w:hint="cs"/>
          <w:rtl/>
        </w:rPr>
        <w:t xml:space="preserve"> الأعلى في عام 1993.</w:t>
      </w:r>
    </w:p>
    <w:p w:rsidR="00955676" w:rsidRPr="00925111"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1D10FA">
      <w:pPr>
        <w:pStyle w:val="SingleTxt"/>
        <w:rPr>
          <w:rFonts w:hint="cs"/>
          <w:rtl/>
        </w:rPr>
      </w:pPr>
      <w:r>
        <w:rPr>
          <w:rFonts w:hint="cs"/>
          <w:rtl/>
        </w:rPr>
        <w:t>157 -</w:t>
      </w:r>
      <w:r>
        <w:rPr>
          <w:rFonts w:hint="cs"/>
          <w:rtl/>
        </w:rPr>
        <w:tab/>
        <w:t>يتضح من مقارنة عدد الطلاب الملتحقين بالمدارس الحكومية بالعدد الإجمالي للفئة العمرية أن معدل اشتراك الأطفال الماليزيين في المدارس الحكومية معدل عال، إذ تبلغ نسبة التحاق الطلاب الذين تتراوح أعمارهم بين 6 سنوات فما فوق و 11 فما فوق في المدارس الابتدائية الحكومية 95.4 في المائة وتبلغ نسبة التحاق الطلاب الذين تتراوح أعمارهم بين 12 سنة فما فوق و 16 سنة فما فوق في المدارس الثانوية الحكومية 79.3 في المائة. كما توضح البيانات المدرجة في الجدول 10-2 أن اشتراك الإناث في المدارس الحكومية أعلى من اشتراك الذكور فيها: إذ تبلغ نسبة الإناث في المدارس الابتدائية 95.6 في المائة بالمقارنة مع 95.2 في المائة من الذكور وتبلغ نسبة اشتراك الإناث في المدارس الثانوية 83.26 في المائة بالمقارنة مع 75.6 في المائة فقط من الذكور.</w:t>
      </w:r>
    </w:p>
    <w:p w:rsidR="00955676" w:rsidRDefault="00955676" w:rsidP="001D10FA">
      <w:pPr>
        <w:pStyle w:val="SingleTxt"/>
        <w:rPr>
          <w:rFonts w:hint="cs"/>
          <w:rtl/>
        </w:rPr>
      </w:pPr>
      <w:r>
        <w:rPr>
          <w:rFonts w:hint="cs"/>
          <w:rtl/>
        </w:rPr>
        <w:t>158 -</w:t>
      </w:r>
      <w:r>
        <w:rPr>
          <w:rFonts w:hint="cs"/>
          <w:rtl/>
        </w:rPr>
        <w:tab/>
        <w:t>وفيما يتعلق بالطلاب المعوقين، أنش</w:t>
      </w:r>
      <w:r w:rsidR="001D10FA">
        <w:rPr>
          <w:rFonts w:hint="cs"/>
          <w:rtl/>
        </w:rPr>
        <w:t>ئ</w:t>
      </w:r>
      <w:r>
        <w:rPr>
          <w:rFonts w:hint="cs"/>
          <w:rtl/>
        </w:rPr>
        <w:t xml:space="preserve">ت بموجب قانون التعليم لعام 1961 مؤسسة قانونية لتقديم الخدمات للأطفال ذوي الاحتياجات الخاصة. ويوجد حاليا 28 مدرسة ابتدائية للتعليم الخاص و </w:t>
      </w:r>
      <w:r w:rsidR="001D10FA">
        <w:rPr>
          <w:rFonts w:hint="cs"/>
          <w:rtl/>
        </w:rPr>
        <w:t xml:space="preserve">ثلاث </w:t>
      </w:r>
      <w:r>
        <w:rPr>
          <w:rFonts w:hint="cs"/>
          <w:rtl/>
        </w:rPr>
        <w:t>مدارس ثانوية للتعليم الخاص على صعيد البلد ويبلغ مجموع الطلاب الملتحقين فيها 950 2 طالبا (597 1 من الذكور و 353 1 من الإناث). والتعليم مختلط في جميع هذه المدارس الـ 31 وتتولى رصدها جميعا إدارة التعليم الخاص التابعة لوزارة التربية.</w:t>
      </w:r>
    </w:p>
    <w:p w:rsidR="00955676" w:rsidRPr="0004502F" w:rsidRDefault="00955676" w:rsidP="00955676">
      <w:pPr>
        <w:pStyle w:val="SingleTxt"/>
        <w:spacing w:after="0" w:line="120" w:lineRule="exact"/>
        <w:rPr>
          <w:rFonts w:hint="cs"/>
          <w:sz w:val="10"/>
          <w:rtl/>
        </w:rPr>
      </w:pPr>
    </w:p>
    <w:p w:rsidR="00955676" w:rsidRPr="00201211" w:rsidRDefault="00955676" w:rsidP="00287A64">
      <w:pPr>
        <w:framePr w:w="9792" w:h="432" w:hSpace="180" w:wrap="around" w:vAnchor="page" w:hAnchor="page" w:x="1200" w:y="12903"/>
        <w:spacing w:line="240" w:lineRule="auto"/>
        <w:jc w:val="lowKashida"/>
        <w:rPr>
          <w:szCs w:val="10"/>
          <w:rtl/>
        </w:rPr>
      </w:pPr>
    </w:p>
    <w:p w:rsidR="00955676" w:rsidRPr="00201211" w:rsidRDefault="00955676" w:rsidP="00287A64">
      <w:pPr>
        <w:framePr w:w="9792" w:h="432" w:hSpace="180" w:wrap="around" w:vAnchor="page" w:hAnchor="page" w:x="1200" w:y="12903"/>
        <w:spacing w:line="240" w:lineRule="auto"/>
        <w:jc w:val="lowKashida"/>
        <w:rPr>
          <w:szCs w:val="6"/>
          <w:rtl/>
        </w:rPr>
      </w:pPr>
    </w:p>
    <w:p w:rsidR="00955676" w:rsidRPr="00201211" w:rsidRDefault="00955676" w:rsidP="00287A64">
      <w:pPr>
        <w:framePr w:w="9792" w:h="432" w:hSpace="180" w:wrap="around" w:vAnchor="page" w:hAnchor="page" w:x="1200" w:y="12903"/>
        <w:tabs>
          <w:tab w:val="right" w:pos="1195"/>
          <w:tab w:val="left" w:pos="1267"/>
        </w:tabs>
        <w:spacing w:line="300" w:lineRule="exact"/>
        <w:ind w:left="1267" w:right="1267" w:hanging="547"/>
        <w:rPr>
          <w:rFonts w:hint="cs"/>
          <w:sz w:val="17"/>
          <w:szCs w:val="26"/>
        </w:rPr>
      </w:pPr>
      <w:r>
        <w:rPr>
          <w:noProof/>
          <w:w w:val="100"/>
        </w:rPr>
        <w:pict>
          <v:line id="_x0000_s2084" style="position:absolute;left:0;text-align:left;z-index:12" from="379.5pt,-1pt" to="451.5pt,-1pt"/>
        </w:pict>
      </w:r>
      <w:r>
        <w:rPr>
          <w:rFonts w:hint="cs"/>
          <w:sz w:val="17"/>
          <w:szCs w:val="26"/>
          <w:rtl/>
        </w:rPr>
        <w:tab/>
        <w:t>(2)</w:t>
      </w:r>
      <w:r>
        <w:rPr>
          <w:rFonts w:hint="cs"/>
          <w:sz w:val="17"/>
          <w:szCs w:val="26"/>
          <w:rtl/>
        </w:rPr>
        <w:tab/>
      </w:r>
      <w:r w:rsidR="00332167">
        <w:rPr>
          <w:rFonts w:hint="cs"/>
          <w:sz w:val="17"/>
          <w:szCs w:val="26"/>
          <w:rtl/>
        </w:rPr>
        <w:t xml:space="preserve">يقصد بعبارة </w:t>
      </w:r>
      <w:r w:rsidR="00332167">
        <w:rPr>
          <w:rFonts w:hint="eastAsia"/>
          <w:sz w:val="17"/>
          <w:szCs w:val="26"/>
          <w:rtl/>
        </w:rPr>
        <w:t>”المتوقف عن الدراسة</w:t>
      </w:r>
      <w:r w:rsidR="00332167">
        <w:rPr>
          <w:rFonts w:hint="cs"/>
          <w:sz w:val="17"/>
          <w:szCs w:val="26"/>
          <w:rtl/>
        </w:rPr>
        <w:t>“ الطالب الذي ينفك عن المدرسة الحكومية قبل أن يكمل سنوات التعليم الأساسي الإحدى عشرة. وهذا يشمل الطلاب الذين ينفكو</w:t>
      </w:r>
      <w:r w:rsidR="00BA56C6">
        <w:rPr>
          <w:rFonts w:hint="cs"/>
          <w:sz w:val="17"/>
          <w:szCs w:val="26"/>
          <w:rtl/>
        </w:rPr>
        <w:t>ن</w:t>
      </w:r>
      <w:r w:rsidR="00332167">
        <w:rPr>
          <w:rFonts w:hint="cs"/>
          <w:sz w:val="17"/>
          <w:szCs w:val="26"/>
          <w:rtl/>
        </w:rPr>
        <w:t xml:space="preserve"> عنها لإكمال تعليمهم في المدارس الخاصة.</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vertAlign w:val="superscript"/>
          <w:rtl/>
        </w:rPr>
      </w:pPr>
      <w:r>
        <w:rPr>
          <w:rFonts w:hint="cs"/>
          <w:rtl/>
        </w:rPr>
        <w:tab/>
      </w:r>
      <w:r>
        <w:rPr>
          <w:rFonts w:hint="cs"/>
          <w:rtl/>
        </w:rPr>
        <w:tab/>
        <w:t>معدلات التوقف عن الدراسة</w:t>
      </w:r>
      <w:r w:rsidRPr="00201211">
        <w:rPr>
          <w:rFonts w:hint="cs"/>
          <w:b w:val="0"/>
          <w:bCs w:val="0"/>
          <w:vertAlign w:val="superscript"/>
          <w:rtl/>
        </w:rPr>
        <w:t>(2)</w:t>
      </w:r>
    </w:p>
    <w:p w:rsidR="00955676" w:rsidRDefault="00955676" w:rsidP="00BA56C6">
      <w:pPr>
        <w:pStyle w:val="SingleTxt"/>
        <w:rPr>
          <w:rFonts w:hint="cs"/>
          <w:spacing w:val="2"/>
          <w:rtl/>
        </w:rPr>
      </w:pPr>
      <w:r w:rsidRPr="00201211">
        <w:rPr>
          <w:rFonts w:hint="cs"/>
          <w:spacing w:val="2"/>
          <w:rtl/>
        </w:rPr>
        <w:t>159</w:t>
      </w:r>
      <w:r>
        <w:rPr>
          <w:rFonts w:hint="cs"/>
          <w:b/>
          <w:bCs/>
          <w:spacing w:val="2"/>
          <w:rtl/>
        </w:rPr>
        <w:t xml:space="preserve"> </w:t>
      </w:r>
      <w:r>
        <w:rPr>
          <w:spacing w:val="2"/>
          <w:rtl/>
        </w:rPr>
        <w:t>–</w:t>
      </w:r>
      <w:r w:rsidR="001D10FA">
        <w:rPr>
          <w:rFonts w:hint="cs"/>
          <w:spacing w:val="2"/>
          <w:rtl/>
        </w:rPr>
        <w:t xml:space="preserve">على الرغم من أن </w:t>
      </w:r>
      <w:r>
        <w:rPr>
          <w:rFonts w:hint="cs"/>
          <w:spacing w:val="2"/>
          <w:rtl/>
        </w:rPr>
        <w:t xml:space="preserve">الترفيع من صف مدرسي إلى صف أعلى منه أو مرحلة دراسية إلى المرحلة الأعلى منها </w:t>
      </w:r>
      <w:r w:rsidR="00332167">
        <w:rPr>
          <w:rFonts w:hint="cs"/>
          <w:spacing w:val="2"/>
          <w:rtl/>
        </w:rPr>
        <w:t xml:space="preserve">يتم </w:t>
      </w:r>
      <w:r>
        <w:rPr>
          <w:rFonts w:hint="cs"/>
          <w:spacing w:val="2"/>
          <w:rtl/>
        </w:rPr>
        <w:t xml:space="preserve">تلقائيا </w:t>
      </w:r>
      <w:r w:rsidR="00332167">
        <w:rPr>
          <w:rFonts w:hint="cs"/>
          <w:spacing w:val="2"/>
          <w:rtl/>
        </w:rPr>
        <w:t xml:space="preserve">في المدارس الحكومية يظل هناك مع ذلك </w:t>
      </w:r>
      <w:r>
        <w:rPr>
          <w:rFonts w:hint="cs"/>
          <w:spacing w:val="2"/>
          <w:rtl/>
        </w:rPr>
        <w:t xml:space="preserve">طلاب </w:t>
      </w:r>
      <w:r w:rsidR="00332167">
        <w:rPr>
          <w:rFonts w:hint="cs"/>
          <w:spacing w:val="2"/>
          <w:rtl/>
        </w:rPr>
        <w:t>لا</w:t>
      </w:r>
      <w:r w:rsidR="00332167">
        <w:rPr>
          <w:rFonts w:hint="eastAsia"/>
          <w:spacing w:val="2"/>
          <w:rtl/>
        </w:rPr>
        <w:t> </w:t>
      </w:r>
      <w:r>
        <w:rPr>
          <w:rFonts w:hint="cs"/>
          <w:spacing w:val="2"/>
          <w:rtl/>
        </w:rPr>
        <w:t>يكملو</w:t>
      </w:r>
      <w:r w:rsidR="00332167">
        <w:rPr>
          <w:rFonts w:hint="cs"/>
          <w:spacing w:val="2"/>
          <w:rtl/>
        </w:rPr>
        <w:t>ن</w:t>
      </w:r>
      <w:r>
        <w:rPr>
          <w:rFonts w:hint="cs"/>
          <w:spacing w:val="2"/>
          <w:rtl/>
        </w:rPr>
        <w:t xml:space="preserve"> سنوات التعليم الأساسي الإحدى عشرة.</w:t>
      </w:r>
    </w:p>
    <w:p w:rsidR="00955676" w:rsidRDefault="00955676" w:rsidP="00375A49">
      <w:pPr>
        <w:pStyle w:val="SingleTxt"/>
        <w:rPr>
          <w:rFonts w:hint="cs"/>
          <w:spacing w:val="2"/>
          <w:rtl/>
        </w:rPr>
      </w:pPr>
      <w:r>
        <w:rPr>
          <w:rFonts w:hint="cs"/>
          <w:spacing w:val="2"/>
          <w:rtl/>
        </w:rPr>
        <w:t>160 -</w:t>
      </w:r>
      <w:r>
        <w:rPr>
          <w:rFonts w:hint="cs"/>
          <w:spacing w:val="2"/>
          <w:rtl/>
        </w:rPr>
        <w:tab/>
        <w:t xml:space="preserve">ويتبين من تحليل البيانات المستمدة من التعداد الذي </w:t>
      </w:r>
      <w:r w:rsidR="00332167">
        <w:rPr>
          <w:rFonts w:hint="cs"/>
          <w:spacing w:val="2"/>
          <w:rtl/>
        </w:rPr>
        <w:t>أ</w:t>
      </w:r>
      <w:r>
        <w:rPr>
          <w:rFonts w:hint="cs"/>
          <w:spacing w:val="2"/>
          <w:rtl/>
        </w:rPr>
        <w:t>جر</w:t>
      </w:r>
      <w:r w:rsidR="00332167">
        <w:rPr>
          <w:rFonts w:hint="cs"/>
          <w:spacing w:val="2"/>
          <w:rtl/>
        </w:rPr>
        <w:t>ي</w:t>
      </w:r>
      <w:r>
        <w:rPr>
          <w:rFonts w:hint="cs"/>
          <w:spacing w:val="2"/>
          <w:rtl/>
        </w:rPr>
        <w:t xml:space="preserve"> للمدارس الحكومية في عامي 1995 و 1996 أن معدلات التوقف عن الدراسة لكل صف من صفوف المدارس الثانوية هي على النحو المبين في الجدول 10-3 أدناه.</w:t>
      </w:r>
    </w:p>
    <w:p w:rsidR="00955676" w:rsidRDefault="00955676" w:rsidP="00375A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 xml:space="preserve">الجدول 10-3: </w:t>
      </w:r>
      <w:r w:rsidR="00375A49">
        <w:rPr>
          <w:rFonts w:hint="cs"/>
          <w:rtl/>
        </w:rPr>
        <w:t xml:space="preserve">عدد الطلاب الذين توقفوا عن </w:t>
      </w:r>
      <w:r>
        <w:rPr>
          <w:rFonts w:hint="cs"/>
          <w:rtl/>
        </w:rPr>
        <w:t>الدراسة في</w:t>
      </w:r>
      <w:r w:rsidR="00375A49">
        <w:rPr>
          <w:rFonts w:hint="cs"/>
          <w:rtl/>
        </w:rPr>
        <w:t xml:space="preserve"> </w:t>
      </w:r>
      <w:r>
        <w:rPr>
          <w:rFonts w:hint="cs"/>
          <w:rtl/>
        </w:rPr>
        <w:t xml:space="preserve">المدارس الابتدائية والثانوية الحكومية، 1995 </w:t>
      </w:r>
      <w:r>
        <w:rPr>
          <w:rtl/>
        </w:rPr>
        <w:t>–</w:t>
      </w:r>
      <w:r>
        <w:rPr>
          <w:rFonts w:hint="cs"/>
          <w:rtl/>
        </w:rPr>
        <w:t xml:space="preserve"> 1996</w:t>
      </w:r>
    </w:p>
    <w:p w:rsidR="00955676" w:rsidRPr="00201211" w:rsidRDefault="00955676" w:rsidP="0095567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3052"/>
        <w:gridCol w:w="1339"/>
        <w:gridCol w:w="1030"/>
        <w:gridCol w:w="1236"/>
        <w:gridCol w:w="927"/>
        <w:gridCol w:w="1339"/>
        <w:gridCol w:w="926"/>
      </w:tblGrid>
      <w:tr w:rsidR="00955676" w:rsidRPr="004D77EE">
        <w:tblPrEx>
          <w:tblCellMar>
            <w:top w:w="0" w:type="dxa"/>
            <w:bottom w:w="0" w:type="dxa"/>
          </w:tblCellMar>
        </w:tblPrEx>
        <w:trPr>
          <w:cantSplit/>
          <w:tblHeader/>
          <w:jc w:val="center"/>
        </w:trPr>
        <w:tc>
          <w:tcPr>
            <w:tcW w:w="3052" w:type="dxa"/>
            <w:vMerge w:val="restart"/>
            <w:tcBorders>
              <w:top w:val="single" w:sz="4" w:space="0" w:color="auto"/>
            </w:tcBorders>
            <w:shd w:val="clear" w:color="auto" w:fill="auto"/>
            <w:tcMar>
              <w:left w:w="0" w:type="dxa"/>
              <w:right w:w="0" w:type="dxa"/>
            </w:tcMar>
            <w:vAlign w:val="bottom"/>
          </w:tcPr>
          <w:p w:rsidR="00955676" w:rsidRPr="004D77EE" w:rsidRDefault="00955676" w:rsidP="00C43389">
            <w:pPr>
              <w:spacing w:before="80" w:after="80" w:line="240" w:lineRule="exact"/>
              <w:ind w:left="170" w:right="170"/>
              <w:rPr>
                <w:rFonts w:hint="cs"/>
                <w:i/>
                <w:iCs/>
                <w:sz w:val="16"/>
                <w:szCs w:val="24"/>
                <w:rtl/>
              </w:rPr>
            </w:pPr>
            <w:r w:rsidRPr="004D77EE">
              <w:rPr>
                <w:rFonts w:hint="cs"/>
                <w:i/>
                <w:iCs/>
                <w:sz w:val="16"/>
                <w:szCs w:val="24"/>
                <w:rtl/>
              </w:rPr>
              <w:t>المرحلة الدراسية/السنة/الصف المدرسي</w:t>
            </w:r>
          </w:p>
        </w:tc>
        <w:tc>
          <w:tcPr>
            <w:tcW w:w="2369" w:type="dxa"/>
            <w:gridSpan w:val="2"/>
            <w:tcBorders>
              <w:top w:val="single" w:sz="4" w:space="0" w:color="auto"/>
              <w:bottom w:val="single" w:sz="4" w:space="0" w:color="auto"/>
            </w:tcBorders>
            <w:shd w:val="clear" w:color="auto" w:fill="auto"/>
            <w:vAlign w:val="bottom"/>
          </w:tcPr>
          <w:p w:rsidR="00955676" w:rsidRPr="004D77EE" w:rsidRDefault="00955676" w:rsidP="00C43389">
            <w:pPr>
              <w:spacing w:before="80" w:after="80" w:line="240" w:lineRule="exact"/>
              <w:ind w:left="170" w:right="144"/>
              <w:jc w:val="lowKashida"/>
              <w:rPr>
                <w:rFonts w:hint="cs"/>
                <w:i/>
                <w:iCs/>
                <w:sz w:val="16"/>
                <w:szCs w:val="24"/>
                <w:rtl/>
              </w:rPr>
            </w:pPr>
            <w:r w:rsidRPr="004D77EE">
              <w:rPr>
                <w:rFonts w:hint="cs"/>
                <w:i/>
                <w:iCs/>
                <w:sz w:val="16"/>
                <w:szCs w:val="24"/>
                <w:rtl/>
              </w:rPr>
              <w:t>الذكور</w:t>
            </w:r>
          </w:p>
        </w:tc>
        <w:tc>
          <w:tcPr>
            <w:tcW w:w="2163" w:type="dxa"/>
            <w:gridSpan w:val="2"/>
            <w:tcBorders>
              <w:top w:val="single" w:sz="4" w:space="0" w:color="auto"/>
              <w:bottom w:val="single" w:sz="4" w:space="0" w:color="auto"/>
            </w:tcBorders>
            <w:shd w:val="clear" w:color="auto" w:fill="auto"/>
            <w:vAlign w:val="bottom"/>
          </w:tcPr>
          <w:p w:rsidR="00955676" w:rsidRPr="004D77EE" w:rsidRDefault="00955676" w:rsidP="00C43389">
            <w:pPr>
              <w:spacing w:before="80" w:after="80" w:line="240" w:lineRule="exact"/>
              <w:ind w:left="170" w:right="144"/>
              <w:jc w:val="lowKashida"/>
              <w:rPr>
                <w:rFonts w:hint="cs"/>
                <w:i/>
                <w:iCs/>
                <w:sz w:val="16"/>
                <w:szCs w:val="24"/>
                <w:rtl/>
              </w:rPr>
            </w:pPr>
            <w:r w:rsidRPr="004D77EE">
              <w:rPr>
                <w:rFonts w:hint="cs"/>
                <w:i/>
                <w:iCs/>
                <w:sz w:val="16"/>
                <w:szCs w:val="24"/>
                <w:rtl/>
              </w:rPr>
              <w:t>الإناث</w:t>
            </w:r>
          </w:p>
        </w:tc>
        <w:tc>
          <w:tcPr>
            <w:tcW w:w="2265" w:type="dxa"/>
            <w:gridSpan w:val="2"/>
            <w:tcBorders>
              <w:top w:val="single" w:sz="4" w:space="0" w:color="auto"/>
              <w:bottom w:val="single" w:sz="4" w:space="0" w:color="auto"/>
            </w:tcBorders>
            <w:shd w:val="clear" w:color="auto" w:fill="auto"/>
            <w:vAlign w:val="bottom"/>
          </w:tcPr>
          <w:p w:rsidR="00955676" w:rsidRPr="004D77EE" w:rsidRDefault="00955676" w:rsidP="00C43389">
            <w:pPr>
              <w:spacing w:before="80" w:after="80" w:line="240" w:lineRule="exact"/>
              <w:ind w:left="170" w:right="144"/>
              <w:jc w:val="lowKashida"/>
              <w:rPr>
                <w:rFonts w:hint="cs"/>
                <w:i/>
                <w:iCs/>
                <w:sz w:val="16"/>
                <w:szCs w:val="24"/>
                <w:rtl/>
              </w:rPr>
            </w:pPr>
            <w:r w:rsidRPr="004D77EE">
              <w:rPr>
                <w:rFonts w:hint="cs"/>
                <w:i/>
                <w:iCs/>
                <w:sz w:val="16"/>
                <w:szCs w:val="24"/>
                <w:rtl/>
              </w:rPr>
              <w:t>المجموع</w:t>
            </w:r>
          </w:p>
        </w:tc>
      </w:tr>
      <w:tr w:rsidR="00955676" w:rsidRPr="004D77EE">
        <w:tblPrEx>
          <w:tblCellMar>
            <w:top w:w="0" w:type="dxa"/>
            <w:bottom w:w="0" w:type="dxa"/>
          </w:tblCellMar>
        </w:tblPrEx>
        <w:trPr>
          <w:cantSplit/>
          <w:tblHeader/>
          <w:jc w:val="center"/>
        </w:trPr>
        <w:tc>
          <w:tcPr>
            <w:tcW w:w="3052" w:type="dxa"/>
            <w:vMerge/>
            <w:tcBorders>
              <w:bottom w:val="single" w:sz="12" w:space="0" w:color="auto"/>
            </w:tcBorders>
            <w:shd w:val="clear" w:color="auto" w:fill="auto"/>
            <w:vAlign w:val="bottom"/>
          </w:tcPr>
          <w:p w:rsidR="00955676" w:rsidRPr="004D77EE" w:rsidRDefault="00955676" w:rsidP="00C43389">
            <w:pPr>
              <w:spacing w:after="80" w:line="240" w:lineRule="exact"/>
              <w:ind w:left="170" w:right="170"/>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العدد</w:t>
            </w:r>
          </w:p>
        </w:tc>
        <w:tc>
          <w:tcPr>
            <w:tcW w:w="1030"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المعدل (نسبة مئوية)</w:t>
            </w:r>
          </w:p>
        </w:tc>
        <w:tc>
          <w:tcPr>
            <w:tcW w:w="1236"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العدد</w:t>
            </w:r>
          </w:p>
        </w:tc>
        <w:tc>
          <w:tcPr>
            <w:tcW w:w="927"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المعدل (</w:t>
            </w:r>
            <w:r w:rsidR="00375A49">
              <w:rPr>
                <w:rFonts w:hint="cs"/>
                <w:i/>
                <w:iCs/>
                <w:sz w:val="16"/>
                <w:szCs w:val="24"/>
                <w:rtl/>
              </w:rPr>
              <w:t>ن</w:t>
            </w:r>
            <w:r w:rsidRPr="004D77EE">
              <w:rPr>
                <w:rFonts w:hint="cs"/>
                <w:i/>
                <w:iCs/>
                <w:sz w:val="16"/>
                <w:szCs w:val="24"/>
                <w:rtl/>
              </w:rPr>
              <w:t>سبة مئوية)</w:t>
            </w:r>
          </w:p>
        </w:tc>
        <w:tc>
          <w:tcPr>
            <w:tcW w:w="1339"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العدد</w:t>
            </w:r>
          </w:p>
        </w:tc>
        <w:tc>
          <w:tcPr>
            <w:tcW w:w="926" w:type="dxa"/>
            <w:tcBorders>
              <w:top w:val="single" w:sz="4" w:space="0" w:color="auto"/>
              <w:bottom w:val="single" w:sz="12" w:space="0" w:color="auto"/>
            </w:tcBorders>
            <w:shd w:val="clear" w:color="auto" w:fill="auto"/>
            <w:vAlign w:val="bottom"/>
          </w:tcPr>
          <w:p w:rsidR="00955676" w:rsidRPr="004D77EE" w:rsidRDefault="00955676" w:rsidP="00C43389">
            <w:pPr>
              <w:spacing w:after="80" w:line="240" w:lineRule="exact"/>
              <w:ind w:left="170" w:right="144"/>
              <w:jc w:val="lowKashida"/>
              <w:rPr>
                <w:rFonts w:hint="cs"/>
                <w:i/>
                <w:iCs/>
                <w:sz w:val="16"/>
                <w:szCs w:val="24"/>
                <w:rtl/>
              </w:rPr>
            </w:pPr>
            <w:r w:rsidRPr="004D77EE">
              <w:rPr>
                <w:rFonts w:hint="cs"/>
                <w:i/>
                <w:iCs/>
                <w:sz w:val="16"/>
                <w:szCs w:val="24"/>
                <w:rtl/>
              </w:rPr>
              <w:t>المعدل (نسبة مئوية)</w:t>
            </w:r>
          </w:p>
        </w:tc>
      </w:tr>
      <w:tr w:rsidR="00955676" w:rsidRPr="004D77EE">
        <w:tblPrEx>
          <w:tblCellMar>
            <w:top w:w="0" w:type="dxa"/>
            <w:bottom w:w="0" w:type="dxa"/>
          </w:tblCellMar>
        </w:tblPrEx>
        <w:trPr>
          <w:cantSplit/>
          <w:trHeight w:hRule="exact" w:val="115"/>
          <w:tblHeader/>
          <w:jc w:val="center"/>
        </w:trPr>
        <w:tc>
          <w:tcPr>
            <w:tcW w:w="3052"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tcBorders>
              <w:top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Pr>
                <w:rFonts w:hint="cs"/>
                <w:b/>
                <w:bCs/>
                <w:sz w:val="16"/>
                <w:szCs w:val="24"/>
                <w:rtl/>
              </w:rPr>
              <w:t>المدارس الابتدائية (6 سنوات)</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المجموع في السنوات من 1 إلى 5 (1995)</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356 217 1</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272 155 1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628 372 2</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المجموع في السنوات من 2 إلى 6 (1996)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644 208 1</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635 148 1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279 357 2</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عدد الطلاب الذين توقفوا عن الدراسة</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712 8</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0.72</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637 6</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0.57</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349 15</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0.65</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عدد الطلاب الذين توقفوا عن الدراسة (1995-1996)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السنة 1-2</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599 1</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0.63</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320 1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0.55</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919 2</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0.59</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السنة 2-3</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381</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0.16</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402</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0.18</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783</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0.17</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السنة 3-4</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343 1</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0.55</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974</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0.42</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317 2</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0.48</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السنة 4-5</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113 2</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0.87</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238 1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0.53</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351 3</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0.70</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السنة 5-6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276 3</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1.41</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703 2</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1.23</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979 5</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1.32</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Pr>
                <w:rFonts w:hint="cs"/>
                <w:b/>
                <w:bCs/>
                <w:sz w:val="16"/>
                <w:szCs w:val="24"/>
                <w:rtl/>
              </w:rPr>
              <w:t>المجموع</w:t>
            </w:r>
          </w:p>
        </w:tc>
        <w:tc>
          <w:tcPr>
            <w:tcW w:w="1339"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712 8</w:t>
            </w:r>
          </w:p>
        </w:tc>
        <w:tc>
          <w:tcPr>
            <w:tcW w:w="1030"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0.72</w:t>
            </w:r>
          </w:p>
        </w:tc>
        <w:tc>
          <w:tcPr>
            <w:tcW w:w="1236"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637 6</w:t>
            </w:r>
          </w:p>
        </w:tc>
        <w:tc>
          <w:tcPr>
            <w:tcW w:w="927"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0.57</w:t>
            </w:r>
          </w:p>
        </w:tc>
        <w:tc>
          <w:tcPr>
            <w:tcW w:w="1339"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349 15</w:t>
            </w:r>
          </w:p>
        </w:tc>
        <w:tc>
          <w:tcPr>
            <w:tcW w:w="926" w:type="dxa"/>
            <w:shd w:val="clear" w:color="auto" w:fill="auto"/>
            <w:vAlign w:val="bottom"/>
          </w:tcPr>
          <w:p w:rsidR="00955676" w:rsidRPr="00567D53" w:rsidRDefault="00955676" w:rsidP="00C43389">
            <w:pPr>
              <w:spacing w:before="40" w:after="80" w:line="240" w:lineRule="exact"/>
              <w:ind w:left="170" w:right="170"/>
              <w:rPr>
                <w:rFonts w:hint="cs"/>
                <w:b/>
                <w:bCs/>
                <w:sz w:val="16"/>
                <w:szCs w:val="24"/>
                <w:rtl/>
              </w:rPr>
            </w:pPr>
            <w:r w:rsidRPr="00567D53">
              <w:rPr>
                <w:rFonts w:hint="cs"/>
                <w:b/>
                <w:bCs/>
                <w:sz w:val="16"/>
                <w:szCs w:val="24"/>
                <w:rtl/>
              </w:rPr>
              <w:t>0.65</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sidRPr="004D77EE">
              <w:rPr>
                <w:rFonts w:hint="cs"/>
                <w:b/>
                <w:bCs/>
                <w:sz w:val="16"/>
                <w:szCs w:val="24"/>
                <w:rtl/>
              </w:rPr>
              <w:t>المدارس الثانوية (5 سنوات)</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sidRPr="004D77EE">
              <w:rPr>
                <w:rFonts w:hint="cs"/>
                <w:sz w:val="16"/>
                <w:szCs w:val="24"/>
                <w:rtl/>
              </w:rPr>
              <w:t>المجموع في الصفوف المدرسية من 1 إلى 4 (1995)</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604 635</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703 644</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307 280 1</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المجموع في الصفوف المدرسية من 2 إلى 5 (1996)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777 589</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833 626</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610 216 1</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عدد الطلاب الذين توقفوا عن الدراسة</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827 45</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7.21</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870 17</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2.77</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697 6</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4.98</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عدد الطلاب الذين توقفوا عن الدراسة (1995-1996)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الصف 1-2</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959 6</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3.72</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162 2</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1.20</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121 9</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2.48</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الصف 2-3</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984 8</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5.21</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705 3</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2.17</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689 12</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3.70</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الصف 3-4</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746 25</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16.53</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862 11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7.48</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608 37</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11.96</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الصف 4-5</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138 4</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3.44</w:t>
            </w: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141</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0.1</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279 4</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1.68</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sidRPr="004D77EE">
              <w:rPr>
                <w:rFonts w:hint="cs"/>
                <w:b/>
                <w:bCs/>
                <w:sz w:val="16"/>
                <w:szCs w:val="24"/>
                <w:rtl/>
              </w:rPr>
              <w:t>المجموع</w:t>
            </w:r>
          </w:p>
        </w:tc>
        <w:tc>
          <w:tcPr>
            <w:tcW w:w="1339"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827 45</w:t>
            </w:r>
          </w:p>
        </w:tc>
        <w:tc>
          <w:tcPr>
            <w:tcW w:w="1030"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7.21</w:t>
            </w:r>
          </w:p>
        </w:tc>
        <w:tc>
          <w:tcPr>
            <w:tcW w:w="1236"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870 17</w:t>
            </w:r>
          </w:p>
        </w:tc>
        <w:tc>
          <w:tcPr>
            <w:tcW w:w="927"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2.77</w:t>
            </w:r>
          </w:p>
        </w:tc>
        <w:tc>
          <w:tcPr>
            <w:tcW w:w="1339"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697 63</w:t>
            </w:r>
          </w:p>
        </w:tc>
        <w:tc>
          <w:tcPr>
            <w:tcW w:w="926"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4.98</w:t>
            </w: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sidRPr="004D77EE">
              <w:rPr>
                <w:rFonts w:hint="cs"/>
                <w:b/>
                <w:bCs/>
                <w:sz w:val="16"/>
                <w:szCs w:val="24"/>
                <w:rtl/>
              </w:rPr>
              <w:t>الانتقال من المدارس الابتدائية إلى المدارس الثانوية</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Pr="004D77EE" w:rsidRDefault="00955676" w:rsidP="00C43389">
            <w:pPr>
              <w:spacing w:before="40" w:after="80" w:line="240" w:lineRule="exact"/>
              <w:ind w:left="170" w:right="170"/>
              <w:rPr>
                <w:rFonts w:hint="cs"/>
                <w:b/>
                <w:bCs/>
                <w:sz w:val="16"/>
                <w:szCs w:val="24"/>
                <w:rtl/>
              </w:rPr>
            </w:pPr>
            <w:r w:rsidRPr="004D77EE">
              <w:rPr>
                <w:rFonts w:hint="cs"/>
                <w:b/>
                <w:bCs/>
                <w:sz w:val="16"/>
                <w:szCs w:val="24"/>
                <w:rtl/>
              </w:rPr>
              <w:t>المجموع</w:t>
            </w:r>
            <w:r>
              <w:rPr>
                <w:rFonts w:hint="cs"/>
                <w:b/>
                <w:bCs/>
                <w:sz w:val="16"/>
                <w:szCs w:val="24"/>
                <w:rtl/>
              </w:rPr>
              <w:t xml:space="preserve"> في السنة الدراسية السادسة في عام 1995</w:t>
            </w:r>
          </w:p>
        </w:tc>
        <w:tc>
          <w:tcPr>
            <w:tcW w:w="1339"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928 215</w:t>
            </w:r>
          </w:p>
        </w:tc>
        <w:tc>
          <w:tcPr>
            <w:tcW w:w="1030"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p>
        </w:tc>
        <w:tc>
          <w:tcPr>
            <w:tcW w:w="1236"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498 205</w:t>
            </w:r>
          </w:p>
        </w:tc>
        <w:tc>
          <w:tcPr>
            <w:tcW w:w="927"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p>
        </w:tc>
        <w:tc>
          <w:tcPr>
            <w:tcW w:w="1339" w:type="dxa"/>
            <w:shd w:val="clear" w:color="auto" w:fill="auto"/>
            <w:vAlign w:val="bottom"/>
          </w:tcPr>
          <w:p w:rsidR="00955676" w:rsidRPr="007B0007" w:rsidRDefault="00955676" w:rsidP="00C43389">
            <w:pPr>
              <w:spacing w:before="40" w:after="80" w:line="240" w:lineRule="exact"/>
              <w:ind w:left="170" w:right="170"/>
              <w:rPr>
                <w:rFonts w:hint="cs"/>
                <w:b/>
                <w:bCs/>
                <w:sz w:val="16"/>
                <w:szCs w:val="24"/>
                <w:rtl/>
              </w:rPr>
            </w:pPr>
            <w:r w:rsidRPr="007B0007">
              <w:rPr>
                <w:rFonts w:hint="cs"/>
                <w:b/>
                <w:bCs/>
                <w:sz w:val="16"/>
                <w:szCs w:val="24"/>
                <w:rtl/>
              </w:rPr>
              <w:t>426 421</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الطلاب الذين رفّ</w:t>
            </w:r>
            <w:r w:rsidR="008F6919">
              <w:rPr>
                <w:rFonts w:hint="cs"/>
                <w:sz w:val="16"/>
                <w:szCs w:val="24"/>
                <w:rtl/>
              </w:rPr>
              <w:t>عوا إلى المدارس الثانوية في عام</w:t>
            </w:r>
            <w:r>
              <w:rPr>
                <w:rFonts w:hint="cs"/>
                <w:sz w:val="16"/>
                <w:szCs w:val="24"/>
                <w:rtl/>
              </w:rPr>
              <w:t>1996</w:t>
            </w: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268 188</w:t>
            </w:r>
          </w:p>
        </w:tc>
        <w:tc>
          <w:tcPr>
            <w:tcW w:w="1030"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23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126 182</w:t>
            </w:r>
          </w:p>
        </w:tc>
        <w:tc>
          <w:tcPr>
            <w:tcW w:w="927"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c>
          <w:tcPr>
            <w:tcW w:w="1339"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394 370</w:t>
            </w:r>
          </w:p>
        </w:tc>
        <w:tc>
          <w:tcPr>
            <w:tcW w:w="926" w:type="dxa"/>
            <w:shd w:val="clear" w:color="auto" w:fill="auto"/>
            <w:vAlign w:val="bottom"/>
          </w:tcPr>
          <w:p w:rsidR="00955676" w:rsidRPr="004D77EE" w:rsidRDefault="00955676" w:rsidP="00C43389">
            <w:pPr>
              <w:spacing w:before="40" w:after="80" w:line="240" w:lineRule="exact"/>
              <w:ind w:left="170" w:right="170"/>
              <w:rPr>
                <w:rFonts w:hint="cs"/>
                <w:sz w:val="16"/>
                <w:szCs w:val="24"/>
                <w:rtl/>
              </w:rPr>
            </w:pPr>
          </w:p>
        </w:tc>
      </w:tr>
      <w:tr w:rsidR="00955676" w:rsidRPr="004D77EE">
        <w:tblPrEx>
          <w:tblCellMar>
            <w:top w:w="0" w:type="dxa"/>
            <w:bottom w:w="0" w:type="dxa"/>
          </w:tblCellMar>
        </w:tblPrEx>
        <w:trPr>
          <w:cantSplit/>
          <w:jc w:val="center"/>
        </w:trPr>
        <w:tc>
          <w:tcPr>
            <w:tcW w:w="3052" w:type="dxa"/>
            <w:tcBorders>
              <w:bottom w:val="single" w:sz="12" w:space="0" w:color="auto"/>
            </w:tcBorders>
            <w:shd w:val="clear" w:color="auto" w:fill="auto"/>
            <w:vAlign w:val="bottom"/>
          </w:tcPr>
          <w:p w:rsidR="00955676" w:rsidRDefault="00955676" w:rsidP="00C43389">
            <w:pPr>
              <w:spacing w:before="40" w:after="80" w:line="240" w:lineRule="exact"/>
              <w:ind w:left="170" w:right="170"/>
              <w:rPr>
                <w:rFonts w:hint="cs"/>
                <w:sz w:val="16"/>
                <w:szCs w:val="24"/>
                <w:rtl/>
              </w:rPr>
            </w:pPr>
            <w:r>
              <w:rPr>
                <w:rFonts w:hint="cs"/>
                <w:sz w:val="16"/>
                <w:szCs w:val="24"/>
                <w:rtl/>
              </w:rPr>
              <w:t>عدد الطلاب الذين توقفوا عن الدراسة*</w:t>
            </w:r>
          </w:p>
        </w:tc>
        <w:tc>
          <w:tcPr>
            <w:tcW w:w="1339"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660 27</w:t>
            </w:r>
          </w:p>
        </w:tc>
        <w:tc>
          <w:tcPr>
            <w:tcW w:w="1030"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12.81</w:t>
            </w:r>
          </w:p>
        </w:tc>
        <w:tc>
          <w:tcPr>
            <w:tcW w:w="1236"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372 23</w:t>
            </w:r>
          </w:p>
        </w:tc>
        <w:tc>
          <w:tcPr>
            <w:tcW w:w="927"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11.37</w:t>
            </w:r>
          </w:p>
        </w:tc>
        <w:tc>
          <w:tcPr>
            <w:tcW w:w="1339"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032 51</w:t>
            </w:r>
          </w:p>
        </w:tc>
        <w:tc>
          <w:tcPr>
            <w:tcW w:w="926" w:type="dxa"/>
            <w:tcBorders>
              <w:bottom w:val="single" w:sz="12" w:space="0" w:color="auto"/>
            </w:tcBorders>
            <w:shd w:val="clear" w:color="auto" w:fill="auto"/>
            <w:vAlign w:val="bottom"/>
          </w:tcPr>
          <w:p w:rsidR="00955676" w:rsidRPr="004D77EE" w:rsidRDefault="00955676" w:rsidP="00C43389">
            <w:pPr>
              <w:spacing w:before="40" w:after="80" w:line="240" w:lineRule="exact"/>
              <w:ind w:left="170" w:right="170"/>
              <w:rPr>
                <w:rFonts w:hint="cs"/>
                <w:sz w:val="16"/>
                <w:szCs w:val="24"/>
                <w:rtl/>
              </w:rPr>
            </w:pPr>
            <w:r>
              <w:rPr>
                <w:rFonts w:hint="cs"/>
                <w:sz w:val="16"/>
                <w:szCs w:val="24"/>
                <w:rtl/>
              </w:rPr>
              <w:t>12.11</w:t>
            </w:r>
          </w:p>
        </w:tc>
      </w:tr>
    </w:tbl>
    <w:p w:rsidR="00955676" w:rsidRPr="00A10B62"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يشمل هذا العدد الطلاب الذين انتقلوا من المدارس الحكومية إلى المدارس الخاصة.</w:t>
      </w:r>
    </w:p>
    <w:p w:rsidR="00955676" w:rsidRPr="00A10B62" w:rsidRDefault="00955676" w:rsidP="0095567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955676" w:rsidRDefault="00955676" w:rsidP="00955676">
      <w:pPr>
        <w:pStyle w:val="SingleTxt"/>
        <w:rPr>
          <w:rFonts w:hint="cs"/>
          <w:rtl/>
        </w:rPr>
      </w:pPr>
      <w:r>
        <w:rPr>
          <w:rFonts w:hint="cs"/>
          <w:rtl/>
        </w:rPr>
        <w:t>161 -</w:t>
      </w:r>
      <w:r>
        <w:rPr>
          <w:rFonts w:hint="cs"/>
          <w:rtl/>
        </w:rPr>
        <w:tab/>
        <w:t>وبالإشارة إلى التعليم الابتدائي، لم يواصل 349 15 تلميذا من أصل 628 372 2 تلميذا في السنوات الدراسية من 1 إلى 5 في عام 1995 تعليمهم في السنوات الدراسية من 2 إلى 6 في عام 1996؛ مما أسهم في معدل توقف عن الدراسة إجمالي نسبته 0.65 في المائة.</w:t>
      </w:r>
    </w:p>
    <w:p w:rsidR="00955676" w:rsidRDefault="00955676" w:rsidP="00955676">
      <w:pPr>
        <w:pStyle w:val="SingleTxt"/>
        <w:rPr>
          <w:rFonts w:hint="cs"/>
          <w:rtl/>
        </w:rPr>
      </w:pPr>
      <w:r>
        <w:rPr>
          <w:rFonts w:hint="cs"/>
          <w:rtl/>
        </w:rPr>
        <w:t>162 -</w:t>
      </w:r>
      <w:r>
        <w:rPr>
          <w:rFonts w:hint="cs"/>
          <w:rtl/>
        </w:rPr>
        <w:tab/>
        <w:t>ويعتبر معدل توقف الإناث عن الدراسة أقل من معدل توقف الذكور. فمن أصل مجموع حالات التوقف عـــن الدراسة البالغ 349 15 المنوه عنه أعلاه، حدثت 712 8 حالة توقف عن الدراسة في السنوات من 1 إلى 5 من بين الذكور (من أصل ما مجموعه 356 217 1 من التلاميذ الذكور) مما رفع معدل توقف الذكور عن الدراسة بنسبة 0.7 في المائة. وعلى النقيض من ذلك، كانت 637 6 حالة توقف عن الدراسة في السنوات من 1 إلى 5 من بين الإناث من أصل ما مجموعه 272 155 1 من التلاميذ الإناث مما رفع معدل توقف الإناث عن الدراسة بنسبة 0.6 في المائة. ويتضح من تحليل إضافي آخر أن معدل توقف الإناث عن الدراسة أقل من معدل توقف الذكور عن الدراسة في كل سنة من سنوات المرحلة الابتدائية فيما عدا السنوات الدراسية 2-3 حيث تجاوز معدل توقف الإناث عن الدراسة معدل الذكور بنسبة 0.</w:t>
      </w:r>
      <w:r w:rsidR="00872AEB">
        <w:rPr>
          <w:rFonts w:hint="cs"/>
          <w:rtl/>
        </w:rPr>
        <w:t>0</w:t>
      </w:r>
      <w:r>
        <w:rPr>
          <w:rFonts w:hint="cs"/>
          <w:rtl/>
        </w:rPr>
        <w:t>2 في المائة.</w:t>
      </w:r>
    </w:p>
    <w:p w:rsidR="00955676" w:rsidRDefault="00955676" w:rsidP="00872AEB">
      <w:pPr>
        <w:pStyle w:val="SingleTxt"/>
        <w:rPr>
          <w:rFonts w:hint="cs"/>
          <w:rtl/>
        </w:rPr>
      </w:pPr>
      <w:r>
        <w:rPr>
          <w:rFonts w:hint="cs"/>
          <w:rtl/>
        </w:rPr>
        <w:t>163 -</w:t>
      </w:r>
      <w:r>
        <w:rPr>
          <w:rFonts w:hint="cs"/>
          <w:rtl/>
        </w:rPr>
        <w:tab/>
        <w:t>ومن أصل ما مجموعه 307 280 1</w:t>
      </w:r>
      <w:r w:rsidR="00872AEB">
        <w:rPr>
          <w:rFonts w:hint="cs"/>
          <w:rtl/>
        </w:rPr>
        <w:t>طلاب</w:t>
      </w:r>
      <w:r>
        <w:rPr>
          <w:rFonts w:hint="cs"/>
          <w:rtl/>
        </w:rPr>
        <w:t xml:space="preserve"> في الصفوف من 1 إلى 4  في عام 1995، لم يواصل 697 63 طالبا الدراسة في الصفوف من 2 إلى 5 في عام 1996 مما أفضى إلى معدل إجمالي للتوقف عن الدراسة نسبته 5 في المائة. وفي هذه الحالة أيضا، كان معدل توقف الإناث عن الدراسة أقل </w:t>
      </w:r>
      <w:r w:rsidR="00872AEB">
        <w:rPr>
          <w:rFonts w:hint="cs"/>
          <w:rtl/>
        </w:rPr>
        <w:t xml:space="preserve">حيث بلغ 2.8 في المائة </w:t>
      </w:r>
      <w:r>
        <w:rPr>
          <w:rFonts w:hint="cs"/>
          <w:rtl/>
        </w:rPr>
        <w:t>بالمقارنة مع معدل توقف الذكور عن الدراسة البالغ 7.2 في المائة. ويعتبر معدل توقف الذكور عن الدراسة أعلى من معدل توقف الإناث في كل صف دراسي من صفوف المرحلة الثانوية.</w:t>
      </w:r>
    </w:p>
    <w:p w:rsidR="00955676" w:rsidRDefault="00955676" w:rsidP="00955676">
      <w:pPr>
        <w:pStyle w:val="SingleTxt"/>
        <w:rPr>
          <w:rFonts w:hint="cs"/>
          <w:rtl/>
        </w:rPr>
      </w:pPr>
      <w:r>
        <w:rPr>
          <w:rFonts w:hint="cs"/>
          <w:rtl/>
        </w:rPr>
        <w:t>164 -</w:t>
      </w:r>
      <w:r>
        <w:rPr>
          <w:rFonts w:hint="cs"/>
          <w:rtl/>
        </w:rPr>
        <w:tab/>
        <w:t xml:space="preserve">وفي عام 1995، بلغت نسبة الطلاب في السنة السادسة من المرحلة الابتدائية الذين لم يواصلوا تعليمهم في المرحلة الثانوية 12.1 </w:t>
      </w:r>
      <w:r w:rsidR="008D67CC">
        <w:rPr>
          <w:rFonts w:hint="cs"/>
          <w:rtl/>
        </w:rPr>
        <w:t xml:space="preserve">في المائة </w:t>
      </w:r>
      <w:r>
        <w:rPr>
          <w:rFonts w:hint="cs"/>
          <w:rtl/>
        </w:rPr>
        <w:t xml:space="preserve">في عام 1996. غير أن هذا الرقم لا يشمل عدد الطلاب الذين واصلوا تعليمهم في المدارس الخاصة التي لا تتوفر بشأنها بيانات. ويتضح من البيانات كذلك أن نسبة 12 في المائة من الطلاب في الصف الثالث (المرحلة الإعدادية) في عام 1995 لم يواصلوا تعليمهم في الصف الرابع (المرحلة الثانوية) في عام 1996. وفي كلتا المرحلتين الدراسيتين، كان معدل توقف الذكور عن الدراسة أعلى من توقف الإناث عنها. وعلى صعيد المرحلة الابتدائية حتى المرحلة الثانوية من الدراسة، بلغ معدل التوقف عن الدراسة نسبة 12.8 في المائة بالنسبة للذكور و 11.37 في المائة بالنسبة للإناث. وعلى صعيد الدراسة من المرحلة الإعدادية إلى المرحلة الثانوية، بلغ معدل التوقف عن الدراسة 16.5 في المائة بالنسبة للذكور و 7.4 بالنسبة للإناث. وهكذا يتضح أن الإناث يواظبن </w:t>
      </w:r>
      <w:r w:rsidR="008D67CC">
        <w:rPr>
          <w:rFonts w:hint="cs"/>
          <w:rtl/>
        </w:rPr>
        <w:t xml:space="preserve">على </w:t>
      </w:r>
      <w:r>
        <w:rPr>
          <w:rFonts w:hint="cs"/>
          <w:rtl/>
        </w:rPr>
        <w:t>الدراسة فترة أطول من الذكور في جميع المراحل الدراسية.</w:t>
      </w:r>
    </w:p>
    <w:p w:rsidR="00955676" w:rsidRDefault="00955676" w:rsidP="008D67CC">
      <w:pPr>
        <w:pStyle w:val="SingleTxt"/>
        <w:rPr>
          <w:rFonts w:hint="cs"/>
          <w:rtl/>
        </w:rPr>
      </w:pPr>
      <w:r>
        <w:rPr>
          <w:rFonts w:hint="cs"/>
          <w:rtl/>
        </w:rPr>
        <w:t>165 -</w:t>
      </w:r>
      <w:r>
        <w:rPr>
          <w:rFonts w:hint="cs"/>
          <w:rtl/>
        </w:rPr>
        <w:tab/>
        <w:t xml:space="preserve">وتستند الأرقام المتعلقة بمعدلات التوقف عن الدراسة المدرجة في الجدول 10-3 إلى الأرقام المتعلقة </w:t>
      </w:r>
      <w:r w:rsidR="008D67CC">
        <w:rPr>
          <w:rFonts w:hint="cs"/>
          <w:rtl/>
        </w:rPr>
        <w:t>ب</w:t>
      </w:r>
      <w:r>
        <w:rPr>
          <w:rFonts w:hint="cs"/>
          <w:rtl/>
        </w:rPr>
        <w:t>ا</w:t>
      </w:r>
      <w:r w:rsidR="008D67CC">
        <w:rPr>
          <w:rFonts w:hint="cs"/>
          <w:rtl/>
        </w:rPr>
        <w:t>لا</w:t>
      </w:r>
      <w:r>
        <w:rPr>
          <w:rFonts w:hint="cs"/>
          <w:rtl/>
        </w:rPr>
        <w:t>لتحاق في المدارس الحكومية والتوقف عن الدراسة فيها المبينة في الجدول 10-4 أدناه.</w:t>
      </w:r>
    </w:p>
    <w:p w:rsidR="00955676" w:rsidRDefault="00955676" w:rsidP="00204C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10-4: الالتحاق ف</w:t>
      </w:r>
      <w:r w:rsidR="00204CFE">
        <w:rPr>
          <w:rFonts w:hint="cs"/>
          <w:rtl/>
        </w:rPr>
        <w:t>ــ</w:t>
      </w:r>
      <w:r>
        <w:rPr>
          <w:rFonts w:hint="cs"/>
          <w:rtl/>
        </w:rPr>
        <w:t xml:space="preserve">ي المدارس </w:t>
      </w:r>
      <w:r w:rsidR="00204CFE">
        <w:rPr>
          <w:rFonts w:hint="cs"/>
          <w:rtl/>
        </w:rPr>
        <w:t xml:space="preserve">الحكومية </w:t>
      </w:r>
      <w:r>
        <w:rPr>
          <w:rFonts w:hint="cs"/>
          <w:rtl/>
        </w:rPr>
        <w:t>والتوقف عن الدراسة في</w:t>
      </w:r>
      <w:r w:rsidR="00204CFE">
        <w:rPr>
          <w:rFonts w:hint="cs"/>
          <w:rtl/>
        </w:rPr>
        <w:t>ها</w:t>
      </w:r>
      <w:r>
        <w:rPr>
          <w:rFonts w:hint="cs"/>
          <w:rtl/>
        </w:rPr>
        <w:t>، 1995-1996</w:t>
      </w:r>
    </w:p>
    <w:p w:rsidR="00955676" w:rsidRPr="00A77E24" w:rsidRDefault="00955676" w:rsidP="00955676">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1198"/>
        <w:gridCol w:w="1030"/>
        <w:gridCol w:w="1030"/>
        <w:gridCol w:w="824"/>
        <w:gridCol w:w="1030"/>
        <w:gridCol w:w="1030"/>
        <w:gridCol w:w="824"/>
        <w:gridCol w:w="1030"/>
        <w:gridCol w:w="1030"/>
        <w:gridCol w:w="824"/>
      </w:tblGrid>
      <w:tr w:rsidR="008D67CC" w:rsidRPr="00345392">
        <w:tblPrEx>
          <w:tblCellMar>
            <w:top w:w="0" w:type="dxa"/>
            <w:bottom w:w="0" w:type="dxa"/>
          </w:tblCellMar>
        </w:tblPrEx>
        <w:trPr>
          <w:cantSplit/>
          <w:tblHeader/>
          <w:jc w:val="center"/>
        </w:trPr>
        <w:tc>
          <w:tcPr>
            <w:tcW w:w="1198" w:type="dxa"/>
            <w:vMerge w:val="restart"/>
            <w:tcBorders>
              <w:top w:val="single" w:sz="4" w:space="0" w:color="auto"/>
            </w:tcBorders>
            <w:shd w:val="clear" w:color="auto" w:fill="auto"/>
            <w:tcMar>
              <w:left w:w="0" w:type="dxa"/>
              <w:right w:w="0" w:type="dxa"/>
            </w:tcMar>
            <w:vAlign w:val="bottom"/>
          </w:tcPr>
          <w:p w:rsidR="008D67CC" w:rsidRPr="00345392" w:rsidRDefault="008D67CC" w:rsidP="00C43389">
            <w:pPr>
              <w:spacing w:before="80" w:after="80" w:line="240" w:lineRule="exact"/>
              <w:ind w:left="57" w:right="57"/>
              <w:rPr>
                <w:rFonts w:hint="cs"/>
                <w:i/>
                <w:iCs/>
                <w:szCs w:val="20"/>
                <w:rtl/>
              </w:rPr>
            </w:pPr>
            <w:r w:rsidRPr="00345392">
              <w:rPr>
                <w:rFonts w:hint="cs"/>
                <w:i/>
                <w:iCs/>
                <w:szCs w:val="20"/>
                <w:rtl/>
              </w:rPr>
              <w:t>المرحل</w:t>
            </w:r>
            <w:r>
              <w:rPr>
                <w:rFonts w:hint="cs"/>
                <w:i/>
                <w:iCs/>
                <w:szCs w:val="20"/>
                <w:rtl/>
              </w:rPr>
              <w:t>ـــــــــــــــــــــــــ</w:t>
            </w:r>
            <w:r w:rsidRPr="00345392">
              <w:rPr>
                <w:rFonts w:hint="cs"/>
                <w:i/>
                <w:iCs/>
                <w:szCs w:val="20"/>
                <w:rtl/>
              </w:rPr>
              <w:t>ة الدراسي</w:t>
            </w:r>
            <w:r>
              <w:rPr>
                <w:rFonts w:hint="cs"/>
                <w:i/>
                <w:iCs/>
                <w:szCs w:val="20"/>
                <w:rtl/>
              </w:rPr>
              <w:t>ـــــــــ</w:t>
            </w:r>
            <w:r w:rsidRPr="00345392">
              <w:rPr>
                <w:rFonts w:hint="cs"/>
                <w:i/>
                <w:iCs/>
                <w:szCs w:val="20"/>
                <w:rtl/>
              </w:rPr>
              <w:t>ة/الس</w:t>
            </w:r>
            <w:r>
              <w:rPr>
                <w:rFonts w:hint="cs"/>
                <w:i/>
                <w:iCs/>
                <w:szCs w:val="20"/>
                <w:rtl/>
              </w:rPr>
              <w:t>ـ</w:t>
            </w:r>
            <w:r w:rsidRPr="00345392">
              <w:rPr>
                <w:rFonts w:hint="cs"/>
                <w:i/>
                <w:iCs/>
                <w:szCs w:val="20"/>
                <w:rtl/>
              </w:rPr>
              <w:t>نة/الصف</w:t>
            </w:r>
            <w:r>
              <w:rPr>
                <w:rFonts w:hint="cs"/>
                <w:i/>
                <w:iCs/>
                <w:szCs w:val="20"/>
                <w:rtl/>
              </w:rPr>
              <w:t xml:space="preserve"> المدرسي</w:t>
            </w:r>
          </w:p>
        </w:tc>
        <w:tc>
          <w:tcPr>
            <w:tcW w:w="2884" w:type="dxa"/>
            <w:gridSpan w:val="3"/>
            <w:tcBorders>
              <w:top w:val="single" w:sz="4" w:space="0" w:color="auto"/>
              <w:bottom w:val="single" w:sz="4" w:space="0" w:color="auto"/>
            </w:tcBorders>
            <w:shd w:val="clear" w:color="auto" w:fill="auto"/>
            <w:vAlign w:val="bottom"/>
          </w:tcPr>
          <w:p w:rsidR="008D67CC" w:rsidRPr="00345392" w:rsidRDefault="008D67CC" w:rsidP="00C43389">
            <w:pPr>
              <w:spacing w:before="80" w:after="80" w:line="240" w:lineRule="exact"/>
              <w:ind w:left="57" w:right="144"/>
              <w:jc w:val="center"/>
              <w:rPr>
                <w:rFonts w:hint="cs"/>
                <w:i/>
                <w:iCs/>
                <w:szCs w:val="20"/>
                <w:rtl/>
              </w:rPr>
            </w:pPr>
            <w:r w:rsidRPr="00345392">
              <w:rPr>
                <w:rFonts w:hint="cs"/>
                <w:i/>
                <w:iCs/>
                <w:szCs w:val="20"/>
                <w:rtl/>
              </w:rPr>
              <w:t>الذكور</w:t>
            </w:r>
          </w:p>
        </w:tc>
        <w:tc>
          <w:tcPr>
            <w:tcW w:w="2884" w:type="dxa"/>
            <w:gridSpan w:val="3"/>
            <w:tcBorders>
              <w:top w:val="single" w:sz="4" w:space="0" w:color="auto"/>
              <w:bottom w:val="single" w:sz="4" w:space="0" w:color="auto"/>
            </w:tcBorders>
            <w:shd w:val="clear" w:color="auto" w:fill="auto"/>
            <w:vAlign w:val="bottom"/>
          </w:tcPr>
          <w:p w:rsidR="008D67CC" w:rsidRPr="00345392" w:rsidRDefault="008D67CC" w:rsidP="00C43389">
            <w:pPr>
              <w:spacing w:before="80" w:after="80" w:line="240" w:lineRule="exact"/>
              <w:ind w:left="57" w:right="144"/>
              <w:jc w:val="center"/>
              <w:rPr>
                <w:rFonts w:hint="cs"/>
                <w:i/>
                <w:iCs/>
                <w:szCs w:val="20"/>
                <w:rtl/>
              </w:rPr>
            </w:pPr>
            <w:r w:rsidRPr="00345392">
              <w:rPr>
                <w:rFonts w:hint="cs"/>
                <w:i/>
                <w:iCs/>
                <w:szCs w:val="20"/>
                <w:rtl/>
              </w:rPr>
              <w:t>الإناث</w:t>
            </w:r>
          </w:p>
        </w:tc>
        <w:tc>
          <w:tcPr>
            <w:tcW w:w="2884" w:type="dxa"/>
            <w:gridSpan w:val="3"/>
            <w:tcBorders>
              <w:top w:val="single" w:sz="4" w:space="0" w:color="auto"/>
              <w:bottom w:val="single" w:sz="4" w:space="0" w:color="auto"/>
            </w:tcBorders>
            <w:shd w:val="clear" w:color="auto" w:fill="auto"/>
            <w:vAlign w:val="bottom"/>
          </w:tcPr>
          <w:p w:rsidR="008D67CC" w:rsidRPr="00345392" w:rsidRDefault="008D67CC" w:rsidP="00C43389">
            <w:pPr>
              <w:spacing w:before="80" w:after="80" w:line="240" w:lineRule="exact"/>
              <w:ind w:left="57" w:right="144"/>
              <w:jc w:val="center"/>
              <w:rPr>
                <w:rFonts w:hint="cs"/>
                <w:i/>
                <w:iCs/>
                <w:szCs w:val="20"/>
                <w:rtl/>
              </w:rPr>
            </w:pPr>
            <w:r w:rsidRPr="00345392">
              <w:rPr>
                <w:rFonts w:hint="cs"/>
                <w:i/>
                <w:iCs/>
                <w:szCs w:val="20"/>
                <w:rtl/>
              </w:rPr>
              <w:t>المجموع</w:t>
            </w:r>
          </w:p>
        </w:tc>
      </w:tr>
      <w:tr w:rsidR="008D67CC" w:rsidRPr="00345392">
        <w:tblPrEx>
          <w:tblCellMar>
            <w:top w:w="0" w:type="dxa"/>
            <w:bottom w:w="0" w:type="dxa"/>
          </w:tblCellMar>
        </w:tblPrEx>
        <w:trPr>
          <w:cantSplit/>
          <w:tblHeader/>
          <w:jc w:val="center"/>
        </w:trPr>
        <w:tc>
          <w:tcPr>
            <w:tcW w:w="1198" w:type="dxa"/>
            <w:vMerge/>
            <w:tcBorders>
              <w:bottom w:val="single" w:sz="12" w:space="0" w:color="auto"/>
            </w:tcBorders>
            <w:shd w:val="clear" w:color="auto" w:fill="auto"/>
            <w:vAlign w:val="bottom"/>
          </w:tcPr>
          <w:p w:rsidR="008D67CC" w:rsidRPr="00345392" w:rsidRDefault="008D67CC" w:rsidP="00C43389">
            <w:pPr>
              <w:spacing w:after="80" w:line="240" w:lineRule="exact"/>
              <w:ind w:left="57" w:right="57"/>
              <w:rPr>
                <w:rFonts w:hint="cs"/>
                <w:i/>
                <w:iCs/>
                <w:szCs w:val="20"/>
                <w:rtl/>
              </w:rPr>
            </w:pP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1995</w:t>
            </w: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1996</w:t>
            </w:r>
          </w:p>
        </w:tc>
        <w:tc>
          <w:tcPr>
            <w:tcW w:w="824" w:type="dxa"/>
            <w:tcBorders>
              <w:top w:val="single" w:sz="4" w:space="0" w:color="auto"/>
              <w:bottom w:val="single" w:sz="12" w:space="0" w:color="auto"/>
            </w:tcBorders>
            <w:shd w:val="clear" w:color="auto" w:fill="auto"/>
            <w:vAlign w:val="bottom"/>
          </w:tcPr>
          <w:p w:rsidR="008D67CC" w:rsidRPr="00345392" w:rsidRDefault="00204CFE" w:rsidP="00C43389">
            <w:pPr>
              <w:spacing w:after="80" w:line="240" w:lineRule="exact"/>
              <w:ind w:left="57" w:right="144"/>
              <w:jc w:val="lowKashida"/>
              <w:rPr>
                <w:rFonts w:hint="cs"/>
                <w:i/>
                <w:iCs/>
                <w:szCs w:val="20"/>
                <w:rtl/>
              </w:rPr>
            </w:pPr>
            <w:r>
              <w:rPr>
                <w:rFonts w:hint="cs"/>
                <w:i/>
                <w:iCs/>
                <w:szCs w:val="20"/>
                <w:rtl/>
              </w:rPr>
              <w:t>التوقف</w:t>
            </w:r>
            <w:r w:rsidR="008D67CC" w:rsidRPr="00345392">
              <w:rPr>
                <w:rFonts w:hint="cs"/>
                <w:i/>
                <w:iCs/>
                <w:szCs w:val="20"/>
                <w:rtl/>
              </w:rPr>
              <w:t xml:space="preserve"> عن الدراسة</w:t>
            </w: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1995</w:t>
            </w: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1996</w:t>
            </w:r>
          </w:p>
        </w:tc>
        <w:tc>
          <w:tcPr>
            <w:tcW w:w="824" w:type="dxa"/>
            <w:tcBorders>
              <w:top w:val="single" w:sz="4" w:space="0" w:color="auto"/>
              <w:bottom w:val="single" w:sz="12" w:space="0" w:color="auto"/>
            </w:tcBorders>
            <w:shd w:val="clear" w:color="auto" w:fill="auto"/>
            <w:vAlign w:val="bottom"/>
          </w:tcPr>
          <w:p w:rsidR="008D67CC" w:rsidRPr="00345392" w:rsidRDefault="00204CFE" w:rsidP="00C43389">
            <w:pPr>
              <w:spacing w:after="80" w:line="240" w:lineRule="exact"/>
              <w:ind w:left="57" w:right="144"/>
              <w:jc w:val="lowKashida"/>
              <w:rPr>
                <w:rFonts w:hint="cs"/>
                <w:i/>
                <w:iCs/>
                <w:szCs w:val="20"/>
                <w:rtl/>
              </w:rPr>
            </w:pPr>
            <w:r>
              <w:rPr>
                <w:rFonts w:hint="cs"/>
                <w:i/>
                <w:iCs/>
                <w:szCs w:val="20"/>
                <w:rtl/>
              </w:rPr>
              <w:t>التوقف</w:t>
            </w:r>
            <w:r w:rsidR="008D67CC" w:rsidRPr="00345392">
              <w:rPr>
                <w:rFonts w:hint="cs"/>
                <w:i/>
                <w:iCs/>
                <w:szCs w:val="20"/>
                <w:rtl/>
              </w:rPr>
              <w:t xml:space="preserve"> عن الدراسة</w:t>
            </w: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1995</w:t>
            </w:r>
          </w:p>
        </w:tc>
        <w:tc>
          <w:tcPr>
            <w:tcW w:w="1030"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center"/>
              <w:rPr>
                <w:rFonts w:hint="cs"/>
                <w:i/>
                <w:iCs/>
                <w:szCs w:val="20"/>
                <w:rtl/>
              </w:rPr>
            </w:pPr>
            <w:r w:rsidRPr="00345392">
              <w:rPr>
                <w:rFonts w:hint="cs"/>
                <w:i/>
                <w:iCs/>
                <w:szCs w:val="20"/>
                <w:rtl/>
              </w:rPr>
              <w:t>1996</w:t>
            </w:r>
          </w:p>
        </w:tc>
        <w:tc>
          <w:tcPr>
            <w:tcW w:w="824" w:type="dxa"/>
            <w:tcBorders>
              <w:top w:val="single" w:sz="4" w:space="0" w:color="auto"/>
              <w:bottom w:val="single" w:sz="12" w:space="0" w:color="auto"/>
            </w:tcBorders>
            <w:shd w:val="clear" w:color="auto" w:fill="auto"/>
            <w:vAlign w:val="bottom"/>
          </w:tcPr>
          <w:p w:rsidR="008D67CC" w:rsidRPr="00345392" w:rsidRDefault="008D67CC" w:rsidP="00C43389">
            <w:pPr>
              <w:spacing w:after="80" w:line="240" w:lineRule="exact"/>
              <w:ind w:left="57" w:right="144"/>
              <w:jc w:val="lowKashida"/>
              <w:rPr>
                <w:rFonts w:hint="cs"/>
                <w:i/>
                <w:iCs/>
                <w:szCs w:val="20"/>
                <w:rtl/>
              </w:rPr>
            </w:pPr>
            <w:r>
              <w:rPr>
                <w:rFonts w:hint="cs"/>
                <w:i/>
                <w:iCs/>
                <w:szCs w:val="20"/>
                <w:rtl/>
              </w:rPr>
              <w:t xml:space="preserve">المتوقفون </w:t>
            </w:r>
            <w:r w:rsidRPr="00345392">
              <w:rPr>
                <w:rFonts w:hint="cs"/>
                <w:i/>
                <w:iCs/>
                <w:szCs w:val="20"/>
                <w:rtl/>
              </w:rPr>
              <w:t>عن الدراسة</w:t>
            </w:r>
          </w:p>
        </w:tc>
      </w:tr>
      <w:tr w:rsidR="00955676" w:rsidRPr="00345392">
        <w:tblPrEx>
          <w:tblCellMar>
            <w:top w:w="0" w:type="dxa"/>
            <w:bottom w:w="0" w:type="dxa"/>
          </w:tblCellMar>
        </w:tblPrEx>
        <w:trPr>
          <w:cantSplit/>
          <w:trHeight w:hRule="exact" w:val="115"/>
          <w:tblHeader/>
          <w:jc w:val="center"/>
        </w:trPr>
        <w:tc>
          <w:tcPr>
            <w:tcW w:w="1198"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57"/>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824"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824"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c>
          <w:tcPr>
            <w:tcW w:w="824" w:type="dxa"/>
            <w:tcBorders>
              <w:top w:val="single" w:sz="12" w:space="0" w:color="auto"/>
            </w:tcBorders>
            <w:shd w:val="clear" w:color="auto" w:fill="auto"/>
            <w:vAlign w:val="bottom"/>
          </w:tcPr>
          <w:p w:rsidR="00955676" w:rsidRPr="00345392" w:rsidRDefault="00955676" w:rsidP="00C43389">
            <w:pPr>
              <w:spacing w:before="40" w:after="80" w:line="240" w:lineRule="exact"/>
              <w:ind w:left="57" w:right="144"/>
              <w:jc w:val="lowKashida"/>
              <w:rPr>
                <w:rFonts w:hint="cs"/>
                <w:sz w:val="16"/>
                <w:szCs w:val="24"/>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280985" w:rsidRDefault="00955676" w:rsidP="00C43389">
            <w:pPr>
              <w:spacing w:before="40" w:after="80" w:line="240" w:lineRule="exact"/>
              <w:ind w:left="57" w:right="57"/>
              <w:rPr>
                <w:rFonts w:hint="cs"/>
                <w:b/>
                <w:bCs/>
                <w:szCs w:val="20"/>
                <w:rtl/>
              </w:rPr>
            </w:pPr>
            <w:r w:rsidRPr="00280985">
              <w:rPr>
                <w:rFonts w:hint="cs"/>
                <w:b/>
                <w:bCs/>
                <w:szCs w:val="20"/>
                <w:rtl/>
              </w:rPr>
              <w:t>المرحلة الابتدائية</w:t>
            </w: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144"/>
              <w:jc w:val="lowKashida"/>
              <w:rPr>
                <w:rFonts w:hint="cs"/>
                <w:szCs w:val="20"/>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658 254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670 233</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846 240</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287 221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504 495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957 454</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873 241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059 253</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599 1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173 229</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526 239</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320 1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046 47</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585 492</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919 2</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366 245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492 241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381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605 232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771 228</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402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971 477</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263 470</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783</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373 243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023 244</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343 1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964 232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631 231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974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337 476</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654 475</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317 2</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086 232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260 241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113 2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684 219</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726 231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238 1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770 451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986 472</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351 3</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السنة الدراسية 6</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928 215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810 228</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276 3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498 205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981 216</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703 2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426 421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791 445</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979 5</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b/>
                <w:bCs/>
                <w:szCs w:val="20"/>
                <w:rtl/>
              </w:rPr>
            </w:pPr>
            <w:r w:rsidRPr="00345392">
              <w:rPr>
                <w:rFonts w:hint="cs"/>
                <w:b/>
                <w:bCs/>
                <w:szCs w:val="20"/>
                <w:rtl/>
              </w:rPr>
              <w:t>المجموع</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284 433 1</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314 442 1</w:t>
            </w:r>
          </w:p>
        </w:tc>
        <w:tc>
          <w:tcPr>
            <w:tcW w:w="824"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712 8</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770 360 1</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922 369 1</w:t>
            </w:r>
          </w:p>
        </w:tc>
        <w:tc>
          <w:tcPr>
            <w:tcW w:w="824"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637 6</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054 794 2</w:t>
            </w:r>
          </w:p>
        </w:tc>
        <w:tc>
          <w:tcPr>
            <w:tcW w:w="1030"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236 812 2</w:t>
            </w:r>
          </w:p>
        </w:tc>
        <w:tc>
          <w:tcPr>
            <w:tcW w:w="824" w:type="dxa"/>
            <w:shd w:val="clear" w:color="auto" w:fill="auto"/>
            <w:vAlign w:val="bottom"/>
          </w:tcPr>
          <w:p w:rsidR="00955676" w:rsidRPr="003828AB" w:rsidRDefault="00955676" w:rsidP="00C43389">
            <w:pPr>
              <w:spacing w:before="40" w:after="80" w:line="240" w:lineRule="exact"/>
              <w:ind w:left="57" w:right="57"/>
              <w:rPr>
                <w:rFonts w:hint="cs"/>
                <w:b/>
                <w:bCs/>
                <w:szCs w:val="20"/>
                <w:rtl/>
              </w:rPr>
            </w:pPr>
            <w:r w:rsidRPr="003828AB">
              <w:rPr>
                <w:rFonts w:hint="cs"/>
                <w:b/>
                <w:bCs/>
                <w:szCs w:val="20"/>
                <w:rtl/>
              </w:rPr>
              <w:t>349 15</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280985" w:rsidRDefault="00955676" w:rsidP="00C43389">
            <w:pPr>
              <w:spacing w:before="40" w:after="80" w:line="240" w:lineRule="exact"/>
              <w:ind w:left="57" w:right="57"/>
              <w:rPr>
                <w:rFonts w:hint="cs"/>
                <w:b/>
                <w:bCs/>
                <w:szCs w:val="20"/>
                <w:rtl/>
              </w:rPr>
            </w:pPr>
            <w:r w:rsidRPr="00280985">
              <w:rPr>
                <w:rFonts w:hint="cs"/>
                <w:b/>
                <w:bCs/>
                <w:szCs w:val="20"/>
                <w:rtl/>
              </w:rPr>
              <w:t>المرحلة الثانوية</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الصف الانتقالي</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062 48</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442 31</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515 46</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159 23</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577 94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601 54</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الصف 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127 187</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888 204</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570 180</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482 205</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697 367</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370 410</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الصف 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351 172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168 180</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959 6</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626 170</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408 178</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162 2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977 342</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576 358</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121 9</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الصف 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745 155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367 163</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984 8</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671 158</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921 166</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705 3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416 314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288 330</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689 12</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الصف 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381 120</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999 129</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746 25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836 134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809 146</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862 11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217 255</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808 276</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608 37</w:t>
            </w:r>
          </w:p>
        </w:tc>
      </w:tr>
      <w:tr w:rsidR="00955676" w:rsidRPr="00345392">
        <w:tblPrEx>
          <w:tblCellMar>
            <w:top w:w="0" w:type="dxa"/>
            <w:bottom w:w="0" w:type="dxa"/>
          </w:tblCellMar>
        </w:tblPrEx>
        <w:trPr>
          <w:cantSplit/>
          <w:jc w:val="center"/>
        </w:trPr>
        <w:tc>
          <w:tcPr>
            <w:tcW w:w="1198" w:type="dxa"/>
            <w:shd w:val="clear" w:color="auto" w:fill="auto"/>
            <w:vAlign w:val="bottom"/>
          </w:tcPr>
          <w:p w:rsidR="00955676" w:rsidRPr="00345392" w:rsidRDefault="00955676" w:rsidP="00C43389">
            <w:pPr>
              <w:spacing w:before="40" w:after="80" w:line="240" w:lineRule="exact"/>
              <w:ind w:left="57" w:right="57"/>
              <w:rPr>
                <w:rFonts w:hint="cs"/>
                <w:szCs w:val="20"/>
                <w:rtl/>
              </w:rPr>
            </w:pPr>
            <w:r w:rsidRPr="00345392">
              <w:rPr>
                <w:rFonts w:hint="cs"/>
                <w:szCs w:val="20"/>
                <w:rtl/>
              </w:rPr>
              <w:t xml:space="preserve">الصف 5 </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973 100</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243 116</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138 4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706 113</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695 134</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141</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679 214</w:t>
            </w:r>
          </w:p>
        </w:tc>
        <w:tc>
          <w:tcPr>
            <w:tcW w:w="1030"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938 250</w:t>
            </w:r>
          </w:p>
        </w:tc>
        <w:tc>
          <w:tcPr>
            <w:tcW w:w="824" w:type="dxa"/>
            <w:shd w:val="clear" w:color="auto" w:fill="auto"/>
            <w:vAlign w:val="bottom"/>
          </w:tcPr>
          <w:p w:rsidR="00955676" w:rsidRPr="00345392" w:rsidRDefault="00955676" w:rsidP="00C43389">
            <w:pPr>
              <w:spacing w:before="40" w:after="80" w:line="240" w:lineRule="exact"/>
              <w:ind w:left="57" w:right="57"/>
              <w:rPr>
                <w:rFonts w:hint="cs"/>
                <w:szCs w:val="20"/>
                <w:rtl/>
              </w:rPr>
            </w:pPr>
            <w:r>
              <w:rPr>
                <w:rFonts w:hint="cs"/>
                <w:szCs w:val="20"/>
                <w:rtl/>
              </w:rPr>
              <w:t>279 4</w:t>
            </w:r>
          </w:p>
        </w:tc>
      </w:tr>
      <w:tr w:rsidR="00955676" w:rsidRPr="00345392">
        <w:tblPrEx>
          <w:tblCellMar>
            <w:top w:w="0" w:type="dxa"/>
            <w:bottom w:w="0" w:type="dxa"/>
          </w:tblCellMar>
        </w:tblPrEx>
        <w:trPr>
          <w:cantSplit/>
          <w:jc w:val="center"/>
        </w:trPr>
        <w:tc>
          <w:tcPr>
            <w:tcW w:w="1198" w:type="dxa"/>
            <w:tcBorders>
              <w:bottom w:val="single" w:sz="12" w:space="0" w:color="auto"/>
            </w:tcBorders>
            <w:shd w:val="clear" w:color="auto" w:fill="auto"/>
            <w:vAlign w:val="bottom"/>
          </w:tcPr>
          <w:p w:rsidR="00955676" w:rsidRPr="00345392" w:rsidRDefault="00955676" w:rsidP="00C43389">
            <w:pPr>
              <w:spacing w:before="40" w:after="80" w:line="240" w:lineRule="exact"/>
              <w:ind w:left="57" w:right="57"/>
              <w:rPr>
                <w:rFonts w:hint="cs"/>
                <w:b/>
                <w:bCs/>
                <w:szCs w:val="20"/>
                <w:rtl/>
              </w:rPr>
            </w:pPr>
            <w:r w:rsidRPr="00345392">
              <w:rPr>
                <w:rFonts w:hint="cs"/>
                <w:b/>
                <w:bCs/>
                <w:szCs w:val="20"/>
                <w:rtl/>
              </w:rPr>
              <w:t>المجموع</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577 736</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665 794</w:t>
            </w:r>
          </w:p>
        </w:tc>
        <w:tc>
          <w:tcPr>
            <w:tcW w:w="824"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927 45</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409 758</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315 832</w:t>
            </w:r>
          </w:p>
        </w:tc>
        <w:tc>
          <w:tcPr>
            <w:tcW w:w="824"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870 17</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986 494 1</w:t>
            </w:r>
          </w:p>
        </w:tc>
        <w:tc>
          <w:tcPr>
            <w:tcW w:w="1030"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980 626 1</w:t>
            </w:r>
          </w:p>
        </w:tc>
        <w:tc>
          <w:tcPr>
            <w:tcW w:w="824" w:type="dxa"/>
            <w:tcBorders>
              <w:bottom w:val="single" w:sz="12" w:space="0" w:color="auto"/>
            </w:tcBorders>
            <w:shd w:val="clear" w:color="auto" w:fill="auto"/>
            <w:vAlign w:val="bottom"/>
          </w:tcPr>
          <w:p w:rsidR="00955676" w:rsidRPr="00085AC0" w:rsidRDefault="00955676" w:rsidP="00C43389">
            <w:pPr>
              <w:spacing w:before="40" w:after="80" w:line="240" w:lineRule="exact"/>
              <w:ind w:left="57" w:right="57"/>
              <w:rPr>
                <w:rFonts w:hint="cs"/>
                <w:b/>
                <w:bCs/>
                <w:szCs w:val="20"/>
                <w:rtl/>
              </w:rPr>
            </w:pPr>
            <w:r w:rsidRPr="00085AC0">
              <w:rPr>
                <w:rFonts w:hint="cs"/>
                <w:b/>
                <w:bCs/>
                <w:szCs w:val="20"/>
                <w:rtl/>
              </w:rPr>
              <w:t>697 63</w:t>
            </w:r>
          </w:p>
        </w:tc>
      </w:tr>
    </w:tbl>
    <w:p w:rsidR="00955676" w:rsidRPr="00B05D5E" w:rsidRDefault="00955676" w:rsidP="00955676">
      <w:pPr>
        <w:pStyle w:val="SingleTxt"/>
        <w:spacing w:after="0" w:line="120" w:lineRule="exact"/>
        <w:rPr>
          <w:rFonts w:hint="cs"/>
          <w:sz w:val="10"/>
          <w:szCs w:val="20"/>
          <w:rtl/>
        </w:rPr>
      </w:pPr>
    </w:p>
    <w:p w:rsidR="00955676" w:rsidRDefault="00955676" w:rsidP="0095567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المصدر: تعداد المدارس الحكومية في عامي 1995 و 1996.</w:t>
      </w:r>
    </w:p>
    <w:p w:rsidR="00955676" w:rsidRPr="00B05D5E" w:rsidRDefault="00955676" w:rsidP="00955676">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 محو الأمية</w:t>
      </w:r>
    </w:p>
    <w:p w:rsidR="00955676" w:rsidRDefault="00955676" w:rsidP="00F83864">
      <w:pPr>
        <w:pStyle w:val="SingleTxt"/>
        <w:rPr>
          <w:rFonts w:hint="cs"/>
          <w:rtl/>
        </w:rPr>
      </w:pPr>
      <w:r>
        <w:rPr>
          <w:rFonts w:hint="cs"/>
          <w:rtl/>
        </w:rPr>
        <w:t>166 -</w:t>
      </w:r>
      <w:r>
        <w:rPr>
          <w:rFonts w:hint="cs"/>
          <w:rtl/>
        </w:rPr>
        <w:tab/>
        <w:t xml:space="preserve">طبقا لتعداد محو الأمية الذي </w:t>
      </w:r>
      <w:r w:rsidR="00F83864">
        <w:rPr>
          <w:rFonts w:hint="cs"/>
          <w:rtl/>
        </w:rPr>
        <w:t xml:space="preserve">أجري </w:t>
      </w:r>
      <w:r>
        <w:rPr>
          <w:rFonts w:hint="cs"/>
          <w:rtl/>
        </w:rPr>
        <w:t>في عام 1991، كانت نسبة  المتعلمين من الرجال 90 في المائة بالمقارنة مع 80 في المائة فقط من النساء. وفي الفئة العمرية 15 إلى 24 عاما كانت نسبة محو الأمية 95.9 في المائة بالنسبة للذكور و 95.2 في المائة بالنسبة للإناث؛ وكانت في الفئة العمرية من 25 إلى 44  عاما 92.6 في المائة بالنسبة للذكور و 86.1 في المائة بالنسبة للإناث؛ وكانت في الفئة العمرية من 45 عاما فما فوق 72.1 في المائة بالنسبة للذكور و 40.1 في المائة بالنسبة للإناث. ويعتبر هذا مؤشرا على أن غالبية الماليزيين وبخاصة منهم الفئات العمرية الأصغر سنا، انتفعوا من الفرص التعليمية المتاحة لهم. انظر الجدول 10-5.</w:t>
      </w:r>
    </w:p>
    <w:p w:rsidR="00955676" w:rsidRPr="00B05D5E"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10-5: معدل محو الأمية بحسب الفئة العمرية ونوع الجنس في عام 1991 (نسبة مئوية)</w:t>
      </w:r>
    </w:p>
    <w:p w:rsidR="00955676" w:rsidRPr="00B05D5E" w:rsidRDefault="00955676" w:rsidP="0095567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55676" w:rsidRPr="00B05D5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B05D5E">
              <w:rPr>
                <w:rFonts w:hint="cs"/>
                <w:i/>
                <w:iCs/>
                <w:sz w:val="16"/>
                <w:szCs w:val="24"/>
                <w:rtl/>
              </w:rPr>
              <w:t>الفئة العمرية</w:t>
            </w:r>
          </w:p>
        </w:tc>
        <w:tc>
          <w:tcPr>
            <w:tcW w:w="1830" w:type="dxa"/>
            <w:tcBorders>
              <w:top w:val="single" w:sz="4" w:space="0" w:color="auto"/>
              <w:bottom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B05D5E">
              <w:rPr>
                <w:rFonts w:hint="cs"/>
                <w:i/>
                <w:iCs/>
                <w:sz w:val="16"/>
                <w:szCs w:val="24"/>
                <w:rtl/>
              </w:rPr>
              <w:t>الذكور</w:t>
            </w:r>
          </w:p>
        </w:tc>
        <w:tc>
          <w:tcPr>
            <w:tcW w:w="1830" w:type="dxa"/>
            <w:tcBorders>
              <w:top w:val="single" w:sz="4" w:space="0" w:color="auto"/>
              <w:bottom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B05D5E">
              <w:rPr>
                <w:rFonts w:hint="cs"/>
                <w:i/>
                <w:iCs/>
                <w:sz w:val="16"/>
                <w:szCs w:val="24"/>
                <w:rtl/>
              </w:rPr>
              <w:t>الإناث</w:t>
            </w:r>
          </w:p>
        </w:tc>
        <w:tc>
          <w:tcPr>
            <w:tcW w:w="1830" w:type="dxa"/>
            <w:tcBorders>
              <w:top w:val="single" w:sz="4" w:space="0" w:color="auto"/>
              <w:bottom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B05D5E">
              <w:rPr>
                <w:rFonts w:hint="cs"/>
                <w:i/>
                <w:iCs/>
                <w:sz w:val="16"/>
                <w:szCs w:val="24"/>
                <w:rtl/>
              </w:rPr>
              <w:t>المجموع</w:t>
            </w:r>
          </w:p>
        </w:tc>
      </w:tr>
      <w:tr w:rsidR="00955676" w:rsidRPr="00B05D5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830" w:type="dxa"/>
            <w:tcBorders>
              <w:top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830" w:type="dxa"/>
            <w:tcBorders>
              <w:top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830" w:type="dxa"/>
            <w:tcBorders>
              <w:top w:val="single" w:sz="12" w:space="0" w:color="auto"/>
            </w:tcBorders>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10-14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98</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98</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98</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15-19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97</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96</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97</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20-24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94</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25-29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91</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92</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30-34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88</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35-39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92</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88</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40-44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76</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83</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45-49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85</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75</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50-54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55-59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72</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54</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60-64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45</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65-69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23</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70-74</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32</w:t>
            </w:r>
          </w:p>
        </w:tc>
      </w:tr>
      <w:tr w:rsidR="00955676" w:rsidRPr="00B05D5E">
        <w:tblPrEx>
          <w:tblCellMar>
            <w:top w:w="0" w:type="dxa"/>
            <w:bottom w:w="0" w:type="dxa"/>
          </w:tblCellMar>
        </w:tblPrEx>
        <w:trPr>
          <w:cantSplit/>
        </w:trPr>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75+</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40</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w:t>
            </w:r>
          </w:p>
        </w:tc>
        <w:tc>
          <w:tcPr>
            <w:tcW w:w="1830" w:type="dxa"/>
            <w:shd w:val="clear" w:color="auto" w:fill="auto"/>
            <w:vAlign w:val="bottom"/>
          </w:tcPr>
          <w:p w:rsidR="00955676" w:rsidRPr="00B05D5E"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23</w:t>
            </w:r>
          </w:p>
        </w:tc>
      </w:tr>
      <w:tr w:rsidR="00955676" w:rsidRPr="00B05D5E">
        <w:tblPrEx>
          <w:tblCellMar>
            <w:top w:w="0" w:type="dxa"/>
            <w:bottom w:w="0" w:type="dxa"/>
          </w:tblCellMar>
        </w:tblPrEx>
        <w:trPr>
          <w:cantSplit/>
        </w:trPr>
        <w:tc>
          <w:tcPr>
            <w:tcW w:w="1830" w:type="dxa"/>
            <w:tcBorders>
              <w:bottom w:val="single" w:sz="12" w:space="0" w:color="auto"/>
            </w:tcBorders>
            <w:shd w:val="clear" w:color="auto" w:fill="auto"/>
            <w:vAlign w:val="bottom"/>
          </w:tcPr>
          <w:p w:rsidR="00955676" w:rsidRPr="003804D8"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المجموع</w:t>
            </w:r>
          </w:p>
        </w:tc>
        <w:tc>
          <w:tcPr>
            <w:tcW w:w="1830" w:type="dxa"/>
            <w:tcBorders>
              <w:bottom w:val="single" w:sz="12" w:space="0" w:color="auto"/>
            </w:tcBorders>
            <w:shd w:val="clear" w:color="auto" w:fill="auto"/>
            <w:vAlign w:val="bottom"/>
          </w:tcPr>
          <w:p w:rsidR="00955676" w:rsidRPr="003804D8"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3804D8">
              <w:rPr>
                <w:rFonts w:hint="cs"/>
                <w:b/>
                <w:bCs/>
                <w:sz w:val="16"/>
                <w:szCs w:val="24"/>
                <w:rtl/>
              </w:rPr>
              <w:t>90</w:t>
            </w:r>
          </w:p>
        </w:tc>
        <w:tc>
          <w:tcPr>
            <w:tcW w:w="1830" w:type="dxa"/>
            <w:tcBorders>
              <w:bottom w:val="single" w:sz="12" w:space="0" w:color="auto"/>
            </w:tcBorders>
            <w:shd w:val="clear" w:color="auto" w:fill="auto"/>
            <w:vAlign w:val="bottom"/>
          </w:tcPr>
          <w:p w:rsidR="00955676" w:rsidRPr="003804D8"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3804D8">
              <w:rPr>
                <w:rFonts w:hint="cs"/>
                <w:b/>
                <w:bCs/>
                <w:sz w:val="16"/>
                <w:szCs w:val="24"/>
                <w:rtl/>
              </w:rPr>
              <w:t>80</w:t>
            </w:r>
          </w:p>
        </w:tc>
        <w:tc>
          <w:tcPr>
            <w:tcW w:w="1830" w:type="dxa"/>
            <w:tcBorders>
              <w:bottom w:val="single" w:sz="12" w:space="0" w:color="auto"/>
            </w:tcBorders>
            <w:shd w:val="clear" w:color="auto" w:fill="auto"/>
            <w:vAlign w:val="bottom"/>
          </w:tcPr>
          <w:p w:rsidR="00955676" w:rsidRPr="003804D8"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3804D8">
              <w:rPr>
                <w:rFonts w:hint="cs"/>
                <w:b/>
                <w:bCs/>
                <w:sz w:val="16"/>
                <w:szCs w:val="24"/>
                <w:rtl/>
              </w:rPr>
              <w:t>85</w:t>
            </w:r>
          </w:p>
        </w:tc>
      </w:tr>
    </w:tbl>
    <w:p w:rsidR="00955676" w:rsidRPr="003804D8"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تعداد محو الأمية لعام 1991.</w:t>
      </w:r>
    </w:p>
    <w:p w:rsidR="00955676" w:rsidRPr="003804D8"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التطابق الجنساني</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المدارس الحكومية</w:t>
      </w:r>
    </w:p>
    <w:p w:rsidR="00955676" w:rsidRDefault="00955676" w:rsidP="00955676">
      <w:pPr>
        <w:pStyle w:val="SingleTxt"/>
        <w:rPr>
          <w:rFonts w:hint="cs"/>
          <w:rtl/>
        </w:rPr>
      </w:pPr>
      <w:r>
        <w:rPr>
          <w:rFonts w:hint="cs"/>
          <w:rtl/>
        </w:rPr>
        <w:t>167 -</w:t>
      </w:r>
      <w:r>
        <w:rPr>
          <w:rFonts w:hint="cs"/>
          <w:rtl/>
        </w:rPr>
        <w:tab/>
        <w:t>يركز منهاج المدارس الابتدائية الجديد على تعليم المهارات الأساسية مثل القراءة والكتابة والرياضيات في حين صمم منهاج المدارس الثانوية الموحد على نحو يكفل استمرارية منهاج المدارس الابتدائية الجديد في المدارس الثانوية. ولا يميز أي من المنهاجين الدراسيين على أساس نوع الجنس.</w:t>
      </w:r>
    </w:p>
    <w:p w:rsidR="00955676" w:rsidRDefault="00955676" w:rsidP="00911789">
      <w:pPr>
        <w:pStyle w:val="SingleTxt"/>
        <w:rPr>
          <w:rFonts w:hint="cs"/>
          <w:rtl/>
        </w:rPr>
      </w:pPr>
      <w:r>
        <w:rPr>
          <w:rFonts w:hint="cs"/>
          <w:rtl/>
        </w:rPr>
        <w:t>168 -</w:t>
      </w:r>
      <w:r>
        <w:rPr>
          <w:rFonts w:hint="cs"/>
          <w:rtl/>
        </w:rPr>
        <w:tab/>
        <w:t xml:space="preserve">وتوضح أرقام القيد بالمدارس لأعوام 1990 و 1994 و 1998 أن الفتيات لم يواجهن أي عوائق ظاهرة في جميع مراحل السنوات الإحدى عشرة للتعليم </w:t>
      </w:r>
      <w:r w:rsidR="00911789">
        <w:rPr>
          <w:rFonts w:hint="cs"/>
          <w:rtl/>
        </w:rPr>
        <w:t>الأساسي</w:t>
      </w:r>
      <w:r>
        <w:rPr>
          <w:rFonts w:hint="cs"/>
          <w:rtl/>
        </w:rPr>
        <w:t xml:space="preserve"> ، كما يتضح من الجدول 10-6. وفي الواقع، تعزز هذه الأرقام النتيجة القائلة أن الطالبات يواصلن البقاء في المدارس فترة أطول من الطلاب الذكور.</w:t>
      </w:r>
    </w:p>
    <w:p w:rsidR="00955676" w:rsidRPr="003804D8"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10-6: الالتحاق في المدارس الابتدائية والثانوية، بحسب نوع الجنس </w:t>
      </w:r>
      <w:r>
        <w:rPr>
          <w:rtl/>
        </w:rPr>
        <w:t>–</w:t>
      </w:r>
      <w:r>
        <w:rPr>
          <w:rFonts w:hint="cs"/>
          <w:rtl/>
        </w:rPr>
        <w:t xml:space="preserve"> في الأعوام 1990 و 1994 و 1998</w:t>
      </w:r>
    </w:p>
    <w:p w:rsidR="00955676" w:rsidRPr="003804D8" w:rsidRDefault="00955676" w:rsidP="00955676">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816"/>
        <w:gridCol w:w="1339"/>
        <w:gridCol w:w="1339"/>
        <w:gridCol w:w="1339"/>
        <w:gridCol w:w="1339"/>
        <w:gridCol w:w="1339"/>
        <w:gridCol w:w="1338"/>
      </w:tblGrid>
      <w:tr w:rsidR="00955676" w:rsidRPr="003804D8">
        <w:tblPrEx>
          <w:tblCellMar>
            <w:top w:w="0" w:type="dxa"/>
            <w:bottom w:w="0" w:type="dxa"/>
          </w:tblCellMar>
        </w:tblPrEx>
        <w:trPr>
          <w:cantSplit/>
          <w:tblHeader/>
          <w:jc w:val="center"/>
        </w:trPr>
        <w:tc>
          <w:tcPr>
            <w:tcW w:w="1816" w:type="dxa"/>
            <w:vMerge w:val="restart"/>
            <w:tcBorders>
              <w:top w:val="single" w:sz="4" w:space="0" w:color="auto"/>
            </w:tcBorders>
            <w:shd w:val="clear" w:color="auto" w:fill="auto"/>
            <w:tcMar>
              <w:left w:w="0" w:type="dxa"/>
              <w:right w:w="0" w:type="dxa"/>
            </w:tcMar>
            <w:vAlign w:val="bottom"/>
          </w:tcPr>
          <w:p w:rsidR="00955676" w:rsidRPr="003804D8" w:rsidRDefault="00955676" w:rsidP="00C43389">
            <w:pPr>
              <w:spacing w:before="80" w:after="80" w:line="240" w:lineRule="exact"/>
              <w:ind w:left="170" w:right="170"/>
              <w:rPr>
                <w:rFonts w:hint="cs"/>
                <w:i/>
                <w:iCs/>
                <w:sz w:val="16"/>
                <w:szCs w:val="24"/>
                <w:rtl/>
              </w:rPr>
            </w:pPr>
            <w:r w:rsidRPr="003804D8">
              <w:rPr>
                <w:rFonts w:hint="cs"/>
                <w:i/>
                <w:iCs/>
                <w:sz w:val="16"/>
                <w:szCs w:val="24"/>
                <w:rtl/>
              </w:rPr>
              <w:t>المرحلة الدراسية</w:t>
            </w:r>
          </w:p>
        </w:tc>
        <w:tc>
          <w:tcPr>
            <w:tcW w:w="2678" w:type="dxa"/>
            <w:gridSpan w:val="2"/>
            <w:tcBorders>
              <w:top w:val="single" w:sz="4" w:space="0" w:color="auto"/>
            </w:tcBorders>
            <w:shd w:val="clear" w:color="auto" w:fill="auto"/>
            <w:vAlign w:val="bottom"/>
          </w:tcPr>
          <w:p w:rsidR="00955676" w:rsidRPr="003804D8" w:rsidRDefault="00955676" w:rsidP="00C43389">
            <w:pPr>
              <w:spacing w:before="80" w:after="80" w:line="240" w:lineRule="exact"/>
              <w:ind w:left="170" w:right="144"/>
              <w:jc w:val="center"/>
              <w:rPr>
                <w:rFonts w:hint="cs"/>
                <w:i/>
                <w:iCs/>
                <w:sz w:val="16"/>
                <w:szCs w:val="24"/>
                <w:rtl/>
              </w:rPr>
            </w:pPr>
            <w:r w:rsidRPr="003804D8">
              <w:rPr>
                <w:rFonts w:hint="cs"/>
                <w:i/>
                <w:iCs/>
                <w:sz w:val="16"/>
                <w:szCs w:val="24"/>
                <w:rtl/>
              </w:rPr>
              <w:t>1990</w:t>
            </w:r>
          </w:p>
        </w:tc>
        <w:tc>
          <w:tcPr>
            <w:tcW w:w="2678" w:type="dxa"/>
            <w:gridSpan w:val="2"/>
            <w:tcBorders>
              <w:top w:val="single" w:sz="4" w:space="0" w:color="auto"/>
            </w:tcBorders>
            <w:shd w:val="clear" w:color="auto" w:fill="auto"/>
            <w:vAlign w:val="bottom"/>
          </w:tcPr>
          <w:p w:rsidR="00955676" w:rsidRPr="003804D8" w:rsidRDefault="00955676" w:rsidP="00C43389">
            <w:pPr>
              <w:spacing w:before="80" w:after="80" w:line="240" w:lineRule="exact"/>
              <w:ind w:left="170" w:right="144"/>
              <w:jc w:val="center"/>
              <w:rPr>
                <w:rFonts w:hint="cs"/>
                <w:i/>
                <w:iCs/>
                <w:sz w:val="16"/>
                <w:szCs w:val="24"/>
                <w:rtl/>
              </w:rPr>
            </w:pPr>
            <w:r w:rsidRPr="003804D8">
              <w:rPr>
                <w:rFonts w:hint="cs"/>
                <w:i/>
                <w:iCs/>
                <w:sz w:val="16"/>
                <w:szCs w:val="24"/>
                <w:rtl/>
              </w:rPr>
              <w:t>1994</w:t>
            </w:r>
          </w:p>
        </w:tc>
        <w:tc>
          <w:tcPr>
            <w:tcW w:w="2677" w:type="dxa"/>
            <w:gridSpan w:val="2"/>
            <w:tcBorders>
              <w:top w:val="single" w:sz="4" w:space="0" w:color="auto"/>
            </w:tcBorders>
            <w:shd w:val="clear" w:color="auto" w:fill="auto"/>
            <w:vAlign w:val="bottom"/>
          </w:tcPr>
          <w:p w:rsidR="00955676" w:rsidRPr="003804D8" w:rsidRDefault="00955676" w:rsidP="00C43389">
            <w:pPr>
              <w:spacing w:before="80" w:after="80" w:line="240" w:lineRule="exact"/>
              <w:ind w:left="170" w:right="144"/>
              <w:jc w:val="center"/>
              <w:rPr>
                <w:rFonts w:hint="cs"/>
                <w:i/>
                <w:iCs/>
                <w:sz w:val="16"/>
                <w:szCs w:val="24"/>
                <w:rtl/>
              </w:rPr>
            </w:pPr>
            <w:r w:rsidRPr="003804D8">
              <w:rPr>
                <w:rFonts w:hint="cs"/>
                <w:i/>
                <w:iCs/>
                <w:sz w:val="16"/>
                <w:szCs w:val="24"/>
                <w:rtl/>
              </w:rPr>
              <w:t>1998</w:t>
            </w:r>
          </w:p>
        </w:tc>
      </w:tr>
      <w:tr w:rsidR="00955676" w:rsidRPr="003804D8">
        <w:tblPrEx>
          <w:tblCellMar>
            <w:top w:w="0" w:type="dxa"/>
            <w:bottom w:w="0" w:type="dxa"/>
          </w:tblCellMar>
        </w:tblPrEx>
        <w:trPr>
          <w:cantSplit/>
          <w:tblHeader/>
          <w:jc w:val="center"/>
        </w:trPr>
        <w:tc>
          <w:tcPr>
            <w:tcW w:w="1816" w:type="dxa"/>
            <w:vMerge/>
            <w:tcBorders>
              <w:bottom w:val="single" w:sz="12" w:space="0" w:color="auto"/>
            </w:tcBorders>
            <w:shd w:val="clear" w:color="auto" w:fill="auto"/>
            <w:vAlign w:val="bottom"/>
          </w:tcPr>
          <w:p w:rsidR="00955676" w:rsidRPr="003804D8" w:rsidRDefault="00955676" w:rsidP="00C43389">
            <w:pPr>
              <w:spacing w:after="80" w:line="240" w:lineRule="exact"/>
              <w:ind w:left="170" w:right="170"/>
              <w:rPr>
                <w:rFonts w:hint="cs"/>
                <w:i/>
                <w:iCs/>
                <w:sz w:val="16"/>
                <w:szCs w:val="24"/>
                <w:rtl/>
              </w:rPr>
            </w:pPr>
          </w:p>
        </w:tc>
        <w:tc>
          <w:tcPr>
            <w:tcW w:w="1339"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الذكور</w:t>
            </w:r>
          </w:p>
        </w:tc>
        <w:tc>
          <w:tcPr>
            <w:tcW w:w="1339"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الإناث</w:t>
            </w:r>
          </w:p>
        </w:tc>
        <w:tc>
          <w:tcPr>
            <w:tcW w:w="1339"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الذكور</w:t>
            </w:r>
          </w:p>
        </w:tc>
        <w:tc>
          <w:tcPr>
            <w:tcW w:w="1339"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الإناث</w:t>
            </w:r>
          </w:p>
        </w:tc>
        <w:tc>
          <w:tcPr>
            <w:tcW w:w="1339"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الذكور</w:t>
            </w:r>
          </w:p>
        </w:tc>
        <w:tc>
          <w:tcPr>
            <w:tcW w:w="1338" w:type="dxa"/>
            <w:tcBorders>
              <w:bottom w:val="single" w:sz="12" w:space="0" w:color="auto"/>
            </w:tcBorders>
            <w:shd w:val="clear" w:color="auto" w:fill="auto"/>
            <w:vAlign w:val="bottom"/>
          </w:tcPr>
          <w:p w:rsidR="00955676" w:rsidRPr="003804D8" w:rsidRDefault="00955676" w:rsidP="00C43389">
            <w:pPr>
              <w:spacing w:after="80" w:line="240" w:lineRule="exact"/>
              <w:ind w:left="170" w:right="144"/>
              <w:jc w:val="lowKashida"/>
              <w:rPr>
                <w:rFonts w:hint="cs"/>
                <w:i/>
                <w:iCs/>
                <w:sz w:val="16"/>
                <w:szCs w:val="24"/>
                <w:rtl/>
              </w:rPr>
            </w:pPr>
            <w:r w:rsidRPr="003804D8">
              <w:rPr>
                <w:rFonts w:hint="cs"/>
                <w:i/>
                <w:iCs/>
                <w:sz w:val="16"/>
                <w:szCs w:val="24"/>
                <w:rtl/>
              </w:rPr>
              <w:t>الإناث</w:t>
            </w:r>
          </w:p>
        </w:tc>
      </w:tr>
      <w:tr w:rsidR="00955676" w:rsidRPr="003804D8">
        <w:tblPrEx>
          <w:tblCellMar>
            <w:top w:w="0" w:type="dxa"/>
            <w:bottom w:w="0" w:type="dxa"/>
          </w:tblCellMar>
        </w:tblPrEx>
        <w:trPr>
          <w:cantSplit/>
          <w:trHeight w:hRule="exact" w:val="115"/>
          <w:tblHeader/>
          <w:jc w:val="center"/>
        </w:trPr>
        <w:tc>
          <w:tcPr>
            <w:tcW w:w="1816"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c>
          <w:tcPr>
            <w:tcW w:w="1338" w:type="dxa"/>
            <w:tcBorders>
              <w:top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p>
        </w:tc>
      </w:tr>
      <w:tr w:rsidR="00955676" w:rsidRPr="003804D8">
        <w:tblPrEx>
          <w:tblCellMar>
            <w:top w:w="0" w:type="dxa"/>
            <w:bottom w:w="0" w:type="dxa"/>
          </w:tblCellMar>
        </w:tblPrEx>
        <w:trPr>
          <w:cantSplit/>
          <w:jc w:val="center"/>
        </w:trPr>
        <w:tc>
          <w:tcPr>
            <w:tcW w:w="1816"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 xml:space="preserve">المرحلة </w:t>
            </w:r>
            <w:r w:rsidR="00911789">
              <w:rPr>
                <w:rFonts w:hint="cs"/>
                <w:sz w:val="16"/>
                <w:szCs w:val="24"/>
                <w:rtl/>
              </w:rPr>
              <w:t>ا</w:t>
            </w:r>
            <w:r>
              <w:rPr>
                <w:rFonts w:hint="cs"/>
                <w:sz w:val="16"/>
                <w:szCs w:val="24"/>
                <w:rtl/>
              </w:rPr>
              <w:t>لابتدائية</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795 256 1</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411 416 1</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991 416 1</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175 345 1</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313 475 1</w:t>
            </w:r>
          </w:p>
        </w:tc>
        <w:tc>
          <w:tcPr>
            <w:tcW w:w="1338"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397 396 1</w:t>
            </w:r>
          </w:p>
        </w:tc>
      </w:tr>
      <w:tr w:rsidR="00955676" w:rsidRPr="003804D8">
        <w:tblPrEx>
          <w:tblCellMar>
            <w:top w:w="0" w:type="dxa"/>
            <w:bottom w:w="0" w:type="dxa"/>
          </w:tblCellMar>
        </w:tblPrEx>
        <w:trPr>
          <w:cantSplit/>
          <w:jc w:val="center"/>
        </w:trPr>
        <w:tc>
          <w:tcPr>
            <w:tcW w:w="1816"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نسبة مئوية</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51.4</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48.6</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51.3</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48.7</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51.4</w:t>
            </w:r>
          </w:p>
        </w:tc>
        <w:tc>
          <w:tcPr>
            <w:tcW w:w="1338"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48.6</w:t>
            </w:r>
          </w:p>
        </w:tc>
      </w:tr>
      <w:tr w:rsidR="00955676" w:rsidRPr="003804D8">
        <w:tblPrEx>
          <w:tblCellMar>
            <w:top w:w="0" w:type="dxa"/>
            <w:bottom w:w="0" w:type="dxa"/>
          </w:tblCellMar>
        </w:tblPrEx>
        <w:trPr>
          <w:cantSplit/>
          <w:jc w:val="center"/>
        </w:trPr>
        <w:tc>
          <w:tcPr>
            <w:tcW w:w="1816"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المرحلة الإعدادية</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999 473</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802 468</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573 538</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998 534</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605 619</w:t>
            </w:r>
          </w:p>
        </w:tc>
        <w:tc>
          <w:tcPr>
            <w:tcW w:w="1338"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346 610</w:t>
            </w:r>
          </w:p>
        </w:tc>
      </w:tr>
      <w:tr w:rsidR="00955676" w:rsidRPr="003804D8">
        <w:tblPrEx>
          <w:tblCellMar>
            <w:top w:w="0" w:type="dxa"/>
            <w:bottom w:w="0" w:type="dxa"/>
          </w:tblCellMar>
        </w:tblPrEx>
        <w:trPr>
          <w:cantSplit/>
          <w:jc w:val="center"/>
        </w:trPr>
        <w:tc>
          <w:tcPr>
            <w:tcW w:w="1816"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نسبة مئوية</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50.3</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49.7</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50.2</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49.8</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50.4</w:t>
            </w:r>
          </w:p>
        </w:tc>
        <w:tc>
          <w:tcPr>
            <w:tcW w:w="1338"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49.6</w:t>
            </w:r>
          </w:p>
        </w:tc>
      </w:tr>
      <w:tr w:rsidR="00955676" w:rsidRPr="003804D8">
        <w:tblPrEx>
          <w:tblCellMar>
            <w:top w:w="0" w:type="dxa"/>
            <w:bottom w:w="0" w:type="dxa"/>
          </w:tblCellMar>
        </w:tblPrEx>
        <w:trPr>
          <w:cantSplit/>
          <w:jc w:val="center"/>
        </w:trPr>
        <w:tc>
          <w:tcPr>
            <w:tcW w:w="1816"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المرحلة الثانوية</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480 176</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931 184</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737 207</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448 227</w:t>
            </w:r>
          </w:p>
        </w:tc>
        <w:tc>
          <w:tcPr>
            <w:tcW w:w="1339"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410 302</w:t>
            </w:r>
          </w:p>
        </w:tc>
        <w:tc>
          <w:tcPr>
            <w:tcW w:w="1338" w:type="dxa"/>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903 349</w:t>
            </w:r>
          </w:p>
        </w:tc>
      </w:tr>
      <w:tr w:rsidR="00955676" w:rsidRPr="003804D8">
        <w:tblPrEx>
          <w:tblCellMar>
            <w:top w:w="0" w:type="dxa"/>
            <w:bottom w:w="0" w:type="dxa"/>
          </w:tblCellMar>
        </w:tblPrEx>
        <w:trPr>
          <w:cantSplit/>
          <w:jc w:val="center"/>
        </w:trPr>
        <w:tc>
          <w:tcPr>
            <w:tcW w:w="1816"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نسبة مئوية</w:t>
            </w:r>
          </w:p>
        </w:tc>
        <w:tc>
          <w:tcPr>
            <w:tcW w:w="1339"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48.8</w:t>
            </w:r>
          </w:p>
        </w:tc>
        <w:tc>
          <w:tcPr>
            <w:tcW w:w="1339"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51.2</w:t>
            </w:r>
          </w:p>
        </w:tc>
        <w:tc>
          <w:tcPr>
            <w:tcW w:w="1339"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47.7</w:t>
            </w:r>
          </w:p>
        </w:tc>
        <w:tc>
          <w:tcPr>
            <w:tcW w:w="1339"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52.3</w:t>
            </w:r>
          </w:p>
        </w:tc>
        <w:tc>
          <w:tcPr>
            <w:tcW w:w="1339"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46.4</w:t>
            </w:r>
          </w:p>
        </w:tc>
        <w:tc>
          <w:tcPr>
            <w:tcW w:w="1338" w:type="dxa"/>
            <w:tcBorders>
              <w:bottom w:val="single" w:sz="12" w:space="0" w:color="auto"/>
            </w:tcBorders>
            <w:shd w:val="clear" w:color="auto" w:fill="auto"/>
            <w:vAlign w:val="bottom"/>
          </w:tcPr>
          <w:p w:rsidR="00955676" w:rsidRPr="003804D8" w:rsidRDefault="00955676" w:rsidP="00C43389">
            <w:pPr>
              <w:spacing w:before="40" w:after="80" w:line="240" w:lineRule="exact"/>
              <w:ind w:left="170" w:right="170"/>
              <w:rPr>
                <w:rFonts w:hint="cs"/>
                <w:sz w:val="16"/>
                <w:szCs w:val="24"/>
                <w:rtl/>
              </w:rPr>
            </w:pPr>
            <w:r>
              <w:rPr>
                <w:rFonts w:hint="cs"/>
                <w:sz w:val="16"/>
                <w:szCs w:val="24"/>
                <w:rtl/>
              </w:rPr>
              <w:t>53.6</w:t>
            </w:r>
          </w:p>
        </w:tc>
      </w:tr>
    </w:tbl>
    <w:p w:rsidR="00955676" w:rsidRPr="00151A78" w:rsidRDefault="00955676" w:rsidP="00955676">
      <w:pPr>
        <w:pStyle w:val="SingleTxt"/>
        <w:spacing w:after="0" w:line="120" w:lineRule="exact"/>
        <w:rPr>
          <w:rFonts w:hint="cs"/>
          <w:sz w:val="10"/>
          <w:rtl/>
        </w:rPr>
      </w:pPr>
    </w:p>
    <w:p w:rsidR="00955676" w:rsidRDefault="00955676" w:rsidP="00911789">
      <w:pPr>
        <w:pStyle w:val="SingleTxt"/>
        <w:rPr>
          <w:rFonts w:hint="cs"/>
          <w:rtl/>
        </w:rPr>
      </w:pPr>
      <w:r>
        <w:rPr>
          <w:rFonts w:hint="cs"/>
          <w:rtl/>
        </w:rPr>
        <w:t>169 -</w:t>
      </w:r>
      <w:r>
        <w:rPr>
          <w:rFonts w:hint="cs"/>
          <w:rtl/>
        </w:rPr>
        <w:tab/>
        <w:t>يوضح الجدول 1</w:t>
      </w:r>
      <w:r w:rsidR="00911789">
        <w:rPr>
          <w:rFonts w:hint="cs"/>
          <w:rtl/>
        </w:rPr>
        <w:t>0</w:t>
      </w:r>
      <w:r>
        <w:rPr>
          <w:rFonts w:hint="cs"/>
          <w:rtl/>
        </w:rPr>
        <w:t>-6 أن معدل اشتراك الإناث في المدارس ازداد باطراد من المرحلة الابتدائية إلى المرحلة الإعدادية ثم إلى المرحلة الثانوية</w:t>
      </w:r>
      <w:r w:rsidR="00911789">
        <w:rPr>
          <w:rFonts w:hint="cs"/>
          <w:rtl/>
        </w:rPr>
        <w:t>.</w:t>
      </w:r>
      <w:r>
        <w:rPr>
          <w:rFonts w:hint="cs"/>
          <w:rtl/>
        </w:rPr>
        <w:t xml:space="preserve"> وإذا أخذنا عام 1998 كمثال، كان معدل التحاق الذكور يمثل 51.4 في المائة من مجموع الالتحاق الإجمالي في المدارس الابتدائية. وانخفضت هذه ا</w:t>
      </w:r>
      <w:r w:rsidR="00911789">
        <w:rPr>
          <w:rFonts w:hint="cs"/>
          <w:rtl/>
        </w:rPr>
        <w:t>ل</w:t>
      </w:r>
      <w:r>
        <w:rPr>
          <w:rFonts w:hint="cs"/>
          <w:rtl/>
        </w:rPr>
        <w:t>نسبة إلى 50.4 في المائة في المدارس الإعدادية وواصلت الانخفاض إلى نسبة 46.4 في المائة في المد</w:t>
      </w:r>
      <w:r w:rsidR="00911789">
        <w:rPr>
          <w:rFonts w:hint="cs"/>
          <w:rtl/>
        </w:rPr>
        <w:t>ارس</w:t>
      </w:r>
      <w:r>
        <w:rPr>
          <w:rFonts w:hint="cs"/>
          <w:rtl/>
        </w:rPr>
        <w:t xml:space="preserve"> الثانوية. ومن ناحية أخرى، ارتفع معدل التحاق الإناث من 48.6 في المائة في المدارس الابتدائية إلى 49.6 في المائة في</w:t>
      </w:r>
      <w:r w:rsidR="00911789">
        <w:rPr>
          <w:rFonts w:hint="cs"/>
          <w:rtl/>
        </w:rPr>
        <w:t xml:space="preserve"> </w:t>
      </w:r>
      <w:r>
        <w:rPr>
          <w:rFonts w:hint="cs"/>
          <w:rtl/>
        </w:rPr>
        <w:t>المدارس الإعدادية و 53.6 في المائة في المدارس الثانوية. ولا يوجد نمط مماثل لذلك بالنسبة لعامي 1994 و 1990.</w:t>
      </w:r>
    </w:p>
    <w:p w:rsidR="00955676" w:rsidRDefault="00955676" w:rsidP="00D162DD">
      <w:pPr>
        <w:pStyle w:val="SingleTxt"/>
        <w:rPr>
          <w:rFonts w:hint="cs"/>
          <w:rtl/>
        </w:rPr>
      </w:pPr>
      <w:r>
        <w:rPr>
          <w:rFonts w:hint="cs"/>
          <w:rtl/>
        </w:rPr>
        <w:t>170 -</w:t>
      </w:r>
      <w:r>
        <w:rPr>
          <w:rFonts w:hint="cs"/>
          <w:rtl/>
        </w:rPr>
        <w:tab/>
        <w:t>وفي إطار نظام المنهاج الوطني، يحق لطلاب المدارس الثانوية اختيار مواضيع ودورات تقنية/تجارية معينة استنادا إلى اهتماماتهم وإمكاناتهم. و</w:t>
      </w:r>
      <w:r w:rsidR="00D162DD">
        <w:rPr>
          <w:rFonts w:hint="cs"/>
          <w:rtl/>
        </w:rPr>
        <w:t xml:space="preserve">يعرف </w:t>
      </w:r>
      <w:r>
        <w:rPr>
          <w:rFonts w:hint="cs"/>
          <w:rtl/>
        </w:rPr>
        <w:t>جميع الطلاب، بمن فيهم الفتيات، الخيارات المتاحة لهم ويستفيدون منها. واستنادا إلى عدد الاشتراك في تلك المواضيع/الدورات، كما هو موضح في الجداول المدرجة أدناه 10-7 و 10-8 و 10-9 و</w:t>
      </w:r>
      <w:r>
        <w:rPr>
          <w:rFonts w:hint="eastAsia"/>
          <w:rtl/>
        </w:rPr>
        <w:t> </w:t>
      </w:r>
      <w:r>
        <w:rPr>
          <w:rFonts w:hint="cs"/>
          <w:rtl/>
        </w:rPr>
        <w:t>10-10 يتضح أن هناك تطابق</w:t>
      </w:r>
      <w:r w:rsidR="00D162DD">
        <w:rPr>
          <w:rFonts w:hint="cs"/>
          <w:rtl/>
        </w:rPr>
        <w:t>ا</w:t>
      </w:r>
      <w:r>
        <w:rPr>
          <w:rFonts w:hint="cs"/>
          <w:rtl/>
        </w:rPr>
        <w:t xml:space="preserve"> جنسانيا من ناحية اختيار الدورات حيث يواصل عدد كبير من الفتيات دراستهن في دورات التدبير المنزلي </w:t>
      </w:r>
      <w:r w:rsidR="00D162DD">
        <w:rPr>
          <w:rFonts w:hint="cs"/>
          <w:rtl/>
        </w:rPr>
        <w:t xml:space="preserve">بالمقارنة مع </w:t>
      </w:r>
      <w:r>
        <w:rPr>
          <w:rFonts w:hint="cs"/>
          <w:rtl/>
        </w:rPr>
        <w:t>المواضيع المتعلقة بالهندسة. ونظرا لعدم وجود أنظمة تجبر الطلاب على اختيار الدورات بحسب نوع الجنس، فإن هذه الظاهرة تعزى على الأرجح إلى دور كل من الجنسين في إطار العلاقات الاجتماعية والثقافية.</w:t>
      </w:r>
    </w:p>
    <w:p w:rsidR="00955676" w:rsidRDefault="00955676" w:rsidP="00D16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10-7</w:t>
      </w:r>
      <w:r w:rsidR="00D162DD">
        <w:rPr>
          <w:rFonts w:hint="cs"/>
          <w:rtl/>
        </w:rPr>
        <w:t>:</w:t>
      </w:r>
      <w:r>
        <w:rPr>
          <w:rFonts w:hint="cs"/>
          <w:rtl/>
        </w:rPr>
        <w:t xml:space="preserve"> اشتراك الطلاب في موضوع المهارات الحيوية في المدارس الإعدادية</w:t>
      </w:r>
    </w:p>
    <w:p w:rsidR="00955676" w:rsidRPr="00A37657" w:rsidRDefault="00955676" w:rsidP="00955676">
      <w:pPr>
        <w:pStyle w:val="SingleTxt"/>
        <w:rPr>
          <w:rFonts w:hint="cs"/>
          <w:rtl/>
        </w:rPr>
      </w:pPr>
      <w:r>
        <w:rPr>
          <w:rFonts w:hint="cs"/>
          <w:rtl/>
        </w:rPr>
        <w:t>التقييم على أساس الخيار المتاح ونوع الجنس في عام 1998</w:t>
      </w:r>
    </w:p>
    <w:p w:rsidR="00955676" w:rsidRPr="00A37657"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236"/>
        <w:gridCol w:w="1236"/>
        <w:gridCol w:w="1133"/>
        <w:gridCol w:w="1106"/>
      </w:tblGrid>
      <w:tr w:rsidR="00955676" w:rsidRPr="00A37657">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A37657">
              <w:rPr>
                <w:rFonts w:hint="cs"/>
                <w:i/>
                <w:iCs/>
                <w:sz w:val="16"/>
                <w:szCs w:val="24"/>
                <w:rtl/>
              </w:rPr>
              <w:t>الخيارات</w:t>
            </w:r>
          </w:p>
        </w:tc>
        <w:tc>
          <w:tcPr>
            <w:tcW w:w="1236" w:type="dxa"/>
            <w:tcBorders>
              <w:top w:val="single" w:sz="4" w:space="0" w:color="auto"/>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37657">
              <w:rPr>
                <w:rFonts w:hint="cs"/>
                <w:i/>
                <w:iCs/>
                <w:sz w:val="16"/>
                <w:szCs w:val="24"/>
                <w:rtl/>
              </w:rPr>
              <w:t>الذكور</w:t>
            </w:r>
          </w:p>
        </w:tc>
        <w:tc>
          <w:tcPr>
            <w:tcW w:w="1236" w:type="dxa"/>
            <w:tcBorders>
              <w:top w:val="single" w:sz="4" w:space="0" w:color="auto"/>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37657">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37657">
              <w:rPr>
                <w:rFonts w:hint="cs"/>
                <w:i/>
                <w:iCs/>
                <w:sz w:val="16"/>
                <w:szCs w:val="24"/>
                <w:rtl/>
              </w:rPr>
              <w:t>المجموع</w:t>
            </w:r>
          </w:p>
        </w:tc>
        <w:tc>
          <w:tcPr>
            <w:tcW w:w="1106" w:type="dxa"/>
            <w:tcBorders>
              <w:top w:val="single" w:sz="4" w:space="0" w:color="auto"/>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A37657">
              <w:rPr>
                <w:rFonts w:hint="cs"/>
                <w:i/>
                <w:iCs/>
                <w:sz w:val="16"/>
                <w:szCs w:val="24"/>
                <w:rtl/>
              </w:rPr>
              <w:t xml:space="preserve">النسبة المئوية </w:t>
            </w:r>
            <w:r w:rsidR="00D162DD">
              <w:rPr>
                <w:rFonts w:hint="cs"/>
                <w:i/>
                <w:iCs/>
                <w:sz w:val="16"/>
                <w:szCs w:val="24"/>
                <w:rtl/>
              </w:rPr>
              <w:t>ل</w:t>
            </w:r>
            <w:r w:rsidRPr="00A37657">
              <w:rPr>
                <w:rFonts w:hint="cs"/>
                <w:i/>
                <w:iCs/>
                <w:sz w:val="16"/>
                <w:szCs w:val="24"/>
                <w:rtl/>
              </w:rPr>
              <w:t>لإناث</w:t>
            </w:r>
          </w:p>
        </w:tc>
      </w:tr>
      <w:tr w:rsidR="00955676" w:rsidRPr="00A37657">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36" w:type="dxa"/>
            <w:tcBorders>
              <w:top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06" w:type="dxa"/>
            <w:tcBorders>
              <w:top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A37657">
        <w:tblPrEx>
          <w:tblCellMar>
            <w:top w:w="0" w:type="dxa"/>
            <w:bottom w:w="0" w:type="dxa"/>
          </w:tblCellMar>
        </w:tblPrEx>
        <w:trPr>
          <w:cantSplit/>
        </w:trPr>
        <w:tc>
          <w:tcPr>
            <w:tcW w:w="2609"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مهارات يدوية إضافية</w:t>
            </w:r>
          </w:p>
        </w:tc>
        <w:tc>
          <w:tcPr>
            <w:tcW w:w="123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945 134</w:t>
            </w:r>
          </w:p>
        </w:tc>
        <w:tc>
          <w:tcPr>
            <w:tcW w:w="123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264 27</w:t>
            </w:r>
          </w:p>
        </w:tc>
        <w:tc>
          <w:tcPr>
            <w:tcW w:w="1133"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209 162</w:t>
            </w:r>
          </w:p>
        </w:tc>
        <w:tc>
          <w:tcPr>
            <w:tcW w:w="110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16.8</w:t>
            </w:r>
          </w:p>
        </w:tc>
      </w:tr>
      <w:tr w:rsidR="00955676" w:rsidRPr="00A37657">
        <w:tblPrEx>
          <w:tblCellMar>
            <w:top w:w="0" w:type="dxa"/>
            <w:bottom w:w="0" w:type="dxa"/>
          </w:tblCellMar>
        </w:tblPrEx>
        <w:trPr>
          <w:cantSplit/>
        </w:trPr>
        <w:tc>
          <w:tcPr>
            <w:tcW w:w="2609"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تدبير منزلي</w:t>
            </w:r>
          </w:p>
        </w:tc>
        <w:tc>
          <w:tcPr>
            <w:tcW w:w="123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567 4</w:t>
            </w:r>
          </w:p>
        </w:tc>
        <w:tc>
          <w:tcPr>
            <w:tcW w:w="123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845 148</w:t>
            </w:r>
          </w:p>
        </w:tc>
        <w:tc>
          <w:tcPr>
            <w:tcW w:w="1133"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340 15</w:t>
            </w:r>
          </w:p>
        </w:tc>
        <w:tc>
          <w:tcPr>
            <w:tcW w:w="1106" w:type="dxa"/>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97.0</w:t>
            </w:r>
          </w:p>
        </w:tc>
      </w:tr>
      <w:tr w:rsidR="00955676" w:rsidRPr="00A37657">
        <w:tblPrEx>
          <w:tblCellMar>
            <w:top w:w="0" w:type="dxa"/>
            <w:bottom w:w="0" w:type="dxa"/>
          </w:tblCellMar>
        </w:tblPrEx>
        <w:trPr>
          <w:cantSplit/>
        </w:trPr>
        <w:tc>
          <w:tcPr>
            <w:tcW w:w="2609" w:type="dxa"/>
            <w:tcBorders>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الزراعة</w:t>
            </w:r>
          </w:p>
        </w:tc>
        <w:tc>
          <w:tcPr>
            <w:tcW w:w="1236" w:type="dxa"/>
            <w:tcBorders>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338 48</w:t>
            </w:r>
          </w:p>
        </w:tc>
        <w:tc>
          <w:tcPr>
            <w:tcW w:w="1236" w:type="dxa"/>
            <w:tcBorders>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084 22</w:t>
            </w:r>
          </w:p>
        </w:tc>
        <w:tc>
          <w:tcPr>
            <w:tcW w:w="1133" w:type="dxa"/>
            <w:tcBorders>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422 70</w:t>
            </w:r>
          </w:p>
        </w:tc>
        <w:tc>
          <w:tcPr>
            <w:tcW w:w="1106" w:type="dxa"/>
            <w:tcBorders>
              <w:bottom w:val="single" w:sz="12" w:space="0" w:color="auto"/>
            </w:tcBorders>
            <w:shd w:val="clear" w:color="auto" w:fill="auto"/>
            <w:vAlign w:val="bottom"/>
          </w:tcPr>
          <w:p w:rsidR="00955676" w:rsidRPr="00A37657"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31.4</w:t>
            </w:r>
          </w:p>
        </w:tc>
      </w:tr>
    </w:tbl>
    <w:p w:rsidR="00955676" w:rsidRPr="005B3F1B"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مؤسسة الامتحانات، وزارة التربية، ماليزيا.</w:t>
      </w:r>
    </w:p>
    <w:p w:rsidR="00955676" w:rsidRPr="005B3F1B"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خيارات المهارات الحيوية في المدارس الإعدادية</w:t>
      </w:r>
    </w:p>
    <w:p w:rsidR="00955676" w:rsidRDefault="00955676" w:rsidP="00D162DD">
      <w:pPr>
        <w:pStyle w:val="SingleTxt"/>
        <w:rPr>
          <w:rFonts w:hint="cs"/>
          <w:rtl/>
        </w:rPr>
      </w:pPr>
      <w:r>
        <w:rPr>
          <w:rFonts w:hint="cs"/>
          <w:rtl/>
        </w:rPr>
        <w:t>171 -</w:t>
      </w:r>
      <w:r>
        <w:rPr>
          <w:rFonts w:hint="cs"/>
          <w:rtl/>
        </w:rPr>
        <w:tab/>
        <w:t xml:space="preserve">يتوجب على طلاب المرحلة الإعدادية أن يختاروا أحد المواضيع الاختيارية وهي على وجه التحديد المهارات اليدوية الإضافية والتدبير المنزلي والزراعة بالنسبة لموضوع </w:t>
      </w:r>
      <w:r>
        <w:rPr>
          <w:rFonts w:hint="eastAsia"/>
          <w:rtl/>
        </w:rPr>
        <w:t>”المهارات الحيوية</w:t>
      </w:r>
      <w:r>
        <w:rPr>
          <w:rFonts w:hint="cs"/>
          <w:rtl/>
        </w:rPr>
        <w:t>“. وتبين من تحليل اختيارات الطلاب أن نسبة عالية من الفتيات اخترن موضوع التدبير المنزلي حيث بلغ معدل اشتراك الإناث فيه 97 في المائة. وعلى النقيض من ذلك لم يتجاوز معدل اشتراك الإناث في موضوع المهارات  اليدوية الإضافية نسبة 16.8 في المائة</w:t>
      </w:r>
      <w:r w:rsidR="00D162DD">
        <w:rPr>
          <w:rFonts w:hint="cs"/>
          <w:rtl/>
        </w:rPr>
        <w:t>.</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الخيارات المتاحة في إطار موضوع الدورات التقنية/المهنية في المرحلة الثانوية</w:t>
      </w:r>
    </w:p>
    <w:p w:rsidR="00955676" w:rsidRDefault="00955676" w:rsidP="00955676">
      <w:pPr>
        <w:pStyle w:val="SingleTxt"/>
        <w:rPr>
          <w:rFonts w:hint="cs"/>
          <w:rtl/>
        </w:rPr>
      </w:pPr>
      <w:r>
        <w:rPr>
          <w:rFonts w:hint="cs"/>
          <w:rtl/>
        </w:rPr>
        <w:t>172 -</w:t>
      </w:r>
      <w:r>
        <w:rPr>
          <w:rFonts w:hint="cs"/>
          <w:rtl/>
        </w:rPr>
        <w:tab/>
        <w:t xml:space="preserve">بإمكان الطلاب في المرحلة الثانوية أيضا اختيار مواضيع </w:t>
      </w:r>
      <w:r w:rsidR="00D162DD">
        <w:rPr>
          <w:rFonts w:hint="cs"/>
          <w:rtl/>
        </w:rPr>
        <w:t xml:space="preserve">معينة </w:t>
      </w:r>
      <w:r>
        <w:rPr>
          <w:rFonts w:hint="cs"/>
          <w:rtl/>
        </w:rPr>
        <w:t>على أساس اهتماماتهم وأفضلياتهم الشخصية. وتوضح البيانات المتعلقة بعام 1997 أن نسبة عالية من الطالبات اخترن في تلك السنة موضوع التدبير المنزلي حيث بلغ معدل اشتراك الإناث فيه 92.8 في المائة. وسجلت العلوم الزراعية معدل اشتراك إناث نسبته 33.4 في المائة والتكنولوجيا الهندسية 38.6 في المائة.</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 xml:space="preserve">الجدول 10-8: اشتراك الطلاب في مواضيع الدورات التقنية/المهنية، بحسب نوع الجنس </w:t>
      </w:r>
      <w:r>
        <w:rPr>
          <w:rtl/>
        </w:rPr>
        <w:t>–</w:t>
      </w:r>
      <w:r>
        <w:rPr>
          <w:rFonts w:hint="cs"/>
          <w:rtl/>
        </w:rPr>
        <w:t xml:space="preserve"> 1997</w:t>
      </w:r>
    </w:p>
    <w:p w:rsidR="00955676" w:rsidRPr="004F5429"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236"/>
        <w:gridCol w:w="1133"/>
        <w:gridCol w:w="1133"/>
        <w:gridCol w:w="900"/>
      </w:tblGrid>
      <w:tr w:rsidR="00955676" w:rsidRPr="004F5429">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4F5429">
              <w:rPr>
                <w:rFonts w:hint="cs"/>
                <w:i/>
                <w:iCs/>
                <w:sz w:val="16"/>
                <w:szCs w:val="24"/>
                <w:rtl/>
              </w:rPr>
              <w:t>الموضوع</w:t>
            </w:r>
          </w:p>
        </w:tc>
        <w:tc>
          <w:tcPr>
            <w:tcW w:w="1236" w:type="dxa"/>
            <w:tcBorders>
              <w:top w:val="single" w:sz="4" w:space="0" w:color="auto"/>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F5429">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F5429">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F5429">
              <w:rPr>
                <w:rFonts w:hint="cs"/>
                <w:i/>
                <w:iCs/>
                <w:sz w:val="16"/>
                <w:szCs w:val="24"/>
                <w:rtl/>
              </w:rPr>
              <w:t>المجموع</w:t>
            </w:r>
          </w:p>
        </w:tc>
        <w:tc>
          <w:tcPr>
            <w:tcW w:w="900" w:type="dxa"/>
            <w:tcBorders>
              <w:top w:val="single" w:sz="4" w:space="0" w:color="auto"/>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F5429">
              <w:rPr>
                <w:rFonts w:hint="cs"/>
                <w:i/>
                <w:iCs/>
                <w:sz w:val="16"/>
                <w:szCs w:val="24"/>
                <w:rtl/>
              </w:rPr>
              <w:t>النسبة المئوية للإناث</w:t>
            </w:r>
          </w:p>
        </w:tc>
      </w:tr>
      <w:tr w:rsidR="00955676" w:rsidRPr="004F5429">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900" w:type="dxa"/>
            <w:tcBorders>
              <w:top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العلوم الزراعية</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009 14</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020 7</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029 21</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33.4</w:t>
            </w: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التدبير المنزلي</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639 1</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194 21</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833 22</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92.8</w:t>
            </w: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الرسم الهندسي</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758 6</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870 5</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628 12</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46.5</w:t>
            </w: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التكنولوجيا الهندسية</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902 1</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194 1</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096 3</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38.6</w:t>
            </w: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مبادئ المحاسبة</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617 43</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500 69</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117 113</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61.4</w:t>
            </w:r>
          </w:p>
        </w:tc>
      </w:tr>
      <w:tr w:rsidR="00955676" w:rsidRPr="004F5429">
        <w:tblPrEx>
          <w:tblCellMar>
            <w:top w:w="0" w:type="dxa"/>
            <w:bottom w:w="0" w:type="dxa"/>
          </w:tblCellMar>
        </w:tblPrEx>
        <w:trPr>
          <w:cantSplit/>
        </w:trPr>
        <w:tc>
          <w:tcPr>
            <w:tcW w:w="2918"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التجارة</w:t>
            </w:r>
          </w:p>
        </w:tc>
        <w:tc>
          <w:tcPr>
            <w:tcW w:w="1236"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415 109</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266 126</w:t>
            </w:r>
          </w:p>
        </w:tc>
        <w:tc>
          <w:tcPr>
            <w:tcW w:w="1133"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681 235</w:t>
            </w:r>
          </w:p>
        </w:tc>
        <w:tc>
          <w:tcPr>
            <w:tcW w:w="900" w:type="dxa"/>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53.6</w:t>
            </w:r>
          </w:p>
        </w:tc>
      </w:tr>
      <w:tr w:rsidR="00955676" w:rsidRPr="004F5429">
        <w:tblPrEx>
          <w:tblCellMar>
            <w:top w:w="0" w:type="dxa"/>
            <w:bottom w:w="0" w:type="dxa"/>
          </w:tblCellMar>
        </w:tblPrEx>
        <w:trPr>
          <w:cantSplit/>
        </w:trPr>
        <w:tc>
          <w:tcPr>
            <w:tcW w:w="2918" w:type="dxa"/>
            <w:tcBorders>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مبادئ العلوم الاقتصادية</w:t>
            </w:r>
          </w:p>
        </w:tc>
        <w:tc>
          <w:tcPr>
            <w:tcW w:w="1236" w:type="dxa"/>
            <w:tcBorders>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958 87</w:t>
            </w:r>
          </w:p>
        </w:tc>
        <w:tc>
          <w:tcPr>
            <w:tcW w:w="1133" w:type="dxa"/>
            <w:tcBorders>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714 109</w:t>
            </w:r>
          </w:p>
        </w:tc>
        <w:tc>
          <w:tcPr>
            <w:tcW w:w="1133" w:type="dxa"/>
            <w:tcBorders>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672 197</w:t>
            </w:r>
          </w:p>
        </w:tc>
        <w:tc>
          <w:tcPr>
            <w:tcW w:w="900" w:type="dxa"/>
            <w:tcBorders>
              <w:bottom w:val="single" w:sz="12" w:space="0" w:color="auto"/>
            </w:tcBorders>
            <w:shd w:val="clear" w:color="auto" w:fill="auto"/>
            <w:vAlign w:val="bottom"/>
          </w:tcPr>
          <w:p w:rsidR="00955676" w:rsidRPr="004F5429"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55.5</w:t>
            </w:r>
          </w:p>
        </w:tc>
      </w:tr>
    </w:tbl>
    <w:p w:rsidR="00955676" w:rsidRPr="009C6FF1"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الدورات التقنية في المرحلة الثانوية</w:t>
      </w:r>
    </w:p>
    <w:p w:rsidR="00955676" w:rsidRDefault="00955676" w:rsidP="00955676">
      <w:pPr>
        <w:pStyle w:val="SingleTxt"/>
        <w:rPr>
          <w:rFonts w:hint="cs"/>
          <w:rtl/>
        </w:rPr>
      </w:pPr>
      <w:r>
        <w:rPr>
          <w:rFonts w:hint="cs"/>
          <w:rtl/>
        </w:rPr>
        <w:t>173 -</w:t>
      </w:r>
      <w:r>
        <w:rPr>
          <w:rFonts w:hint="cs"/>
          <w:rtl/>
        </w:rPr>
        <w:tab/>
        <w:t xml:space="preserve">فيما يتعلق بالدورات التقنية، تميل الطالبات إلى اختيار التجارة والزراعة. وقد بلغ معدل اشتراك الإناث في دورات العلوم التجارية والزراعية في عام 1998 نسبة 76.9 في المائة و 76 في المائة على التوالي. وبلغ نسبة أقل من ذلك بكثير بالنسبة للهندسة الميكانيكية والهندسة الكهربائية </w:t>
      </w:r>
      <w:r>
        <w:rPr>
          <w:rtl/>
        </w:rPr>
        <w:t>–</w:t>
      </w:r>
      <w:r>
        <w:rPr>
          <w:rFonts w:hint="cs"/>
          <w:rtl/>
        </w:rPr>
        <w:t xml:space="preserve"> إذ بلغ 12.3 في المائة و 22.2 في المائة على التوالي.</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10-9: اشتراك الطلاب في الدورات التقنية، بحسب نوع الجنس </w:t>
      </w:r>
      <w:r>
        <w:rPr>
          <w:rtl/>
        </w:rPr>
        <w:t>–</w:t>
      </w:r>
      <w:r>
        <w:rPr>
          <w:rFonts w:hint="cs"/>
          <w:rtl/>
        </w:rPr>
        <w:t xml:space="preserve"> 1998</w:t>
      </w:r>
    </w:p>
    <w:p w:rsidR="00955676" w:rsidRPr="003C0764"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236"/>
        <w:gridCol w:w="1133"/>
        <w:gridCol w:w="1133"/>
        <w:gridCol w:w="900"/>
      </w:tblGrid>
      <w:tr w:rsidR="00955676" w:rsidRPr="003C0764">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3C0764">
              <w:rPr>
                <w:rFonts w:hint="cs"/>
                <w:i/>
                <w:iCs/>
                <w:sz w:val="16"/>
                <w:szCs w:val="24"/>
                <w:rtl/>
              </w:rPr>
              <w:t>الدورة</w:t>
            </w:r>
          </w:p>
        </w:tc>
        <w:tc>
          <w:tcPr>
            <w:tcW w:w="1236"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المجموع</w:t>
            </w:r>
          </w:p>
        </w:tc>
        <w:tc>
          <w:tcPr>
            <w:tcW w:w="900"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النسبة المئوية للإناث</w:t>
            </w:r>
          </w:p>
        </w:tc>
      </w:tr>
      <w:tr w:rsidR="00955676" w:rsidRPr="003C0764">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900"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الكهربائية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297 5</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509 1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806 6</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22.2</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الميكانيكية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624 4</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648</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272 5</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12.3</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المدنية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173 3</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923 2</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096 6</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47.9</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الزراعة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87</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276</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363</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76.0</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التجارة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374</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243 1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617 1</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76.9</w:t>
            </w:r>
          </w:p>
        </w:tc>
      </w:tr>
      <w:tr w:rsidR="00955676" w:rsidRPr="003C0764">
        <w:tblPrEx>
          <w:tblCellMar>
            <w:top w:w="0" w:type="dxa"/>
            <w:bottom w:w="0" w:type="dxa"/>
          </w:tblCellMar>
        </w:tblPrEx>
        <w:trPr>
          <w:cantSplit/>
        </w:trPr>
        <w:tc>
          <w:tcPr>
            <w:tcW w:w="2918"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المجموع</w:t>
            </w:r>
          </w:p>
        </w:tc>
        <w:tc>
          <w:tcPr>
            <w:tcW w:w="1236"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7421D0">
              <w:rPr>
                <w:rFonts w:hint="cs"/>
                <w:b/>
                <w:bCs/>
                <w:sz w:val="16"/>
                <w:szCs w:val="24"/>
                <w:rtl/>
              </w:rPr>
              <w:t>555 13</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7421D0">
              <w:rPr>
                <w:rFonts w:hint="cs"/>
                <w:b/>
                <w:bCs/>
                <w:sz w:val="16"/>
                <w:szCs w:val="24"/>
                <w:rtl/>
              </w:rPr>
              <w:t>599 6</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7421D0">
              <w:rPr>
                <w:rFonts w:hint="cs"/>
                <w:b/>
                <w:bCs/>
                <w:sz w:val="16"/>
                <w:szCs w:val="24"/>
                <w:rtl/>
              </w:rPr>
              <w:t>154 20</w:t>
            </w:r>
          </w:p>
        </w:tc>
        <w:tc>
          <w:tcPr>
            <w:tcW w:w="900"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7421D0">
              <w:rPr>
                <w:rFonts w:hint="cs"/>
                <w:b/>
                <w:bCs/>
                <w:sz w:val="16"/>
                <w:szCs w:val="24"/>
                <w:rtl/>
              </w:rPr>
              <w:t>32.7</w:t>
            </w:r>
          </w:p>
        </w:tc>
      </w:tr>
    </w:tbl>
    <w:p w:rsidR="00955676" w:rsidRPr="007421D0"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إدارة التعليم التقني، وزارة التربية، ماليزيا.</w:t>
      </w:r>
    </w:p>
    <w:p w:rsidR="00955676" w:rsidRPr="007421D0"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الدورات المهنية في المرحلة الثانوية</w:t>
      </w:r>
    </w:p>
    <w:p w:rsidR="00955676" w:rsidRDefault="00955676" w:rsidP="00D162DD">
      <w:pPr>
        <w:pStyle w:val="SingleTxt"/>
        <w:rPr>
          <w:rFonts w:hint="cs"/>
          <w:rtl/>
        </w:rPr>
      </w:pPr>
      <w:r>
        <w:rPr>
          <w:rFonts w:hint="cs"/>
          <w:rtl/>
        </w:rPr>
        <w:t>174 -</w:t>
      </w:r>
      <w:r>
        <w:rPr>
          <w:rFonts w:hint="cs"/>
          <w:rtl/>
        </w:rPr>
        <w:tab/>
        <w:t xml:space="preserve">حيثما عرض موضوع التدبير المنزلي كدورة مهنية، فإن غالبية المشتركين بها تكون من الفتيات. وفي عام 1998، بلغ معدل اشتراك الإناث في تلك الدورة نسبة 90.8 في المائة. ودورات التجارة رائجة أيضا بين الفتيات إذ سجل معدل اشتراك الإناث فيها نسبة 80.2 في المائة. وأقل المواضيع رواجا بين الفتيات </w:t>
      </w:r>
      <w:r w:rsidR="00D162DD">
        <w:rPr>
          <w:rFonts w:hint="cs"/>
          <w:rtl/>
        </w:rPr>
        <w:t xml:space="preserve">هي الحرف </w:t>
      </w:r>
      <w:r>
        <w:rPr>
          <w:rFonts w:hint="cs"/>
          <w:rtl/>
        </w:rPr>
        <w:t>الهندسية التي لم يتجاوز معدل اشتراك الإناث فيها نسبة 10.7 في المائة (أي 470 1 فتاة من أصل ما مجموعه 711 13 مشتركا).</w:t>
      </w:r>
    </w:p>
    <w:p w:rsidR="00955676" w:rsidRPr="007421D0"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10-10: اشتراك الطلاب في الدورات المهنية، بحسب نوع الجنس </w:t>
      </w:r>
      <w:r>
        <w:rPr>
          <w:rtl/>
        </w:rPr>
        <w:t>–</w:t>
      </w:r>
      <w:r>
        <w:rPr>
          <w:rFonts w:hint="cs"/>
          <w:rtl/>
        </w:rPr>
        <w:t xml:space="preserve"> 1998</w:t>
      </w:r>
    </w:p>
    <w:p w:rsidR="00955676" w:rsidRPr="003C0764"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236"/>
        <w:gridCol w:w="1133"/>
        <w:gridCol w:w="1133"/>
        <w:gridCol w:w="900"/>
      </w:tblGrid>
      <w:tr w:rsidR="00955676" w:rsidRPr="003C0764">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3C0764">
              <w:rPr>
                <w:rFonts w:hint="cs"/>
                <w:i/>
                <w:iCs/>
                <w:sz w:val="16"/>
                <w:szCs w:val="24"/>
                <w:rtl/>
              </w:rPr>
              <w:t>الدورة</w:t>
            </w:r>
          </w:p>
        </w:tc>
        <w:tc>
          <w:tcPr>
            <w:tcW w:w="1236"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المجموع</w:t>
            </w:r>
          </w:p>
        </w:tc>
        <w:tc>
          <w:tcPr>
            <w:tcW w:w="900"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النسبة المئوية للإناث</w:t>
            </w:r>
          </w:p>
        </w:tc>
      </w:tr>
      <w:tr w:rsidR="00955676" w:rsidRPr="003C0764">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900"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D162DD"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 xml:space="preserve">الحرف </w:t>
            </w:r>
            <w:r w:rsidR="00955676">
              <w:rPr>
                <w:rFonts w:hint="cs"/>
                <w:sz w:val="16"/>
                <w:szCs w:val="24"/>
                <w:rtl/>
              </w:rPr>
              <w:t>الهندسية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241 12</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470 1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711 13</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10.7</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التجارة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544</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209 2</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753 2</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80.2</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الزراعة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453</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398</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851</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46.8</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التدبير المنزلي</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256</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534 2</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790 2</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90.8</w:t>
            </w:r>
          </w:p>
        </w:tc>
      </w:tr>
      <w:tr w:rsidR="00955676" w:rsidRPr="003C0764">
        <w:tblPrEx>
          <w:tblCellMar>
            <w:top w:w="0" w:type="dxa"/>
            <w:bottom w:w="0" w:type="dxa"/>
          </w:tblCellMar>
        </w:tblPrEx>
        <w:trPr>
          <w:cantSplit/>
        </w:trPr>
        <w:tc>
          <w:tcPr>
            <w:tcW w:w="2918"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المجموع</w:t>
            </w:r>
          </w:p>
        </w:tc>
        <w:tc>
          <w:tcPr>
            <w:tcW w:w="1236"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494 13</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611 6</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105 20</w:t>
            </w:r>
          </w:p>
        </w:tc>
        <w:tc>
          <w:tcPr>
            <w:tcW w:w="900"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32.9</w:t>
            </w:r>
          </w:p>
        </w:tc>
      </w:tr>
    </w:tbl>
    <w:p w:rsidR="00955676" w:rsidRPr="00EA7094"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إدارة التعليم التقني، وزارة التربية، ماليزيا.</w:t>
      </w:r>
    </w:p>
    <w:p w:rsidR="00955676" w:rsidRPr="00A05C48"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D162D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162DD">
        <w:rPr>
          <w:rFonts w:hint="cs"/>
          <w:rtl/>
        </w:rPr>
        <w:t xml:space="preserve">كليات </w:t>
      </w:r>
      <w:r>
        <w:rPr>
          <w:rFonts w:hint="cs"/>
          <w:rtl/>
        </w:rPr>
        <w:t>الفنون</w:t>
      </w:r>
      <w:r w:rsidR="00D162DD">
        <w:rPr>
          <w:rFonts w:hint="cs"/>
          <w:rtl/>
        </w:rPr>
        <w:t xml:space="preserve"> التقنية</w:t>
      </w:r>
    </w:p>
    <w:p w:rsidR="00955676" w:rsidRDefault="00955676" w:rsidP="00D425E5">
      <w:pPr>
        <w:pStyle w:val="SingleTxt"/>
        <w:rPr>
          <w:rFonts w:hint="cs"/>
          <w:rtl/>
        </w:rPr>
      </w:pPr>
      <w:r>
        <w:rPr>
          <w:rFonts w:hint="cs"/>
          <w:rtl/>
        </w:rPr>
        <w:t>175 -</w:t>
      </w:r>
      <w:r>
        <w:rPr>
          <w:rFonts w:hint="cs"/>
          <w:rtl/>
        </w:rPr>
        <w:tab/>
        <w:t>يجوز للطلاب الذين يتمو</w:t>
      </w:r>
      <w:r w:rsidR="00D162DD">
        <w:rPr>
          <w:rFonts w:hint="cs"/>
          <w:rtl/>
        </w:rPr>
        <w:t>ن</w:t>
      </w:r>
      <w:r>
        <w:rPr>
          <w:rFonts w:hint="cs"/>
          <w:rtl/>
        </w:rPr>
        <w:t xml:space="preserve"> سنوات التعليم الأساسي الإحدى عشرة أن يتقدموا بطلب لمواصلة تعليمهم في الكليات العشر </w:t>
      </w:r>
      <w:r w:rsidR="00D162DD">
        <w:rPr>
          <w:rFonts w:hint="cs"/>
          <w:rtl/>
        </w:rPr>
        <w:t xml:space="preserve">لتدريس </w:t>
      </w:r>
      <w:r>
        <w:rPr>
          <w:rFonts w:hint="cs"/>
          <w:rtl/>
        </w:rPr>
        <w:t xml:space="preserve">الفنون </w:t>
      </w:r>
      <w:r w:rsidR="00D162DD">
        <w:rPr>
          <w:rFonts w:hint="cs"/>
          <w:rtl/>
        </w:rPr>
        <w:t xml:space="preserve">التقنية </w:t>
      </w:r>
      <w:r>
        <w:rPr>
          <w:rFonts w:hint="cs"/>
          <w:rtl/>
        </w:rPr>
        <w:t xml:space="preserve">التي تديرها وزارة التربية. وتعرض تلك الكليات </w:t>
      </w:r>
      <w:r w:rsidR="00D162DD">
        <w:rPr>
          <w:rFonts w:hint="cs"/>
          <w:rtl/>
        </w:rPr>
        <w:t xml:space="preserve">سبع </w:t>
      </w:r>
      <w:r>
        <w:rPr>
          <w:rFonts w:hint="cs"/>
          <w:rtl/>
        </w:rPr>
        <w:t xml:space="preserve"> دورات دراسية هي على وجه التحديد التجارة والهندسة المدنية والهندسة الكهربائية والهندسة الميكانيكية والهندسة البحرية وتكنولوجيا الأغذية والضيافة والأزياء. والاشتراك في هذه الدورات جميعها مفتوح أمام المتقدمين إليها من الذكور والإناث على حد سواء. وتفيد الإدارة التقنية التابعة لوزارة التربية أن اختيار مقدمي الطلبات يستند على أساس الجدارة؛ ولا يوجد أي تمييز ضد الإناث.</w:t>
      </w:r>
    </w:p>
    <w:p w:rsidR="00955676" w:rsidRDefault="00955676" w:rsidP="00D162DD">
      <w:pPr>
        <w:pStyle w:val="SingleTxt"/>
        <w:rPr>
          <w:rFonts w:hint="cs"/>
          <w:rtl/>
        </w:rPr>
      </w:pPr>
      <w:r>
        <w:rPr>
          <w:rFonts w:hint="cs"/>
          <w:rtl/>
        </w:rPr>
        <w:t>176 -</w:t>
      </w:r>
      <w:r>
        <w:rPr>
          <w:rFonts w:hint="cs"/>
          <w:rtl/>
        </w:rPr>
        <w:tab/>
        <w:t xml:space="preserve">وفي عام 1998، بلغت نسبة الإناث في كليات </w:t>
      </w:r>
      <w:r w:rsidR="00D162DD">
        <w:rPr>
          <w:rFonts w:hint="cs"/>
          <w:rtl/>
        </w:rPr>
        <w:t>الفنون التقنية</w:t>
      </w:r>
      <w:r>
        <w:rPr>
          <w:rFonts w:hint="cs"/>
          <w:rtl/>
        </w:rPr>
        <w:t xml:space="preserve"> نسبة 30 في المائة من أصل ما مجموعه 879 21 طالبا في تلك الكليات. ويتضح من التفاصيل الأخرى لمعدلات الالتحاق بحسب نوع الجنس أن عدد الإناث يفوق عدد الذكور في دورات التجارة وتكنولوجيا الغذاء والضيافة والأزياء. والدورات التي يوجد فيها أقل عدد من المشتركات هي الهندسة الميكانيكية (معدل اشتراك الإناث فيها 5 في المائة) </w:t>
      </w:r>
      <w:r w:rsidR="00D162DD">
        <w:rPr>
          <w:rFonts w:hint="cs"/>
          <w:rtl/>
        </w:rPr>
        <w:t>ت</w:t>
      </w:r>
      <w:r>
        <w:rPr>
          <w:rFonts w:hint="cs"/>
          <w:rtl/>
        </w:rPr>
        <w:t>ليها الهندسة الكهربائية (معدل اشتراك الإناث فيها 22.8 في المائة) والهندسة المدنية (معدل اشتراك الإناث فيها 29.9 في المائة).</w:t>
      </w:r>
    </w:p>
    <w:p w:rsidR="00955676" w:rsidRPr="00A05C48" w:rsidRDefault="00955676" w:rsidP="00955676">
      <w:pPr>
        <w:pStyle w:val="SingleTxt"/>
        <w:spacing w:after="0" w:line="120" w:lineRule="exact"/>
        <w:rPr>
          <w:rFonts w:hint="cs"/>
          <w:sz w:val="10"/>
          <w:rtl/>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10-11: التحــاق الطلاب في كليات </w:t>
      </w:r>
      <w:r w:rsidR="00D162DD">
        <w:rPr>
          <w:rFonts w:hint="cs"/>
          <w:rtl/>
        </w:rPr>
        <w:t>الفنون التقنية</w:t>
      </w:r>
      <w:r>
        <w:rPr>
          <w:rFonts w:hint="cs"/>
          <w:rtl/>
        </w:rPr>
        <w:t xml:space="preserve">، بحسب نوع الجنس </w:t>
      </w:r>
      <w:r>
        <w:rPr>
          <w:rtl/>
        </w:rPr>
        <w:t>–</w:t>
      </w:r>
      <w:r>
        <w:rPr>
          <w:rFonts w:hint="cs"/>
          <w:rtl/>
        </w:rPr>
        <w:t xml:space="preserve"> 1998</w:t>
      </w:r>
    </w:p>
    <w:p w:rsidR="00955676" w:rsidRPr="003C0764" w:rsidRDefault="00955676" w:rsidP="0095567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236"/>
        <w:gridCol w:w="1133"/>
        <w:gridCol w:w="1133"/>
        <w:gridCol w:w="900"/>
      </w:tblGrid>
      <w:tr w:rsidR="00955676" w:rsidRPr="003C0764">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70"/>
              <w:rPr>
                <w:rFonts w:hint="cs"/>
                <w:i/>
                <w:iCs/>
                <w:sz w:val="16"/>
                <w:szCs w:val="24"/>
                <w:rtl/>
              </w:rPr>
            </w:pPr>
            <w:r w:rsidRPr="003C0764">
              <w:rPr>
                <w:rFonts w:hint="cs"/>
                <w:i/>
                <w:iCs/>
                <w:sz w:val="16"/>
                <w:szCs w:val="24"/>
                <w:rtl/>
              </w:rPr>
              <w:t>الدورة</w:t>
            </w:r>
          </w:p>
        </w:tc>
        <w:tc>
          <w:tcPr>
            <w:tcW w:w="1236"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المجموع</w:t>
            </w:r>
          </w:p>
        </w:tc>
        <w:tc>
          <w:tcPr>
            <w:tcW w:w="900" w:type="dxa"/>
            <w:tcBorders>
              <w:top w:val="single" w:sz="4" w:space="0" w:color="auto"/>
              <w:bottom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3C0764">
              <w:rPr>
                <w:rFonts w:hint="cs"/>
                <w:i/>
                <w:iCs/>
                <w:sz w:val="16"/>
                <w:szCs w:val="24"/>
                <w:rtl/>
              </w:rPr>
              <w:t>النسبة المئوية للإناث</w:t>
            </w:r>
          </w:p>
        </w:tc>
      </w:tr>
      <w:tr w:rsidR="00955676" w:rsidRPr="003C0764">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33"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900" w:type="dxa"/>
            <w:tcBorders>
              <w:top w:val="single" w:sz="12" w:space="0" w:color="auto"/>
            </w:tcBorders>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التجارة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562 1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159 3</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721 4</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66.9</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المدنية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439 3</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468 1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907 4</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29.9</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الكهربائية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553 4</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338 1</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891 5</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22.7</w:t>
            </w:r>
          </w:p>
        </w:tc>
      </w:tr>
      <w:tr w:rsidR="00955676" w:rsidRPr="003C0764">
        <w:tblPrEx>
          <w:tblCellMar>
            <w:top w:w="0" w:type="dxa"/>
            <w:bottom w:w="0" w:type="dxa"/>
          </w:tblCellMar>
        </w:tblPrEx>
        <w:trPr>
          <w:cantSplit/>
        </w:trPr>
        <w:tc>
          <w:tcPr>
            <w:tcW w:w="2918"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الميكانيكية</w:t>
            </w:r>
          </w:p>
        </w:tc>
        <w:tc>
          <w:tcPr>
            <w:tcW w:w="1236"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329 5</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283</w:t>
            </w:r>
          </w:p>
        </w:tc>
        <w:tc>
          <w:tcPr>
            <w:tcW w:w="1133"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612 5</w:t>
            </w:r>
          </w:p>
        </w:tc>
        <w:tc>
          <w:tcPr>
            <w:tcW w:w="900" w:type="dxa"/>
            <w:shd w:val="clear" w:color="auto" w:fill="auto"/>
            <w:vAlign w:val="bottom"/>
          </w:tcPr>
          <w:p w:rsidR="00955676" w:rsidRPr="003C0764"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5.0</w:t>
            </w:r>
          </w:p>
        </w:tc>
      </w:tr>
      <w:tr w:rsidR="00955676" w:rsidRPr="003C0764">
        <w:tblPrEx>
          <w:tblCellMar>
            <w:top w:w="0" w:type="dxa"/>
            <w:bottom w:w="0" w:type="dxa"/>
          </w:tblCellMar>
        </w:tblPrEx>
        <w:trPr>
          <w:cantSplit/>
        </w:trPr>
        <w:tc>
          <w:tcPr>
            <w:tcW w:w="2918"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الهندسة البحرية</w:t>
            </w:r>
          </w:p>
        </w:tc>
        <w:tc>
          <w:tcPr>
            <w:tcW w:w="1236"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291</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صفر</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291</w:t>
            </w:r>
          </w:p>
        </w:tc>
        <w:tc>
          <w:tcPr>
            <w:tcW w:w="900"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صفر</w:t>
            </w:r>
          </w:p>
        </w:tc>
      </w:tr>
      <w:tr w:rsidR="00955676" w:rsidRPr="003C0764">
        <w:tblPrEx>
          <w:tblCellMar>
            <w:top w:w="0" w:type="dxa"/>
            <w:bottom w:w="0" w:type="dxa"/>
          </w:tblCellMar>
        </w:tblPrEx>
        <w:trPr>
          <w:cantSplit/>
        </w:trPr>
        <w:tc>
          <w:tcPr>
            <w:tcW w:w="2918"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تكنولوجيا الأغذية</w:t>
            </w:r>
          </w:p>
        </w:tc>
        <w:tc>
          <w:tcPr>
            <w:tcW w:w="1236"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115</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219</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334</w:t>
            </w:r>
          </w:p>
        </w:tc>
        <w:tc>
          <w:tcPr>
            <w:tcW w:w="900"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65.6</w:t>
            </w:r>
          </w:p>
        </w:tc>
      </w:tr>
      <w:tr w:rsidR="00955676" w:rsidRPr="003C0764">
        <w:tblPrEx>
          <w:tblCellMar>
            <w:top w:w="0" w:type="dxa"/>
            <w:bottom w:w="0" w:type="dxa"/>
          </w:tblCellMar>
        </w:tblPrEx>
        <w:trPr>
          <w:cantSplit/>
        </w:trPr>
        <w:tc>
          <w:tcPr>
            <w:tcW w:w="2918"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الضيافة والأزياء</w:t>
            </w:r>
          </w:p>
        </w:tc>
        <w:tc>
          <w:tcPr>
            <w:tcW w:w="1236"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34</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89</w:t>
            </w:r>
          </w:p>
        </w:tc>
        <w:tc>
          <w:tcPr>
            <w:tcW w:w="1133"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123</w:t>
            </w:r>
          </w:p>
        </w:tc>
        <w:tc>
          <w:tcPr>
            <w:tcW w:w="900" w:type="dxa"/>
            <w:shd w:val="clear" w:color="auto" w:fill="auto"/>
            <w:vAlign w:val="bottom"/>
          </w:tcPr>
          <w:p w:rsidR="00955676" w:rsidRPr="00992835"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72.3</w:t>
            </w:r>
          </w:p>
        </w:tc>
      </w:tr>
      <w:tr w:rsidR="00955676" w:rsidRPr="003C0764">
        <w:tblPrEx>
          <w:tblCellMar>
            <w:top w:w="0" w:type="dxa"/>
            <w:bottom w:w="0" w:type="dxa"/>
          </w:tblCellMar>
        </w:tblPrEx>
        <w:trPr>
          <w:cantSplit/>
        </w:trPr>
        <w:tc>
          <w:tcPr>
            <w:tcW w:w="2918"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المجموع</w:t>
            </w:r>
          </w:p>
        </w:tc>
        <w:tc>
          <w:tcPr>
            <w:tcW w:w="1236"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323 15</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556 6</w:t>
            </w:r>
          </w:p>
        </w:tc>
        <w:tc>
          <w:tcPr>
            <w:tcW w:w="1133"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879 21</w:t>
            </w:r>
          </w:p>
        </w:tc>
        <w:tc>
          <w:tcPr>
            <w:tcW w:w="900" w:type="dxa"/>
            <w:tcBorders>
              <w:bottom w:val="single" w:sz="12" w:space="0" w:color="auto"/>
            </w:tcBorders>
            <w:shd w:val="clear" w:color="auto" w:fill="auto"/>
            <w:vAlign w:val="bottom"/>
          </w:tcPr>
          <w:p w:rsidR="00955676" w:rsidRPr="007421D0"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30.0</w:t>
            </w:r>
          </w:p>
        </w:tc>
      </w:tr>
    </w:tbl>
    <w:p w:rsidR="00955676" w:rsidRPr="00EA7094" w:rsidRDefault="00955676" w:rsidP="00955676">
      <w:pPr>
        <w:pStyle w:val="SingleTxt"/>
        <w:spacing w:after="0" w:line="120" w:lineRule="exact"/>
        <w:rPr>
          <w:rFonts w:hint="cs"/>
          <w:sz w:val="10"/>
          <w:rtl/>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إدارة التعليم التقني، وزارة التربية، ماليزيا.</w:t>
      </w:r>
    </w:p>
    <w:p w:rsidR="00955676" w:rsidRPr="00165BFF"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كليات تدريب المعلمين</w:t>
      </w:r>
    </w:p>
    <w:p w:rsidR="00955676" w:rsidRDefault="00955676" w:rsidP="00D162DD">
      <w:pPr>
        <w:pStyle w:val="SingleTxt"/>
        <w:rPr>
          <w:rFonts w:hint="cs"/>
          <w:rtl/>
        </w:rPr>
      </w:pPr>
      <w:r>
        <w:rPr>
          <w:rFonts w:hint="cs"/>
          <w:rtl/>
        </w:rPr>
        <w:t>177 -</w:t>
      </w:r>
      <w:r>
        <w:rPr>
          <w:rFonts w:hint="cs"/>
          <w:rtl/>
        </w:rPr>
        <w:tab/>
        <w:t>تتاح إمكانية وصول متساوية أمام المرأة والرجل للالتحاق بكليات تدريب المعلمين التي تديرها وزارة التربية والتي يبلغ عددها 31 كلية. والتعليم مختلط في جميع تلك الكليات باستثناء واحدة منها. وي</w:t>
      </w:r>
      <w:r w:rsidR="00D162DD">
        <w:rPr>
          <w:rFonts w:hint="cs"/>
          <w:rtl/>
        </w:rPr>
        <w:t>ُ</w:t>
      </w:r>
      <w:r>
        <w:rPr>
          <w:rFonts w:hint="cs"/>
          <w:rtl/>
        </w:rPr>
        <w:t>د</w:t>
      </w:r>
      <w:r w:rsidR="00D162DD">
        <w:rPr>
          <w:rFonts w:hint="cs"/>
          <w:rtl/>
        </w:rPr>
        <w:t>ّ</w:t>
      </w:r>
      <w:r>
        <w:rPr>
          <w:rFonts w:hint="cs"/>
          <w:rtl/>
        </w:rPr>
        <w:t xml:space="preserve">رس في جميع الكليات نفس المنهاج الدراسي ويخضع فيها الطلاب لنفس الفحوص وتتقاسم فيما بينها نفس نوعية المعلمين والمباني والمعدات. ويتضح من البيانات اهتمام النساء بتحصيل مهنة التعليم بأعداد أكبر من الرجال إذ تبلغ نسبة الإناث 70 في المائة من مجموع مقدمي الطلبات للالتحاق بكليات تدريب المعلمين. وهذه النسبة ليست مستغربة بالنظر إلى أن مهنة التعليم كانت دائما ميدانا غالبيته الساحقة من </w:t>
      </w:r>
      <w:r w:rsidR="00D162DD">
        <w:rPr>
          <w:rFonts w:hint="cs"/>
          <w:rtl/>
        </w:rPr>
        <w:t xml:space="preserve">النساء </w:t>
      </w:r>
      <w:r>
        <w:rPr>
          <w:rFonts w:hint="cs"/>
          <w:rtl/>
        </w:rPr>
        <w:t>في ماليزيا.</w:t>
      </w:r>
    </w:p>
    <w:p w:rsidR="00955676" w:rsidRDefault="00955676" w:rsidP="00955676">
      <w:pPr>
        <w:pStyle w:val="SingleTxt"/>
        <w:rPr>
          <w:rFonts w:hint="cs"/>
          <w:rtl/>
        </w:rPr>
      </w:pPr>
      <w:r>
        <w:rPr>
          <w:rFonts w:hint="cs"/>
          <w:rtl/>
        </w:rPr>
        <w:t>178 -</w:t>
      </w:r>
      <w:r>
        <w:rPr>
          <w:rFonts w:hint="cs"/>
          <w:rtl/>
        </w:rPr>
        <w:tab/>
        <w:t xml:space="preserve">ويوضح الرسم البياني 10-1 معدلات الالتحاق في كليات تدريب المعلمين الحكومية، بحسب نوع الجنس </w:t>
      </w:r>
      <w:r>
        <w:rPr>
          <w:rtl/>
        </w:rPr>
        <w:t>–</w:t>
      </w:r>
      <w:r>
        <w:rPr>
          <w:rFonts w:hint="cs"/>
          <w:rtl/>
        </w:rPr>
        <w:t xml:space="preserve"> في الفترة من 1996 إلى 2000. وكان معدل التحاق الإناث أعلى من معدل التحاق الذكور في كل سنة من السنوات المشار إليها في الرسم البياني على الرغم من أن الفجوة الفاصلة بين معدلات التحاق الإناث والذكور قد ضاقت منذ عام 1996.</w:t>
      </w:r>
    </w:p>
    <w:p w:rsidR="00955676" w:rsidRPr="00165BFF" w:rsidRDefault="00955676" w:rsidP="00955676">
      <w:pPr>
        <w:pStyle w:val="SingleTxt"/>
        <w:spacing w:after="0" w:line="120" w:lineRule="exact"/>
        <w:rPr>
          <w:rFonts w:hint="cs"/>
          <w:sz w:val="10"/>
          <w:rtl/>
        </w:rPr>
      </w:pPr>
    </w:p>
    <w:p w:rsidR="00955676" w:rsidRDefault="00955676" w:rsidP="00955676">
      <w:pPr>
        <w:pStyle w:val="SingleTxt"/>
        <w:rPr>
          <w:rFonts w:hint="cs"/>
          <w:rtl/>
        </w:rPr>
      </w:pPr>
      <w:r>
        <w:rPr>
          <w:rFonts w:hint="cs"/>
          <w:rtl/>
        </w:rPr>
        <w:t>الرسم البياني 10-1: الالتحاق في كلي</w:t>
      </w:r>
      <w:r w:rsidR="004B0AE0">
        <w:rPr>
          <w:rFonts w:hint="cs"/>
          <w:rtl/>
        </w:rPr>
        <w:t>ـــــــ</w:t>
      </w:r>
      <w:r>
        <w:rPr>
          <w:rFonts w:hint="cs"/>
          <w:rtl/>
        </w:rPr>
        <w:t>ات تدريب المعلمين، بحسب نوع الجنس، 1996-2000</w:t>
      </w:r>
    </w:p>
    <w:p w:rsidR="00955676" w:rsidRPr="00165BFF" w:rsidRDefault="00955676" w:rsidP="00955676">
      <w:pPr>
        <w:pStyle w:val="SingleTxt"/>
        <w:spacing w:after="0" w:line="120" w:lineRule="exact"/>
        <w:rPr>
          <w:rFonts w:hint="cs"/>
          <w:sz w:val="10"/>
          <w:rtl/>
        </w:rPr>
      </w:pPr>
    </w:p>
    <w:p w:rsidR="00955676" w:rsidRDefault="00955676" w:rsidP="00955676">
      <w:pPr>
        <w:pStyle w:val="Heading1"/>
        <w:spacing w:line="480" w:lineRule="auto"/>
        <w:jc w:val="left"/>
        <w:rPr>
          <w:i/>
        </w:rPr>
      </w:pPr>
    </w:p>
    <w:p w:rsidR="00955676" w:rsidRDefault="00955676" w:rsidP="00955676">
      <w:pPr>
        <w:pStyle w:val="Footer"/>
        <w:tabs>
          <w:tab w:val="clear" w:pos="4320"/>
          <w:tab w:val="clear" w:pos="8640"/>
        </w:tabs>
      </w:pPr>
      <w:r>
        <w:pict>
          <v:line id="_x0000_s2123" style="position:absolute;flip:y;z-index:51" from="67.05pt,13.4pt" to="67.05pt,283.4pt"/>
        </w:pict>
      </w:r>
      <w:r>
        <w:pict>
          <v:line id="_x0000_s2102" style="position:absolute;z-index:30" from="58.05pt,8.6pt" to="67.05pt,8.6pt"/>
        </w:pict>
      </w:r>
    </w:p>
    <w:p w:rsidR="00955676" w:rsidRDefault="00955676" w:rsidP="00955676">
      <w:r>
        <w:rPr>
          <w:noProof/>
        </w:rPr>
        <w:pict>
          <v:shapetype id="_x0000_t202" coordsize="21600,21600" o:spt="202" path="m,l,21600r21600,l21600,xe">
            <v:stroke joinstyle="miter"/>
            <v:path gradientshapeok="t" o:connecttype="rect"/>
          </v:shapetype>
          <v:shape id="_x0000_s2091" type="#_x0000_t202" style="position:absolute;left:0;text-align:left;margin-left:20.6pt;margin-top:8.3pt;width:36pt;height:27pt;z-index:19" strokecolor="white">
            <v:textbox style="mso-next-textbox:#_x0000_s2091">
              <w:txbxContent>
                <w:p w:rsidR="00B416F5" w:rsidRDefault="00B416F5" w:rsidP="00955676">
                  <w:pPr>
                    <w:jc w:val="right"/>
                    <w:rPr>
                      <w:b/>
                    </w:rPr>
                  </w:pPr>
                  <w:r>
                    <w:rPr>
                      <w:b/>
                    </w:rPr>
                    <w:t>40</w:t>
                  </w:r>
                </w:p>
              </w:txbxContent>
            </v:textbox>
          </v:shape>
        </w:pict>
      </w:r>
    </w:p>
    <w:p w:rsidR="00955676" w:rsidRDefault="00955676" w:rsidP="00955676">
      <w:r>
        <w:rPr>
          <w:noProof/>
        </w:rPr>
        <w:pict>
          <v:rect id="_x0000_s2111" style="position:absolute;left:0;text-align:left;margin-left:133.9pt;margin-top:15.3pt;width:18pt;height:225pt;z-index:39" fillcolor="red"/>
        </w:pict>
      </w:r>
      <w:r>
        <w:rPr>
          <w:noProof/>
        </w:rPr>
        <w:pict>
          <v:line id="_x0000_s2101" style="position:absolute;left:0;text-align:left;z-index:29" from="58.05pt,8.05pt" to="67.05pt,8.05pt"/>
        </w:pict>
      </w:r>
    </w:p>
    <w:p w:rsidR="00955676" w:rsidRDefault="00955676" w:rsidP="00955676">
      <w:pPr>
        <w:spacing w:line="360" w:lineRule="auto"/>
      </w:pPr>
      <w:r>
        <w:rPr>
          <w:noProof/>
        </w:rPr>
        <w:pict>
          <v:shape id="_x0000_s2092" type="#_x0000_t202" style="position:absolute;left:0;text-align:left;margin-left:22.05pt;margin-top:12.25pt;width:36pt;height:28.05pt;z-index:20" strokecolor="white">
            <v:textbox style="mso-next-textbox:#_x0000_s2092">
              <w:txbxContent>
                <w:p w:rsidR="00B416F5" w:rsidRDefault="00B416F5" w:rsidP="00955676">
                  <w:pPr>
                    <w:jc w:val="right"/>
                    <w:rPr>
                      <w:b/>
                    </w:rPr>
                  </w:pPr>
                  <w:r>
                    <w:rPr>
                      <w:b/>
                    </w:rPr>
                    <w:t>30</w:t>
                  </w:r>
                </w:p>
              </w:txbxContent>
            </v:textbox>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1" type="#_x0000_t136" style="position:absolute;left:0;text-align:left;margin-left:-5pt;margin-top:21.3pt;width:45.1pt;height:9pt;rotation:90;z-index:49" fillcolor="black">
            <v:shadow color="#868686"/>
            <v:textpath style="font-family:&quot;Times New Roman&quot;;font-size:8pt;v-text-kern:t" trim="t" fitpath="t" string="(000,)"/>
          </v:shape>
        </w:pict>
      </w:r>
    </w:p>
    <w:p w:rsidR="00955676" w:rsidRDefault="00955676" w:rsidP="00955676">
      <w:pPr>
        <w:spacing w:line="360" w:lineRule="auto"/>
      </w:pPr>
      <w:r>
        <w:rPr>
          <w:noProof/>
        </w:rPr>
        <w:pict>
          <v:shape id="_x0000_s2090" type="#_x0000_t202" style="position:absolute;left:0;text-align:left;margin-left:20.6pt;margin-top:14.45pt;width:36pt;height:27pt;z-index:18" strokecolor="white">
            <v:textbox style="mso-next-textbox:#_x0000_s2090">
              <w:txbxContent>
                <w:p w:rsidR="00B416F5" w:rsidRDefault="00B416F5" w:rsidP="00955676">
                  <w:pPr>
                    <w:jc w:val="right"/>
                    <w:rPr>
                      <w:b/>
                    </w:rPr>
                  </w:pPr>
                  <w:r>
                    <w:rPr>
                      <w:b/>
                    </w:rPr>
                    <w:t>25</w:t>
                  </w:r>
                </w:p>
              </w:txbxContent>
            </v:textbox>
          </v:shape>
        </w:pict>
      </w:r>
      <w:r>
        <w:rPr>
          <w:noProof/>
        </w:rPr>
        <w:pict>
          <v:rect id="_x0000_s2114" style="position:absolute;left:0;text-align:left;margin-left:211.15pt;margin-top:14.45pt;width:18pt;height:180pt;z-index:42" fillcolor="red"/>
        </w:pict>
      </w:r>
      <w:r>
        <w:rPr>
          <w:noProof/>
        </w:rPr>
        <w:pict>
          <v:line id="_x0000_s2094" style="position:absolute;left:0;text-align:left;z-index:22" from="58.05pt,.55pt" to="67.05pt,.55pt"/>
        </w:pict>
      </w:r>
    </w:p>
    <w:p w:rsidR="00955676" w:rsidRDefault="00955676" w:rsidP="00955676">
      <w:pPr>
        <w:spacing w:line="360" w:lineRule="auto"/>
      </w:pPr>
      <w:r>
        <w:rPr>
          <w:noProof/>
        </w:rPr>
        <w:pict>
          <v:shape id="_x0000_s2096" type="#_x0000_t202" style="position:absolute;left:0;text-align:left;margin-left:20.6pt;margin-top:24.6pt;width:36pt;height:30.6pt;z-index:24" strokecolor="white">
            <v:textbox style="mso-next-textbox:#_x0000_s2096">
              <w:txbxContent>
                <w:p w:rsidR="00B416F5" w:rsidRDefault="00B416F5" w:rsidP="00955676">
                  <w:pPr>
                    <w:jc w:val="right"/>
                    <w:rPr>
                      <w:b/>
                    </w:rPr>
                  </w:pPr>
                  <w:r>
                    <w:rPr>
                      <w:b/>
                    </w:rPr>
                    <w:t>20</w:t>
                  </w:r>
                </w:p>
              </w:txbxContent>
            </v:textbox>
          </v:shape>
        </w:pict>
      </w:r>
      <w:r>
        <w:rPr>
          <w:noProof/>
        </w:rPr>
        <w:pict>
          <v:rect id="_x0000_s2110" style="position:absolute;left:0;text-align:left;margin-left:113.3pt;margin-top:6.6pt;width:18pt;height:162pt;z-index:38" fillcolor="#9c0"/>
        </w:pict>
      </w:r>
      <w:r>
        <w:rPr>
          <w:noProof/>
        </w:rPr>
        <w:pict>
          <v:line id="_x0000_s2100" style="position:absolute;left:0;text-align:left;z-index:28" from="58.05pt,6.85pt" to="67.05pt,6.85pt"/>
        </w:pict>
      </w:r>
    </w:p>
    <w:p w:rsidR="00955676" w:rsidRDefault="00955676" w:rsidP="00955676">
      <w:pPr>
        <w:spacing w:line="360" w:lineRule="auto"/>
      </w:pPr>
      <w:r>
        <w:rPr>
          <w:noProof/>
        </w:rPr>
        <w:pict>
          <v:rect id="_x0000_s2124" style="position:absolute;left:0;text-align:left;margin-left:463.5pt;margin-top:16.75pt;width:18pt;height:126pt;z-index:52" fillcolor="red"/>
        </w:pict>
      </w:r>
      <w:r>
        <w:rPr>
          <w:noProof/>
        </w:rPr>
        <w:pict>
          <v:line id="_x0000_s2099" style="position:absolute;left:0;text-align:left;z-index:27" from="58.05pt,13.15pt" to="67.05pt,13.15pt"/>
        </w:pict>
      </w:r>
    </w:p>
    <w:p w:rsidR="00955676" w:rsidRDefault="00955676" w:rsidP="00955676">
      <w:pPr>
        <w:spacing w:line="360" w:lineRule="auto"/>
      </w:pPr>
      <w:r>
        <w:rPr>
          <w:noProof/>
        </w:rPr>
        <w:pict>
          <v:shape id="_x0000_s2089" type="#_x0000_t202" style="position:absolute;left:0;text-align:left;margin-left:20.6pt;margin-top:-.1pt;width:36pt;height:25.45pt;z-index:17" strokecolor="white">
            <v:textbox style="mso-next-textbox:#_x0000_s2089">
              <w:txbxContent>
                <w:p w:rsidR="00B416F5" w:rsidRDefault="00B416F5" w:rsidP="00955676">
                  <w:pPr>
                    <w:jc w:val="right"/>
                    <w:rPr>
                      <w:b/>
                    </w:rPr>
                  </w:pPr>
                  <w:r>
                    <w:rPr>
                      <w:b/>
                    </w:rPr>
                    <w:t>15</w:t>
                  </w:r>
                </w:p>
              </w:txbxContent>
            </v:textbox>
          </v:shape>
        </w:pict>
      </w:r>
      <w:r>
        <w:rPr>
          <w:noProof/>
        </w:rPr>
        <w:pict>
          <v:rect id="_x0000_s2113" style="position:absolute;left:0;text-align:left;margin-left:190.55pt;margin-top:-.1pt;width:18pt;height:117pt;z-index:41" fillcolor="#9c0"/>
        </w:pict>
      </w:r>
      <w:r>
        <w:rPr>
          <w:noProof/>
        </w:rPr>
        <w:pict>
          <v:rect id="_x0000_s2117" style="position:absolute;left:0;text-align:left;margin-left:303.85pt;margin-top:8.9pt;width:18pt;height:108pt;z-index:45" fillcolor="red"/>
        </w:pict>
      </w:r>
      <w:r>
        <w:rPr>
          <w:noProof/>
        </w:rPr>
        <w:pict>
          <v:line id="_x0000_s2093" style="position:absolute;left:0;text-align:left;z-index:21" from="58.05pt,19.45pt" to="67.05pt,19.45pt"/>
        </w:pict>
      </w:r>
    </w:p>
    <w:p w:rsidR="00955676" w:rsidRDefault="00955676" w:rsidP="00955676">
      <w:pPr>
        <w:spacing w:line="360" w:lineRule="auto"/>
      </w:pPr>
      <w:r>
        <w:rPr>
          <w:noProof/>
        </w:rPr>
        <w:pict>
          <v:shape id="_x0000_s2095" type="#_x0000_t202" style="position:absolute;left:0;text-align:left;margin-left:20.6pt;margin-top:10.05pt;width:36pt;height:29.3pt;z-index:23" strokecolor="white">
            <v:textbox style="mso-next-textbox:#_x0000_s2095">
              <w:txbxContent>
                <w:p w:rsidR="00B416F5" w:rsidRDefault="00B416F5" w:rsidP="00955676">
                  <w:pPr>
                    <w:jc w:val="right"/>
                    <w:rPr>
                      <w:b/>
                    </w:rPr>
                  </w:pPr>
                  <w:r>
                    <w:rPr>
                      <w:b/>
                    </w:rPr>
                    <w:t>10</w:t>
                  </w:r>
                </w:p>
              </w:txbxContent>
            </v:textbox>
          </v:shape>
        </w:pict>
      </w:r>
      <w:r>
        <w:rPr>
          <w:noProof/>
        </w:rPr>
        <w:pict>
          <v:rect id="_x0000_s2109" style="position:absolute;left:0;text-align:left;margin-left:92.7pt;margin-top:19.05pt;width:18pt;height:1in;z-index:37" fillcolor="blue"/>
        </w:pict>
      </w:r>
      <w:r>
        <w:rPr>
          <w:noProof/>
        </w:rPr>
        <w:pict>
          <v:rect id="_x0000_s2116" style="position:absolute;left:0;text-align:left;margin-left:283.25pt;margin-top:19.05pt;width:18pt;height:1in;z-index:44" fillcolor="#9c0"/>
        </w:pict>
      </w:r>
      <w:r>
        <w:rPr>
          <w:noProof/>
        </w:rPr>
        <w:pict>
          <v:rect id="_x0000_s2120" style="position:absolute;left:0;text-align:left;margin-left:381.1pt;margin-top:1.05pt;width:18pt;height:90pt;z-index:48" fillcolor="red"/>
        </w:pict>
      </w:r>
      <w:r>
        <w:rPr>
          <w:noProof/>
        </w:rPr>
        <w:pict>
          <v:rect id="_x0000_s2125" style="position:absolute;left:0;text-align:left;margin-left:442.9pt;margin-top:19.05pt;width:18pt;height:1in;z-index:53" fillcolor="#9c0"/>
        </w:pict>
      </w:r>
    </w:p>
    <w:p w:rsidR="00955676" w:rsidRDefault="00955676" w:rsidP="00955676">
      <w:pPr>
        <w:spacing w:line="360" w:lineRule="auto"/>
      </w:pPr>
      <w:r>
        <w:rPr>
          <w:noProof/>
        </w:rPr>
        <w:pict>
          <v:shape id="_x0000_s2088" type="#_x0000_t202" style="position:absolute;left:0;text-align:left;margin-left:25.75pt;margin-top:20.2pt;width:27pt;height:36pt;z-index:16" strokecolor="white">
            <v:textbox style="mso-next-textbox:#_x0000_s2088">
              <w:txbxContent>
                <w:p w:rsidR="00B416F5" w:rsidRDefault="00B416F5" w:rsidP="00955676">
                  <w:pPr>
                    <w:jc w:val="right"/>
                    <w:rPr>
                      <w:b/>
                    </w:rPr>
                  </w:pPr>
                  <w:r>
                    <w:rPr>
                      <w:b/>
                    </w:rPr>
                    <w:t>5</w:t>
                  </w:r>
                </w:p>
              </w:txbxContent>
            </v:textbox>
          </v:shape>
        </w:pict>
      </w:r>
      <w:r>
        <w:rPr>
          <w:noProof/>
        </w:rPr>
        <w:pict>
          <v:rect id="_x0000_s2112" style="position:absolute;left:0;text-align:left;margin-left:169.95pt;margin-top:2.2pt;width:18pt;height:63pt;z-index:40" fillcolor="blue"/>
        </w:pict>
      </w:r>
      <w:r>
        <w:rPr>
          <w:noProof/>
        </w:rPr>
        <w:pict>
          <v:rect id="_x0000_s2119" style="position:absolute;left:0;text-align:left;margin-left:360.5pt;margin-top:11.2pt;width:18pt;height:54pt;z-index:47" fillcolor="#9c0"/>
        </w:pict>
      </w:r>
      <w:r>
        <w:rPr>
          <w:noProof/>
        </w:rPr>
        <w:pict>
          <v:rect id="_x0000_s2126" style="position:absolute;left:0;text-align:left;margin-left:422.3pt;margin-top:20.2pt;width:18pt;height:45pt;z-index:54" fillcolor="blue"/>
        </w:pict>
      </w:r>
      <w:r>
        <w:rPr>
          <w:noProof/>
        </w:rPr>
        <w:pict>
          <v:line id="_x0000_s2098" style="position:absolute;left:0;text-align:left;z-index:26" from="58.05pt,5.05pt" to="67.05pt,5.05pt"/>
        </w:pict>
      </w:r>
    </w:p>
    <w:p w:rsidR="00955676" w:rsidRDefault="00955676" w:rsidP="00955676">
      <w:pPr>
        <w:spacing w:line="360" w:lineRule="auto"/>
      </w:pPr>
      <w:r>
        <w:rPr>
          <w:noProof/>
        </w:rPr>
        <w:pict>
          <v:shape id="_x0000_s2085" type="#_x0000_t202" style="position:absolute;left:0;text-align:left;margin-left:25.75pt;margin-top:21.35pt;width:27pt;height:27pt;z-index:13" strokecolor="white">
            <v:textbox style="mso-next-textbox:#_x0000_s2085">
              <w:txbxContent>
                <w:p w:rsidR="00B416F5" w:rsidRDefault="00B416F5" w:rsidP="00955676">
                  <w:pPr>
                    <w:jc w:val="right"/>
                    <w:rPr>
                      <w:b/>
                    </w:rPr>
                  </w:pPr>
                  <w:r>
                    <w:rPr>
                      <w:b/>
                    </w:rPr>
                    <w:t>0</w:t>
                  </w:r>
                </w:p>
              </w:txbxContent>
            </v:textbox>
          </v:shape>
        </w:pict>
      </w:r>
      <w:r>
        <w:rPr>
          <w:noProof/>
        </w:rPr>
        <w:pict>
          <v:rect id="_x0000_s2115" style="position:absolute;left:0;text-align:left;margin-left:262.65pt;margin-top:3.35pt;width:18pt;height:36pt;z-index:43" fillcolor="blue"/>
        </w:pict>
      </w:r>
      <w:r>
        <w:rPr>
          <w:noProof/>
        </w:rPr>
        <w:pict>
          <v:rect id="_x0000_s2118" style="position:absolute;left:0;text-align:left;margin-left:345.05pt;margin-top:3.35pt;width:18pt;height:36pt;z-index:46" fillcolor="blue"/>
        </w:pict>
      </w:r>
      <w:r>
        <w:rPr>
          <w:noProof/>
        </w:rPr>
        <w:pict>
          <v:line id="_x0000_s2097" style="position:absolute;left:0;text-align:left;z-index:25" from="58.05pt,11.35pt" to="67.05pt,11.35pt"/>
        </w:pict>
      </w:r>
    </w:p>
    <w:p w:rsidR="00955676" w:rsidRDefault="00955676" w:rsidP="00955676">
      <w:pPr>
        <w:pStyle w:val="Footer"/>
        <w:tabs>
          <w:tab w:val="clear" w:pos="4320"/>
          <w:tab w:val="clear" w:pos="8640"/>
        </w:tabs>
      </w:pPr>
      <w:r>
        <w:pict>
          <v:shape id="_x0000_s2106" type="#_x0000_t202" style="position:absolute;margin-left:92.7pt;margin-top:13.5pt;width:54pt;height:27pt;z-index:34" strokecolor="white">
            <v:textbox style="mso-next-textbox:#_x0000_s2106">
              <w:txbxContent>
                <w:p w:rsidR="00B416F5" w:rsidRDefault="00B416F5" w:rsidP="00955676">
                  <w:pPr>
                    <w:jc w:val="center"/>
                    <w:rPr>
                      <w:b/>
                    </w:rPr>
                  </w:pPr>
                  <w:r>
                    <w:rPr>
                      <w:b/>
                    </w:rPr>
                    <w:t>1996</w:t>
                  </w:r>
                </w:p>
              </w:txbxContent>
            </v:textbox>
          </v:shape>
        </w:pict>
      </w:r>
      <w:r>
        <w:pict>
          <v:shape id="_x0000_s2108" type="#_x0000_t202" style="position:absolute;margin-left:345.05pt;margin-top:13.5pt;width:56.65pt;height:27pt;z-index:36" strokecolor="white">
            <v:textbox style="mso-next-textbox:#_x0000_s2108">
              <w:txbxContent>
                <w:p w:rsidR="00B416F5" w:rsidRDefault="00B416F5" w:rsidP="00955676">
                  <w:pPr>
                    <w:jc w:val="center"/>
                    <w:rPr>
                      <w:b/>
                    </w:rPr>
                  </w:pPr>
                  <w:r>
                    <w:rPr>
                      <w:b/>
                    </w:rPr>
                    <w:t>1999</w:t>
                  </w:r>
                </w:p>
              </w:txbxContent>
            </v:textbox>
          </v:shape>
        </w:pict>
      </w:r>
      <w:r>
        <w:pict>
          <v:shape id="_x0000_s2087" type="#_x0000_t202" style="position:absolute;margin-left:175.05pt;margin-top:13.5pt;width:54pt;height:27pt;z-index:15" strokecolor="white">
            <v:textbox style="mso-next-textbox:#_x0000_s2087">
              <w:txbxContent>
                <w:p w:rsidR="00B416F5" w:rsidRDefault="00B416F5" w:rsidP="00955676">
                  <w:pPr>
                    <w:jc w:val="center"/>
                    <w:rPr>
                      <w:b/>
                    </w:rPr>
                  </w:pPr>
                  <w:r>
                    <w:rPr>
                      <w:b/>
                    </w:rPr>
                    <w:t>1997</w:t>
                  </w:r>
                </w:p>
              </w:txbxContent>
            </v:textbox>
          </v:shape>
        </w:pict>
      </w:r>
      <w:r>
        <w:pict>
          <v:shape id="_x0000_s2086" type="#_x0000_t202" style="position:absolute;margin-left:265.05pt;margin-top:13.5pt;width:54pt;height:27pt;z-index:14" strokecolor="white">
            <v:textbox style="mso-next-textbox:#_x0000_s2086">
              <w:txbxContent>
                <w:p w:rsidR="00B416F5" w:rsidRPr="00F95EC8" w:rsidRDefault="00B416F5" w:rsidP="00955676">
                  <w:pPr>
                    <w:jc w:val="center"/>
                    <w:rPr>
                      <w:b/>
                      <w:bCs/>
                      <w:szCs w:val="20"/>
                    </w:rPr>
                  </w:pPr>
                  <w:r w:rsidRPr="00F95EC8">
                    <w:rPr>
                      <w:b/>
                    </w:rPr>
                    <w:t>1998</w:t>
                  </w:r>
                </w:p>
              </w:txbxContent>
            </v:textbox>
          </v:shape>
        </w:pict>
      </w:r>
      <w:r>
        <w:pict>
          <v:shape id="_x0000_s2107" type="#_x0000_t202" style="position:absolute;margin-left:437.75pt;margin-top:13.5pt;width:46.35pt;height:36pt;z-index:35" strokecolor="white">
            <v:textbox style="mso-next-textbox:#_x0000_s2107">
              <w:txbxContent>
                <w:p w:rsidR="00B416F5" w:rsidRDefault="00B416F5" w:rsidP="00955676">
                  <w:pPr>
                    <w:rPr>
                      <w:b/>
                    </w:rPr>
                  </w:pPr>
                  <w:r>
                    <w:rPr>
                      <w:b/>
                    </w:rPr>
                    <w:t>2000</w:t>
                  </w:r>
                </w:p>
              </w:txbxContent>
            </v:textbox>
          </v:shape>
        </w:pict>
      </w:r>
      <w:r>
        <w:pict>
          <v:line id="_x0000_s2122" style="position:absolute;z-index:50" from="49.05pt,17.65pt" to="490.05pt,17.65pt"/>
        </w:pict>
      </w:r>
      <w:r>
        <w:pict>
          <v:line id="_x0000_s2103" style="position:absolute;z-index:31" from="166.05pt,8.65pt" to="166.05pt,26.65pt"/>
        </w:pict>
      </w:r>
      <w:r>
        <w:pict>
          <v:line id="_x0000_s2104" style="position:absolute;z-index:32" from="256.05pt,8.65pt" to="256.05pt,26.65pt"/>
        </w:pict>
      </w:r>
      <w:r>
        <w:pict>
          <v:line id="_x0000_s2105" style="position:absolute;z-index:33" from="337.05pt,8.65pt" to="337.05pt,26.65pt"/>
        </w:pict>
      </w:r>
      <w:r>
        <w:pict>
          <v:line id="_x0000_s2127" style="position:absolute;z-index:55" from="418.05pt,8.65pt" to="418.05pt,26.65pt"/>
        </w:pic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955676" w:rsidRDefault="00955676" w:rsidP="00955676">
      <w:pPr>
        <w:pStyle w:val="Footer"/>
        <w:tabs>
          <w:tab w:val="clear" w:pos="4320"/>
          <w:tab w:val="clear" w:pos="8640"/>
        </w:tabs>
      </w:pPr>
      <w:r>
        <w:tab/>
      </w:r>
      <w:r>
        <w:tab/>
        <w:t xml:space="preserve"> </w:t>
      </w:r>
      <w:r>
        <w:tab/>
      </w:r>
      <w:r>
        <w:tab/>
      </w:r>
      <w:r>
        <w:tab/>
        <w:t xml:space="preserve">               </w:t>
      </w:r>
    </w:p>
    <w:p w:rsidR="00955676" w:rsidRDefault="00955676" w:rsidP="00955676">
      <w:r>
        <w:tab/>
      </w:r>
      <w:r>
        <w:tab/>
      </w:r>
    </w:p>
    <w:p w:rsidR="00955676" w:rsidRDefault="00955676" w:rsidP="00955676">
      <w:pPr>
        <w:rPr>
          <w:i/>
        </w:rPr>
      </w:pPr>
      <w:r>
        <w:rPr>
          <w:noProof/>
        </w:rPr>
        <w:pict>
          <v:rect id="_x0000_s2128" style="position:absolute;left:0;text-align:left;margin-left:113.3pt;margin-top:7pt;width:18pt;height:18pt;z-index:56" fillcolor="blue"/>
        </w:pict>
      </w:r>
      <w:r>
        <w:rPr>
          <w:noProof/>
        </w:rPr>
        <w:pict>
          <v:rect id="_x0000_s2129" style="position:absolute;left:0;text-align:left;margin-left:216.3pt;margin-top:7pt;width:18pt;height:18pt;z-index:57" fillcolor="#9c0"/>
        </w:pict>
      </w:r>
      <w:r>
        <w:rPr>
          <w:noProof/>
        </w:rPr>
        <w:pict>
          <v:rect id="_x0000_s2130" style="position:absolute;left:0;text-align:left;margin-left:339.9pt;margin-top:7pt;width:18pt;height:18pt;z-index:58" fillcolor="red"/>
        </w:pict>
      </w:r>
      <w:r>
        <w:tab/>
      </w:r>
      <w:r>
        <w:tab/>
        <w:t xml:space="preserve">      </w:t>
      </w:r>
      <w:r>
        <w:rPr>
          <w:rFonts w:hint="cs"/>
          <w:i/>
          <w:rtl/>
        </w:rPr>
        <w:t>المجموع</w:t>
      </w:r>
      <w:r>
        <w:t xml:space="preserve">        </w:t>
      </w:r>
      <w:r>
        <w:tab/>
      </w:r>
      <w:r>
        <w:tab/>
      </w:r>
      <w:r>
        <w:rPr>
          <w:rFonts w:hint="cs"/>
          <w:rtl/>
        </w:rPr>
        <w:tab/>
      </w:r>
      <w:r>
        <w:rPr>
          <w:rFonts w:hint="cs"/>
          <w:i/>
          <w:rtl/>
        </w:rPr>
        <w:t>الإناث</w:t>
      </w:r>
      <w:r>
        <w:rPr>
          <w:i/>
        </w:rPr>
        <w:tab/>
      </w:r>
      <w:r>
        <w:rPr>
          <w:i/>
        </w:rPr>
        <w:tab/>
      </w:r>
      <w:r>
        <w:rPr>
          <w:i/>
        </w:rPr>
        <w:tab/>
      </w:r>
      <w:r>
        <w:rPr>
          <w:rFonts w:hint="cs"/>
          <w:i/>
          <w:rtl/>
        </w:rPr>
        <w:t xml:space="preserve">     الذكور</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val="0"/>
          <w:iCs w:val="0"/>
          <w:spacing w:val="0"/>
          <w:lang w:val="en-GB"/>
        </w:rPr>
      </w:pPr>
    </w:p>
    <w:p w:rsidR="00955676" w:rsidRDefault="00955676" w:rsidP="00955676">
      <w:pPr>
        <w:pStyle w:val="SingleTxt"/>
        <w:rPr>
          <w:lang w:val="en-GB"/>
        </w:rPr>
      </w:pP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sidRPr="00BB4694">
        <w:rPr>
          <w:lang w:val="en-GB"/>
        </w:rPr>
        <w:br w:type="page"/>
      </w:r>
      <w:r>
        <w:rPr>
          <w:lang w:val="en-GB"/>
        </w:rPr>
        <w:tab/>
      </w:r>
      <w:r>
        <w:rPr>
          <w:lang w:val="en-GB"/>
        </w:rPr>
        <w:tab/>
      </w:r>
      <w:r>
        <w:rPr>
          <w:rFonts w:hint="cs"/>
          <w:rtl/>
          <w:lang w:val="en-GB"/>
        </w:rPr>
        <w:t>المؤسسات العامة للتعليم العالي</w:t>
      </w:r>
    </w:p>
    <w:p w:rsidR="00955676" w:rsidRDefault="00955676" w:rsidP="00C52B51">
      <w:pPr>
        <w:pStyle w:val="SingleTxt"/>
        <w:rPr>
          <w:rFonts w:hint="cs"/>
          <w:spacing w:val="3"/>
          <w:rtl/>
          <w:lang w:val="en-GB"/>
        </w:rPr>
      </w:pPr>
      <w:r w:rsidRPr="00BB4694">
        <w:rPr>
          <w:rFonts w:hint="cs"/>
          <w:spacing w:val="3"/>
          <w:rtl/>
          <w:lang w:val="en-GB"/>
        </w:rPr>
        <w:t>179 -</w:t>
      </w:r>
      <w:r w:rsidRPr="00BB4694">
        <w:rPr>
          <w:rFonts w:hint="cs"/>
          <w:spacing w:val="3"/>
          <w:rtl/>
          <w:lang w:val="en-GB"/>
        </w:rPr>
        <w:tab/>
        <w:t>هناك 12 مؤسسة</w:t>
      </w:r>
      <w:r>
        <w:rPr>
          <w:rFonts w:hint="cs"/>
          <w:spacing w:val="3"/>
          <w:rtl/>
          <w:lang w:val="en-GB"/>
        </w:rPr>
        <w:t xml:space="preserve"> للتعليم العالي تحت إشراف وزارة التربية</w:t>
      </w:r>
      <w:r w:rsidR="00C52B51">
        <w:rPr>
          <w:rFonts w:hint="cs"/>
          <w:spacing w:val="3"/>
          <w:rtl/>
          <w:lang w:val="en-GB"/>
        </w:rPr>
        <w:t>،</w:t>
      </w:r>
      <w:r>
        <w:rPr>
          <w:rFonts w:hint="cs"/>
          <w:spacing w:val="3"/>
          <w:rtl/>
          <w:lang w:val="en-GB"/>
        </w:rPr>
        <w:t xml:space="preserve"> والتعليم فيها جميعا تعليم مختلط. وتشمل هذه المؤسسات </w:t>
      </w:r>
      <w:r w:rsidR="00C52B51">
        <w:rPr>
          <w:rFonts w:hint="cs"/>
          <w:spacing w:val="3"/>
          <w:rtl/>
          <w:lang w:val="en-GB"/>
        </w:rPr>
        <w:t>عشر</w:t>
      </w:r>
      <w:r>
        <w:rPr>
          <w:rFonts w:hint="cs"/>
          <w:spacing w:val="3"/>
          <w:rtl/>
          <w:lang w:val="en-GB"/>
        </w:rPr>
        <w:t xml:space="preserve"> جامعات ومعهدا واحدا وكلية واحدة. ويستند اختيار الطلاب إلى النتائج الأكاديمية ولا يوجد أي تمييز ضد الإناث. ويتضح من معدلات الالتحاق في تلك المؤسسات في السنة الدراسية 1997/1998 أن عدد الطالبات فاق عدد الطلاب الذكور بــ 065 9 طالب</w:t>
      </w:r>
      <w:r w:rsidR="00C52B51">
        <w:rPr>
          <w:rFonts w:hint="cs"/>
          <w:spacing w:val="3"/>
          <w:rtl/>
          <w:lang w:val="en-GB"/>
        </w:rPr>
        <w:t>ة</w:t>
      </w:r>
      <w:r>
        <w:rPr>
          <w:rFonts w:hint="cs"/>
          <w:spacing w:val="3"/>
          <w:rtl/>
          <w:lang w:val="en-GB"/>
        </w:rPr>
        <w:t xml:space="preserve"> من أصل العدد الإجمالي للطلاب البالغ 299 112 طالبا، كما هو مشار إليه في الجدول 10-12.</w:t>
      </w:r>
    </w:p>
    <w:p w:rsidR="00955676" w:rsidRPr="00BB4694" w:rsidRDefault="00955676" w:rsidP="00955676">
      <w:pPr>
        <w:pStyle w:val="SingleTxt"/>
        <w:spacing w:after="0" w:line="120" w:lineRule="exact"/>
        <w:rPr>
          <w:rFonts w:hint="cs"/>
          <w:spacing w:val="3"/>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10-12: معدل التحاق الطلاب في المؤسسات العامة للتعليم العالي بحسب نوع الجنس 1997/1998</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236"/>
        <w:gridCol w:w="1236"/>
        <w:gridCol w:w="1133"/>
        <w:gridCol w:w="1312"/>
      </w:tblGrid>
      <w:tr w:rsidR="00955676" w:rsidRPr="00BB4694">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sidRPr="00BB4694">
              <w:rPr>
                <w:rFonts w:hint="cs"/>
                <w:i/>
                <w:iCs/>
                <w:sz w:val="16"/>
                <w:szCs w:val="24"/>
                <w:rtl/>
                <w:lang w:val="en-GB"/>
              </w:rPr>
              <w:t>الميادين</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113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312"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13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12"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الفنون</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الفنون والدراسات الثقافية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998 9</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209 16</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207 26</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61.85</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الاقتصاد وإدارة الأعمال</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828 10</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115 16</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943 26</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59.81</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القانون</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580 1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589 1</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169 3</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50.14</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ميادين أخرى</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759 2</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096 5</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855 7</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64.88</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المجموع الفرعي</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165 25</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009 39</w:t>
            </w:r>
          </w:p>
        </w:tc>
        <w:tc>
          <w:tcPr>
            <w:tcW w:w="113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174 64</w:t>
            </w:r>
          </w:p>
        </w:tc>
        <w:tc>
          <w:tcPr>
            <w:tcW w:w="1312"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60.79</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العلوم</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الطب البشري وطب الأسنان</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805 1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185 3</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990 4</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63.83</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العلوم التطبيقية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221 1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903 1</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124 3</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60.92</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العلوم النظرية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569 2</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762 2</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331 5</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51.81</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علوم الحاسوب</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756 2</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933 3</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689 6</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58.80</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ميادين أخرى</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225 3</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412 4</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637 7</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57.77</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المجموع الفرعي</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576 11</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195 16</w:t>
            </w:r>
          </w:p>
        </w:tc>
        <w:tc>
          <w:tcPr>
            <w:tcW w:w="113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771 27</w:t>
            </w:r>
          </w:p>
        </w:tc>
        <w:tc>
          <w:tcPr>
            <w:tcW w:w="1312"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A7494">
              <w:rPr>
                <w:rFonts w:hint="cs"/>
                <w:b/>
                <w:bCs/>
                <w:sz w:val="16"/>
                <w:szCs w:val="24"/>
                <w:rtl/>
                <w:lang w:val="en-GB"/>
              </w:rPr>
              <w:t>58.32</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الميادين التقنية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sidRPr="008A7494">
              <w:rPr>
                <w:rFonts w:hint="cs"/>
                <w:sz w:val="16"/>
                <w:szCs w:val="24"/>
                <w:rtl/>
                <w:lang w:val="en-GB"/>
              </w:rPr>
              <w:t>الهندسة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971 11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846 3</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817 15</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24.35</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الهندسة المعمارية وتخطيط المدن</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895</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564</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459 1</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38.66</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مسح الأراضي</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358</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156</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517</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30.75</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ميادين أخرى</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652 1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909</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561 2</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35.49</w:t>
            </w:r>
          </w:p>
        </w:tc>
      </w:tr>
      <w:tr w:rsidR="00955676" w:rsidRPr="00BB4694">
        <w:tblPrEx>
          <w:tblCellMar>
            <w:top w:w="0" w:type="dxa"/>
            <w:bottom w:w="0" w:type="dxa"/>
          </w:tblCellMar>
        </w:tblPrEx>
        <w:trPr>
          <w:cantSplit/>
        </w:trPr>
        <w:tc>
          <w:tcPr>
            <w:tcW w:w="240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المجموع الفرعي</w:t>
            </w:r>
          </w:p>
        </w:tc>
        <w:tc>
          <w:tcPr>
            <w:tcW w:w="1236" w:type="dxa"/>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876 14</w:t>
            </w:r>
          </w:p>
        </w:tc>
        <w:tc>
          <w:tcPr>
            <w:tcW w:w="1236" w:type="dxa"/>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478 5</w:t>
            </w:r>
          </w:p>
        </w:tc>
        <w:tc>
          <w:tcPr>
            <w:tcW w:w="1133" w:type="dxa"/>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354 20</w:t>
            </w:r>
          </w:p>
        </w:tc>
        <w:tc>
          <w:tcPr>
            <w:tcW w:w="1312" w:type="dxa"/>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26.91</w:t>
            </w:r>
          </w:p>
        </w:tc>
      </w:tr>
      <w:tr w:rsidR="00955676" w:rsidRPr="00BB4694">
        <w:tblPrEx>
          <w:tblCellMar>
            <w:top w:w="0" w:type="dxa"/>
            <w:bottom w:w="0" w:type="dxa"/>
          </w:tblCellMar>
        </w:tblPrEx>
        <w:trPr>
          <w:cantSplit/>
        </w:trPr>
        <w:tc>
          <w:tcPr>
            <w:tcW w:w="2403" w:type="dxa"/>
            <w:tcBorders>
              <w:bottom w:val="single" w:sz="12" w:space="0" w:color="auto"/>
            </w:tcBorders>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8A7494">
              <w:rPr>
                <w:rFonts w:hint="cs"/>
                <w:b/>
                <w:bCs/>
                <w:sz w:val="16"/>
                <w:szCs w:val="24"/>
                <w:rtl/>
                <w:lang w:val="en-GB"/>
              </w:rPr>
              <w:t>المجموع</w:t>
            </w:r>
          </w:p>
        </w:tc>
        <w:tc>
          <w:tcPr>
            <w:tcW w:w="1236" w:type="dxa"/>
            <w:tcBorders>
              <w:bottom w:val="single" w:sz="12" w:space="0" w:color="auto"/>
            </w:tcBorders>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617 51</w:t>
            </w:r>
          </w:p>
        </w:tc>
        <w:tc>
          <w:tcPr>
            <w:tcW w:w="1236" w:type="dxa"/>
            <w:tcBorders>
              <w:bottom w:val="single" w:sz="12" w:space="0" w:color="auto"/>
            </w:tcBorders>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682 60</w:t>
            </w:r>
          </w:p>
        </w:tc>
        <w:tc>
          <w:tcPr>
            <w:tcW w:w="1133" w:type="dxa"/>
            <w:tcBorders>
              <w:bottom w:val="single" w:sz="12" w:space="0" w:color="auto"/>
            </w:tcBorders>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299 12</w:t>
            </w:r>
          </w:p>
        </w:tc>
        <w:tc>
          <w:tcPr>
            <w:tcW w:w="1312" w:type="dxa"/>
            <w:tcBorders>
              <w:bottom w:val="single" w:sz="12" w:space="0" w:color="auto"/>
            </w:tcBorders>
            <w:shd w:val="clear" w:color="auto" w:fill="auto"/>
            <w:vAlign w:val="bottom"/>
          </w:tcPr>
          <w:p w:rsidR="00955676" w:rsidRPr="00B93AEB"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B93AEB">
              <w:rPr>
                <w:rFonts w:hint="cs"/>
                <w:b/>
                <w:bCs/>
                <w:sz w:val="16"/>
                <w:szCs w:val="24"/>
                <w:rtl/>
                <w:lang w:val="en-GB"/>
              </w:rPr>
              <w:t>54.04</w:t>
            </w:r>
          </w:p>
        </w:tc>
      </w:tr>
    </w:tbl>
    <w:p w:rsidR="00955676" w:rsidRPr="00AA1762"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المصدر:إدارة التعليم العالي، وزارة التربية، ماليزيا.</w:t>
      </w:r>
    </w:p>
    <w:p w:rsidR="00955676" w:rsidRDefault="00955676" w:rsidP="00955676">
      <w:pPr>
        <w:pStyle w:val="SingleTxt"/>
        <w:rPr>
          <w:rFonts w:hint="cs"/>
          <w:rtl/>
          <w:lang w:val="en-GB"/>
        </w:rPr>
      </w:pPr>
      <w:r>
        <w:rPr>
          <w:rtl/>
          <w:lang w:val="en-GB"/>
        </w:rPr>
        <w:br w:type="page"/>
      </w:r>
      <w:r>
        <w:rPr>
          <w:rFonts w:hint="cs"/>
          <w:rtl/>
          <w:lang w:val="en-GB"/>
        </w:rPr>
        <w:t>180 -</w:t>
      </w:r>
      <w:r>
        <w:rPr>
          <w:rFonts w:hint="cs"/>
          <w:rtl/>
          <w:lang w:val="en-GB"/>
        </w:rPr>
        <w:tab/>
        <w:t>تماشيا مع البيانات المتعلقة باختيار الطلاب لميادين الدراسة، بحسب نوع الجنس المقدمة آنفا، يوضح الجدول 10-12 أن اشتراك الإناث في الميادين التقنية أقل بكثير من اشتراك الذكور فيها. ويوضح الجدول 10-13 أن نسبة الطالبات من العدد الإجمالي للخريجين في ميادين العلوم والطب والزراعة والهندسة لم تتجاوز 42.4 في المائة في عام 1997؛ وأن عدد الطالبات فاق عدد الطلاب الذكور بصورة طفيفة في ميدان العلوم ومع ذلك فإن عدد الطلاب الذكور فاق عددهن بكثير في ميدان الهندسة.</w:t>
      </w:r>
    </w:p>
    <w:p w:rsidR="00955676" w:rsidRPr="00AA1762"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10-13: الخريجون في ميادين العلوم والطب والزراعة والهندسة في المؤسسات العامة للتعليم العالي، بحسب نوع الجنس، 1997/1998</w:t>
      </w:r>
    </w:p>
    <w:p w:rsidR="00955676" w:rsidRPr="00AA1762" w:rsidRDefault="00955676" w:rsidP="00955676">
      <w:pPr>
        <w:pStyle w:val="SingleTxt"/>
        <w:spacing w:after="0" w:line="120" w:lineRule="exact"/>
        <w:rPr>
          <w:rFonts w:hint="cs"/>
          <w:sz w:val="10"/>
          <w:rtl/>
          <w:lang w:val="en-GB"/>
        </w:rPr>
      </w:pP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236"/>
        <w:gridCol w:w="1236"/>
        <w:gridCol w:w="1133"/>
        <w:gridCol w:w="1312"/>
      </w:tblGrid>
      <w:tr w:rsidR="00955676" w:rsidRPr="00BB4694">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sidRPr="00BB4694">
              <w:rPr>
                <w:rFonts w:hint="cs"/>
                <w:i/>
                <w:iCs/>
                <w:sz w:val="16"/>
                <w:szCs w:val="24"/>
                <w:rtl/>
                <w:lang w:val="en-GB"/>
              </w:rPr>
              <w:t>الميادين</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113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312"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13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12"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sz w:val="16"/>
                <w:szCs w:val="24"/>
                <w:rtl/>
                <w:lang w:val="en-GB"/>
              </w:rPr>
              <w:t>العلوم</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699 1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051 2</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750 3</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54.69</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الطب</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221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181</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402</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45.02</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الزراعة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40</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91</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43.96</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الهندسة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759 1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478</w:t>
            </w:r>
          </w:p>
        </w:tc>
        <w:tc>
          <w:tcPr>
            <w:tcW w:w="113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237 2</w:t>
            </w:r>
          </w:p>
        </w:tc>
        <w:tc>
          <w:tcPr>
            <w:tcW w:w="131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21.37</w:t>
            </w:r>
          </w:p>
        </w:tc>
      </w:tr>
      <w:tr w:rsidR="00955676" w:rsidRPr="00BB4694">
        <w:tblPrEx>
          <w:tblCellMar>
            <w:top w:w="0" w:type="dxa"/>
            <w:bottom w:w="0" w:type="dxa"/>
          </w:tblCellMar>
        </w:tblPrEx>
        <w:trPr>
          <w:cantSplit/>
        </w:trPr>
        <w:tc>
          <w:tcPr>
            <w:tcW w:w="24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 xml:space="preserve">المجموع </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Pr>
                <w:rFonts w:hint="cs"/>
                <w:b/>
                <w:bCs/>
                <w:sz w:val="16"/>
                <w:szCs w:val="24"/>
                <w:rtl/>
                <w:lang w:val="en-GB"/>
              </w:rPr>
              <w:t>730 3</w:t>
            </w:r>
          </w:p>
        </w:tc>
        <w:tc>
          <w:tcPr>
            <w:tcW w:w="1236"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Pr>
                <w:rFonts w:hint="cs"/>
                <w:b/>
                <w:bCs/>
                <w:sz w:val="16"/>
                <w:szCs w:val="24"/>
                <w:rtl/>
                <w:lang w:val="en-GB"/>
              </w:rPr>
              <w:t>750 2</w:t>
            </w:r>
          </w:p>
        </w:tc>
        <w:tc>
          <w:tcPr>
            <w:tcW w:w="1133"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Pr>
                <w:rFonts w:hint="cs"/>
                <w:b/>
                <w:bCs/>
                <w:sz w:val="16"/>
                <w:szCs w:val="24"/>
                <w:rtl/>
                <w:lang w:val="en-GB"/>
              </w:rPr>
              <w:t>480 6</w:t>
            </w:r>
          </w:p>
        </w:tc>
        <w:tc>
          <w:tcPr>
            <w:tcW w:w="1312" w:type="dxa"/>
            <w:shd w:val="clear" w:color="auto" w:fill="auto"/>
            <w:vAlign w:val="bottom"/>
          </w:tcPr>
          <w:p w:rsidR="00955676" w:rsidRPr="008A7494"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Pr>
                <w:rFonts w:hint="cs"/>
                <w:b/>
                <w:bCs/>
                <w:sz w:val="16"/>
                <w:szCs w:val="24"/>
                <w:rtl/>
                <w:lang w:val="en-GB"/>
              </w:rPr>
              <w:t>42.44</w:t>
            </w:r>
          </w:p>
        </w:tc>
      </w:tr>
    </w:tbl>
    <w:p w:rsidR="00955676" w:rsidRPr="00C55F06" w:rsidRDefault="00955676" w:rsidP="00955676">
      <w:pPr>
        <w:pStyle w:val="SingleTxt"/>
        <w:spacing w:after="0" w:line="120" w:lineRule="exact"/>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المصدر:إدارة التعليم العالي، وزارة التربية، ماليزيا.</w:t>
      </w:r>
    </w:p>
    <w:p w:rsidR="00955676" w:rsidRPr="00C55F06"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المؤسسات الخاصة للتعليم العالي</w:t>
      </w:r>
    </w:p>
    <w:p w:rsidR="00955676" w:rsidRDefault="00955676" w:rsidP="007825F3">
      <w:pPr>
        <w:pStyle w:val="SingleTxt"/>
        <w:rPr>
          <w:rFonts w:hint="cs"/>
          <w:rtl/>
          <w:lang w:val="en-GB"/>
        </w:rPr>
      </w:pPr>
      <w:r>
        <w:rPr>
          <w:rFonts w:hint="cs"/>
          <w:rtl/>
          <w:lang w:val="en-GB"/>
        </w:rPr>
        <w:t>181 -</w:t>
      </w:r>
      <w:r>
        <w:rPr>
          <w:rFonts w:hint="cs"/>
          <w:rtl/>
          <w:lang w:val="en-GB"/>
        </w:rPr>
        <w:tab/>
        <w:t>يعتبر القطاع الخاص مصدرا هاما للتعليم في ماليزيا. ويتمتع الرجال والنساء بفرص متساوية لمتابعة التعليم والتدريب في المؤسسات الخاصة. و</w:t>
      </w:r>
      <w:r w:rsidR="007825F3">
        <w:rPr>
          <w:rFonts w:hint="cs"/>
          <w:rtl/>
          <w:lang w:val="en-GB"/>
        </w:rPr>
        <w:t xml:space="preserve">إضافة إلى </w:t>
      </w:r>
      <w:r>
        <w:rPr>
          <w:rFonts w:hint="cs"/>
          <w:rtl/>
          <w:lang w:val="en-GB"/>
        </w:rPr>
        <w:t>الـ 219 مدرسة خاصة المذكورة أعلاه، يوفر القطاع الخاص مرافق تعليمية مختلفة ومراكز تدريبية كما هو مبين أدناه.</w:t>
      </w:r>
    </w:p>
    <w:p w:rsidR="00955676" w:rsidRDefault="00955676" w:rsidP="00955676">
      <w:pPr>
        <w:pStyle w:val="SingleTxt"/>
        <w:rPr>
          <w:lang w:val="en-GB"/>
        </w:rPr>
      </w:pPr>
      <w:r>
        <w:rPr>
          <w:rFonts w:hint="cs"/>
          <w:rtl/>
          <w:lang w:val="en-GB"/>
        </w:rPr>
        <w:t>مراكز التدريب</w:t>
      </w:r>
    </w:p>
    <w:p w:rsidR="00955676" w:rsidRDefault="00955676" w:rsidP="007825F3">
      <w:pPr>
        <w:pStyle w:val="SingleTxt"/>
        <w:rPr>
          <w:rFonts w:hint="cs"/>
          <w:rtl/>
          <w:lang w:val="en-GB"/>
        </w:rPr>
      </w:pPr>
      <w:r>
        <w:rPr>
          <w:rFonts w:hint="cs"/>
          <w:rtl/>
          <w:lang w:val="en-GB"/>
        </w:rPr>
        <w:t>182 -</w:t>
      </w:r>
      <w:r>
        <w:rPr>
          <w:rFonts w:hint="cs"/>
          <w:rtl/>
          <w:lang w:val="en-GB"/>
        </w:rPr>
        <w:tab/>
        <w:t xml:space="preserve">في </w:t>
      </w:r>
      <w:r>
        <w:rPr>
          <w:rtl/>
          <w:lang w:val="en-GB"/>
        </w:rPr>
        <w:t xml:space="preserve">حزيران/يونيه </w:t>
      </w:r>
      <w:r>
        <w:rPr>
          <w:rFonts w:hint="cs"/>
          <w:rtl/>
          <w:lang w:val="en-GB"/>
        </w:rPr>
        <w:t>1998، كان هناك 388 1 مركزا تدريبيا خاصا يوفر التدريب لـ 263 157 متعلما. ويبين الجدول 10-14 بالتف</w:t>
      </w:r>
      <w:r w:rsidR="007825F3">
        <w:rPr>
          <w:rFonts w:hint="cs"/>
          <w:rtl/>
          <w:lang w:val="en-GB"/>
        </w:rPr>
        <w:t>ص</w:t>
      </w:r>
      <w:r>
        <w:rPr>
          <w:rFonts w:hint="cs"/>
          <w:rtl/>
          <w:lang w:val="en-GB"/>
        </w:rPr>
        <w:t>يل نوع التدريب الذي تقدمه تلك المراكز فضلا عن عدد طلابها ومعلميها. وهذه المراكز مفتوحة للجميع بصرف النظر عن العمر. ويشتغل بعض هذه المراكز في المساء لتوفير التدريب للبالغين العاملين .</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Pr>
          <w:rFonts w:hint="cs"/>
          <w:rtl/>
          <w:lang w:val="en-GB"/>
        </w:rPr>
        <w:tab/>
      </w:r>
      <w:r>
        <w:rPr>
          <w:rFonts w:hint="cs"/>
          <w:rtl/>
          <w:lang w:val="en-GB"/>
        </w:rPr>
        <w:tab/>
        <w:t>الجدول 10-14: مراكز التدريب التابعة للقطاع الخاص، 1998</w:t>
      </w:r>
    </w:p>
    <w:p w:rsidR="00955676" w:rsidRPr="006D33DD" w:rsidRDefault="00955676" w:rsidP="00955676">
      <w:pPr>
        <w:pStyle w:val="SingleTxt"/>
        <w:spacing w:after="0" w:line="120" w:lineRule="exact"/>
        <w:rPr>
          <w:rFonts w:hint="cs"/>
          <w:sz w:val="10"/>
          <w:rtl/>
          <w:lang w:val="en-GB"/>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639"/>
        <w:gridCol w:w="1236"/>
        <w:gridCol w:w="1236"/>
        <w:gridCol w:w="1209"/>
      </w:tblGrid>
      <w:tr w:rsidR="00955676" w:rsidRPr="006D33DD">
        <w:tblPrEx>
          <w:tblCellMar>
            <w:top w:w="0" w:type="dxa"/>
            <w:bottom w:w="0" w:type="dxa"/>
          </w:tblCellMar>
        </w:tblPrEx>
        <w:trPr>
          <w:cantSplit/>
          <w:tblHeader/>
        </w:trPr>
        <w:tc>
          <w:tcPr>
            <w:tcW w:w="3639" w:type="dxa"/>
            <w:tcBorders>
              <w:top w:val="single" w:sz="4" w:space="0" w:color="auto"/>
              <w:bottom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80" w:after="80" w:line="240" w:lineRule="exact"/>
              <w:ind w:left="170" w:right="170"/>
              <w:rPr>
                <w:rFonts w:hint="cs"/>
                <w:i/>
                <w:iCs/>
                <w:sz w:val="16"/>
                <w:szCs w:val="24"/>
                <w:rtl/>
                <w:lang w:val="en-GB"/>
              </w:rPr>
            </w:pPr>
            <w:r w:rsidRPr="006D33DD">
              <w:rPr>
                <w:rFonts w:hint="cs"/>
                <w:i/>
                <w:iCs/>
                <w:sz w:val="16"/>
                <w:szCs w:val="24"/>
                <w:rtl/>
                <w:lang w:val="en-GB"/>
              </w:rPr>
              <w:t>نوع المركز</w:t>
            </w:r>
          </w:p>
        </w:tc>
        <w:tc>
          <w:tcPr>
            <w:tcW w:w="1236" w:type="dxa"/>
            <w:tcBorders>
              <w:top w:val="single" w:sz="4" w:space="0" w:color="auto"/>
              <w:bottom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lang w:val="en-GB"/>
              </w:rPr>
            </w:pPr>
            <w:r w:rsidRPr="006D33DD">
              <w:rPr>
                <w:rFonts w:hint="cs"/>
                <w:i/>
                <w:iCs/>
                <w:sz w:val="16"/>
                <w:szCs w:val="24"/>
                <w:rtl/>
                <w:lang w:val="en-GB"/>
              </w:rPr>
              <w:t>العدد</w:t>
            </w:r>
          </w:p>
        </w:tc>
        <w:tc>
          <w:tcPr>
            <w:tcW w:w="1236" w:type="dxa"/>
            <w:tcBorders>
              <w:top w:val="single" w:sz="4" w:space="0" w:color="auto"/>
              <w:bottom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lang w:val="en-GB"/>
              </w:rPr>
            </w:pPr>
            <w:r w:rsidRPr="006D33DD">
              <w:rPr>
                <w:rFonts w:hint="cs"/>
                <w:i/>
                <w:iCs/>
                <w:sz w:val="16"/>
                <w:szCs w:val="24"/>
                <w:rtl/>
                <w:lang w:val="en-GB"/>
              </w:rPr>
              <w:t>الالتحاق</w:t>
            </w:r>
          </w:p>
        </w:tc>
        <w:tc>
          <w:tcPr>
            <w:tcW w:w="1209" w:type="dxa"/>
            <w:tcBorders>
              <w:top w:val="single" w:sz="4" w:space="0" w:color="auto"/>
              <w:bottom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80" w:after="80" w:line="240" w:lineRule="exact"/>
              <w:ind w:left="170" w:right="144"/>
              <w:jc w:val="lowKashida"/>
              <w:rPr>
                <w:rFonts w:hint="cs"/>
                <w:i/>
                <w:iCs/>
                <w:sz w:val="16"/>
                <w:szCs w:val="24"/>
                <w:rtl/>
                <w:lang w:val="en-GB"/>
              </w:rPr>
            </w:pPr>
            <w:r w:rsidRPr="006D33DD">
              <w:rPr>
                <w:rFonts w:hint="cs"/>
                <w:i/>
                <w:iCs/>
                <w:sz w:val="16"/>
                <w:szCs w:val="24"/>
                <w:rtl/>
                <w:lang w:val="en-GB"/>
              </w:rPr>
              <w:t>المعلمون</w:t>
            </w:r>
          </w:p>
        </w:tc>
      </w:tr>
      <w:tr w:rsidR="00955676" w:rsidRPr="006D33DD">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1236" w:type="dxa"/>
            <w:tcBorders>
              <w:top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p>
        </w:tc>
        <w:tc>
          <w:tcPr>
            <w:tcW w:w="1209" w:type="dxa"/>
            <w:tcBorders>
              <w:top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p>
        </w:tc>
      </w:tr>
      <w:tr w:rsidR="00955676" w:rsidRPr="006D33DD">
        <w:tblPrEx>
          <w:tblCellMar>
            <w:top w:w="0" w:type="dxa"/>
            <w:bottom w:w="0" w:type="dxa"/>
          </w:tblCellMar>
        </w:tblPrEx>
        <w:trPr>
          <w:cantSplit/>
        </w:trPr>
        <w:tc>
          <w:tcPr>
            <w:tcW w:w="363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مراكز التعليم</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880</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185 112</w:t>
            </w:r>
          </w:p>
        </w:tc>
        <w:tc>
          <w:tcPr>
            <w:tcW w:w="120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414 8</w:t>
            </w:r>
          </w:p>
        </w:tc>
      </w:tr>
      <w:tr w:rsidR="00955676" w:rsidRPr="006D33DD">
        <w:tblPrEx>
          <w:tblCellMar>
            <w:top w:w="0" w:type="dxa"/>
            <w:bottom w:w="0" w:type="dxa"/>
          </w:tblCellMar>
        </w:tblPrEx>
        <w:trPr>
          <w:cantSplit/>
        </w:trPr>
        <w:tc>
          <w:tcPr>
            <w:tcW w:w="363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مراكز اللغات</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104</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747 11</w:t>
            </w:r>
          </w:p>
        </w:tc>
        <w:tc>
          <w:tcPr>
            <w:tcW w:w="120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623 3</w:t>
            </w:r>
          </w:p>
        </w:tc>
      </w:tr>
      <w:tr w:rsidR="00955676" w:rsidRPr="006D33DD">
        <w:tblPrEx>
          <w:tblCellMar>
            <w:top w:w="0" w:type="dxa"/>
            <w:bottom w:w="0" w:type="dxa"/>
          </w:tblCellMar>
        </w:tblPrEx>
        <w:trPr>
          <w:cantSplit/>
        </w:trPr>
        <w:tc>
          <w:tcPr>
            <w:tcW w:w="363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مراكز التدريب على الحاسوب</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188</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616 21</w:t>
            </w:r>
          </w:p>
        </w:tc>
        <w:tc>
          <w:tcPr>
            <w:tcW w:w="120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722 4</w:t>
            </w:r>
          </w:p>
        </w:tc>
      </w:tr>
      <w:tr w:rsidR="00955676" w:rsidRPr="006D33DD">
        <w:tblPrEx>
          <w:tblCellMar>
            <w:top w:w="0" w:type="dxa"/>
            <w:bottom w:w="0" w:type="dxa"/>
          </w:tblCellMar>
        </w:tblPrEx>
        <w:trPr>
          <w:cantSplit/>
        </w:trPr>
        <w:tc>
          <w:tcPr>
            <w:tcW w:w="363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مراكز التدريب على المسائل التجارية/المهارات</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216</w:t>
            </w:r>
          </w:p>
        </w:tc>
        <w:tc>
          <w:tcPr>
            <w:tcW w:w="1236"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715 11</w:t>
            </w:r>
          </w:p>
        </w:tc>
        <w:tc>
          <w:tcPr>
            <w:tcW w:w="1209" w:type="dxa"/>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107 1</w:t>
            </w:r>
          </w:p>
        </w:tc>
      </w:tr>
      <w:tr w:rsidR="00955676" w:rsidRPr="006D33DD">
        <w:tblPrEx>
          <w:tblCellMar>
            <w:top w:w="0" w:type="dxa"/>
            <w:bottom w:w="0" w:type="dxa"/>
          </w:tblCellMar>
        </w:tblPrEx>
        <w:trPr>
          <w:cantSplit/>
        </w:trPr>
        <w:tc>
          <w:tcPr>
            <w:tcW w:w="3639" w:type="dxa"/>
            <w:tcBorders>
              <w:bottom w:val="single" w:sz="12" w:space="0" w:color="auto"/>
            </w:tcBorders>
            <w:shd w:val="clear" w:color="auto" w:fill="auto"/>
            <w:vAlign w:val="bottom"/>
          </w:tcPr>
          <w:p w:rsidR="00955676" w:rsidRPr="006D33DD"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Pr>
                <w:rFonts w:hint="cs"/>
                <w:b/>
                <w:bCs/>
                <w:sz w:val="16"/>
                <w:szCs w:val="24"/>
                <w:rtl/>
                <w:lang w:val="en-GB"/>
              </w:rPr>
              <w:t>المجموع</w:t>
            </w:r>
          </w:p>
        </w:tc>
        <w:tc>
          <w:tcPr>
            <w:tcW w:w="1236" w:type="dxa"/>
            <w:tcBorders>
              <w:bottom w:val="single" w:sz="12" w:space="0" w:color="auto"/>
            </w:tcBorders>
            <w:shd w:val="clear" w:color="auto" w:fill="auto"/>
            <w:vAlign w:val="bottom"/>
          </w:tcPr>
          <w:p w:rsidR="00955676" w:rsidRPr="00E50346"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lang w:val="en-GB"/>
              </w:rPr>
            </w:pPr>
            <w:r w:rsidRPr="00E50346">
              <w:rPr>
                <w:rFonts w:hint="cs"/>
                <w:b/>
                <w:bCs/>
                <w:sz w:val="16"/>
                <w:szCs w:val="24"/>
                <w:rtl/>
                <w:lang w:val="en-GB"/>
              </w:rPr>
              <w:t>388 1</w:t>
            </w:r>
          </w:p>
        </w:tc>
        <w:tc>
          <w:tcPr>
            <w:tcW w:w="1236" w:type="dxa"/>
            <w:tcBorders>
              <w:bottom w:val="single" w:sz="12" w:space="0" w:color="auto"/>
            </w:tcBorders>
            <w:shd w:val="clear" w:color="auto" w:fill="auto"/>
            <w:vAlign w:val="bottom"/>
          </w:tcPr>
          <w:p w:rsidR="00955676" w:rsidRPr="00E50346"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lang w:val="en-GB"/>
              </w:rPr>
            </w:pPr>
            <w:r w:rsidRPr="00E50346">
              <w:rPr>
                <w:rFonts w:hint="cs"/>
                <w:b/>
                <w:bCs/>
                <w:sz w:val="16"/>
                <w:szCs w:val="24"/>
                <w:rtl/>
                <w:lang w:val="en-GB"/>
              </w:rPr>
              <w:t>263 157</w:t>
            </w:r>
          </w:p>
        </w:tc>
        <w:tc>
          <w:tcPr>
            <w:tcW w:w="1209" w:type="dxa"/>
            <w:tcBorders>
              <w:bottom w:val="single" w:sz="12" w:space="0" w:color="auto"/>
            </w:tcBorders>
            <w:shd w:val="clear" w:color="auto" w:fill="auto"/>
            <w:vAlign w:val="bottom"/>
          </w:tcPr>
          <w:p w:rsidR="00955676" w:rsidRPr="00E50346" w:rsidRDefault="00955676" w:rsidP="00C43389">
            <w:pPr>
              <w:tabs>
                <w:tab w:val="left" w:pos="288"/>
                <w:tab w:val="left" w:pos="576"/>
                <w:tab w:val="left" w:pos="864"/>
                <w:tab w:val="left" w:pos="1152"/>
              </w:tabs>
              <w:spacing w:before="40" w:after="80" w:line="240" w:lineRule="exact"/>
              <w:ind w:left="170" w:right="144"/>
              <w:jc w:val="lowKashida"/>
              <w:rPr>
                <w:rFonts w:hint="cs"/>
                <w:b/>
                <w:bCs/>
                <w:sz w:val="16"/>
                <w:szCs w:val="24"/>
                <w:rtl/>
                <w:lang w:val="en-GB"/>
              </w:rPr>
            </w:pPr>
            <w:r w:rsidRPr="00E50346">
              <w:rPr>
                <w:rFonts w:hint="cs"/>
                <w:b/>
                <w:bCs/>
                <w:sz w:val="16"/>
                <w:szCs w:val="24"/>
                <w:rtl/>
                <w:lang w:val="en-GB"/>
              </w:rPr>
              <w:t>866 17</w:t>
            </w:r>
          </w:p>
        </w:tc>
      </w:tr>
    </w:tbl>
    <w:p w:rsidR="00955676" w:rsidRPr="00E50346" w:rsidRDefault="00955676" w:rsidP="00955676">
      <w:pPr>
        <w:pStyle w:val="SingleTxt"/>
        <w:spacing w:after="0" w:line="120" w:lineRule="exact"/>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 إدارة التعليم الخاص، وزارة التربية.</w:t>
      </w:r>
    </w:p>
    <w:p w:rsidR="00955676" w:rsidRPr="00A22305"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955676" w:rsidRDefault="00955676" w:rsidP="00955676">
      <w:pPr>
        <w:pStyle w:val="SingleTxt"/>
        <w:rPr>
          <w:rFonts w:hint="cs"/>
          <w:rtl/>
          <w:lang w:val="en-GB"/>
        </w:rPr>
      </w:pPr>
      <w:r>
        <w:rPr>
          <w:rFonts w:hint="cs"/>
          <w:rtl/>
          <w:lang w:val="en-GB"/>
        </w:rPr>
        <w:t>الكليات والجامعات</w:t>
      </w:r>
    </w:p>
    <w:p w:rsidR="00955676" w:rsidRDefault="00955676" w:rsidP="007825F3">
      <w:pPr>
        <w:pStyle w:val="SingleTxt"/>
        <w:rPr>
          <w:rFonts w:hint="cs"/>
          <w:rtl/>
          <w:lang w:val="en-GB"/>
        </w:rPr>
      </w:pPr>
      <w:r>
        <w:rPr>
          <w:rFonts w:hint="cs"/>
          <w:rtl/>
          <w:lang w:val="en-GB"/>
        </w:rPr>
        <w:t>183 -</w:t>
      </w:r>
      <w:r>
        <w:rPr>
          <w:rFonts w:hint="cs"/>
          <w:rtl/>
          <w:lang w:val="en-GB"/>
        </w:rPr>
        <w:tab/>
        <w:t>في عام 1998، كان هناك 583 معهدا للتعليم العالي يديرها القطاع الخاص ويبلغ مجموع الطلاب الملتحقين بها 544 73 طالبا. ويتمتع</w:t>
      </w:r>
      <w:r w:rsidR="007825F3">
        <w:rPr>
          <w:rFonts w:hint="cs"/>
          <w:rtl/>
          <w:lang w:val="en-GB"/>
        </w:rPr>
        <w:t xml:space="preserve"> ستة</w:t>
      </w:r>
      <w:r>
        <w:rPr>
          <w:rFonts w:hint="cs"/>
          <w:rtl/>
          <w:lang w:val="en-GB"/>
        </w:rPr>
        <w:t xml:space="preserve"> من أصل تلك المعاهد بمركز الجامعة ويبلغ عدد الملتحقين فيها 033 5 </w:t>
      </w:r>
      <w:r w:rsidR="007825F3">
        <w:rPr>
          <w:rFonts w:hint="cs"/>
          <w:rtl/>
          <w:lang w:val="en-GB"/>
        </w:rPr>
        <w:t xml:space="preserve">طالبا </w:t>
      </w:r>
      <w:r>
        <w:rPr>
          <w:rFonts w:hint="cs"/>
          <w:rtl/>
          <w:lang w:val="en-GB"/>
        </w:rPr>
        <w:t>في حين يبلغ عدد الطلاب الملتحقين في المعاهد الـ 577 الأخرى 511 68 طالبا. وجميع المعاهد مفتوحة أمام الرجال والنساء.</w:t>
      </w:r>
    </w:p>
    <w:p w:rsidR="00955676" w:rsidRDefault="00955676" w:rsidP="007825F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 xml:space="preserve">التعليم قبل </w:t>
      </w:r>
      <w:r w:rsidR="007825F3">
        <w:rPr>
          <w:rFonts w:hint="cs"/>
          <w:rtl/>
          <w:lang w:val="en-GB"/>
        </w:rPr>
        <w:t>الابتدائي</w:t>
      </w:r>
    </w:p>
    <w:p w:rsidR="00955676" w:rsidRDefault="00955676" w:rsidP="007825F3">
      <w:pPr>
        <w:pStyle w:val="SingleTxt"/>
        <w:rPr>
          <w:rFonts w:hint="cs"/>
          <w:rtl/>
          <w:lang w:val="en-GB"/>
        </w:rPr>
      </w:pPr>
      <w:r>
        <w:rPr>
          <w:rFonts w:hint="cs"/>
          <w:rtl/>
          <w:lang w:val="en-GB"/>
        </w:rPr>
        <w:t>184 -</w:t>
      </w:r>
      <w:r>
        <w:rPr>
          <w:rFonts w:hint="cs"/>
          <w:rtl/>
          <w:lang w:val="en-GB"/>
        </w:rPr>
        <w:tab/>
        <w:t>ي</w:t>
      </w:r>
      <w:r w:rsidR="007825F3">
        <w:rPr>
          <w:rFonts w:hint="cs"/>
          <w:rtl/>
          <w:lang w:val="en-GB"/>
        </w:rPr>
        <w:t>ُ</w:t>
      </w:r>
      <w:r>
        <w:rPr>
          <w:rFonts w:hint="cs"/>
          <w:rtl/>
          <w:lang w:val="en-GB"/>
        </w:rPr>
        <w:t>قد</w:t>
      </w:r>
      <w:r w:rsidR="007825F3">
        <w:rPr>
          <w:rFonts w:hint="cs"/>
          <w:rtl/>
          <w:lang w:val="en-GB"/>
        </w:rPr>
        <w:t>ّ</w:t>
      </w:r>
      <w:r>
        <w:rPr>
          <w:rFonts w:hint="cs"/>
          <w:rtl/>
          <w:lang w:val="en-GB"/>
        </w:rPr>
        <w:t xml:space="preserve">م التعليم قبل </w:t>
      </w:r>
      <w:r w:rsidR="007825F3">
        <w:rPr>
          <w:rFonts w:hint="cs"/>
          <w:rtl/>
          <w:lang w:val="en-GB"/>
        </w:rPr>
        <w:t>الابتدائي</w:t>
      </w:r>
      <w:r>
        <w:rPr>
          <w:rFonts w:hint="cs"/>
          <w:rtl/>
          <w:lang w:val="en-GB"/>
        </w:rPr>
        <w:t xml:space="preserve"> من قِبل وزارة التربية والوكالات الحكومية الأخرى، بما فيها وزارة التنمية الريفية ووزارة الوحدة الوطنية والتنمية الاجتماعية وكذلك من قِبل القطاع الخاص والمنظمات غير الحكومية. وكما هو مشار إليه في الجدول 10-15، فإن أرقام القيد في المدارس في عام 1997 توضح أن </w:t>
      </w:r>
      <w:r w:rsidR="007825F3">
        <w:rPr>
          <w:rFonts w:hint="cs"/>
          <w:rtl/>
          <w:lang w:val="en-GB"/>
        </w:rPr>
        <w:t xml:space="preserve">معدل </w:t>
      </w:r>
      <w:r>
        <w:rPr>
          <w:rFonts w:hint="cs"/>
          <w:rtl/>
          <w:lang w:val="en-GB"/>
        </w:rPr>
        <w:t xml:space="preserve">اشتراك الذكور </w:t>
      </w:r>
      <w:r w:rsidR="007825F3">
        <w:rPr>
          <w:rFonts w:hint="cs"/>
          <w:rtl/>
          <w:lang w:val="en-GB"/>
        </w:rPr>
        <w:t xml:space="preserve">بالمقارنة مع </w:t>
      </w:r>
      <w:r>
        <w:rPr>
          <w:rFonts w:hint="cs"/>
          <w:rtl/>
          <w:lang w:val="en-GB"/>
        </w:rPr>
        <w:t>الإناث كان بنسبة 50:50 تقريبا</w:t>
      </w:r>
      <w:r w:rsidR="007825F3">
        <w:rPr>
          <w:rFonts w:hint="cs"/>
          <w:rtl/>
          <w:lang w:val="en-GB"/>
        </w:rPr>
        <w:t>،</w:t>
      </w:r>
      <w:r>
        <w:rPr>
          <w:rFonts w:hint="cs"/>
          <w:rtl/>
          <w:lang w:val="en-GB"/>
        </w:rPr>
        <w:t xml:space="preserve"> لكن دراسة للاشتراك </w:t>
      </w:r>
      <w:r w:rsidR="007825F3">
        <w:rPr>
          <w:rFonts w:hint="cs"/>
          <w:rtl/>
          <w:lang w:val="en-GB"/>
        </w:rPr>
        <w:t>بحسب مجموع ا</w:t>
      </w:r>
      <w:r>
        <w:rPr>
          <w:rFonts w:hint="cs"/>
          <w:rtl/>
          <w:lang w:val="en-GB"/>
        </w:rPr>
        <w:t>لفئات العمرية أوضحت أن معدل اشتراك الإناث كان أعلى من معدل اشتراك الذكور (30.9 في المائة و 29.2 في المائة على التوالي).</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Pr>
          <w:rFonts w:hint="cs"/>
          <w:rtl/>
          <w:lang w:val="en-GB"/>
        </w:rPr>
        <w:tab/>
      </w:r>
      <w:r>
        <w:rPr>
          <w:rFonts w:hint="cs"/>
          <w:rtl/>
          <w:lang w:val="en-GB"/>
        </w:rPr>
        <w:tab/>
        <w:t>الجدول 10-15: القيد في مدارس التعليم قبل الابتدائي، 1997</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236"/>
        <w:gridCol w:w="1236"/>
        <w:gridCol w:w="1236"/>
        <w:gridCol w:w="1003"/>
      </w:tblGrid>
      <w:tr w:rsidR="00955676" w:rsidRPr="00BB4694">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المؤسسة</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sz w:val="16"/>
                <w:szCs w:val="24"/>
                <w:rtl/>
                <w:lang w:val="en-GB"/>
              </w:rPr>
              <w:t>وزارة التربية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060 13</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549 12</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609 25</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49.00</w:t>
            </w: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الوكالات الحكومية الأخرى</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157 146</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023 146</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180 292</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49.98</w:t>
            </w: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المنظمات غير الحكومية والقطاع الخاص</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662 71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347 70</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009 142</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49.54</w:t>
            </w: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b/>
                <w:bCs/>
                <w:sz w:val="16"/>
                <w:szCs w:val="24"/>
                <w:rtl/>
                <w:lang w:val="en-GB"/>
              </w:rPr>
              <w:t>المجموع</w:t>
            </w:r>
          </w:p>
        </w:tc>
        <w:tc>
          <w:tcPr>
            <w:tcW w:w="1236"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879 230</w:t>
            </w:r>
          </w:p>
        </w:tc>
        <w:tc>
          <w:tcPr>
            <w:tcW w:w="1236"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919 228</w:t>
            </w:r>
          </w:p>
        </w:tc>
        <w:tc>
          <w:tcPr>
            <w:tcW w:w="1236"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798 459</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49.79</w:t>
            </w:r>
          </w:p>
        </w:tc>
      </w:tr>
      <w:tr w:rsidR="00955676" w:rsidRPr="00BB4694">
        <w:tblPrEx>
          <w:tblCellMar>
            <w:top w:w="0" w:type="dxa"/>
            <w:bottom w:w="0" w:type="dxa"/>
          </w:tblCellMar>
        </w:tblPrEx>
        <w:trPr>
          <w:cantSplit/>
        </w:trPr>
        <w:tc>
          <w:tcPr>
            <w:tcW w:w="2609"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مجموع الطلاب*</w:t>
            </w:r>
          </w:p>
          <w:p w:rsidR="00955676" w:rsidRPr="008E596D"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أقل من ثلاث سنوات و 4 سنوات و 5 سنوات</w:t>
            </w: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780 789</w:t>
            </w: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671 740</w:t>
            </w: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451 530 1</w:t>
            </w:r>
          </w:p>
        </w:tc>
        <w:tc>
          <w:tcPr>
            <w:tcW w:w="1003"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48.40</w:t>
            </w:r>
          </w:p>
        </w:tc>
      </w:tr>
      <w:tr w:rsidR="00955676" w:rsidRPr="00BB4694">
        <w:tblPrEx>
          <w:tblCellMar>
            <w:top w:w="0" w:type="dxa"/>
            <w:bottom w:w="0" w:type="dxa"/>
          </w:tblCellMar>
        </w:tblPrEx>
        <w:trPr>
          <w:cantSplit/>
        </w:trPr>
        <w:tc>
          <w:tcPr>
            <w:tcW w:w="2609" w:type="dxa"/>
            <w:tcBorders>
              <w:bottom w:val="single" w:sz="12" w:space="0" w:color="auto"/>
            </w:tcBorders>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معدل الاشتراك مقابل الفئات العمرية (نسبة مئوية)</w:t>
            </w:r>
          </w:p>
        </w:tc>
        <w:tc>
          <w:tcPr>
            <w:tcW w:w="1236" w:type="dxa"/>
            <w:tcBorders>
              <w:bottom w:val="single" w:sz="12" w:space="0" w:color="auto"/>
            </w:tcBorders>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29.23</w:t>
            </w:r>
          </w:p>
        </w:tc>
        <w:tc>
          <w:tcPr>
            <w:tcW w:w="1236" w:type="dxa"/>
            <w:tcBorders>
              <w:bottom w:val="single" w:sz="12" w:space="0" w:color="auto"/>
            </w:tcBorders>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30.91</w:t>
            </w:r>
          </w:p>
        </w:tc>
        <w:tc>
          <w:tcPr>
            <w:tcW w:w="1236" w:type="dxa"/>
            <w:tcBorders>
              <w:bottom w:val="single" w:sz="12" w:space="0" w:color="auto"/>
            </w:tcBorders>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8E596D">
              <w:rPr>
                <w:rFonts w:hint="cs"/>
                <w:b/>
                <w:bCs/>
                <w:sz w:val="16"/>
                <w:szCs w:val="24"/>
                <w:rtl/>
                <w:lang w:val="en-GB"/>
              </w:rPr>
              <w:t>30.03</w:t>
            </w:r>
          </w:p>
        </w:tc>
        <w:tc>
          <w:tcPr>
            <w:tcW w:w="1003" w:type="dxa"/>
            <w:tcBorders>
              <w:bottom w:val="single" w:sz="12" w:space="0" w:color="auto"/>
            </w:tcBorders>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bl>
    <w:p w:rsidR="00955676" w:rsidRPr="00C55F06" w:rsidRDefault="00955676" w:rsidP="00955676">
      <w:pPr>
        <w:pStyle w:val="SingleTxt"/>
        <w:spacing w:after="0" w:line="120" w:lineRule="exact"/>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ab/>
        <w:t>*</w:t>
      </w:r>
      <w:r>
        <w:rPr>
          <w:rFonts w:hint="cs"/>
          <w:rtl/>
          <w:lang w:val="en-GB"/>
        </w:rPr>
        <w:tab/>
        <w:t>المصدر:إدارة الإحصاءات في ماليزيا.</w:t>
      </w:r>
    </w:p>
    <w:p w:rsidR="00955676" w:rsidRPr="008E596D"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خدمات الدعم</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الإرشاد الوظيفي والمهني</w:t>
      </w:r>
    </w:p>
    <w:p w:rsidR="00955676" w:rsidRDefault="00955676" w:rsidP="00955676">
      <w:pPr>
        <w:pStyle w:val="SingleTxt"/>
        <w:rPr>
          <w:rFonts w:hint="cs"/>
          <w:rtl/>
          <w:lang w:val="en-GB"/>
        </w:rPr>
      </w:pPr>
      <w:r>
        <w:rPr>
          <w:rFonts w:hint="cs"/>
          <w:rtl/>
          <w:lang w:val="en-GB"/>
        </w:rPr>
        <w:t>185 -</w:t>
      </w:r>
      <w:r>
        <w:rPr>
          <w:rFonts w:hint="cs"/>
          <w:rtl/>
          <w:lang w:val="en-GB"/>
        </w:rPr>
        <w:tab/>
        <w:t xml:space="preserve">يقدم الإرشاد الوظيفي والمهني في المدارس ويتمتع الطلاب بحق اختيار مهنهم بغض النظر عن </w:t>
      </w:r>
      <w:r w:rsidR="007825F3">
        <w:rPr>
          <w:rFonts w:hint="cs"/>
          <w:rtl/>
          <w:lang w:val="en-GB"/>
        </w:rPr>
        <w:t xml:space="preserve">نوع </w:t>
      </w:r>
      <w:r>
        <w:rPr>
          <w:rFonts w:hint="cs"/>
          <w:rtl/>
          <w:lang w:val="en-GB"/>
        </w:rPr>
        <w:t>جنسهم.</w:t>
      </w:r>
    </w:p>
    <w:p w:rsidR="00955676" w:rsidRDefault="00955676" w:rsidP="00955676">
      <w:pPr>
        <w:pStyle w:val="SingleTxt"/>
        <w:rPr>
          <w:rFonts w:hint="cs"/>
          <w:rtl/>
          <w:lang w:val="en-GB"/>
        </w:rPr>
      </w:pPr>
      <w:r>
        <w:rPr>
          <w:rFonts w:hint="cs"/>
          <w:rtl/>
          <w:lang w:val="en-GB"/>
        </w:rPr>
        <w:t>186 -</w:t>
      </w:r>
      <w:r>
        <w:rPr>
          <w:rFonts w:hint="cs"/>
          <w:rtl/>
          <w:lang w:val="en-GB"/>
        </w:rPr>
        <w:tab/>
        <w:t>وهناك مراكز معلومات مرجعية عن المدارس وهي مجهزة بالكتب والمنشورات عن التعليم العالي والفرص المهنية. وأصدرت شعبة المدارس التابعة لوزارة التربية ستة مجلدات من سلسلة الكتب المتعلقة بالمهن الوظيفية لمساعدة مستشاري المدارس في إسداء المشورة للطلاب بشأن الخيارات الوظيفية. وتعالج هذه السلسلة من الكتب قضايا مثل التمييز القائم على أساس نوع الجنس والقوالب النمطية المتعلقة بنوع الجنس فيما يتعلق بالمسائل الوظيفية.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الألعاب الرياضية والتربية البدنية</w:t>
      </w:r>
    </w:p>
    <w:p w:rsidR="00955676" w:rsidRDefault="00955676" w:rsidP="00955676">
      <w:pPr>
        <w:pStyle w:val="SingleTxt"/>
        <w:rPr>
          <w:rFonts w:hint="cs"/>
          <w:rtl/>
          <w:lang w:val="en-GB"/>
        </w:rPr>
      </w:pPr>
      <w:r>
        <w:rPr>
          <w:rFonts w:hint="cs"/>
          <w:rtl/>
          <w:lang w:val="en-GB"/>
        </w:rPr>
        <w:t>187 -</w:t>
      </w:r>
      <w:r>
        <w:rPr>
          <w:rFonts w:hint="cs"/>
          <w:rtl/>
          <w:lang w:val="en-GB"/>
        </w:rPr>
        <w:tab/>
        <w:t>ت</w:t>
      </w:r>
      <w:r w:rsidR="007825F3">
        <w:rPr>
          <w:rFonts w:hint="cs"/>
          <w:rtl/>
          <w:lang w:val="en-GB"/>
        </w:rPr>
        <w:t>ُ</w:t>
      </w:r>
      <w:r>
        <w:rPr>
          <w:rFonts w:hint="cs"/>
          <w:rtl/>
          <w:lang w:val="en-GB"/>
        </w:rPr>
        <w:t>شج</w:t>
      </w:r>
      <w:r w:rsidR="007825F3">
        <w:rPr>
          <w:rFonts w:hint="cs"/>
          <w:rtl/>
          <w:lang w:val="en-GB"/>
        </w:rPr>
        <w:t>ّ</w:t>
      </w:r>
      <w:r>
        <w:rPr>
          <w:rFonts w:hint="cs"/>
          <w:rtl/>
          <w:lang w:val="en-GB"/>
        </w:rPr>
        <w:t>ع الطالبات على الاشتراك في الألعاب الرياضية والتربية البدنية مثل الذكور وتتاح لهن الفرصة للقيام بذلك. ولا توجد أنظمة أو نواهي تعيق اشتراك الإناث في الأنشطة الرياضية. ويتمتع الطلاب، ذكورا وإناثا، بإمكانية وصول متساوية للمرافق الرياضية.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tl/>
          <w:lang w:val="en-GB"/>
        </w:rPr>
        <w:br w:type="page"/>
      </w:r>
      <w:r>
        <w:rPr>
          <w:rFonts w:hint="cs"/>
          <w:rtl/>
          <w:lang w:val="en-GB"/>
        </w:rPr>
        <w:tab/>
      </w:r>
      <w:r>
        <w:rPr>
          <w:rFonts w:hint="cs"/>
          <w:rtl/>
          <w:lang w:val="en-GB"/>
        </w:rPr>
        <w:tab/>
        <w:t>الكتب المدرسية والمواد التعليمية</w:t>
      </w:r>
    </w:p>
    <w:p w:rsidR="00955676" w:rsidRDefault="00955676" w:rsidP="00955676">
      <w:pPr>
        <w:pStyle w:val="SingleTxt"/>
        <w:rPr>
          <w:rFonts w:hint="cs"/>
          <w:rtl/>
          <w:lang w:val="en-GB"/>
        </w:rPr>
      </w:pPr>
      <w:r>
        <w:rPr>
          <w:rFonts w:hint="cs"/>
          <w:rtl/>
          <w:lang w:val="en-GB"/>
        </w:rPr>
        <w:t>188 -</w:t>
      </w:r>
      <w:r>
        <w:rPr>
          <w:rFonts w:hint="cs"/>
          <w:rtl/>
          <w:lang w:val="en-GB"/>
        </w:rPr>
        <w:tab/>
        <w:t>اعترافا من وزارة التربية بالحاجة إلى القضاء على جميع الصور التمييزية للمرأة والقوالب النمطية المتعلقة بنوع الجنس في الكتب المدرسية والمواد التعليمية وضعت الوزارة مبادئ توجيهية محددة بشأن نوع الجنس لفائدة كتّاب تلك المواد التعليمية.</w:t>
      </w:r>
    </w:p>
    <w:p w:rsidR="00955676" w:rsidRDefault="00955676" w:rsidP="0095567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المنح الدراسية/القروض</w:t>
      </w:r>
    </w:p>
    <w:p w:rsidR="00955676" w:rsidRDefault="00955676" w:rsidP="00955676">
      <w:pPr>
        <w:pStyle w:val="SingleTxt"/>
        <w:rPr>
          <w:rFonts w:hint="cs"/>
          <w:rtl/>
          <w:lang w:val="en-GB"/>
        </w:rPr>
      </w:pPr>
      <w:r>
        <w:rPr>
          <w:rFonts w:hint="cs"/>
          <w:rtl/>
          <w:lang w:val="en-GB"/>
        </w:rPr>
        <w:t>189 -</w:t>
      </w:r>
      <w:r>
        <w:rPr>
          <w:rFonts w:hint="cs"/>
          <w:rtl/>
          <w:lang w:val="en-GB"/>
        </w:rPr>
        <w:tab/>
        <w:t>تقدم وزارة التربية منحا دراسية وقروضا للطلاب المتمكنين من الناحية الأكاديمية الراغبين في مواصلة التعليم العالي. ولا يؤخذ نوع الجنس في الاعتبار عند اختيار المرشحين للحصول على المنح الدراسية والقروض. ويوضح الجدول 10-16 عدد المنح الدراسية/القروض التي منحت للدورات المتعلقة بالتدريس والتعليم في عام 1998. وشكلت الإناث نسبة 61.2 في المائة من مجموع الحاصلين على المنح الدراسية/القروض.</w:t>
      </w:r>
    </w:p>
    <w:p w:rsidR="00955676" w:rsidRPr="005F65CA"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10-16: عدد الحاصلين على المنح الدراسية والقروض بحسب نوع الجنس، عام 1998</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236"/>
        <w:gridCol w:w="1236"/>
        <w:gridCol w:w="1236"/>
        <w:gridCol w:w="1003"/>
      </w:tblGrid>
      <w:tr w:rsidR="00955676" w:rsidRPr="00BB4694">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المنح الدراسية/القروض</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منح التدريس الاتحادية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دبلوم في التربية</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131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660</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791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83.44</w:t>
            </w:r>
          </w:p>
        </w:tc>
      </w:tr>
      <w:tr w:rsidR="00955676" w:rsidRPr="00BB4694">
        <w:tblPrEx>
          <w:tblCellMar>
            <w:top w:w="0" w:type="dxa"/>
            <w:bottom w:w="0" w:type="dxa"/>
          </w:tblCellMar>
        </w:tblPrEx>
        <w:trPr>
          <w:cantSplit/>
        </w:trPr>
        <w:tc>
          <w:tcPr>
            <w:tcW w:w="260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الشهادة العلمية الأولى</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143</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368</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511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72.02</w:t>
            </w:r>
          </w:p>
        </w:tc>
      </w:tr>
      <w:tr w:rsidR="00955676" w:rsidRPr="00BB4694">
        <w:tblPrEx>
          <w:tblCellMar>
            <w:top w:w="0" w:type="dxa"/>
            <w:bottom w:w="0" w:type="dxa"/>
          </w:tblCellMar>
        </w:tblPrEx>
        <w:trPr>
          <w:cantSplit/>
        </w:trPr>
        <w:tc>
          <w:tcPr>
            <w:tcW w:w="2609"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الماجستير والدكتوراة</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105</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83</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188</w:t>
            </w:r>
          </w:p>
        </w:tc>
        <w:tc>
          <w:tcPr>
            <w:tcW w:w="1003"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44.15</w:t>
            </w:r>
          </w:p>
        </w:tc>
      </w:tr>
      <w:tr w:rsidR="00955676" w:rsidRPr="00BB4694">
        <w:tblPrEx>
          <w:tblCellMar>
            <w:top w:w="0" w:type="dxa"/>
            <w:bottom w:w="0" w:type="dxa"/>
          </w:tblCellMar>
        </w:tblPrEx>
        <w:trPr>
          <w:cantSplit/>
        </w:trPr>
        <w:tc>
          <w:tcPr>
            <w:tcW w:w="2609"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93F17">
              <w:rPr>
                <w:rFonts w:hint="cs"/>
                <w:b/>
                <w:bCs/>
                <w:sz w:val="16"/>
                <w:szCs w:val="24"/>
                <w:rtl/>
                <w:lang w:val="en-GB"/>
              </w:rPr>
              <w:t>منحة تدريس الفنون التقنية</w:t>
            </w: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p>
        </w:tc>
        <w:tc>
          <w:tcPr>
            <w:tcW w:w="1236"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p>
        </w:tc>
        <w:tc>
          <w:tcPr>
            <w:tcW w:w="1003"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p>
        </w:tc>
      </w:tr>
      <w:tr w:rsidR="00955676" w:rsidRPr="00BB4694">
        <w:tblPrEx>
          <w:tblCellMar>
            <w:top w:w="0" w:type="dxa"/>
            <w:bottom w:w="0" w:type="dxa"/>
          </w:tblCellMar>
        </w:tblPrEx>
        <w:trPr>
          <w:cantSplit/>
        </w:trPr>
        <w:tc>
          <w:tcPr>
            <w:tcW w:w="2609"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دبلوم</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108</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99</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207</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47.83</w:t>
            </w:r>
          </w:p>
        </w:tc>
      </w:tr>
      <w:tr w:rsidR="00955676" w:rsidRPr="00BB4694">
        <w:tblPrEx>
          <w:tblCellMar>
            <w:top w:w="0" w:type="dxa"/>
            <w:bottom w:w="0" w:type="dxa"/>
          </w:tblCellMar>
        </w:tblPrEx>
        <w:trPr>
          <w:cantSplit/>
        </w:trPr>
        <w:tc>
          <w:tcPr>
            <w:tcW w:w="2609"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الشهادة العلمية الأولى</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246</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131</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377</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34.75</w:t>
            </w:r>
          </w:p>
        </w:tc>
      </w:tr>
      <w:tr w:rsidR="00955676" w:rsidRPr="00BB4694">
        <w:tblPrEx>
          <w:tblCellMar>
            <w:top w:w="0" w:type="dxa"/>
            <w:bottom w:w="0" w:type="dxa"/>
          </w:tblCellMar>
        </w:tblPrEx>
        <w:trPr>
          <w:cantSplit/>
        </w:trPr>
        <w:tc>
          <w:tcPr>
            <w:tcW w:w="2609"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الماجستير</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85</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79</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164</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48.17</w:t>
            </w:r>
          </w:p>
        </w:tc>
      </w:tr>
      <w:tr w:rsidR="00955676" w:rsidRPr="00BB4694">
        <w:tblPrEx>
          <w:tblCellMar>
            <w:top w:w="0" w:type="dxa"/>
            <w:bottom w:w="0" w:type="dxa"/>
          </w:tblCellMar>
        </w:tblPrEx>
        <w:trPr>
          <w:cantSplit/>
        </w:trPr>
        <w:tc>
          <w:tcPr>
            <w:tcW w:w="2609"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قروض تعليمية</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609"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 xml:space="preserve">شهادة </w:t>
            </w:r>
            <w:r w:rsidR="00D162DD">
              <w:rPr>
                <w:rFonts w:hint="cs"/>
                <w:sz w:val="16"/>
                <w:szCs w:val="24"/>
                <w:rtl/>
                <w:lang w:val="en-GB"/>
              </w:rPr>
              <w:t>الفنون التقنية</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378 1</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645</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023 2</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31.88</w:t>
            </w:r>
          </w:p>
        </w:tc>
      </w:tr>
      <w:tr w:rsidR="00955676" w:rsidRPr="00BB4694">
        <w:tblPrEx>
          <w:tblCellMar>
            <w:top w:w="0" w:type="dxa"/>
            <w:bottom w:w="0" w:type="dxa"/>
          </w:tblCellMar>
        </w:tblPrEx>
        <w:trPr>
          <w:cantSplit/>
        </w:trPr>
        <w:tc>
          <w:tcPr>
            <w:tcW w:w="2609"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الشهادة العلمية الأولى</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916</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845 2</w:t>
            </w:r>
          </w:p>
        </w:tc>
        <w:tc>
          <w:tcPr>
            <w:tcW w:w="12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761 3</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75.64</w:t>
            </w:r>
          </w:p>
        </w:tc>
      </w:tr>
      <w:tr w:rsidR="00955676" w:rsidRPr="00BB4694">
        <w:tblPrEx>
          <w:tblCellMar>
            <w:top w:w="0" w:type="dxa"/>
            <w:bottom w:w="0" w:type="dxa"/>
          </w:tblCellMar>
        </w:tblPrEx>
        <w:trPr>
          <w:cantSplit/>
        </w:trPr>
        <w:tc>
          <w:tcPr>
            <w:tcW w:w="2609" w:type="dxa"/>
            <w:tcBorders>
              <w:bottom w:val="single" w:sz="12" w:space="0" w:color="auto"/>
            </w:tcBorders>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المجموع</w:t>
            </w:r>
          </w:p>
        </w:tc>
        <w:tc>
          <w:tcPr>
            <w:tcW w:w="1236" w:type="dxa"/>
            <w:tcBorders>
              <w:bottom w:val="single" w:sz="12" w:space="0" w:color="auto"/>
            </w:tcBorders>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393F17">
              <w:rPr>
                <w:rFonts w:hint="cs"/>
                <w:b/>
                <w:bCs/>
                <w:sz w:val="16"/>
                <w:szCs w:val="24"/>
                <w:rtl/>
                <w:lang w:val="en-GB"/>
              </w:rPr>
              <w:t>112 3</w:t>
            </w:r>
          </w:p>
        </w:tc>
        <w:tc>
          <w:tcPr>
            <w:tcW w:w="1236" w:type="dxa"/>
            <w:tcBorders>
              <w:bottom w:val="single" w:sz="12" w:space="0" w:color="auto"/>
            </w:tcBorders>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393F17">
              <w:rPr>
                <w:rFonts w:hint="cs"/>
                <w:b/>
                <w:bCs/>
                <w:sz w:val="16"/>
                <w:szCs w:val="24"/>
                <w:rtl/>
                <w:lang w:val="en-GB"/>
              </w:rPr>
              <w:t>910 4</w:t>
            </w:r>
          </w:p>
        </w:tc>
        <w:tc>
          <w:tcPr>
            <w:tcW w:w="1236" w:type="dxa"/>
            <w:tcBorders>
              <w:bottom w:val="single" w:sz="12" w:space="0" w:color="auto"/>
            </w:tcBorders>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393F17">
              <w:rPr>
                <w:rFonts w:hint="cs"/>
                <w:b/>
                <w:bCs/>
                <w:sz w:val="16"/>
                <w:szCs w:val="24"/>
                <w:rtl/>
                <w:lang w:val="en-GB"/>
              </w:rPr>
              <w:t>022 8</w:t>
            </w:r>
          </w:p>
        </w:tc>
        <w:tc>
          <w:tcPr>
            <w:tcW w:w="1003" w:type="dxa"/>
            <w:tcBorders>
              <w:bottom w:val="single" w:sz="12" w:space="0" w:color="auto"/>
            </w:tcBorders>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393F17">
              <w:rPr>
                <w:rFonts w:hint="cs"/>
                <w:b/>
                <w:bCs/>
                <w:sz w:val="16"/>
                <w:szCs w:val="24"/>
                <w:rtl/>
                <w:lang w:val="en-GB"/>
              </w:rPr>
              <w:t>61.21</w:t>
            </w:r>
          </w:p>
        </w:tc>
      </w:tr>
    </w:tbl>
    <w:p w:rsidR="00955676" w:rsidRPr="00393F17" w:rsidRDefault="00955676" w:rsidP="00955676">
      <w:pPr>
        <w:pStyle w:val="SingleTxt"/>
        <w:spacing w:after="0" w:line="120" w:lineRule="exact"/>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 شعبة المنح الدراسية، وزارة التربية.</w:t>
      </w:r>
    </w:p>
    <w:p w:rsidR="00955676" w:rsidRPr="00393F17" w:rsidRDefault="00955676" w:rsidP="009556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955676" w:rsidRDefault="00955676" w:rsidP="007825F3">
      <w:pPr>
        <w:pStyle w:val="SingleTxt"/>
        <w:rPr>
          <w:rFonts w:hint="cs"/>
          <w:rtl/>
          <w:lang w:val="en-GB"/>
        </w:rPr>
      </w:pPr>
      <w:r>
        <w:rPr>
          <w:rFonts w:hint="cs"/>
          <w:rtl/>
          <w:lang w:val="en-GB"/>
        </w:rPr>
        <w:t>190 -</w:t>
      </w:r>
      <w:r>
        <w:rPr>
          <w:rFonts w:hint="cs"/>
          <w:rtl/>
          <w:lang w:val="en-GB"/>
        </w:rPr>
        <w:tab/>
        <w:t>حصلت الإناث، في إطار منح التدريس الاتحادية، على الشطر الأعظم من المنح الدراسية الخاصة بدبلوم التربية والشهادة العلمية الأولى. وحصلن أيضا، في إطار برنامج الشهادة العلمية الأولى، على الشطر الأعظم من القروض التعليمية. غير أن الإناث حصلن على منح دراسية أقل من نظرائه</w:t>
      </w:r>
      <w:r w:rsidR="007825F3">
        <w:rPr>
          <w:rFonts w:hint="cs"/>
          <w:rtl/>
          <w:lang w:val="en-GB"/>
        </w:rPr>
        <w:t>ن</w:t>
      </w:r>
      <w:r>
        <w:rPr>
          <w:rFonts w:hint="cs"/>
          <w:rtl/>
          <w:lang w:val="en-GB"/>
        </w:rPr>
        <w:t xml:space="preserve"> الذكور في مراحل ما بعد التعليم الجامعي وكذلك فيما يتعلق بالمنح الدراسية الخاصة بشهادة تعليم </w:t>
      </w:r>
      <w:r w:rsidR="00D162DD">
        <w:rPr>
          <w:rFonts w:hint="cs"/>
          <w:rtl/>
          <w:lang w:val="en-GB"/>
        </w:rPr>
        <w:t>الفنون التقنية</w:t>
      </w:r>
      <w:r>
        <w:rPr>
          <w:rFonts w:hint="cs"/>
          <w:rtl/>
          <w:lang w:val="en-GB"/>
        </w:rPr>
        <w:t xml:space="preserve">. وبغية تشجيع الإناث على زيادة اشتراكهن في </w:t>
      </w:r>
      <w:r w:rsidR="00D162DD">
        <w:rPr>
          <w:rFonts w:hint="cs"/>
          <w:rtl/>
          <w:lang w:val="en-GB"/>
        </w:rPr>
        <w:t>الفنون التقنية</w:t>
      </w:r>
      <w:r>
        <w:rPr>
          <w:rFonts w:hint="cs"/>
          <w:rtl/>
          <w:lang w:val="en-GB"/>
        </w:rPr>
        <w:t xml:space="preserve"> حيث لا تزيد نسبتهن عن 30 في المائة من عدد الطلاب وعن 32 في المائة من عدد المحاضرين، لا بد من النظر في زيادة عدد الإناث الحاصلات على المنح الدراسية الخاصة لتدريس </w:t>
      </w:r>
      <w:r w:rsidR="00D162DD">
        <w:rPr>
          <w:rFonts w:hint="cs"/>
          <w:rtl/>
          <w:lang w:val="en-GB"/>
        </w:rPr>
        <w:t>الفنون التقنية</w:t>
      </w:r>
      <w:r>
        <w:rPr>
          <w:rFonts w:hint="cs"/>
          <w:rtl/>
          <w:lang w:val="en-GB"/>
        </w:rPr>
        <w:t xml:space="preserve"> والقروض الخاصة بشهادة تدريس </w:t>
      </w:r>
      <w:r w:rsidR="00D162DD">
        <w:rPr>
          <w:rFonts w:hint="cs"/>
          <w:rtl/>
          <w:lang w:val="en-GB"/>
        </w:rPr>
        <w:t>الفنون التقنية</w:t>
      </w:r>
      <w:r>
        <w:rPr>
          <w:rFonts w:hint="cs"/>
          <w:rtl/>
          <w:lang w:val="en-GB"/>
        </w:rPr>
        <w:t>.</w:t>
      </w:r>
    </w:p>
    <w:p w:rsidR="00955676" w:rsidRDefault="00955676" w:rsidP="00955676">
      <w:pPr>
        <w:pStyle w:val="SingleTxt"/>
        <w:rPr>
          <w:rFonts w:hint="cs"/>
          <w:rtl/>
          <w:lang w:val="en-GB"/>
        </w:rPr>
      </w:pPr>
      <w:r>
        <w:rPr>
          <w:rFonts w:hint="cs"/>
          <w:rtl/>
          <w:lang w:val="en-GB"/>
        </w:rPr>
        <w:t>المرأة في المناصب الرئيسية</w:t>
      </w:r>
    </w:p>
    <w:p w:rsidR="00955676" w:rsidRDefault="00955676" w:rsidP="00955676">
      <w:pPr>
        <w:pStyle w:val="SingleTxt"/>
        <w:rPr>
          <w:rFonts w:hint="cs"/>
          <w:rtl/>
          <w:lang w:val="en-GB"/>
        </w:rPr>
      </w:pPr>
      <w:r>
        <w:rPr>
          <w:rFonts w:hint="cs"/>
          <w:rtl/>
          <w:lang w:val="en-GB"/>
        </w:rPr>
        <w:t>191 -</w:t>
      </w:r>
      <w:r>
        <w:rPr>
          <w:rFonts w:hint="cs"/>
          <w:rtl/>
          <w:lang w:val="en-GB"/>
        </w:rPr>
        <w:tab/>
        <w:t xml:space="preserve">لغاية </w:t>
      </w:r>
      <w:r>
        <w:rPr>
          <w:rtl/>
          <w:lang w:val="en-GB"/>
        </w:rPr>
        <w:t xml:space="preserve">آذار/مارس </w:t>
      </w:r>
      <w:r>
        <w:rPr>
          <w:rFonts w:hint="cs"/>
          <w:rtl/>
          <w:lang w:val="en-GB"/>
        </w:rPr>
        <w:t>1999، كان الذكور يسيطرون سيطرة شبه كاملة على رتب الإدارة العليا وصنع القرار في وزارة التربية، حسبما هو مشار إليه في الجدول 10-17. فعلى سبيل المثال، كانت الإدارة العليا في وزارة التربية التي تتألف من الوزير ونائبيه والأمين العام للتربية ونائبيه والمدير العام للتربية ونوابه الخمسة كانت تتألف بأجمعها من الرجال</w:t>
      </w:r>
      <w:r w:rsidR="007825F3">
        <w:rPr>
          <w:rFonts w:hint="cs"/>
          <w:rtl/>
          <w:lang w:val="en-GB"/>
        </w:rPr>
        <w:t>،</w:t>
      </w:r>
      <w:r>
        <w:rPr>
          <w:rFonts w:hint="cs"/>
          <w:rtl/>
          <w:lang w:val="en-GB"/>
        </w:rPr>
        <w:t xml:space="preserve"> ومن أصل رؤساء الشعب الستة والثلاثين في الوزارة لم يكن منهم سوى خمس إناث (13.9 في المائة). وينطبق هذا الاتجاه على جميع مستويات الإدارة نزولا حتى مدراء المدارس.</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الجدوا 10-17: المسؤولون في المناصب الرئيسية في وزارة التربية بحسب نوع الجنس في عامي 1997 و 1999</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927"/>
        <w:gridCol w:w="927"/>
        <w:gridCol w:w="927"/>
        <w:gridCol w:w="1003"/>
      </w:tblGrid>
      <w:tr w:rsidR="00955676" w:rsidRPr="00BB4694">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الوظائف</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 xml:space="preserve">وزارة التربية (في </w:t>
            </w:r>
            <w:r>
              <w:rPr>
                <w:b/>
                <w:bCs/>
                <w:sz w:val="16"/>
                <w:szCs w:val="24"/>
                <w:rtl/>
                <w:lang w:val="en-GB"/>
              </w:rPr>
              <w:t xml:space="preserve">آذار/مارس </w:t>
            </w:r>
            <w:r>
              <w:rPr>
                <w:rFonts w:hint="cs"/>
                <w:b/>
                <w:bCs/>
                <w:sz w:val="16"/>
                <w:szCs w:val="24"/>
                <w:rtl/>
                <w:lang w:val="en-GB"/>
              </w:rPr>
              <w:t>1999)</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الأمين العام</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المدير العام</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r>
      <w:tr w:rsidR="00955676" w:rsidRPr="00BB4694">
        <w:tblPrEx>
          <w:tblCellMar>
            <w:top w:w="0" w:type="dxa"/>
            <w:bottom w:w="0" w:type="dxa"/>
          </w:tblCellMar>
        </w:tblPrEx>
        <w:trPr>
          <w:cantSplit/>
        </w:trPr>
        <w:tc>
          <w:tcPr>
            <w:tcW w:w="35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نائب الأمين العام</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w:t>
            </w:r>
          </w:p>
        </w:tc>
        <w:tc>
          <w:tcPr>
            <w:tcW w:w="1003"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r>
      <w:tr w:rsidR="00955676" w:rsidRPr="00BB4694">
        <w:tblPrEx>
          <w:tblCellMar>
            <w:top w:w="0" w:type="dxa"/>
            <w:bottom w:w="0" w:type="dxa"/>
          </w:tblCellMar>
        </w:tblPrEx>
        <w:trPr>
          <w:cantSplit/>
        </w:trPr>
        <w:tc>
          <w:tcPr>
            <w:tcW w:w="3536" w:type="dxa"/>
            <w:shd w:val="clear" w:color="auto" w:fill="auto"/>
            <w:vAlign w:val="bottom"/>
          </w:tcPr>
          <w:p w:rsidR="00955676" w:rsidRPr="008E0DA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نائب المدير العام</w:t>
            </w:r>
          </w:p>
        </w:tc>
        <w:tc>
          <w:tcPr>
            <w:tcW w:w="927"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5</w:t>
            </w:r>
          </w:p>
        </w:tc>
        <w:tc>
          <w:tcPr>
            <w:tcW w:w="927"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صفر</w:t>
            </w:r>
          </w:p>
        </w:tc>
        <w:tc>
          <w:tcPr>
            <w:tcW w:w="927"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5</w:t>
            </w:r>
          </w:p>
        </w:tc>
        <w:tc>
          <w:tcPr>
            <w:tcW w:w="1003" w:type="dxa"/>
            <w:shd w:val="clear" w:color="auto" w:fill="auto"/>
          </w:tcPr>
          <w:p w:rsidR="00955676" w:rsidRPr="008E596D" w:rsidRDefault="00955676" w:rsidP="00C43389">
            <w:pPr>
              <w:tabs>
                <w:tab w:val="left" w:pos="288"/>
                <w:tab w:val="left" w:pos="576"/>
                <w:tab w:val="left" w:pos="864"/>
                <w:tab w:val="left" w:pos="1152"/>
              </w:tabs>
              <w:spacing w:before="40" w:after="80" w:line="200" w:lineRule="exact"/>
              <w:ind w:left="170" w:right="144"/>
              <w:rPr>
                <w:rFonts w:hint="cs"/>
                <w:sz w:val="16"/>
                <w:szCs w:val="24"/>
                <w:rtl/>
                <w:lang w:val="en-GB"/>
              </w:rPr>
            </w:pPr>
            <w:r>
              <w:rPr>
                <w:rFonts w:hint="cs"/>
                <w:sz w:val="16"/>
                <w:szCs w:val="24"/>
                <w:rtl/>
                <w:lang w:val="en-GB"/>
              </w:rPr>
              <w:t>صفر</w:t>
            </w:r>
          </w:p>
        </w:tc>
      </w:tr>
      <w:tr w:rsidR="00955676" w:rsidRPr="00BB4694">
        <w:tblPrEx>
          <w:tblCellMar>
            <w:top w:w="0" w:type="dxa"/>
            <w:bottom w:w="0" w:type="dxa"/>
          </w:tblCellMar>
        </w:tblPrEx>
        <w:trPr>
          <w:cantSplit/>
        </w:trPr>
        <w:tc>
          <w:tcPr>
            <w:tcW w:w="35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رؤساء الشُعب</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36</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13.89</w:t>
            </w:r>
          </w:p>
        </w:tc>
      </w:tr>
      <w:tr w:rsidR="00955676" w:rsidRPr="00BB4694">
        <w:tblPrEx>
          <w:tblCellMar>
            <w:top w:w="0" w:type="dxa"/>
            <w:bottom w:w="0" w:type="dxa"/>
          </w:tblCellMar>
        </w:tblPrEx>
        <w:trPr>
          <w:cantSplit/>
        </w:trPr>
        <w:tc>
          <w:tcPr>
            <w:tcW w:w="3536"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b/>
                <w:bCs/>
                <w:sz w:val="16"/>
                <w:szCs w:val="24"/>
                <w:rtl/>
                <w:lang w:val="en-GB"/>
              </w:rPr>
              <w:t xml:space="preserve">إدارات التربية في الولايات (في </w:t>
            </w:r>
            <w:r>
              <w:rPr>
                <w:b/>
                <w:bCs/>
                <w:sz w:val="16"/>
                <w:szCs w:val="24"/>
                <w:rtl/>
                <w:lang w:val="en-GB"/>
              </w:rPr>
              <w:t xml:space="preserve">أيلول/سبتمبر </w:t>
            </w:r>
            <w:r>
              <w:rPr>
                <w:rFonts w:hint="cs"/>
                <w:b/>
                <w:bCs/>
                <w:sz w:val="16"/>
                <w:szCs w:val="24"/>
                <w:rtl/>
                <w:lang w:val="en-GB"/>
              </w:rPr>
              <w:t>1997)</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مدير التربية في الولاية</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14</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14</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صفر</w:t>
            </w:r>
          </w:p>
        </w:tc>
      </w:tr>
      <w:tr w:rsidR="00955676" w:rsidRPr="00BB4694">
        <w:tblPrEx>
          <w:tblCellMar>
            <w:top w:w="0" w:type="dxa"/>
            <w:bottom w:w="0" w:type="dxa"/>
          </w:tblCellMar>
        </w:tblPrEx>
        <w:trPr>
          <w:cantSplit/>
        </w:trPr>
        <w:tc>
          <w:tcPr>
            <w:tcW w:w="3536" w:type="dxa"/>
            <w:shd w:val="clear" w:color="auto" w:fill="auto"/>
            <w:vAlign w:val="bottom"/>
          </w:tcPr>
          <w:p w:rsidR="00955676" w:rsidRPr="0069526A"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b/>
                <w:bCs/>
                <w:sz w:val="16"/>
                <w:szCs w:val="24"/>
                <w:rtl/>
                <w:lang w:val="en-GB"/>
              </w:rPr>
              <w:t xml:space="preserve">شعب التربية/مكاتب التربية في المقاطعات (في </w:t>
            </w:r>
            <w:r>
              <w:rPr>
                <w:b/>
                <w:bCs/>
                <w:sz w:val="16"/>
                <w:szCs w:val="24"/>
                <w:rtl/>
                <w:lang w:val="en-GB"/>
              </w:rPr>
              <w:t xml:space="preserve">أيلول/سبتمبر </w:t>
            </w:r>
            <w:r>
              <w:rPr>
                <w:rFonts w:hint="cs"/>
                <w:b/>
                <w:bCs/>
                <w:sz w:val="16"/>
                <w:szCs w:val="24"/>
                <w:rtl/>
                <w:lang w:val="en-GB"/>
              </w:rPr>
              <w:t>1997)</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رؤساء الشُعب</w:t>
            </w:r>
            <w:r w:rsidR="007825F3">
              <w:rPr>
                <w:rFonts w:hint="cs"/>
                <w:sz w:val="16"/>
                <w:szCs w:val="24"/>
                <w:rtl/>
                <w:lang w:val="en-GB"/>
              </w:rPr>
              <w:t>/المكاتب</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74</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78</w:t>
            </w: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5.13</w:t>
            </w:r>
          </w:p>
        </w:tc>
      </w:tr>
      <w:tr w:rsidR="00955676" w:rsidRPr="00BB4694">
        <w:tblPrEx>
          <w:tblCellMar>
            <w:top w:w="0" w:type="dxa"/>
            <w:bottom w:w="0" w:type="dxa"/>
          </w:tblCellMar>
        </w:tblPrEx>
        <w:trPr>
          <w:cantSplit/>
        </w:trPr>
        <w:tc>
          <w:tcPr>
            <w:tcW w:w="3536"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المدارس (في عام 1997)</w:t>
            </w: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shd w:val="clear" w:color="auto" w:fill="auto"/>
            <w:vAlign w:val="bottom"/>
          </w:tcPr>
          <w:p w:rsidR="00955676" w:rsidRPr="00393F17"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shd w:val="clear" w:color="auto" w:fill="auto"/>
            <w:vAlign w:val="bottom"/>
          </w:tcPr>
          <w:p w:rsidR="00955676" w:rsidRPr="008E596D"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مدرا</w:t>
            </w:r>
            <w:r w:rsidR="007825F3">
              <w:rPr>
                <w:rFonts w:hint="cs"/>
                <w:sz w:val="16"/>
                <w:szCs w:val="24"/>
                <w:rtl/>
                <w:lang w:val="en-GB"/>
              </w:rPr>
              <w:t>ء</w:t>
            </w:r>
            <w:r>
              <w:rPr>
                <w:rFonts w:hint="cs"/>
                <w:sz w:val="16"/>
                <w:szCs w:val="24"/>
                <w:rtl/>
                <w:lang w:val="en-GB"/>
              </w:rPr>
              <w:t xml:space="preserve"> المدارس الثانوية</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945</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392</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337 1</w:t>
            </w:r>
          </w:p>
        </w:tc>
        <w:tc>
          <w:tcPr>
            <w:tcW w:w="1003"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29.32</w:t>
            </w:r>
          </w:p>
        </w:tc>
      </w:tr>
      <w:tr w:rsidR="00955676" w:rsidRPr="00BB4694">
        <w:tblPrEx>
          <w:tblCellMar>
            <w:top w:w="0" w:type="dxa"/>
            <w:bottom w:w="0" w:type="dxa"/>
          </w:tblCellMar>
        </w:tblPrEx>
        <w:trPr>
          <w:cantSplit/>
        </w:trPr>
        <w:tc>
          <w:tcPr>
            <w:tcW w:w="3536"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مدرا</w:t>
            </w:r>
            <w:r w:rsidR="007825F3">
              <w:rPr>
                <w:rFonts w:hint="cs"/>
                <w:sz w:val="16"/>
                <w:szCs w:val="24"/>
                <w:rtl/>
                <w:lang w:val="en-GB"/>
              </w:rPr>
              <w:t>ء</w:t>
            </w:r>
            <w:r>
              <w:rPr>
                <w:rFonts w:hint="cs"/>
                <w:sz w:val="16"/>
                <w:szCs w:val="24"/>
                <w:rtl/>
                <w:lang w:val="en-GB"/>
              </w:rPr>
              <w:t xml:space="preserve"> المدارس الابتدائية</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341 5</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014 1</w:t>
            </w:r>
          </w:p>
        </w:tc>
        <w:tc>
          <w:tcPr>
            <w:tcW w:w="927"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355 6</w:t>
            </w:r>
          </w:p>
        </w:tc>
        <w:tc>
          <w:tcPr>
            <w:tcW w:w="1003" w:type="dxa"/>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15.96</w:t>
            </w:r>
          </w:p>
        </w:tc>
      </w:tr>
    </w:tbl>
    <w:p w:rsidR="00955676" w:rsidRDefault="00955676" w:rsidP="00955676">
      <w:pPr>
        <w:pStyle w:val="SingleTxt"/>
        <w:spacing w:after="0" w:line="120" w:lineRule="exact"/>
        <w:rPr>
          <w:rFonts w:hint="cs"/>
          <w:sz w:val="10"/>
          <w:rtl/>
          <w:lang w:val="en-GB"/>
        </w:rPr>
      </w:pPr>
    </w:p>
    <w:p w:rsidR="00955676" w:rsidRDefault="00955676" w:rsidP="003535F9">
      <w:pPr>
        <w:pStyle w:val="SingleTxt"/>
        <w:rPr>
          <w:rFonts w:hint="cs"/>
          <w:rtl/>
          <w:lang w:val="en-GB"/>
        </w:rPr>
      </w:pPr>
      <w:r>
        <w:rPr>
          <w:rtl/>
          <w:lang w:val="en-GB"/>
        </w:rPr>
        <w:br w:type="page"/>
      </w:r>
      <w:r>
        <w:rPr>
          <w:rFonts w:hint="cs"/>
          <w:rtl/>
          <w:lang w:val="en-GB"/>
        </w:rPr>
        <w:t>192 -</w:t>
      </w:r>
      <w:r>
        <w:rPr>
          <w:rFonts w:hint="cs"/>
          <w:rtl/>
          <w:lang w:val="en-GB"/>
        </w:rPr>
        <w:tab/>
        <w:t xml:space="preserve">يوضح الجدول 10-18 عدد رؤساء المعاهد التعليمية العامة بصرف النظر عن </w:t>
      </w:r>
      <w:r w:rsidR="003535F9">
        <w:rPr>
          <w:rFonts w:hint="cs"/>
          <w:rtl/>
          <w:lang w:val="en-GB"/>
        </w:rPr>
        <w:t xml:space="preserve">عدد </w:t>
      </w:r>
      <w:r>
        <w:rPr>
          <w:rFonts w:hint="cs"/>
          <w:rtl/>
          <w:lang w:val="en-GB"/>
        </w:rPr>
        <w:t xml:space="preserve">المدارس ، في </w:t>
      </w:r>
      <w:r>
        <w:rPr>
          <w:rtl/>
          <w:lang w:val="en-GB"/>
        </w:rPr>
        <w:t xml:space="preserve">آذار/مارس </w:t>
      </w:r>
      <w:r>
        <w:rPr>
          <w:rFonts w:hint="cs"/>
          <w:rtl/>
          <w:lang w:val="en-GB"/>
        </w:rPr>
        <w:t xml:space="preserve">1999. ومرة أخرى </w:t>
      </w:r>
      <w:r w:rsidR="003535F9">
        <w:rPr>
          <w:rFonts w:hint="cs"/>
          <w:rtl/>
          <w:lang w:val="en-GB"/>
        </w:rPr>
        <w:t>ت</w:t>
      </w:r>
      <w:r>
        <w:rPr>
          <w:rFonts w:hint="cs"/>
          <w:rtl/>
          <w:lang w:val="en-GB"/>
        </w:rPr>
        <w:t>وجد أكثرية ملحوظة من الذكور في هذه المناصب.</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10-18: رؤساء المعاهد التعليمية العامة بحسب نوع الجنس، عام 1999</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927"/>
        <w:gridCol w:w="927"/>
        <w:gridCol w:w="927"/>
        <w:gridCol w:w="1003"/>
      </w:tblGrid>
      <w:tr w:rsidR="00955676" w:rsidRPr="00BB4694">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المؤسسة العامة</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مؤسسات التعليم العالي</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11</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12</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8.33</w:t>
            </w: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كليات تدريب المعلمين</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26</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16.13</w:t>
            </w:r>
          </w:p>
        </w:tc>
      </w:tr>
      <w:tr w:rsidR="00955676" w:rsidRPr="00BB4694">
        <w:tblPrEx>
          <w:tblCellMar>
            <w:top w:w="0" w:type="dxa"/>
            <w:bottom w:w="0" w:type="dxa"/>
          </w:tblCellMar>
        </w:tblPrEx>
        <w:trPr>
          <w:cantSplit/>
        </w:trPr>
        <w:tc>
          <w:tcPr>
            <w:tcW w:w="3536" w:type="dxa"/>
            <w:tcBorders>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 xml:space="preserve">كليات </w:t>
            </w:r>
            <w:r w:rsidR="00D162DD">
              <w:rPr>
                <w:rFonts w:hint="cs"/>
                <w:sz w:val="16"/>
                <w:szCs w:val="24"/>
                <w:rtl/>
                <w:lang w:val="en-GB"/>
              </w:rPr>
              <w:t>الفنون التقنية</w:t>
            </w:r>
          </w:p>
        </w:tc>
        <w:tc>
          <w:tcPr>
            <w:tcW w:w="927" w:type="dxa"/>
            <w:tcBorders>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9</w:t>
            </w:r>
          </w:p>
        </w:tc>
        <w:tc>
          <w:tcPr>
            <w:tcW w:w="927" w:type="dxa"/>
            <w:tcBorders>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w:t>
            </w:r>
          </w:p>
        </w:tc>
        <w:tc>
          <w:tcPr>
            <w:tcW w:w="927" w:type="dxa"/>
            <w:tcBorders>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10</w:t>
            </w:r>
          </w:p>
        </w:tc>
        <w:tc>
          <w:tcPr>
            <w:tcW w:w="1003" w:type="dxa"/>
            <w:tcBorders>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10.00</w:t>
            </w:r>
          </w:p>
        </w:tc>
      </w:tr>
    </w:tbl>
    <w:p w:rsidR="00955676" w:rsidRPr="000D6F80" w:rsidRDefault="00955676" w:rsidP="00955676">
      <w:pPr>
        <w:pStyle w:val="SingleTxt"/>
        <w:spacing w:after="0" w:line="120" w:lineRule="exact"/>
        <w:rPr>
          <w:rFonts w:hint="cs"/>
          <w:sz w:val="10"/>
          <w:rtl/>
          <w:lang w:val="en-GB"/>
        </w:rPr>
      </w:pPr>
    </w:p>
    <w:p w:rsidR="00955676" w:rsidRDefault="00955676" w:rsidP="003535F9">
      <w:pPr>
        <w:pStyle w:val="SingleTxt"/>
        <w:rPr>
          <w:rFonts w:hint="cs"/>
          <w:rtl/>
          <w:lang w:val="en-GB"/>
        </w:rPr>
      </w:pPr>
      <w:r>
        <w:rPr>
          <w:rFonts w:hint="cs"/>
          <w:rtl/>
          <w:lang w:val="en-GB"/>
        </w:rPr>
        <w:t>193 -</w:t>
      </w:r>
      <w:r>
        <w:rPr>
          <w:rFonts w:hint="cs"/>
          <w:rtl/>
          <w:lang w:val="en-GB"/>
        </w:rPr>
        <w:tab/>
      </w:r>
      <w:r w:rsidR="003535F9">
        <w:rPr>
          <w:rFonts w:hint="cs"/>
          <w:rtl/>
          <w:lang w:val="en-GB"/>
        </w:rPr>
        <w:t>فيما يتعلق ب</w:t>
      </w:r>
      <w:r>
        <w:rPr>
          <w:rFonts w:hint="cs"/>
          <w:rtl/>
          <w:lang w:val="en-GB"/>
        </w:rPr>
        <w:t xml:space="preserve">عدد أعضاء هيئة التدريس في المؤسسات العامة للتعليم العالي </w:t>
      </w:r>
      <w:r w:rsidR="003535F9">
        <w:rPr>
          <w:rFonts w:hint="cs"/>
          <w:rtl/>
          <w:lang w:val="en-GB"/>
        </w:rPr>
        <w:t>توضح البيانات المستمدة من عام 1997</w:t>
      </w:r>
      <w:r>
        <w:rPr>
          <w:rFonts w:hint="cs"/>
          <w:rtl/>
          <w:lang w:val="en-GB"/>
        </w:rPr>
        <w:t xml:space="preserve">أن غالبية عضوات هيئات التدريس هن من المحاضرات وأن عدد </w:t>
      </w:r>
      <w:r w:rsidR="003535F9">
        <w:rPr>
          <w:rFonts w:hint="cs"/>
          <w:rtl/>
          <w:lang w:val="en-GB"/>
        </w:rPr>
        <w:t>الاستاذات (</w:t>
      </w:r>
      <w:r>
        <w:rPr>
          <w:rFonts w:hint="cs"/>
          <w:rtl/>
          <w:lang w:val="en-GB"/>
        </w:rPr>
        <w:t>بروفيسور</w:t>
      </w:r>
      <w:r w:rsidR="003535F9">
        <w:rPr>
          <w:rFonts w:hint="cs"/>
          <w:rtl/>
          <w:lang w:val="en-GB"/>
        </w:rPr>
        <w:t>)</w:t>
      </w:r>
      <w:r>
        <w:rPr>
          <w:rFonts w:hint="cs"/>
          <w:rtl/>
          <w:lang w:val="en-GB"/>
        </w:rPr>
        <w:t xml:space="preserve"> أقل بكثير من عدد الأساتذة </w:t>
      </w:r>
      <w:r w:rsidR="003535F9">
        <w:rPr>
          <w:rFonts w:hint="cs"/>
          <w:rtl/>
          <w:lang w:val="en-GB"/>
        </w:rPr>
        <w:t xml:space="preserve">ومعاوني الأساتذة </w:t>
      </w:r>
      <w:r>
        <w:rPr>
          <w:rFonts w:hint="cs"/>
          <w:rtl/>
          <w:lang w:val="en-GB"/>
        </w:rPr>
        <w:t>(بروفيسور</w:t>
      </w:r>
      <w:r w:rsidR="003535F9">
        <w:rPr>
          <w:rFonts w:hint="cs"/>
          <w:rtl/>
          <w:lang w:val="en-GB"/>
        </w:rPr>
        <w:t>)</w:t>
      </w:r>
      <w:r>
        <w:rPr>
          <w:rFonts w:hint="cs"/>
          <w:rtl/>
          <w:lang w:val="en-GB"/>
        </w:rPr>
        <w:t>.</w:t>
      </w:r>
    </w:p>
    <w:p w:rsidR="00955676" w:rsidRPr="000D6F80"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10-19: أعضاء هيئة التدريس في المؤسسات العامة في التعليم العالي، بحسب نوع الجنس في عام 1997</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927"/>
        <w:gridCol w:w="927"/>
        <w:gridCol w:w="927"/>
        <w:gridCol w:w="1003"/>
      </w:tblGrid>
      <w:tr w:rsidR="00955676" w:rsidRPr="00BB4694">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الوظيفة</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927"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3536" w:type="dxa"/>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بروفيسور</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479</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73</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522</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13.22</w:t>
            </w: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معاون بروفيسور</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358 1</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408</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766 1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23.10</w:t>
            </w:r>
          </w:p>
        </w:tc>
      </w:tr>
      <w:tr w:rsidR="00955676" w:rsidRPr="00BB4694">
        <w:tblPrEx>
          <w:tblCellMar>
            <w:top w:w="0" w:type="dxa"/>
            <w:bottom w:w="0" w:type="dxa"/>
          </w:tblCellMar>
        </w:tblPrEx>
        <w:trPr>
          <w:cantSplit/>
        </w:trPr>
        <w:tc>
          <w:tcPr>
            <w:tcW w:w="35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محاضر</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028 4</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287 3</w:t>
            </w:r>
          </w:p>
        </w:tc>
        <w:tc>
          <w:tcPr>
            <w:tcW w:w="927"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315 7</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44.94</w:t>
            </w:r>
          </w:p>
        </w:tc>
      </w:tr>
      <w:tr w:rsidR="00955676" w:rsidRPr="00BB4694">
        <w:tblPrEx>
          <w:tblCellMar>
            <w:top w:w="0" w:type="dxa"/>
            <w:bottom w:w="0" w:type="dxa"/>
          </w:tblCellMar>
        </w:tblPrEx>
        <w:trPr>
          <w:cantSplit/>
        </w:trPr>
        <w:tc>
          <w:tcPr>
            <w:tcW w:w="3536" w:type="dxa"/>
            <w:tcBorders>
              <w:bottom w:val="single" w:sz="12" w:space="0" w:color="auto"/>
            </w:tcBorders>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Pr>
                <w:rFonts w:hint="cs"/>
                <w:b/>
                <w:bCs/>
                <w:sz w:val="16"/>
                <w:szCs w:val="24"/>
                <w:rtl/>
                <w:lang w:val="en-GB"/>
              </w:rPr>
              <w:t>المجموع</w:t>
            </w:r>
          </w:p>
        </w:tc>
        <w:tc>
          <w:tcPr>
            <w:tcW w:w="927" w:type="dxa"/>
            <w:tcBorders>
              <w:bottom w:val="single" w:sz="12" w:space="0" w:color="auto"/>
            </w:tcBorders>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0D6F80">
              <w:rPr>
                <w:rFonts w:hint="cs"/>
                <w:b/>
                <w:bCs/>
                <w:sz w:val="16"/>
                <w:szCs w:val="24"/>
                <w:rtl/>
                <w:lang w:val="en-GB"/>
              </w:rPr>
              <w:t>865 5</w:t>
            </w:r>
          </w:p>
        </w:tc>
        <w:tc>
          <w:tcPr>
            <w:tcW w:w="927" w:type="dxa"/>
            <w:tcBorders>
              <w:bottom w:val="single" w:sz="12" w:space="0" w:color="auto"/>
            </w:tcBorders>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0D6F80">
              <w:rPr>
                <w:rFonts w:hint="cs"/>
                <w:b/>
                <w:bCs/>
                <w:sz w:val="16"/>
                <w:szCs w:val="24"/>
                <w:rtl/>
                <w:lang w:val="en-GB"/>
              </w:rPr>
              <w:t>768 3</w:t>
            </w:r>
          </w:p>
        </w:tc>
        <w:tc>
          <w:tcPr>
            <w:tcW w:w="927" w:type="dxa"/>
            <w:tcBorders>
              <w:bottom w:val="single" w:sz="12" w:space="0" w:color="auto"/>
            </w:tcBorders>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0D6F80">
              <w:rPr>
                <w:rFonts w:hint="cs"/>
                <w:b/>
                <w:bCs/>
                <w:sz w:val="16"/>
                <w:szCs w:val="24"/>
                <w:rtl/>
                <w:lang w:val="en-GB"/>
              </w:rPr>
              <w:t>603 9</w:t>
            </w:r>
          </w:p>
        </w:tc>
        <w:tc>
          <w:tcPr>
            <w:tcW w:w="1003" w:type="dxa"/>
            <w:tcBorders>
              <w:bottom w:val="single" w:sz="12" w:space="0" w:color="auto"/>
            </w:tcBorders>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44"/>
              <w:jc w:val="lowKashida"/>
              <w:rPr>
                <w:rFonts w:hint="cs"/>
                <w:b/>
                <w:bCs/>
                <w:sz w:val="16"/>
                <w:szCs w:val="24"/>
                <w:rtl/>
                <w:lang w:val="en-GB"/>
              </w:rPr>
            </w:pPr>
            <w:r w:rsidRPr="000D6F80">
              <w:rPr>
                <w:rFonts w:hint="cs"/>
                <w:b/>
                <w:bCs/>
                <w:sz w:val="16"/>
                <w:szCs w:val="24"/>
                <w:rtl/>
                <w:lang w:val="en-GB"/>
              </w:rPr>
              <w:t>39.24</w:t>
            </w:r>
          </w:p>
        </w:tc>
      </w:tr>
    </w:tbl>
    <w:p w:rsidR="00955676" w:rsidRPr="000D6F80" w:rsidRDefault="00955676" w:rsidP="00955676">
      <w:pPr>
        <w:pStyle w:val="SingleTxt"/>
        <w:spacing w:after="0" w:line="120" w:lineRule="exact"/>
        <w:rPr>
          <w:rFonts w:hint="cs"/>
          <w:sz w:val="10"/>
          <w:rtl/>
          <w:lang w:val="en-GB"/>
        </w:rPr>
      </w:pPr>
    </w:p>
    <w:p w:rsidR="00955676" w:rsidRDefault="00955676" w:rsidP="006D6A74">
      <w:pPr>
        <w:pStyle w:val="SingleTxt"/>
        <w:rPr>
          <w:rFonts w:hint="cs"/>
          <w:rtl/>
          <w:lang w:val="en-GB"/>
        </w:rPr>
      </w:pPr>
      <w:r>
        <w:rPr>
          <w:rFonts w:hint="cs"/>
          <w:rtl/>
          <w:lang w:val="en-GB"/>
        </w:rPr>
        <w:t>194 -</w:t>
      </w:r>
      <w:r>
        <w:rPr>
          <w:rFonts w:hint="cs"/>
          <w:rtl/>
          <w:lang w:val="en-GB"/>
        </w:rPr>
        <w:tab/>
        <w:t xml:space="preserve">يبين الجدول 10-20 العدد الإجمالي للمعلمين والمحاضرين في كليات تدريب المعلمين وكليات </w:t>
      </w:r>
      <w:r w:rsidR="006D6A74">
        <w:rPr>
          <w:rFonts w:hint="cs"/>
          <w:rtl/>
          <w:lang w:val="en-GB"/>
        </w:rPr>
        <w:t xml:space="preserve">الفنون التقنية </w:t>
      </w:r>
      <w:r>
        <w:rPr>
          <w:rFonts w:hint="cs"/>
          <w:rtl/>
          <w:lang w:val="en-GB"/>
        </w:rPr>
        <w:t>و</w:t>
      </w:r>
      <w:r w:rsidR="006D6A74">
        <w:rPr>
          <w:rFonts w:hint="cs"/>
          <w:rtl/>
          <w:lang w:val="en-GB"/>
        </w:rPr>
        <w:t>ال</w:t>
      </w:r>
      <w:r>
        <w:rPr>
          <w:rFonts w:hint="cs"/>
          <w:rtl/>
          <w:lang w:val="en-GB"/>
        </w:rPr>
        <w:t>مدارس. وعلى الرغم من أن 26 في المائة فقط من مدراء المدارس الابتدائية و 29.3 في المائة من مدراء المدارس الثانوية هم من الإناث حسبما هو مذكور أعلاه، يلاحظ أن عدد المعلمات في المدارس يتجاوز بكثير عدد المعلمين.</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Pr>
          <w:rFonts w:hint="cs"/>
          <w:rtl/>
          <w:lang w:val="en-GB"/>
        </w:rPr>
        <w:tab/>
      </w:r>
      <w:r>
        <w:rPr>
          <w:rFonts w:hint="cs"/>
          <w:rtl/>
          <w:lang w:val="en-GB"/>
        </w:rPr>
        <w:tab/>
        <w:t xml:space="preserve">الجدول 10-20: عدد المعلمين/المحاضرين في كليات تدريب المعلمين/كليات </w:t>
      </w:r>
      <w:r w:rsidR="00D162DD">
        <w:rPr>
          <w:rFonts w:hint="cs"/>
          <w:rtl/>
          <w:lang w:val="en-GB"/>
        </w:rPr>
        <w:t>الفنون التقنية</w:t>
      </w:r>
      <w:r>
        <w:rPr>
          <w:rFonts w:hint="cs"/>
          <w:rtl/>
          <w:lang w:val="en-GB"/>
        </w:rPr>
        <w:t>/المدارس في عام 1997</w:t>
      </w:r>
    </w:p>
    <w:p w:rsidR="00955676" w:rsidRPr="00BB46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442"/>
        <w:gridCol w:w="1236"/>
        <w:gridCol w:w="1339"/>
        <w:gridCol w:w="1003"/>
      </w:tblGrid>
      <w:tr w:rsidR="00955676" w:rsidRPr="00BB4694">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r>
              <w:rPr>
                <w:rFonts w:hint="cs"/>
                <w:i/>
                <w:iCs/>
                <w:sz w:val="16"/>
                <w:szCs w:val="24"/>
                <w:rtl/>
                <w:lang w:val="en-GB"/>
              </w:rPr>
              <w:t xml:space="preserve">المؤسسة </w:t>
            </w:r>
          </w:p>
        </w:tc>
        <w:tc>
          <w:tcPr>
            <w:tcW w:w="1442"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الذكور</w:t>
            </w:r>
          </w:p>
        </w:tc>
        <w:tc>
          <w:tcPr>
            <w:tcW w:w="1236"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الإناث</w:t>
            </w:r>
          </w:p>
        </w:tc>
        <w:tc>
          <w:tcPr>
            <w:tcW w:w="1339"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المجموع</w:t>
            </w:r>
          </w:p>
        </w:tc>
        <w:tc>
          <w:tcPr>
            <w:tcW w:w="1003" w:type="dxa"/>
            <w:tcBorders>
              <w:top w:val="single" w:sz="4" w:space="0" w:color="auto"/>
              <w:bottom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BB4694">
              <w:rPr>
                <w:rFonts w:hint="cs"/>
                <w:i/>
                <w:iCs/>
                <w:sz w:val="16"/>
                <w:szCs w:val="24"/>
                <w:rtl/>
                <w:lang w:val="en-GB"/>
              </w:rPr>
              <w:t>النسبة المئوية للإناث</w:t>
            </w:r>
          </w:p>
        </w:tc>
      </w:tr>
      <w:tr w:rsidR="00955676" w:rsidRPr="00BB4694">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442"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236"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339"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p>
        </w:tc>
      </w:tr>
      <w:tr w:rsidR="00955676" w:rsidRPr="00BB4694">
        <w:tblPrEx>
          <w:tblCellMar>
            <w:top w:w="0" w:type="dxa"/>
            <w:bottom w:w="0" w:type="dxa"/>
          </w:tblCellMar>
        </w:tblPrEx>
        <w:trPr>
          <w:cantSplit/>
        </w:trPr>
        <w:tc>
          <w:tcPr>
            <w:tcW w:w="2300" w:type="dxa"/>
            <w:shd w:val="clear" w:color="auto" w:fill="auto"/>
            <w:vAlign w:val="bottom"/>
          </w:tcPr>
          <w:p w:rsidR="00955676" w:rsidRPr="000D6F80"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كليات تدريب المعلمين</w:t>
            </w:r>
          </w:p>
        </w:tc>
        <w:tc>
          <w:tcPr>
            <w:tcW w:w="144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067 2</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023 1</w:t>
            </w:r>
          </w:p>
        </w:tc>
        <w:tc>
          <w:tcPr>
            <w:tcW w:w="133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090 3</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3.11</w:t>
            </w:r>
          </w:p>
        </w:tc>
      </w:tr>
      <w:tr w:rsidR="00955676" w:rsidRPr="00BB4694">
        <w:tblPrEx>
          <w:tblCellMar>
            <w:top w:w="0" w:type="dxa"/>
            <w:bottom w:w="0" w:type="dxa"/>
          </w:tblCellMar>
        </w:tblPrEx>
        <w:trPr>
          <w:cantSplit/>
        </w:trPr>
        <w:tc>
          <w:tcPr>
            <w:tcW w:w="2300"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 xml:space="preserve">كليات </w:t>
            </w:r>
            <w:r w:rsidR="00D162DD">
              <w:rPr>
                <w:rFonts w:hint="cs"/>
                <w:sz w:val="16"/>
                <w:szCs w:val="24"/>
                <w:rtl/>
                <w:lang w:val="en-GB"/>
              </w:rPr>
              <w:t>الفنون التقنية</w:t>
            </w:r>
          </w:p>
        </w:tc>
        <w:tc>
          <w:tcPr>
            <w:tcW w:w="144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866</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405</w:t>
            </w:r>
          </w:p>
        </w:tc>
        <w:tc>
          <w:tcPr>
            <w:tcW w:w="133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271 1</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31.86</w:t>
            </w:r>
          </w:p>
        </w:tc>
      </w:tr>
      <w:tr w:rsidR="00955676" w:rsidRPr="00BB4694">
        <w:tblPrEx>
          <w:tblCellMar>
            <w:top w:w="0" w:type="dxa"/>
            <w:bottom w:w="0" w:type="dxa"/>
          </w:tblCellMar>
        </w:tblPrEx>
        <w:trPr>
          <w:cantSplit/>
        </w:trPr>
        <w:tc>
          <w:tcPr>
            <w:tcW w:w="2300"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المدارس الثانوية</w:t>
            </w:r>
          </w:p>
        </w:tc>
        <w:tc>
          <w:tcPr>
            <w:tcW w:w="1442"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549 41</w:t>
            </w:r>
          </w:p>
        </w:tc>
        <w:tc>
          <w:tcPr>
            <w:tcW w:w="1236"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008 63</w:t>
            </w:r>
          </w:p>
        </w:tc>
        <w:tc>
          <w:tcPr>
            <w:tcW w:w="1339"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557 104</w:t>
            </w:r>
          </w:p>
        </w:tc>
        <w:tc>
          <w:tcPr>
            <w:tcW w:w="1003" w:type="dxa"/>
            <w:shd w:val="clear" w:color="auto" w:fill="auto"/>
            <w:vAlign w:val="bottom"/>
          </w:tcPr>
          <w:p w:rsidR="00955676" w:rsidRPr="00BB4694"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60.26</w:t>
            </w:r>
          </w:p>
        </w:tc>
      </w:tr>
      <w:tr w:rsidR="00955676" w:rsidRPr="00BB4694">
        <w:tblPrEx>
          <w:tblCellMar>
            <w:top w:w="0" w:type="dxa"/>
            <w:bottom w:w="0" w:type="dxa"/>
          </w:tblCellMar>
        </w:tblPrEx>
        <w:trPr>
          <w:cantSplit/>
        </w:trPr>
        <w:tc>
          <w:tcPr>
            <w:tcW w:w="2300"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المدارس الابتدائية</w:t>
            </w:r>
          </w:p>
        </w:tc>
        <w:tc>
          <w:tcPr>
            <w:tcW w:w="1442"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198 58</w:t>
            </w:r>
          </w:p>
        </w:tc>
        <w:tc>
          <w:tcPr>
            <w:tcW w:w="1236"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079 98</w:t>
            </w:r>
          </w:p>
        </w:tc>
        <w:tc>
          <w:tcPr>
            <w:tcW w:w="1339"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277 156</w:t>
            </w:r>
          </w:p>
        </w:tc>
        <w:tc>
          <w:tcPr>
            <w:tcW w:w="1003" w:type="dxa"/>
            <w:tcBorders>
              <w:bottom w:val="single" w:sz="12" w:space="0" w:color="auto"/>
            </w:tcBorders>
            <w:shd w:val="clear" w:color="auto" w:fill="auto"/>
            <w:vAlign w:val="bottom"/>
          </w:tcPr>
          <w:p w:rsidR="00955676" w:rsidRDefault="00955676" w:rsidP="00C43389">
            <w:pPr>
              <w:tabs>
                <w:tab w:val="left" w:pos="288"/>
                <w:tab w:val="left" w:pos="576"/>
                <w:tab w:val="left" w:pos="864"/>
                <w:tab w:val="left" w:pos="1152"/>
              </w:tabs>
              <w:spacing w:before="40" w:after="80" w:line="200" w:lineRule="exact"/>
              <w:ind w:left="170" w:right="144"/>
              <w:jc w:val="lowKashida"/>
              <w:rPr>
                <w:rFonts w:hint="cs"/>
                <w:sz w:val="16"/>
                <w:szCs w:val="24"/>
                <w:rtl/>
                <w:lang w:val="en-GB"/>
              </w:rPr>
            </w:pPr>
            <w:r>
              <w:rPr>
                <w:rFonts w:hint="cs"/>
                <w:sz w:val="16"/>
                <w:szCs w:val="24"/>
                <w:rtl/>
                <w:lang w:val="en-GB"/>
              </w:rPr>
              <w:t>62.76</w:t>
            </w:r>
          </w:p>
        </w:tc>
      </w:tr>
    </w:tbl>
    <w:p w:rsidR="00955676" w:rsidRPr="000D6F80" w:rsidRDefault="00955676" w:rsidP="00955676">
      <w:pPr>
        <w:pStyle w:val="SingleTxt"/>
        <w:spacing w:after="0" w:line="120" w:lineRule="exact"/>
        <w:rPr>
          <w:rFonts w:hint="cs"/>
          <w:sz w:val="10"/>
          <w:rtl/>
          <w:lang w:val="en-GB"/>
        </w:rPr>
      </w:pPr>
    </w:p>
    <w:p w:rsidR="00955676" w:rsidRDefault="00955676" w:rsidP="00955676">
      <w:pPr>
        <w:pStyle w:val="SingleTxt"/>
        <w:rPr>
          <w:rFonts w:hint="cs"/>
          <w:rtl/>
          <w:lang w:val="en-GB"/>
        </w:rPr>
      </w:pPr>
      <w:r>
        <w:rPr>
          <w:rFonts w:hint="cs"/>
          <w:rtl/>
          <w:lang w:val="en-GB"/>
        </w:rPr>
        <w:t xml:space="preserve">195 </w:t>
      </w:r>
      <w:r>
        <w:rPr>
          <w:rtl/>
          <w:lang w:val="en-GB"/>
        </w:rPr>
        <w:t>–</w:t>
      </w:r>
      <w:r>
        <w:rPr>
          <w:rFonts w:hint="cs"/>
          <w:rtl/>
          <w:lang w:val="en-GB"/>
        </w:rPr>
        <w:t xml:space="preserve">وبناء عليه، يبدو أن المرأة لا تواجه مشاكل في الحصول على وظائف في الرتب الدنيا أو الوسطى لكنها تواجه مشاكل في الحصول على مناصب عليا أو رئيسية حتى عندما تكون مؤهلة تأهيلا أفضل بصفة عامة من الرجل، حسبما هو مشار إليه في الجدول 10-21 الذي يبين توزيع المعلمين البالغ عددهم 834 260 معلما في </w:t>
      </w:r>
      <w:r w:rsidR="006D6A74">
        <w:rPr>
          <w:rFonts w:hint="cs"/>
          <w:rtl/>
          <w:lang w:val="en-GB"/>
        </w:rPr>
        <w:t>ا</w:t>
      </w:r>
      <w:r>
        <w:rPr>
          <w:rFonts w:hint="cs"/>
          <w:rtl/>
          <w:lang w:val="en-GB"/>
        </w:rPr>
        <w:t>لمدارس، بحسب المؤهلات الأكاديمية ونوع الجنس ويكشف حقيقة أن عدد المعلمات الحاملات لدرجة جامعية يفوق عدد المعلمين الحاملين لدرجة جامعية.</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10-21: توزيع المعلمي</w:t>
      </w:r>
      <w:r w:rsidR="00AB673A">
        <w:rPr>
          <w:rFonts w:hint="cs"/>
          <w:rtl/>
          <w:lang w:val="en-GB"/>
        </w:rPr>
        <w:t>ن بحسب المؤهلات الأكاديمية ونوع</w:t>
      </w:r>
      <w:r>
        <w:rPr>
          <w:rFonts w:hint="cs"/>
          <w:rtl/>
          <w:lang w:val="en-GB"/>
        </w:rPr>
        <w:t xml:space="preserve"> الجنس - </w:t>
      </w:r>
      <w:r>
        <w:rPr>
          <w:rtl/>
          <w:lang w:val="en-GB"/>
        </w:rPr>
        <w:t xml:space="preserve">حزيران/يونيه </w:t>
      </w:r>
      <w:r>
        <w:rPr>
          <w:rFonts w:hint="cs"/>
          <w:rtl/>
          <w:lang w:val="en-GB"/>
        </w:rPr>
        <w:t>1998</w:t>
      </w:r>
    </w:p>
    <w:p w:rsidR="00955676" w:rsidRPr="002674EF" w:rsidRDefault="00955676" w:rsidP="00955676">
      <w:pPr>
        <w:pStyle w:val="SingleTxt"/>
        <w:spacing w:after="0" w:line="120" w:lineRule="exact"/>
        <w:rPr>
          <w:rFonts w:hint="cs"/>
          <w:sz w:val="10"/>
          <w:rtl/>
          <w:lang w:val="en-GB"/>
        </w:rPr>
      </w:pPr>
    </w:p>
    <w:tbl>
      <w:tblPr>
        <w:bidiVisual/>
        <w:tblW w:w="9845" w:type="dxa"/>
        <w:jc w:val="center"/>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955676" w:rsidRPr="00E57DA3">
        <w:tblPrEx>
          <w:tblCellMar>
            <w:top w:w="0" w:type="dxa"/>
            <w:bottom w:w="0" w:type="dxa"/>
          </w:tblCellMar>
        </w:tblPrEx>
        <w:trPr>
          <w:cantSplit/>
          <w:tblHeader/>
          <w:jc w:val="center"/>
        </w:trPr>
        <w:tc>
          <w:tcPr>
            <w:tcW w:w="895" w:type="dxa"/>
            <w:tcBorders>
              <w:top w:val="single" w:sz="4" w:space="0" w:color="auto"/>
            </w:tcBorders>
            <w:shd w:val="clear" w:color="auto" w:fill="auto"/>
            <w:tcMar>
              <w:left w:w="0" w:type="dxa"/>
              <w:right w:w="0" w:type="dxa"/>
            </w:tcMar>
            <w:vAlign w:val="bottom"/>
          </w:tcPr>
          <w:p w:rsidR="00955676" w:rsidRPr="00E42225" w:rsidRDefault="00955676" w:rsidP="00C43389">
            <w:pPr>
              <w:spacing w:before="80" w:after="80" w:line="240" w:lineRule="exact"/>
              <w:ind w:left="57" w:right="57"/>
              <w:rPr>
                <w:rFonts w:hint="cs"/>
                <w:i/>
                <w:iCs/>
                <w:szCs w:val="20"/>
                <w:rtl/>
                <w:lang w:val="en-GB"/>
              </w:rPr>
            </w:pPr>
          </w:p>
        </w:tc>
        <w:tc>
          <w:tcPr>
            <w:tcW w:w="3580" w:type="dxa"/>
            <w:gridSpan w:val="4"/>
            <w:tcBorders>
              <w:top w:val="single" w:sz="4" w:space="0" w:color="auto"/>
            </w:tcBorders>
            <w:shd w:val="clear" w:color="auto" w:fill="auto"/>
            <w:vAlign w:val="bottom"/>
          </w:tcPr>
          <w:p w:rsidR="00955676" w:rsidRPr="00E42225" w:rsidRDefault="00955676" w:rsidP="00C43389">
            <w:pPr>
              <w:spacing w:before="80" w:after="80" w:line="240" w:lineRule="exact"/>
              <w:ind w:left="57" w:right="144"/>
              <w:jc w:val="lowKashida"/>
              <w:rPr>
                <w:rFonts w:hint="cs"/>
                <w:i/>
                <w:iCs/>
                <w:szCs w:val="20"/>
                <w:rtl/>
                <w:lang w:val="en-GB"/>
              </w:rPr>
            </w:pPr>
            <w:r w:rsidRPr="00E42225">
              <w:rPr>
                <w:rFonts w:hint="cs"/>
                <w:i/>
                <w:iCs/>
                <w:szCs w:val="20"/>
                <w:rtl/>
                <w:lang w:val="en-GB"/>
              </w:rPr>
              <w:t>المدارس الابتدائية</w:t>
            </w:r>
          </w:p>
        </w:tc>
        <w:tc>
          <w:tcPr>
            <w:tcW w:w="3580" w:type="dxa"/>
            <w:gridSpan w:val="4"/>
            <w:tcBorders>
              <w:top w:val="single" w:sz="4" w:space="0" w:color="auto"/>
            </w:tcBorders>
            <w:shd w:val="clear" w:color="auto" w:fill="auto"/>
            <w:vAlign w:val="bottom"/>
          </w:tcPr>
          <w:p w:rsidR="00955676" w:rsidRPr="00E42225" w:rsidRDefault="00955676" w:rsidP="00C43389">
            <w:pPr>
              <w:spacing w:before="80" w:after="80" w:line="240" w:lineRule="exact"/>
              <w:ind w:left="57" w:right="144"/>
              <w:jc w:val="lowKashida"/>
              <w:rPr>
                <w:rFonts w:hint="cs"/>
                <w:i/>
                <w:iCs/>
                <w:szCs w:val="20"/>
                <w:rtl/>
                <w:lang w:val="en-GB"/>
              </w:rPr>
            </w:pPr>
            <w:r w:rsidRPr="00E42225">
              <w:rPr>
                <w:rFonts w:hint="cs"/>
                <w:i/>
                <w:iCs/>
                <w:szCs w:val="20"/>
                <w:rtl/>
                <w:lang w:val="en-GB"/>
              </w:rPr>
              <w:t>المدارس الثانوية</w:t>
            </w:r>
          </w:p>
        </w:tc>
        <w:tc>
          <w:tcPr>
            <w:tcW w:w="1790" w:type="dxa"/>
            <w:gridSpan w:val="2"/>
            <w:tcBorders>
              <w:top w:val="single" w:sz="4" w:space="0" w:color="auto"/>
            </w:tcBorders>
            <w:shd w:val="clear" w:color="auto" w:fill="auto"/>
            <w:vAlign w:val="bottom"/>
          </w:tcPr>
          <w:p w:rsidR="00955676" w:rsidRPr="00E42225" w:rsidRDefault="00955676" w:rsidP="00C43389">
            <w:pPr>
              <w:spacing w:before="80" w:after="80" w:line="240" w:lineRule="exact"/>
              <w:ind w:left="57" w:right="144"/>
              <w:jc w:val="lowKashida"/>
              <w:rPr>
                <w:rFonts w:hint="cs"/>
                <w:i/>
                <w:iCs/>
                <w:szCs w:val="20"/>
                <w:rtl/>
                <w:lang w:val="en-GB"/>
              </w:rPr>
            </w:pPr>
            <w:r w:rsidRPr="00E42225">
              <w:rPr>
                <w:rFonts w:hint="cs"/>
                <w:i/>
                <w:iCs/>
                <w:szCs w:val="20"/>
                <w:rtl/>
                <w:lang w:val="en-GB"/>
              </w:rPr>
              <w:t>المجموع</w:t>
            </w:r>
          </w:p>
        </w:tc>
      </w:tr>
      <w:tr w:rsidR="00955676" w:rsidRPr="00E57DA3">
        <w:tblPrEx>
          <w:tblCellMar>
            <w:top w:w="0" w:type="dxa"/>
            <w:bottom w:w="0" w:type="dxa"/>
          </w:tblCellMar>
        </w:tblPrEx>
        <w:trPr>
          <w:cantSplit/>
          <w:tblHeader/>
          <w:jc w:val="center"/>
        </w:trPr>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57"/>
              <w:rPr>
                <w:rFonts w:hint="cs"/>
                <w:i/>
                <w:iCs/>
                <w:szCs w:val="20"/>
                <w:rtl/>
                <w:lang w:val="en-GB"/>
              </w:rPr>
            </w:pP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الذكور</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الإناث</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المجموع</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النسبة المئوية للإناث</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الذكور</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الإناث</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المجموع</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النسبة المئوية للإناث</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العدد</w:t>
            </w:r>
          </w:p>
        </w:tc>
        <w:tc>
          <w:tcPr>
            <w:tcW w:w="895" w:type="dxa"/>
            <w:tcBorders>
              <w:bottom w:val="single" w:sz="12" w:space="0" w:color="auto"/>
            </w:tcBorders>
            <w:shd w:val="clear" w:color="auto" w:fill="auto"/>
            <w:vAlign w:val="bottom"/>
          </w:tcPr>
          <w:p w:rsidR="00955676" w:rsidRPr="00E42225" w:rsidRDefault="00955676" w:rsidP="00C43389">
            <w:pPr>
              <w:spacing w:after="80" w:line="240" w:lineRule="exact"/>
              <w:ind w:left="57" w:right="144"/>
              <w:jc w:val="lowKashida"/>
              <w:rPr>
                <w:rFonts w:hint="cs"/>
                <w:i/>
                <w:iCs/>
                <w:szCs w:val="20"/>
                <w:rtl/>
                <w:lang w:val="en-GB"/>
              </w:rPr>
            </w:pPr>
            <w:r w:rsidRPr="00E42225">
              <w:rPr>
                <w:rFonts w:hint="cs"/>
                <w:i/>
                <w:iCs/>
                <w:szCs w:val="20"/>
                <w:rtl/>
                <w:lang w:val="en-GB"/>
              </w:rPr>
              <w:t>النسبة المئوية للإناث</w:t>
            </w:r>
          </w:p>
        </w:tc>
      </w:tr>
      <w:tr w:rsidR="00955676" w:rsidRPr="00E57DA3">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c>
          <w:tcPr>
            <w:tcW w:w="895" w:type="dxa"/>
            <w:tcBorders>
              <w:top w:val="single" w:sz="12" w:space="0" w:color="auto"/>
            </w:tcBorders>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p>
        </w:tc>
      </w:tr>
      <w:tr w:rsidR="00955676" w:rsidRPr="00E57DA3">
        <w:tblPrEx>
          <w:tblCellMar>
            <w:top w:w="0" w:type="dxa"/>
            <w:bottom w:w="0" w:type="dxa"/>
          </w:tblCellMar>
        </w:tblPrEx>
        <w:trPr>
          <w:cantSplit/>
          <w:jc w:val="center"/>
        </w:trPr>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الحائزون على درجة جامعية</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16</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13</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29</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44.83</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481 21</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473 38</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954 59</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64.17</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983 59</w:t>
            </w:r>
          </w:p>
        </w:tc>
        <w:tc>
          <w:tcPr>
            <w:tcW w:w="895" w:type="dxa"/>
            <w:shd w:val="clear" w:color="auto" w:fill="auto"/>
            <w:vAlign w:val="bottom"/>
          </w:tcPr>
          <w:p w:rsidR="00955676" w:rsidRPr="00E42225" w:rsidRDefault="00955676" w:rsidP="00C43389">
            <w:pPr>
              <w:spacing w:before="40" w:after="80" w:line="240" w:lineRule="exact"/>
              <w:ind w:left="57" w:right="144"/>
              <w:jc w:val="lowKashida"/>
              <w:rPr>
                <w:rFonts w:hint="cs"/>
                <w:szCs w:val="20"/>
                <w:rtl/>
                <w:lang w:val="en-GB"/>
              </w:rPr>
            </w:pPr>
            <w:r w:rsidRPr="00E42225">
              <w:rPr>
                <w:rFonts w:hint="cs"/>
                <w:szCs w:val="20"/>
                <w:rtl/>
                <w:lang w:val="en-GB"/>
              </w:rPr>
              <w:t>64.16</w:t>
            </w:r>
          </w:p>
        </w:tc>
      </w:tr>
      <w:tr w:rsidR="00955676" w:rsidRPr="00E57DA3">
        <w:tblPrEx>
          <w:tblCellMar>
            <w:top w:w="0" w:type="dxa"/>
            <w:bottom w:w="0" w:type="dxa"/>
          </w:tblCellMar>
        </w:tblPrEx>
        <w:trPr>
          <w:cantSplit/>
          <w:jc w:val="center"/>
        </w:trPr>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الحائزون على دبلومات</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544</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817</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361 1</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60.03</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492 1</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235 3</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727 4</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68.44</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088 6</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66.56</w:t>
            </w:r>
          </w:p>
        </w:tc>
      </w:tr>
      <w:tr w:rsidR="00955676" w:rsidRPr="00E57DA3">
        <w:tblPrEx>
          <w:tblCellMar>
            <w:top w:w="0" w:type="dxa"/>
            <w:bottom w:w="0" w:type="dxa"/>
          </w:tblCellMar>
        </w:tblPrEx>
        <w:trPr>
          <w:cantSplit/>
          <w:jc w:val="center"/>
        </w:trPr>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الحائزون على شهادات</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638 57</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249 97</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887 154</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62.79</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576 18</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300 21</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876 39</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53.42</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763 194</w:t>
            </w:r>
          </w:p>
        </w:tc>
        <w:tc>
          <w:tcPr>
            <w:tcW w:w="895" w:type="dxa"/>
            <w:shd w:val="clear" w:color="auto" w:fill="auto"/>
            <w:vAlign w:val="bottom"/>
          </w:tcPr>
          <w:p w:rsidR="00955676" w:rsidRPr="00E42225" w:rsidRDefault="00955676" w:rsidP="00C43389">
            <w:pPr>
              <w:spacing w:before="40" w:after="80" w:line="240" w:lineRule="exact"/>
              <w:ind w:left="57" w:right="57"/>
              <w:rPr>
                <w:rFonts w:hint="cs"/>
                <w:szCs w:val="20"/>
                <w:rtl/>
                <w:lang w:val="en-GB"/>
              </w:rPr>
            </w:pPr>
            <w:r w:rsidRPr="00E42225">
              <w:rPr>
                <w:rFonts w:hint="cs"/>
                <w:szCs w:val="20"/>
                <w:rtl/>
                <w:lang w:val="en-GB"/>
              </w:rPr>
              <w:t>60.87</w:t>
            </w:r>
          </w:p>
        </w:tc>
      </w:tr>
      <w:tr w:rsidR="00955676" w:rsidRPr="00E57DA3">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المجموع</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198 58</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079 98</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277 156</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62.76</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549 41</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008 63</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557 104</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60.26</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834 260</w:t>
            </w:r>
          </w:p>
        </w:tc>
        <w:tc>
          <w:tcPr>
            <w:tcW w:w="895" w:type="dxa"/>
            <w:tcBorders>
              <w:bottom w:val="single" w:sz="12" w:space="0" w:color="auto"/>
            </w:tcBorders>
            <w:shd w:val="clear" w:color="auto" w:fill="auto"/>
            <w:vAlign w:val="bottom"/>
          </w:tcPr>
          <w:p w:rsidR="00955676" w:rsidRPr="00E42225" w:rsidRDefault="00955676" w:rsidP="00C43389">
            <w:pPr>
              <w:spacing w:before="40" w:after="80" w:line="240" w:lineRule="exact"/>
              <w:ind w:left="57" w:right="57"/>
              <w:rPr>
                <w:rFonts w:hint="cs"/>
                <w:b/>
                <w:bCs/>
                <w:szCs w:val="20"/>
                <w:rtl/>
                <w:lang w:val="en-GB"/>
              </w:rPr>
            </w:pPr>
            <w:r w:rsidRPr="00E42225">
              <w:rPr>
                <w:rFonts w:hint="cs"/>
                <w:b/>
                <w:bCs/>
                <w:szCs w:val="20"/>
                <w:rtl/>
                <w:lang w:val="en-GB"/>
              </w:rPr>
              <w:t>61.76</w:t>
            </w:r>
          </w:p>
        </w:tc>
      </w:tr>
    </w:tbl>
    <w:p w:rsidR="00955676" w:rsidRPr="00E42225" w:rsidRDefault="00955676" w:rsidP="00955676">
      <w:pPr>
        <w:pStyle w:val="SingleTxt"/>
        <w:spacing w:after="0" w:line="120" w:lineRule="exact"/>
        <w:rPr>
          <w:rFonts w:hint="cs"/>
          <w:sz w:val="10"/>
          <w:rtl/>
          <w:lang w:val="en-GB"/>
        </w:rPr>
      </w:pPr>
    </w:p>
    <w:p w:rsidR="00955676" w:rsidRDefault="00955676" w:rsidP="00AB673A">
      <w:pPr>
        <w:pStyle w:val="SingleTxt"/>
        <w:rPr>
          <w:rFonts w:hint="cs"/>
          <w:rtl/>
          <w:lang w:val="en-GB"/>
        </w:rPr>
      </w:pPr>
      <w:r>
        <w:rPr>
          <w:rFonts w:hint="cs"/>
          <w:rtl/>
          <w:lang w:val="en-GB"/>
        </w:rPr>
        <w:t>196 -</w:t>
      </w:r>
      <w:r>
        <w:rPr>
          <w:rFonts w:hint="cs"/>
          <w:rtl/>
          <w:lang w:val="en-GB"/>
        </w:rPr>
        <w:tab/>
        <w:t>تعتبر المعلمات، بصفة عامة، مبتد</w:t>
      </w:r>
      <w:r w:rsidR="00AB673A">
        <w:rPr>
          <w:rFonts w:hint="cs"/>
          <w:rtl/>
          <w:lang w:val="en-GB"/>
        </w:rPr>
        <w:t>ئا</w:t>
      </w:r>
      <w:r>
        <w:rPr>
          <w:rFonts w:hint="cs"/>
          <w:rtl/>
          <w:lang w:val="en-GB"/>
        </w:rPr>
        <w:t>ت في الخدمة بالمقارنة مع المعلمين. وباستخدام ولاية جوهور كمثال، يتضح من البيانات المتعلقة بمعلمي المدارس الابتدائية أن النساء شكلن في عام 1998 نسبة 70.5 في المائة من الذين تصل مدة خدمتهم إلى ثلاثة سنوات</w:t>
      </w:r>
      <w:r w:rsidR="00AB673A">
        <w:rPr>
          <w:rFonts w:hint="cs"/>
          <w:rtl/>
          <w:lang w:val="en-GB"/>
        </w:rPr>
        <w:t xml:space="preserve"> أ</w:t>
      </w:r>
      <w:r>
        <w:rPr>
          <w:rFonts w:hint="cs"/>
          <w:rtl/>
          <w:lang w:val="en-GB"/>
        </w:rPr>
        <w:t>و</w:t>
      </w:r>
      <w:r w:rsidR="00AB673A">
        <w:rPr>
          <w:rFonts w:hint="cs"/>
          <w:rtl/>
          <w:lang w:val="en-GB"/>
        </w:rPr>
        <w:t xml:space="preserve"> </w:t>
      </w:r>
      <w:r>
        <w:rPr>
          <w:rFonts w:hint="cs"/>
          <w:rtl/>
          <w:lang w:val="en-GB"/>
        </w:rPr>
        <w:t>أقل من ذلك ولكن شكلن نسبة 37.8 في المائة فقط من الذين تصل مدة خدمتهم إلى 34 سنة أو أكثر. ويتكرر هذا النمط في المدارس الثانوية. وهذا يوضح جزئيا سبب قلة عدد مديرات المدارس نسبيا بالنظر إلى أن الاختيار في هذا المنصب يستند أساسا إلى الأقدمية في الخدمة.</w:t>
      </w:r>
    </w:p>
    <w:p w:rsidR="00955676" w:rsidRPr="00E42225"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 xml:space="preserve">الجدول 10-22: توزيع المعلمين بحسب سنوات الخدمة ونوع الجنس </w:t>
      </w:r>
      <w:r>
        <w:rPr>
          <w:rtl/>
          <w:lang w:val="en-GB"/>
        </w:rPr>
        <w:t>–</w:t>
      </w:r>
      <w:r>
        <w:rPr>
          <w:rFonts w:hint="cs"/>
          <w:rtl/>
          <w:lang w:val="en-GB"/>
        </w:rPr>
        <w:t xml:space="preserve"> ولاية جوهور، 1998</w:t>
      </w:r>
    </w:p>
    <w:p w:rsidR="00955676" w:rsidRPr="00E42225" w:rsidRDefault="00955676" w:rsidP="00955676">
      <w:pPr>
        <w:pStyle w:val="SingleTxt"/>
        <w:spacing w:after="0" w:line="120" w:lineRule="exact"/>
        <w:rPr>
          <w:rFonts w:hint="cs"/>
          <w:sz w:val="10"/>
          <w:rtl/>
          <w:lang w:val="en-GB"/>
        </w:rPr>
      </w:pPr>
    </w:p>
    <w:tbl>
      <w:tblPr>
        <w:bidiVisual/>
        <w:tblW w:w="9846" w:type="dxa"/>
        <w:jc w:val="center"/>
        <w:tblLayout w:type="fixed"/>
        <w:tblCellMar>
          <w:left w:w="0" w:type="dxa"/>
          <w:right w:w="0" w:type="dxa"/>
        </w:tblCellMar>
        <w:tblLook w:val="0000" w:firstRow="0" w:lastRow="0" w:firstColumn="0" w:lastColumn="0" w:noHBand="0" w:noVBand="0"/>
      </w:tblPr>
      <w:tblGrid>
        <w:gridCol w:w="1505"/>
        <w:gridCol w:w="1030"/>
        <w:gridCol w:w="1030"/>
        <w:gridCol w:w="1133"/>
        <w:gridCol w:w="1030"/>
        <w:gridCol w:w="927"/>
        <w:gridCol w:w="1003"/>
        <w:gridCol w:w="1094"/>
        <w:gridCol w:w="1094"/>
      </w:tblGrid>
      <w:tr w:rsidR="00955676" w:rsidRPr="00E42225">
        <w:tblPrEx>
          <w:tblCellMar>
            <w:top w:w="0" w:type="dxa"/>
            <w:bottom w:w="0" w:type="dxa"/>
          </w:tblCellMar>
        </w:tblPrEx>
        <w:trPr>
          <w:cantSplit/>
          <w:tblHeader/>
          <w:jc w:val="center"/>
        </w:trPr>
        <w:tc>
          <w:tcPr>
            <w:tcW w:w="1505" w:type="dxa"/>
            <w:tcBorders>
              <w:top w:val="single" w:sz="4" w:space="0" w:color="auto"/>
            </w:tcBorders>
            <w:shd w:val="clear" w:color="auto" w:fill="auto"/>
            <w:tcMar>
              <w:left w:w="0" w:type="dxa"/>
              <w:right w:w="0" w:type="dxa"/>
            </w:tcMar>
            <w:vAlign w:val="bottom"/>
          </w:tcPr>
          <w:p w:rsidR="00955676" w:rsidRPr="00E42225" w:rsidRDefault="00955676" w:rsidP="00C43389">
            <w:pPr>
              <w:spacing w:before="80" w:after="80" w:line="240" w:lineRule="exact"/>
              <w:ind w:left="170" w:right="170"/>
              <w:rPr>
                <w:rFonts w:hint="cs"/>
                <w:i/>
                <w:iCs/>
                <w:sz w:val="16"/>
                <w:szCs w:val="24"/>
                <w:rtl/>
                <w:lang w:val="en-GB"/>
              </w:rPr>
            </w:pPr>
          </w:p>
        </w:tc>
        <w:tc>
          <w:tcPr>
            <w:tcW w:w="4223" w:type="dxa"/>
            <w:gridSpan w:val="4"/>
            <w:tcBorders>
              <w:top w:val="single" w:sz="4" w:space="0" w:color="auto"/>
            </w:tcBorders>
            <w:shd w:val="clear" w:color="auto" w:fill="auto"/>
            <w:vAlign w:val="bottom"/>
          </w:tcPr>
          <w:p w:rsidR="00955676" w:rsidRPr="00E42225" w:rsidRDefault="00955676" w:rsidP="00C43389">
            <w:pPr>
              <w:spacing w:before="80" w:after="80" w:line="240" w:lineRule="exact"/>
              <w:ind w:left="170" w:right="144"/>
              <w:jc w:val="center"/>
              <w:rPr>
                <w:rFonts w:hint="cs"/>
                <w:i/>
                <w:iCs/>
                <w:sz w:val="16"/>
                <w:szCs w:val="24"/>
                <w:rtl/>
                <w:lang w:val="en-GB"/>
              </w:rPr>
            </w:pPr>
            <w:r w:rsidRPr="00E42225">
              <w:rPr>
                <w:rFonts w:hint="cs"/>
                <w:i/>
                <w:iCs/>
                <w:sz w:val="16"/>
                <w:szCs w:val="24"/>
                <w:rtl/>
                <w:lang w:val="en-GB"/>
              </w:rPr>
              <w:t>المدارس الابتدائية</w:t>
            </w:r>
          </w:p>
        </w:tc>
        <w:tc>
          <w:tcPr>
            <w:tcW w:w="4118" w:type="dxa"/>
            <w:gridSpan w:val="4"/>
            <w:tcBorders>
              <w:top w:val="single" w:sz="4" w:space="0" w:color="auto"/>
            </w:tcBorders>
            <w:shd w:val="clear" w:color="auto" w:fill="auto"/>
            <w:vAlign w:val="bottom"/>
          </w:tcPr>
          <w:p w:rsidR="00955676" w:rsidRPr="00E42225" w:rsidRDefault="00955676" w:rsidP="00C43389">
            <w:pPr>
              <w:spacing w:before="80" w:after="80" w:line="240" w:lineRule="exact"/>
              <w:ind w:left="170" w:right="144"/>
              <w:jc w:val="center"/>
              <w:rPr>
                <w:rFonts w:hint="cs"/>
                <w:i/>
                <w:iCs/>
                <w:sz w:val="16"/>
                <w:szCs w:val="24"/>
                <w:rtl/>
                <w:lang w:val="en-GB"/>
              </w:rPr>
            </w:pPr>
            <w:r w:rsidRPr="00E42225">
              <w:rPr>
                <w:rFonts w:hint="cs"/>
                <w:i/>
                <w:iCs/>
                <w:sz w:val="16"/>
                <w:szCs w:val="24"/>
                <w:rtl/>
                <w:lang w:val="en-GB"/>
              </w:rPr>
              <w:t>المدارس الثانوية</w:t>
            </w:r>
          </w:p>
        </w:tc>
      </w:tr>
      <w:tr w:rsidR="00955676" w:rsidRPr="00E42225">
        <w:tblPrEx>
          <w:tblCellMar>
            <w:top w:w="0" w:type="dxa"/>
            <w:bottom w:w="0" w:type="dxa"/>
          </w:tblCellMar>
        </w:tblPrEx>
        <w:trPr>
          <w:cantSplit/>
          <w:tblHeader/>
          <w:jc w:val="center"/>
        </w:trPr>
        <w:tc>
          <w:tcPr>
            <w:tcW w:w="1505" w:type="dxa"/>
            <w:tcBorders>
              <w:bottom w:val="single" w:sz="12" w:space="0" w:color="auto"/>
            </w:tcBorders>
            <w:shd w:val="clear" w:color="auto" w:fill="auto"/>
            <w:vAlign w:val="bottom"/>
          </w:tcPr>
          <w:p w:rsidR="00955676" w:rsidRPr="00E42225" w:rsidRDefault="00955676" w:rsidP="00C43389">
            <w:pPr>
              <w:spacing w:after="80" w:line="240" w:lineRule="exact"/>
              <w:ind w:left="170" w:right="170"/>
              <w:rPr>
                <w:rFonts w:hint="cs"/>
                <w:i/>
                <w:iCs/>
                <w:sz w:val="16"/>
                <w:szCs w:val="24"/>
                <w:rtl/>
                <w:lang w:val="en-GB"/>
              </w:rPr>
            </w:pPr>
            <w:r w:rsidRPr="00E42225">
              <w:rPr>
                <w:rFonts w:hint="cs"/>
                <w:i/>
                <w:iCs/>
                <w:sz w:val="16"/>
                <w:szCs w:val="24"/>
                <w:rtl/>
                <w:lang w:val="en-GB"/>
              </w:rPr>
              <w:t>سنوات الخدمة</w:t>
            </w:r>
          </w:p>
        </w:tc>
        <w:tc>
          <w:tcPr>
            <w:tcW w:w="1030"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الذكور</w:t>
            </w:r>
          </w:p>
        </w:tc>
        <w:tc>
          <w:tcPr>
            <w:tcW w:w="1030"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الإناث</w:t>
            </w:r>
          </w:p>
        </w:tc>
        <w:tc>
          <w:tcPr>
            <w:tcW w:w="1133"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المجموع</w:t>
            </w:r>
          </w:p>
        </w:tc>
        <w:tc>
          <w:tcPr>
            <w:tcW w:w="1030"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النسبة المئوية للإناث</w:t>
            </w:r>
          </w:p>
        </w:tc>
        <w:tc>
          <w:tcPr>
            <w:tcW w:w="927"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الذكور</w:t>
            </w:r>
          </w:p>
        </w:tc>
        <w:tc>
          <w:tcPr>
            <w:tcW w:w="1003"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الإناث</w:t>
            </w:r>
          </w:p>
        </w:tc>
        <w:tc>
          <w:tcPr>
            <w:tcW w:w="1094"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المجموع</w:t>
            </w:r>
          </w:p>
        </w:tc>
        <w:tc>
          <w:tcPr>
            <w:tcW w:w="1094" w:type="dxa"/>
            <w:tcBorders>
              <w:bottom w:val="single" w:sz="12" w:space="0" w:color="auto"/>
            </w:tcBorders>
            <w:shd w:val="clear" w:color="auto" w:fill="auto"/>
            <w:vAlign w:val="bottom"/>
          </w:tcPr>
          <w:p w:rsidR="00955676" w:rsidRPr="00E42225" w:rsidRDefault="00955676" w:rsidP="00C43389">
            <w:pPr>
              <w:spacing w:after="80" w:line="240" w:lineRule="exact"/>
              <w:ind w:left="170" w:right="144"/>
              <w:jc w:val="lowKashida"/>
              <w:rPr>
                <w:rFonts w:hint="cs"/>
                <w:i/>
                <w:iCs/>
                <w:sz w:val="16"/>
                <w:szCs w:val="24"/>
                <w:rtl/>
                <w:lang w:val="en-GB"/>
              </w:rPr>
            </w:pPr>
            <w:r w:rsidRPr="00E42225">
              <w:rPr>
                <w:rFonts w:hint="cs"/>
                <w:i/>
                <w:iCs/>
                <w:sz w:val="16"/>
                <w:szCs w:val="24"/>
                <w:rtl/>
                <w:lang w:val="en-GB"/>
              </w:rPr>
              <w:t>النسبة المئوية للإناث</w:t>
            </w:r>
          </w:p>
        </w:tc>
      </w:tr>
      <w:tr w:rsidR="00955676" w:rsidRPr="00E42225">
        <w:tblPrEx>
          <w:tblCellMar>
            <w:top w:w="0" w:type="dxa"/>
            <w:bottom w:w="0" w:type="dxa"/>
          </w:tblCellMar>
        </w:tblPrEx>
        <w:trPr>
          <w:cantSplit/>
          <w:trHeight w:hRule="exact" w:val="115"/>
          <w:tblHeader/>
          <w:jc w:val="center"/>
        </w:trPr>
        <w:tc>
          <w:tcPr>
            <w:tcW w:w="1505"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p>
        </w:tc>
        <w:tc>
          <w:tcPr>
            <w:tcW w:w="1030"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030"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133"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030"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927"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003"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094"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c>
          <w:tcPr>
            <w:tcW w:w="1094" w:type="dxa"/>
            <w:tcBorders>
              <w:top w:val="single" w:sz="12" w:space="0" w:color="auto"/>
            </w:tcBorders>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أقل من 3 سنوات</w:t>
            </w:r>
          </w:p>
        </w:tc>
        <w:tc>
          <w:tcPr>
            <w:tcW w:w="1030"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056 1</w:t>
            </w:r>
          </w:p>
        </w:tc>
        <w:tc>
          <w:tcPr>
            <w:tcW w:w="1030"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521 2</w:t>
            </w:r>
          </w:p>
        </w:tc>
        <w:tc>
          <w:tcPr>
            <w:tcW w:w="1133"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577 3</w:t>
            </w:r>
          </w:p>
        </w:tc>
        <w:tc>
          <w:tcPr>
            <w:tcW w:w="1030"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70.48</w:t>
            </w:r>
          </w:p>
        </w:tc>
        <w:tc>
          <w:tcPr>
            <w:tcW w:w="927"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573</w:t>
            </w:r>
          </w:p>
        </w:tc>
        <w:tc>
          <w:tcPr>
            <w:tcW w:w="1003"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844 1</w:t>
            </w:r>
          </w:p>
        </w:tc>
        <w:tc>
          <w:tcPr>
            <w:tcW w:w="1094"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417 2</w:t>
            </w:r>
          </w:p>
        </w:tc>
        <w:tc>
          <w:tcPr>
            <w:tcW w:w="1094" w:type="dxa"/>
            <w:shd w:val="clear" w:color="auto" w:fill="auto"/>
            <w:vAlign w:val="bottom"/>
          </w:tcPr>
          <w:p w:rsidR="00955676" w:rsidRPr="00E42225" w:rsidRDefault="00955676" w:rsidP="00C43389">
            <w:pPr>
              <w:spacing w:before="40" w:after="80" w:line="240" w:lineRule="exact"/>
              <w:ind w:left="170" w:right="144"/>
              <w:jc w:val="lowKashida"/>
              <w:rPr>
                <w:rFonts w:hint="cs"/>
                <w:sz w:val="16"/>
                <w:szCs w:val="24"/>
                <w:rtl/>
                <w:lang w:val="en-GB"/>
              </w:rPr>
            </w:pPr>
            <w:r>
              <w:rPr>
                <w:rFonts w:hint="cs"/>
                <w:sz w:val="16"/>
                <w:szCs w:val="24"/>
                <w:rtl/>
                <w:lang w:val="en-GB"/>
              </w:rPr>
              <w:t>76.29</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4-6</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987</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977 1</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964 2</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66.70</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415</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111 1</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526 1</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72.80</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7-9</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448</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916</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364 1</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67.16</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421</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677</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098 1</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61.66</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10-12</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680</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244 1</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924 1</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64.66</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367</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488</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855</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57.08</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13-15</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283</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646</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929</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69.54</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323</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418</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741</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56.41</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16-18</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257</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457</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714</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64.01</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399</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395</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794</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49.75</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19-21</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400</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523</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923</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56.66</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467</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490</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957</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51.20</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22-24</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328</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403</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731</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55.13</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412</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334</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746</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44.77</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25-27</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151</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275</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426</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63.55</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179</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163</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342</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47.66</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28-30</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109</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171</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280</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61.07</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90</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75</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165</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45.45</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31-33</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353</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247</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600</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41.17</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218</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108</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326</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33.13</w:t>
            </w:r>
          </w:p>
        </w:tc>
      </w:tr>
      <w:tr w:rsidR="00955676" w:rsidRPr="00E42225">
        <w:tblPrEx>
          <w:tblCellMar>
            <w:top w:w="0" w:type="dxa"/>
            <w:bottom w:w="0" w:type="dxa"/>
          </w:tblCellMar>
        </w:tblPrEx>
        <w:trPr>
          <w:cantSplit/>
          <w:jc w:val="center"/>
        </w:trPr>
        <w:tc>
          <w:tcPr>
            <w:tcW w:w="1505"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أكثر من 34 سنة</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217</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132</w:t>
            </w:r>
          </w:p>
        </w:tc>
        <w:tc>
          <w:tcPr>
            <w:tcW w:w="113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349</w:t>
            </w:r>
          </w:p>
        </w:tc>
        <w:tc>
          <w:tcPr>
            <w:tcW w:w="1030"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37.82</w:t>
            </w:r>
          </w:p>
        </w:tc>
        <w:tc>
          <w:tcPr>
            <w:tcW w:w="927"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57</w:t>
            </w:r>
          </w:p>
        </w:tc>
        <w:tc>
          <w:tcPr>
            <w:tcW w:w="1003"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33</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90</w:t>
            </w:r>
          </w:p>
        </w:tc>
        <w:tc>
          <w:tcPr>
            <w:tcW w:w="1094" w:type="dxa"/>
            <w:shd w:val="clear" w:color="auto" w:fill="auto"/>
            <w:vAlign w:val="bottom"/>
          </w:tcPr>
          <w:p w:rsidR="00955676" w:rsidRPr="00E42225" w:rsidRDefault="00955676" w:rsidP="00C43389">
            <w:pPr>
              <w:spacing w:before="40" w:after="80" w:line="240" w:lineRule="exact"/>
              <w:ind w:left="170" w:right="170"/>
              <w:rPr>
                <w:rFonts w:hint="cs"/>
                <w:sz w:val="16"/>
                <w:szCs w:val="24"/>
                <w:rtl/>
                <w:lang w:val="en-GB"/>
              </w:rPr>
            </w:pPr>
            <w:r>
              <w:rPr>
                <w:rFonts w:hint="cs"/>
                <w:sz w:val="16"/>
                <w:szCs w:val="24"/>
                <w:rtl/>
                <w:lang w:val="en-GB"/>
              </w:rPr>
              <w:t>36.67</w:t>
            </w:r>
          </w:p>
        </w:tc>
      </w:tr>
      <w:tr w:rsidR="00955676" w:rsidRPr="00E42225">
        <w:tblPrEx>
          <w:tblCellMar>
            <w:top w:w="0" w:type="dxa"/>
            <w:bottom w:w="0" w:type="dxa"/>
          </w:tblCellMar>
        </w:tblPrEx>
        <w:trPr>
          <w:cantSplit/>
          <w:jc w:val="center"/>
        </w:trPr>
        <w:tc>
          <w:tcPr>
            <w:tcW w:w="1505"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Pr>
                <w:rFonts w:hint="cs"/>
                <w:b/>
                <w:bCs/>
                <w:sz w:val="16"/>
                <w:szCs w:val="24"/>
                <w:rtl/>
                <w:lang w:val="en-GB"/>
              </w:rPr>
              <w:t>المجموع</w:t>
            </w:r>
          </w:p>
        </w:tc>
        <w:tc>
          <w:tcPr>
            <w:tcW w:w="1030"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269 5</w:t>
            </w:r>
          </w:p>
        </w:tc>
        <w:tc>
          <w:tcPr>
            <w:tcW w:w="1030"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512 9</w:t>
            </w:r>
          </w:p>
        </w:tc>
        <w:tc>
          <w:tcPr>
            <w:tcW w:w="1133"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781 14</w:t>
            </w:r>
          </w:p>
        </w:tc>
        <w:tc>
          <w:tcPr>
            <w:tcW w:w="1030"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921 3</w:t>
            </w:r>
          </w:p>
        </w:tc>
        <w:tc>
          <w:tcPr>
            <w:tcW w:w="927"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921 3</w:t>
            </w:r>
          </w:p>
        </w:tc>
        <w:tc>
          <w:tcPr>
            <w:tcW w:w="1003"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136 6</w:t>
            </w:r>
          </w:p>
        </w:tc>
        <w:tc>
          <w:tcPr>
            <w:tcW w:w="1094" w:type="dxa"/>
            <w:tcBorders>
              <w:bottom w:val="single" w:sz="12" w:space="0" w:color="auto"/>
            </w:tcBorders>
            <w:shd w:val="clear" w:color="auto" w:fill="auto"/>
            <w:vAlign w:val="bottom"/>
          </w:tcPr>
          <w:p w:rsidR="00955676" w:rsidRPr="007C3805" w:rsidRDefault="00955676" w:rsidP="00C43389">
            <w:pPr>
              <w:spacing w:before="40" w:after="80" w:line="240" w:lineRule="exact"/>
              <w:ind w:left="170" w:right="170"/>
              <w:rPr>
                <w:rFonts w:hint="cs"/>
                <w:b/>
                <w:bCs/>
                <w:sz w:val="16"/>
                <w:szCs w:val="24"/>
                <w:rtl/>
                <w:lang w:val="en-GB"/>
              </w:rPr>
            </w:pPr>
            <w:r w:rsidRPr="007C3805">
              <w:rPr>
                <w:rFonts w:hint="cs"/>
                <w:b/>
                <w:bCs/>
                <w:sz w:val="16"/>
                <w:szCs w:val="24"/>
                <w:rtl/>
                <w:lang w:val="en-GB"/>
              </w:rPr>
              <w:t>057 10</w:t>
            </w:r>
          </w:p>
        </w:tc>
        <w:tc>
          <w:tcPr>
            <w:tcW w:w="1094" w:type="dxa"/>
            <w:tcBorders>
              <w:bottom w:val="single" w:sz="12" w:space="0" w:color="auto"/>
            </w:tcBorders>
            <w:shd w:val="clear" w:color="auto" w:fill="auto"/>
            <w:vAlign w:val="bottom"/>
          </w:tcPr>
          <w:p w:rsidR="00955676" w:rsidRPr="007C3805" w:rsidRDefault="00AB673A" w:rsidP="00C43389">
            <w:pPr>
              <w:spacing w:before="40" w:after="80" w:line="240" w:lineRule="exact"/>
              <w:ind w:left="170" w:right="170"/>
              <w:rPr>
                <w:rFonts w:hint="cs"/>
                <w:b/>
                <w:bCs/>
                <w:sz w:val="16"/>
                <w:szCs w:val="24"/>
                <w:rtl/>
                <w:lang w:val="en-GB"/>
              </w:rPr>
            </w:pPr>
            <w:r>
              <w:rPr>
                <w:rFonts w:hint="cs"/>
                <w:b/>
                <w:bCs/>
                <w:sz w:val="16"/>
                <w:szCs w:val="24"/>
                <w:rtl/>
                <w:lang w:val="en-GB"/>
              </w:rPr>
              <w:t>61.01</w:t>
            </w:r>
          </w:p>
        </w:tc>
      </w:tr>
    </w:tbl>
    <w:p w:rsidR="00955676" w:rsidRPr="003A5381"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النتيجة</w:t>
      </w:r>
    </w:p>
    <w:p w:rsidR="00955676" w:rsidRDefault="00955676" w:rsidP="00AB673A">
      <w:pPr>
        <w:pStyle w:val="SingleTxt"/>
        <w:rPr>
          <w:rFonts w:hint="cs"/>
          <w:rtl/>
          <w:lang w:val="en-GB"/>
        </w:rPr>
      </w:pPr>
      <w:r>
        <w:rPr>
          <w:rFonts w:hint="cs"/>
          <w:rtl/>
          <w:lang w:val="en-GB"/>
        </w:rPr>
        <w:t>197 -</w:t>
      </w:r>
      <w:r>
        <w:rPr>
          <w:rFonts w:hint="cs"/>
          <w:rtl/>
          <w:lang w:val="en-GB"/>
        </w:rPr>
        <w:tab/>
        <w:t xml:space="preserve">في ماليزيا، تتمتع الإناث بنفس الفرص التعليمية التي يتمتع بها الذكور وتوضح الدراسات أنهن انتفعن من تلك الفرص </w:t>
      </w:r>
      <w:r>
        <w:rPr>
          <w:rtl/>
          <w:lang w:val="en-GB"/>
        </w:rPr>
        <w:t>–</w:t>
      </w:r>
      <w:r>
        <w:rPr>
          <w:rFonts w:hint="cs"/>
          <w:rtl/>
          <w:lang w:val="en-GB"/>
        </w:rPr>
        <w:t xml:space="preserve"> حيث تبقى الفتيات في المدارس فترة أطول من الذكور ويزيد عدد الطالبات عن عدد </w:t>
      </w:r>
      <w:r w:rsidR="00AB673A">
        <w:rPr>
          <w:rFonts w:hint="cs"/>
          <w:rtl/>
          <w:lang w:val="en-GB"/>
        </w:rPr>
        <w:t xml:space="preserve">الطلاب </w:t>
      </w:r>
      <w:r>
        <w:rPr>
          <w:rFonts w:hint="cs"/>
          <w:rtl/>
          <w:lang w:val="en-GB"/>
        </w:rPr>
        <w:t>الذكور في المؤسسات العامة للتعليم العالي وفي كليات تدريب المعلمين. ولحقت المرأة بركب الرجل أو كادت في غالبية الميادين المشمولة بالدراسة فيما عدا مجال اهتمام واحد و</w:t>
      </w:r>
      <w:r w:rsidR="00AB673A">
        <w:rPr>
          <w:rFonts w:hint="cs"/>
          <w:rtl/>
          <w:lang w:val="en-GB"/>
        </w:rPr>
        <w:t xml:space="preserve">هو </w:t>
      </w:r>
      <w:r>
        <w:rPr>
          <w:rFonts w:hint="cs"/>
          <w:rtl/>
          <w:lang w:val="en-GB"/>
        </w:rPr>
        <w:t xml:space="preserve">الميادين المتصلة بالهندسة التي ما زال معدل اشتراك الإناث فيها منخفضا على نحو غير متكافئ مع </w:t>
      </w:r>
      <w:r w:rsidR="00AB673A">
        <w:rPr>
          <w:rFonts w:hint="cs"/>
          <w:rtl/>
          <w:lang w:val="en-GB"/>
        </w:rPr>
        <w:t>الذكور</w:t>
      </w:r>
      <w:r>
        <w:rPr>
          <w:rFonts w:hint="cs"/>
          <w:rtl/>
          <w:lang w:val="en-GB"/>
        </w:rPr>
        <w:t>. وتبذل حاليا جهود لمعالجة هذه الناحية وتعكف الوزارة على دراسة السبل الكفيلة بتشجيع الطالبات في المدارس بأخذ مواد اختيارية مثل موضوع المهارات اليدوية الإضافية في المرحلة الإعدادية ومن المأمول فيه أن يفضي ذلك به</w:t>
      </w:r>
      <w:r w:rsidR="00AB673A">
        <w:rPr>
          <w:rFonts w:hint="cs"/>
          <w:rtl/>
          <w:lang w:val="en-GB"/>
        </w:rPr>
        <w:t>ن</w:t>
      </w:r>
      <w:r>
        <w:rPr>
          <w:rFonts w:hint="cs"/>
          <w:rtl/>
          <w:lang w:val="en-GB"/>
        </w:rPr>
        <w:t xml:space="preserve"> إلى اختيار المواضيع أو الدورات ذات الصلة بالهندسة في وقت لاحق.</w:t>
      </w:r>
    </w:p>
    <w:p w:rsidR="00955676" w:rsidRPr="003A5381" w:rsidRDefault="00955676" w:rsidP="00955676">
      <w:pPr>
        <w:pStyle w:val="SingleTxt"/>
        <w:spacing w:after="0" w:line="120" w:lineRule="exact"/>
        <w:rPr>
          <w:rFonts w:hint="cs"/>
          <w:sz w:val="10"/>
          <w:rtl/>
          <w:lang w:val="en-GB"/>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المادة 11</w:t>
      </w:r>
    </w:p>
    <w:p w:rsidR="00955676" w:rsidRPr="003A5381" w:rsidRDefault="00955676" w:rsidP="00955676">
      <w:pPr>
        <w:pStyle w:val="SingleTxt"/>
        <w:spacing w:after="0" w:line="120" w:lineRule="exact"/>
        <w:rPr>
          <w:rFonts w:hint="cs"/>
          <w:sz w:val="10"/>
          <w:rtl/>
          <w:lang w:val="en-GB"/>
        </w:rPr>
      </w:pPr>
    </w:p>
    <w:p w:rsidR="00955676" w:rsidRDefault="00955676" w:rsidP="009556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دور المرأة في العمل</w:t>
      </w:r>
    </w:p>
    <w:p w:rsidR="00955676" w:rsidRPr="003A5381" w:rsidRDefault="00955676" w:rsidP="00955676">
      <w:pPr>
        <w:pStyle w:val="SingleTxt"/>
        <w:spacing w:after="0" w:line="120" w:lineRule="exact"/>
        <w:rPr>
          <w:rFonts w:hint="cs"/>
          <w:sz w:val="10"/>
          <w:rtl/>
          <w:lang w:val="en-GB"/>
        </w:rPr>
      </w:pP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مقدمة</w:t>
      </w:r>
    </w:p>
    <w:p w:rsidR="00955676" w:rsidRDefault="00955676" w:rsidP="00955676">
      <w:pPr>
        <w:pStyle w:val="SingleTxt"/>
        <w:rPr>
          <w:rFonts w:hint="cs"/>
          <w:rtl/>
          <w:lang w:val="en-GB"/>
        </w:rPr>
      </w:pPr>
      <w:r>
        <w:rPr>
          <w:rFonts w:hint="cs"/>
          <w:rtl/>
          <w:lang w:val="en-GB"/>
        </w:rPr>
        <w:t>198 -</w:t>
      </w:r>
      <w:r>
        <w:rPr>
          <w:rFonts w:hint="cs"/>
          <w:rtl/>
          <w:lang w:val="en-GB"/>
        </w:rPr>
        <w:tab/>
        <w:t>تساهم المرأة الماليزية في تنمية البلد. وفي حين تعامل المرأة معاملة متساوية في مكان العمل، يتواصل اتخاذ خطوات لزيادة تعزيز اشتراك المرأة في سوق العمل.</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اشتراك المرأة في سوق العمل</w:t>
      </w:r>
    </w:p>
    <w:p w:rsidR="00955676" w:rsidRDefault="00955676" w:rsidP="00955676">
      <w:pPr>
        <w:pStyle w:val="SingleTxt"/>
        <w:rPr>
          <w:rFonts w:hint="cs"/>
          <w:rtl/>
          <w:lang w:val="en-GB"/>
        </w:rPr>
      </w:pPr>
      <w:r>
        <w:rPr>
          <w:rFonts w:hint="cs"/>
          <w:rtl/>
          <w:lang w:val="en-GB"/>
        </w:rPr>
        <w:t>199 -</w:t>
      </w:r>
      <w:r>
        <w:rPr>
          <w:rFonts w:hint="cs"/>
          <w:rtl/>
          <w:lang w:val="en-GB"/>
        </w:rPr>
        <w:tab/>
        <w:t>تتمتع ماليزيا بعمالة كاملة منذ خروجها من الركود الأخير في عام 1985. وكان هذا ثمرة النمو الاقتصادي الذي حفزه قطاع الصناعات التحويلية. وحدثت زيادة في عدد الريفيات اللائي دخلن ميدان العمل المأجور بعد أن عثرن على فرص عمل في قطاع الصناعات التحويلية، ولا سيما صناعات المنسوجات والملابس والالكترونيات. وحدثت كذلك زيادة ملحوظة في اشتراك الريفيات في صناعة الخدمات والضيافة.</w:t>
      </w:r>
    </w:p>
    <w:p w:rsidR="00955676" w:rsidRDefault="00955676" w:rsidP="00AB673A">
      <w:pPr>
        <w:pStyle w:val="SingleTxt"/>
        <w:rPr>
          <w:rFonts w:hint="cs"/>
          <w:rtl/>
          <w:lang w:val="en-GB"/>
        </w:rPr>
      </w:pPr>
      <w:r>
        <w:rPr>
          <w:rFonts w:hint="cs"/>
          <w:rtl/>
          <w:lang w:val="en-GB"/>
        </w:rPr>
        <w:t>200 -</w:t>
      </w:r>
      <w:r>
        <w:rPr>
          <w:rFonts w:hint="cs"/>
          <w:rtl/>
          <w:lang w:val="en-GB"/>
        </w:rPr>
        <w:tab/>
        <w:t xml:space="preserve">وبالرغم من ذلك، ظل معدل اشتراك المرأة في </w:t>
      </w:r>
      <w:r w:rsidR="00AB673A">
        <w:rPr>
          <w:rFonts w:hint="cs"/>
          <w:rtl/>
          <w:lang w:val="en-GB"/>
        </w:rPr>
        <w:t>القوة العاملة</w:t>
      </w:r>
      <w:r>
        <w:rPr>
          <w:rFonts w:hint="cs"/>
          <w:rtl/>
          <w:lang w:val="en-GB"/>
        </w:rPr>
        <w:t xml:space="preserve"> منخفضا نوعا ما. ففي عام 1995، بلغ معدل اشتراك المرأة 43.5 في المائة في حين بلغ معدل اشتراك الرجل 85.3 في المائة. وفي عام 2000، ارتفع معدل اشتراك المرأة في </w:t>
      </w:r>
      <w:r w:rsidR="00AB673A">
        <w:rPr>
          <w:rFonts w:hint="cs"/>
          <w:rtl/>
          <w:lang w:val="en-GB"/>
        </w:rPr>
        <w:t>القوة العاملة</w:t>
      </w:r>
      <w:r>
        <w:rPr>
          <w:rFonts w:hint="cs"/>
          <w:rtl/>
          <w:lang w:val="en-GB"/>
        </w:rPr>
        <w:t xml:space="preserve"> إلى 44.5 في المائة بالمقارنة مع 85.4 في المائة بالنسبة للرجل.</w:t>
      </w:r>
    </w:p>
    <w:p w:rsidR="00955676" w:rsidRDefault="00955676" w:rsidP="00AB673A">
      <w:pPr>
        <w:pStyle w:val="SingleTxt"/>
        <w:rPr>
          <w:rFonts w:hint="cs"/>
          <w:rtl/>
          <w:lang w:val="en-GB"/>
        </w:rPr>
      </w:pPr>
      <w:r>
        <w:rPr>
          <w:rFonts w:hint="cs"/>
          <w:rtl/>
          <w:lang w:val="en-GB"/>
        </w:rPr>
        <w:t>201 -</w:t>
      </w:r>
      <w:r>
        <w:rPr>
          <w:rFonts w:hint="cs"/>
          <w:rtl/>
          <w:lang w:val="en-GB"/>
        </w:rPr>
        <w:tab/>
        <w:t>تحسنت الصورة التعليمية للقو</w:t>
      </w:r>
      <w:r w:rsidR="00AB673A">
        <w:rPr>
          <w:rFonts w:hint="cs"/>
          <w:rtl/>
          <w:lang w:val="en-GB"/>
        </w:rPr>
        <w:t>ة</w:t>
      </w:r>
      <w:r>
        <w:rPr>
          <w:rFonts w:hint="cs"/>
          <w:rtl/>
          <w:lang w:val="en-GB"/>
        </w:rPr>
        <w:t xml:space="preserve"> العاملة في ماليزيا بصورة تدريجية على مدى العقود القليلة الماضية. فقد استفادت الفتيات والنساء استفادة كبيرة من الجهود الرامية إلى تحسين المعايير والمؤهلات التعليمية في البلد. وفي عام 2002، استأثرت المرأة بنسبة 62.4 في المائة من عدد الخريجين الجامعيين الماليزيين البالغ عددهم 034 35 خريجا.</w:t>
      </w:r>
    </w:p>
    <w:p w:rsidR="00955676" w:rsidRDefault="00955676" w:rsidP="00955676">
      <w:pPr>
        <w:pStyle w:val="SingleTxt"/>
        <w:rPr>
          <w:rFonts w:hint="cs"/>
          <w:rtl/>
          <w:lang w:val="en-GB"/>
        </w:rPr>
      </w:pPr>
      <w:r>
        <w:rPr>
          <w:rFonts w:hint="cs"/>
          <w:rtl/>
          <w:lang w:val="en-GB"/>
        </w:rPr>
        <w:t>202 -</w:t>
      </w:r>
      <w:r>
        <w:rPr>
          <w:rFonts w:hint="cs"/>
          <w:rtl/>
          <w:lang w:val="en-GB"/>
        </w:rPr>
        <w:tab/>
        <w:t xml:space="preserve">وواصل قطاع الصناعات التحويلية، بصورة إجمالية، استيعاب أكبر عدد من النساء حيث بلغت نسبتهن ما يقارب 27.3 في المائة من مجموع </w:t>
      </w:r>
      <w:r w:rsidR="00AB673A">
        <w:rPr>
          <w:rFonts w:hint="cs"/>
          <w:rtl/>
          <w:lang w:val="en-GB"/>
        </w:rPr>
        <w:t>القوة العاملة</w:t>
      </w:r>
      <w:r>
        <w:rPr>
          <w:rFonts w:hint="cs"/>
          <w:rtl/>
          <w:lang w:val="en-GB"/>
        </w:rPr>
        <w:t xml:space="preserve"> في عام 2000 مع اتساع نطاق الفرص المتاحة في هذا القطاع. وثمة قطاع آخر سجل معدلات عمل عالية للإناث هو صناعة الخدمات والضيافة التي شهدت زيادة من 52 في المائة في عام 1995 إلى 56.9 في المائة في عام 2000، حسبما يتضح من الجدول 11-1.</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11-1: العمالة بحسب القطاع ونوع الجنس، 1995-2000 (نسبة مئوية)</w:t>
      </w:r>
    </w:p>
    <w:p w:rsidR="00955676" w:rsidRPr="00300894"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742"/>
        <w:gridCol w:w="927"/>
        <w:gridCol w:w="927"/>
        <w:gridCol w:w="824"/>
        <w:gridCol w:w="900"/>
      </w:tblGrid>
      <w:tr w:rsidR="00955676" w:rsidRPr="00300894">
        <w:tblPrEx>
          <w:tblCellMar>
            <w:top w:w="0" w:type="dxa"/>
            <w:bottom w:w="0" w:type="dxa"/>
          </w:tblCellMar>
        </w:tblPrEx>
        <w:trPr>
          <w:cantSplit/>
          <w:tblHeader/>
        </w:trPr>
        <w:tc>
          <w:tcPr>
            <w:tcW w:w="3742" w:type="dxa"/>
            <w:vMerge w:val="restart"/>
            <w:tcBorders>
              <w:top w:val="single" w:sz="4"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80" w:after="80" w:line="240" w:lineRule="exact"/>
              <w:ind w:left="170" w:right="170"/>
              <w:rPr>
                <w:rFonts w:hint="cs"/>
                <w:i/>
                <w:iCs/>
                <w:sz w:val="16"/>
                <w:szCs w:val="24"/>
                <w:rtl/>
                <w:lang w:val="en-GB"/>
              </w:rPr>
            </w:pPr>
            <w:r w:rsidRPr="00300894">
              <w:rPr>
                <w:rFonts w:hint="cs"/>
                <w:i/>
                <w:iCs/>
                <w:sz w:val="16"/>
                <w:szCs w:val="24"/>
                <w:rtl/>
                <w:lang w:val="en-GB"/>
              </w:rPr>
              <w:t>القطاع</w:t>
            </w:r>
          </w:p>
        </w:tc>
        <w:tc>
          <w:tcPr>
            <w:tcW w:w="1854" w:type="dxa"/>
            <w:gridSpan w:val="2"/>
            <w:tcBorders>
              <w:top w:val="single" w:sz="4"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lang w:val="en-GB"/>
              </w:rPr>
            </w:pPr>
            <w:r w:rsidRPr="00300894">
              <w:rPr>
                <w:rFonts w:hint="cs"/>
                <w:i/>
                <w:iCs/>
                <w:sz w:val="16"/>
                <w:szCs w:val="24"/>
                <w:rtl/>
                <w:lang w:val="en-GB"/>
              </w:rPr>
              <w:t>1995</w:t>
            </w:r>
          </w:p>
        </w:tc>
        <w:tc>
          <w:tcPr>
            <w:tcW w:w="1724" w:type="dxa"/>
            <w:gridSpan w:val="2"/>
            <w:tcBorders>
              <w:top w:val="single" w:sz="4"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80" w:after="80" w:line="240" w:lineRule="exact"/>
              <w:ind w:left="170" w:right="144"/>
              <w:jc w:val="center"/>
              <w:rPr>
                <w:rFonts w:hint="cs"/>
                <w:i/>
                <w:iCs/>
                <w:sz w:val="16"/>
                <w:szCs w:val="24"/>
                <w:rtl/>
                <w:lang w:val="en-GB"/>
              </w:rPr>
            </w:pPr>
            <w:r w:rsidRPr="00300894">
              <w:rPr>
                <w:rFonts w:hint="cs"/>
                <w:i/>
                <w:iCs/>
                <w:sz w:val="16"/>
                <w:szCs w:val="24"/>
                <w:rtl/>
                <w:lang w:val="en-GB"/>
              </w:rPr>
              <w:t>2000</w:t>
            </w:r>
          </w:p>
        </w:tc>
      </w:tr>
      <w:tr w:rsidR="00955676" w:rsidRPr="00300894">
        <w:tblPrEx>
          <w:tblCellMar>
            <w:top w:w="0" w:type="dxa"/>
            <w:bottom w:w="0" w:type="dxa"/>
          </w:tblCellMar>
        </w:tblPrEx>
        <w:trPr>
          <w:cantSplit/>
          <w:tblHeader/>
        </w:trPr>
        <w:tc>
          <w:tcPr>
            <w:tcW w:w="3742" w:type="dxa"/>
            <w:vMerge/>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after="80" w:line="240" w:lineRule="exact"/>
              <w:ind w:left="170" w:right="170"/>
              <w:rPr>
                <w:rFonts w:hint="cs"/>
                <w:i/>
                <w:iCs/>
                <w:sz w:val="16"/>
                <w:szCs w:val="24"/>
                <w:rtl/>
                <w:lang w:val="en-GB"/>
              </w:rPr>
            </w:pPr>
          </w:p>
        </w:tc>
        <w:tc>
          <w:tcPr>
            <w:tcW w:w="927" w:type="dxa"/>
            <w:tcBorders>
              <w:bottom w:val="single" w:sz="12" w:space="0" w:color="auto"/>
            </w:tcBorders>
            <w:shd w:val="clear" w:color="auto" w:fill="auto"/>
            <w:vAlign w:val="bottom"/>
          </w:tcPr>
          <w:p w:rsidR="00955676" w:rsidRPr="00300894" w:rsidRDefault="00955676" w:rsidP="00C43389">
            <w:pPr>
              <w:spacing w:after="80" w:line="240" w:lineRule="exact"/>
              <w:ind w:left="170" w:right="144"/>
              <w:jc w:val="lowKashida"/>
              <w:rPr>
                <w:rFonts w:hint="cs"/>
                <w:i/>
                <w:iCs/>
                <w:sz w:val="16"/>
                <w:szCs w:val="24"/>
                <w:rtl/>
                <w:lang w:val="en-GB"/>
              </w:rPr>
            </w:pPr>
            <w:r w:rsidRPr="00300894">
              <w:rPr>
                <w:rFonts w:hint="cs"/>
                <w:i/>
                <w:iCs/>
                <w:sz w:val="16"/>
                <w:szCs w:val="24"/>
                <w:rtl/>
                <w:lang w:val="en-GB"/>
              </w:rPr>
              <w:t>الذكور</w:t>
            </w:r>
          </w:p>
        </w:tc>
        <w:tc>
          <w:tcPr>
            <w:tcW w:w="927" w:type="dxa"/>
            <w:tcBorders>
              <w:bottom w:val="single" w:sz="12" w:space="0" w:color="auto"/>
            </w:tcBorders>
            <w:shd w:val="clear" w:color="auto" w:fill="auto"/>
            <w:vAlign w:val="bottom"/>
          </w:tcPr>
          <w:p w:rsidR="00955676" w:rsidRPr="00300894" w:rsidRDefault="00955676" w:rsidP="00C43389">
            <w:pPr>
              <w:spacing w:after="80" w:line="240" w:lineRule="exact"/>
              <w:ind w:left="170" w:right="144"/>
              <w:jc w:val="lowKashida"/>
              <w:rPr>
                <w:rFonts w:hint="cs"/>
                <w:i/>
                <w:iCs/>
                <w:sz w:val="16"/>
                <w:szCs w:val="24"/>
                <w:rtl/>
                <w:lang w:val="en-GB"/>
              </w:rPr>
            </w:pPr>
            <w:r w:rsidRPr="00300894">
              <w:rPr>
                <w:rFonts w:hint="cs"/>
                <w:i/>
                <w:iCs/>
                <w:sz w:val="16"/>
                <w:szCs w:val="24"/>
                <w:rtl/>
                <w:lang w:val="en-GB"/>
              </w:rPr>
              <w:t>الإناث</w:t>
            </w:r>
          </w:p>
        </w:tc>
        <w:tc>
          <w:tcPr>
            <w:tcW w:w="824" w:type="dxa"/>
            <w:tcBorders>
              <w:bottom w:val="single" w:sz="12" w:space="0" w:color="auto"/>
            </w:tcBorders>
            <w:shd w:val="clear" w:color="auto" w:fill="auto"/>
            <w:vAlign w:val="bottom"/>
          </w:tcPr>
          <w:p w:rsidR="00955676" w:rsidRPr="00300894" w:rsidRDefault="00955676" w:rsidP="00C43389">
            <w:pPr>
              <w:spacing w:after="80" w:line="240" w:lineRule="exact"/>
              <w:ind w:left="170" w:right="144"/>
              <w:jc w:val="lowKashida"/>
              <w:rPr>
                <w:rFonts w:hint="cs"/>
                <w:i/>
                <w:iCs/>
                <w:sz w:val="16"/>
                <w:szCs w:val="24"/>
                <w:rtl/>
                <w:lang w:val="en-GB"/>
              </w:rPr>
            </w:pPr>
            <w:r w:rsidRPr="00300894">
              <w:rPr>
                <w:rFonts w:hint="cs"/>
                <w:i/>
                <w:iCs/>
                <w:sz w:val="16"/>
                <w:szCs w:val="24"/>
                <w:rtl/>
                <w:lang w:val="en-GB"/>
              </w:rPr>
              <w:t>الذكور</w:t>
            </w:r>
          </w:p>
        </w:tc>
        <w:tc>
          <w:tcPr>
            <w:tcW w:w="900" w:type="dxa"/>
            <w:tcBorders>
              <w:bottom w:val="single" w:sz="12" w:space="0" w:color="auto"/>
            </w:tcBorders>
            <w:shd w:val="clear" w:color="auto" w:fill="auto"/>
            <w:vAlign w:val="bottom"/>
          </w:tcPr>
          <w:p w:rsidR="00955676" w:rsidRPr="00300894" w:rsidRDefault="00955676" w:rsidP="00C43389">
            <w:pPr>
              <w:spacing w:after="80" w:line="240" w:lineRule="exact"/>
              <w:ind w:left="170" w:right="144"/>
              <w:jc w:val="lowKashida"/>
              <w:rPr>
                <w:rFonts w:hint="cs"/>
                <w:i/>
                <w:iCs/>
                <w:sz w:val="16"/>
                <w:szCs w:val="24"/>
                <w:rtl/>
                <w:lang w:val="en-GB"/>
              </w:rPr>
            </w:pPr>
            <w:r w:rsidRPr="00300894">
              <w:rPr>
                <w:rFonts w:hint="cs"/>
                <w:i/>
                <w:iCs/>
                <w:sz w:val="16"/>
                <w:szCs w:val="24"/>
                <w:rtl/>
                <w:lang w:val="en-GB"/>
              </w:rPr>
              <w:t>الإناث</w:t>
            </w:r>
          </w:p>
        </w:tc>
      </w:tr>
      <w:tr w:rsidR="00955676" w:rsidRPr="00300894">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824" w:type="dxa"/>
            <w:tcBorders>
              <w:top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900" w:type="dxa"/>
            <w:tcBorders>
              <w:top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الزراعة والحراجة والمواشي وصيد الأسماك</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21.6</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16.9</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20.2</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14.1</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المناجم والمقالع</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0.5</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0.2</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0.4</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0.1</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الصناعات التحويلية</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20.2</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29.4</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20.6</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27.3</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البناء</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11.3</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1.5</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12.1</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1.5</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الكهرباء والغاز والمياه</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0.9</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0.2</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0.7</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0.1</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النقل والتخزين والاتصالات</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6.2</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1.7</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6.1</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1.7</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تجارة البيع بالجملة والمفرق والمطاعم والفنادق</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16.6</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20.5</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18.1</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22.3</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خدمات المالية والتأمين والعقارات وإدارة الأعمال</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4.3</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5.6</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4.5</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5.7</w:t>
            </w:r>
          </w:p>
        </w:tc>
      </w:tr>
      <w:tr w:rsidR="00955676" w:rsidRPr="00300894">
        <w:tblPrEx>
          <w:tblCellMar>
            <w:top w:w="0" w:type="dxa"/>
            <w:bottom w:w="0" w:type="dxa"/>
          </w:tblCellMar>
        </w:tblPrEx>
        <w:trPr>
          <w:cantSplit/>
        </w:trPr>
        <w:tc>
          <w:tcPr>
            <w:tcW w:w="3742"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خدمات أخرى</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18.4</w:t>
            </w:r>
          </w:p>
        </w:tc>
        <w:tc>
          <w:tcPr>
            <w:tcW w:w="927"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24.0</w:t>
            </w:r>
          </w:p>
        </w:tc>
        <w:tc>
          <w:tcPr>
            <w:tcW w:w="824"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17.2</w:t>
            </w:r>
          </w:p>
        </w:tc>
        <w:tc>
          <w:tcPr>
            <w:tcW w:w="900" w:type="dxa"/>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27.1</w:t>
            </w:r>
          </w:p>
        </w:tc>
      </w:tr>
      <w:tr w:rsidR="00955676" w:rsidRPr="00300894">
        <w:tblPrEx>
          <w:tblCellMar>
            <w:top w:w="0" w:type="dxa"/>
            <w:bottom w:w="0" w:type="dxa"/>
          </w:tblCellMar>
        </w:tblPrEx>
        <w:trPr>
          <w:cantSplit/>
        </w:trPr>
        <w:tc>
          <w:tcPr>
            <w:tcW w:w="3742" w:type="dxa"/>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sidRPr="00300894">
              <w:rPr>
                <w:rFonts w:hint="cs"/>
                <w:b/>
                <w:bCs/>
                <w:sz w:val="16"/>
                <w:szCs w:val="24"/>
                <w:rtl/>
                <w:lang w:val="en-GB"/>
              </w:rPr>
              <w:t>المجموع</w:t>
            </w:r>
          </w:p>
        </w:tc>
        <w:tc>
          <w:tcPr>
            <w:tcW w:w="927" w:type="dxa"/>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sidRPr="00300894">
              <w:rPr>
                <w:rFonts w:hint="cs"/>
                <w:b/>
                <w:bCs/>
                <w:sz w:val="16"/>
                <w:szCs w:val="24"/>
                <w:rtl/>
                <w:lang w:val="en-GB"/>
              </w:rPr>
              <w:t>100</w:t>
            </w:r>
          </w:p>
        </w:tc>
        <w:tc>
          <w:tcPr>
            <w:tcW w:w="927" w:type="dxa"/>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sidRPr="00300894">
              <w:rPr>
                <w:rFonts w:hint="cs"/>
                <w:b/>
                <w:bCs/>
                <w:sz w:val="16"/>
                <w:szCs w:val="24"/>
                <w:rtl/>
                <w:lang w:val="en-GB"/>
              </w:rPr>
              <w:t>100</w:t>
            </w:r>
          </w:p>
        </w:tc>
        <w:tc>
          <w:tcPr>
            <w:tcW w:w="824" w:type="dxa"/>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sidRPr="00300894">
              <w:rPr>
                <w:rFonts w:hint="cs"/>
                <w:b/>
                <w:bCs/>
                <w:sz w:val="16"/>
                <w:szCs w:val="24"/>
                <w:rtl/>
                <w:lang w:val="en-GB"/>
              </w:rPr>
              <w:t>100</w:t>
            </w:r>
          </w:p>
        </w:tc>
        <w:tc>
          <w:tcPr>
            <w:tcW w:w="900" w:type="dxa"/>
            <w:tcBorders>
              <w:bottom w:val="single" w:sz="12" w:space="0" w:color="auto"/>
            </w:tcBorders>
            <w:shd w:val="clear" w:color="auto" w:fill="auto"/>
            <w:vAlign w:val="bottom"/>
          </w:tcPr>
          <w:p w:rsidR="00955676" w:rsidRPr="00300894" w:rsidRDefault="00955676" w:rsidP="00C43389">
            <w:pPr>
              <w:tabs>
                <w:tab w:val="left" w:pos="288"/>
                <w:tab w:val="left" w:pos="576"/>
                <w:tab w:val="left" w:pos="864"/>
                <w:tab w:val="left" w:pos="1152"/>
              </w:tabs>
              <w:spacing w:before="40" w:after="80" w:line="240" w:lineRule="exact"/>
              <w:ind w:left="170" w:right="170"/>
              <w:rPr>
                <w:rFonts w:hint="cs"/>
                <w:b/>
                <w:bCs/>
                <w:sz w:val="16"/>
                <w:szCs w:val="24"/>
                <w:rtl/>
                <w:lang w:val="en-GB"/>
              </w:rPr>
            </w:pPr>
            <w:r w:rsidRPr="00300894">
              <w:rPr>
                <w:rFonts w:hint="cs"/>
                <w:b/>
                <w:bCs/>
                <w:sz w:val="16"/>
                <w:szCs w:val="24"/>
                <w:rtl/>
                <w:lang w:val="en-GB"/>
              </w:rPr>
              <w:t>100</w:t>
            </w:r>
          </w:p>
        </w:tc>
      </w:tr>
    </w:tbl>
    <w:p w:rsidR="00955676" w:rsidRPr="001E522E" w:rsidRDefault="00955676" w:rsidP="00955676">
      <w:pPr>
        <w:pStyle w:val="SingleTxt"/>
        <w:spacing w:after="0" w:line="120" w:lineRule="exact"/>
        <w:rPr>
          <w:rFonts w:hint="cs"/>
          <w:sz w:val="10"/>
          <w:rtl/>
          <w:lang w:val="en-GB"/>
        </w:rPr>
      </w:pPr>
    </w:p>
    <w:p w:rsidR="00955676"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 الخطة الماليزية الثامنة، 2001-2005.</w:t>
      </w:r>
    </w:p>
    <w:p w:rsidR="00955676" w:rsidRDefault="00955676" w:rsidP="00AB673A">
      <w:pPr>
        <w:pStyle w:val="SingleTxt"/>
        <w:rPr>
          <w:rFonts w:hint="cs"/>
          <w:rtl/>
          <w:lang w:val="en-GB"/>
        </w:rPr>
      </w:pPr>
      <w:r>
        <w:rPr>
          <w:rFonts w:hint="cs"/>
          <w:rtl/>
          <w:lang w:val="en-GB"/>
        </w:rPr>
        <w:t>203 -</w:t>
      </w:r>
      <w:r>
        <w:rPr>
          <w:rFonts w:hint="cs"/>
          <w:rtl/>
          <w:lang w:val="en-GB"/>
        </w:rPr>
        <w:tab/>
        <w:t>وس</w:t>
      </w:r>
      <w:r w:rsidR="00AB673A">
        <w:rPr>
          <w:rFonts w:hint="cs"/>
          <w:rtl/>
          <w:lang w:val="en-GB"/>
        </w:rPr>
        <w:t>ُ</w:t>
      </w:r>
      <w:r>
        <w:rPr>
          <w:rFonts w:hint="cs"/>
          <w:rtl/>
          <w:lang w:val="en-GB"/>
        </w:rPr>
        <w:t>ج</w:t>
      </w:r>
      <w:r w:rsidR="00AB673A">
        <w:rPr>
          <w:rFonts w:hint="cs"/>
          <w:rtl/>
          <w:lang w:val="en-GB"/>
        </w:rPr>
        <w:t>ّ</w:t>
      </w:r>
      <w:r>
        <w:rPr>
          <w:rFonts w:hint="cs"/>
          <w:rtl/>
          <w:lang w:val="en-GB"/>
        </w:rPr>
        <w:t xml:space="preserve">لت كذلك تحسينات في الهيكل المهني حيث شغلت أعداد أكبر من النساء وظائف عالية الأجر خلال الخطة الماليزية السابعة (1996-2000). وارتفعت نسبة النساء في الفئة الفنية والتقنية من 12.7 في المائة في عام 1995 إلى </w:t>
      </w:r>
      <w:r w:rsidR="00AB673A">
        <w:rPr>
          <w:rFonts w:hint="cs"/>
          <w:rtl/>
          <w:lang w:val="en-GB"/>
        </w:rPr>
        <w:t>13.5</w:t>
      </w:r>
      <w:r>
        <w:rPr>
          <w:rFonts w:hint="cs"/>
          <w:rtl/>
          <w:lang w:val="en-GB"/>
        </w:rPr>
        <w:t xml:space="preserve"> في المائة في عام 2000 في حين سجلت نسبة النساء في الفئة الإدارية والتنظيمية زيادة قدرها 0.4 في المائة خلال نفس الفترة، كما يتضح من الجدول 11-2.</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11-2: توزيع الرجال والنساء في العمل، 1995 و 2000 (نسبة مئوية)</w:t>
      </w:r>
    </w:p>
    <w:p w:rsidR="00955676" w:rsidRPr="003F13E9" w:rsidRDefault="00955676" w:rsidP="00955676">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927"/>
        <w:gridCol w:w="927"/>
        <w:gridCol w:w="927"/>
        <w:gridCol w:w="1003"/>
      </w:tblGrid>
      <w:tr w:rsidR="00955676" w:rsidRPr="003F13E9">
        <w:tblPrEx>
          <w:tblCellMar>
            <w:top w:w="0" w:type="dxa"/>
            <w:bottom w:w="0" w:type="dxa"/>
          </w:tblCellMar>
        </w:tblPrEx>
        <w:trPr>
          <w:cantSplit/>
          <w:tblHeader/>
        </w:trPr>
        <w:tc>
          <w:tcPr>
            <w:tcW w:w="3536" w:type="dxa"/>
            <w:tcBorders>
              <w:top w:val="single" w:sz="4"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80" w:after="80" w:line="200" w:lineRule="exact"/>
              <w:ind w:left="170" w:right="170"/>
              <w:rPr>
                <w:rFonts w:hint="cs"/>
                <w:i/>
                <w:iCs/>
                <w:sz w:val="16"/>
                <w:szCs w:val="24"/>
                <w:rtl/>
                <w:lang w:val="en-GB"/>
              </w:rPr>
            </w:pPr>
          </w:p>
        </w:tc>
        <w:tc>
          <w:tcPr>
            <w:tcW w:w="1854" w:type="dxa"/>
            <w:gridSpan w:val="2"/>
            <w:tcBorders>
              <w:top w:val="single" w:sz="4"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3F13E9">
              <w:rPr>
                <w:rFonts w:hint="cs"/>
                <w:i/>
                <w:iCs/>
                <w:sz w:val="16"/>
                <w:szCs w:val="24"/>
                <w:rtl/>
                <w:lang w:val="en-GB"/>
              </w:rPr>
              <w:t>1995</w:t>
            </w:r>
          </w:p>
        </w:tc>
        <w:tc>
          <w:tcPr>
            <w:tcW w:w="1930" w:type="dxa"/>
            <w:gridSpan w:val="2"/>
            <w:tcBorders>
              <w:top w:val="single" w:sz="4"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80" w:after="80" w:line="200" w:lineRule="exact"/>
              <w:ind w:left="170" w:right="144"/>
              <w:jc w:val="lowKashida"/>
              <w:rPr>
                <w:rFonts w:hint="cs"/>
                <w:i/>
                <w:iCs/>
                <w:sz w:val="16"/>
                <w:szCs w:val="24"/>
                <w:rtl/>
                <w:lang w:val="en-GB"/>
              </w:rPr>
            </w:pPr>
            <w:r w:rsidRPr="003F13E9">
              <w:rPr>
                <w:rFonts w:hint="cs"/>
                <w:i/>
                <w:iCs/>
                <w:sz w:val="16"/>
                <w:szCs w:val="24"/>
                <w:rtl/>
                <w:lang w:val="en-GB"/>
              </w:rPr>
              <w:t>2000</w:t>
            </w:r>
          </w:p>
        </w:tc>
      </w:tr>
      <w:tr w:rsidR="00955676" w:rsidRPr="003F13E9">
        <w:tblPrEx>
          <w:tblCellMar>
            <w:top w:w="0" w:type="dxa"/>
            <w:bottom w:w="0" w:type="dxa"/>
          </w:tblCellMar>
        </w:tblPrEx>
        <w:trPr>
          <w:cantSplit/>
          <w:tblHeader/>
        </w:trPr>
        <w:tc>
          <w:tcPr>
            <w:tcW w:w="3536"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after="80" w:line="200" w:lineRule="exact"/>
              <w:ind w:left="170" w:right="170"/>
              <w:rPr>
                <w:rFonts w:hint="cs"/>
                <w:i/>
                <w:iCs/>
                <w:sz w:val="16"/>
                <w:szCs w:val="24"/>
                <w:rtl/>
                <w:lang w:val="en-GB"/>
              </w:rPr>
            </w:pPr>
            <w:r w:rsidRPr="003F13E9">
              <w:rPr>
                <w:rFonts w:hint="cs"/>
                <w:i/>
                <w:iCs/>
                <w:sz w:val="16"/>
                <w:szCs w:val="24"/>
                <w:rtl/>
                <w:lang w:val="en-GB"/>
              </w:rPr>
              <w:t>الفئة الوظيفية</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after="80" w:line="200" w:lineRule="exact"/>
              <w:ind w:left="170" w:right="144"/>
              <w:jc w:val="lowKashida"/>
              <w:rPr>
                <w:rFonts w:hint="cs"/>
                <w:i/>
                <w:iCs/>
                <w:sz w:val="16"/>
                <w:szCs w:val="24"/>
                <w:rtl/>
                <w:lang w:val="en-GB"/>
              </w:rPr>
            </w:pPr>
            <w:r w:rsidRPr="003F13E9">
              <w:rPr>
                <w:rFonts w:hint="cs"/>
                <w:i/>
                <w:iCs/>
                <w:sz w:val="16"/>
                <w:szCs w:val="24"/>
                <w:rtl/>
                <w:lang w:val="en-GB"/>
              </w:rPr>
              <w:t>الذكور</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after="80" w:line="200" w:lineRule="exact"/>
              <w:ind w:left="170" w:right="144"/>
              <w:jc w:val="lowKashida"/>
              <w:rPr>
                <w:rFonts w:hint="cs"/>
                <w:i/>
                <w:iCs/>
                <w:sz w:val="16"/>
                <w:szCs w:val="24"/>
                <w:rtl/>
                <w:lang w:val="en-GB"/>
              </w:rPr>
            </w:pPr>
            <w:r w:rsidRPr="003F13E9">
              <w:rPr>
                <w:rFonts w:hint="cs"/>
                <w:i/>
                <w:iCs/>
                <w:sz w:val="16"/>
                <w:szCs w:val="24"/>
                <w:rtl/>
                <w:lang w:val="en-GB"/>
              </w:rPr>
              <w:t>الإناث</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after="80" w:line="200" w:lineRule="exact"/>
              <w:ind w:left="170" w:right="144"/>
              <w:jc w:val="lowKashida"/>
              <w:rPr>
                <w:rFonts w:hint="cs"/>
                <w:i/>
                <w:iCs/>
                <w:sz w:val="16"/>
                <w:szCs w:val="24"/>
                <w:rtl/>
                <w:lang w:val="en-GB"/>
              </w:rPr>
            </w:pPr>
            <w:r w:rsidRPr="003F13E9">
              <w:rPr>
                <w:rFonts w:hint="cs"/>
                <w:i/>
                <w:iCs/>
                <w:sz w:val="16"/>
                <w:szCs w:val="24"/>
                <w:rtl/>
                <w:lang w:val="en-GB"/>
              </w:rPr>
              <w:t>الذكور</w:t>
            </w:r>
          </w:p>
        </w:tc>
        <w:tc>
          <w:tcPr>
            <w:tcW w:w="1003"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after="80" w:line="200" w:lineRule="exact"/>
              <w:ind w:left="170" w:right="144"/>
              <w:jc w:val="lowKashida"/>
              <w:rPr>
                <w:rFonts w:hint="cs"/>
                <w:i/>
                <w:iCs/>
                <w:sz w:val="16"/>
                <w:szCs w:val="24"/>
                <w:rtl/>
                <w:lang w:val="en-GB"/>
              </w:rPr>
            </w:pPr>
            <w:r w:rsidRPr="003F13E9">
              <w:rPr>
                <w:rFonts w:hint="cs"/>
                <w:i/>
                <w:iCs/>
                <w:sz w:val="16"/>
                <w:szCs w:val="24"/>
                <w:rtl/>
                <w:lang w:val="en-GB"/>
              </w:rPr>
              <w:t>الإناث</w:t>
            </w:r>
          </w:p>
        </w:tc>
      </w:tr>
      <w:tr w:rsidR="00955676" w:rsidRPr="003F13E9">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927" w:type="dxa"/>
            <w:tcBorders>
              <w:top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c>
          <w:tcPr>
            <w:tcW w:w="1003" w:type="dxa"/>
            <w:tcBorders>
              <w:top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sidRPr="003F13E9">
              <w:rPr>
                <w:rFonts w:hint="cs"/>
                <w:sz w:val="16"/>
                <w:szCs w:val="24"/>
                <w:rtl/>
                <w:lang w:val="en-GB"/>
              </w:rPr>
              <w:t>العمال الفنيون</w:t>
            </w:r>
            <w:r>
              <w:rPr>
                <w:rFonts w:hint="cs"/>
                <w:sz w:val="16"/>
                <w:szCs w:val="24"/>
                <w:rtl/>
                <w:lang w:val="en-GB"/>
              </w:rPr>
              <w:t xml:space="preserve"> والتقنيون والعاملون في الميادين ذات الصلة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8.4</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12.7</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8.9</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13.5</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العاملون في الشؤون الإدارية والتنظيمية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3.9</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1.8</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4.7</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2.2</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الكتبة والعاملون في الميادين ذات الصلة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7.5</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17.5</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7.1</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17.5</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عمال المبيعات والعاملون في الميادين ذات الصلة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10.5</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11.6</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11.1</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12.1</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عمال الخدمات</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9.4</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14.4</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9.5</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17.4</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عمال الزراعة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21.9</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16.6</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20.4</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14.8</w:t>
            </w:r>
          </w:p>
        </w:tc>
      </w:tr>
      <w:tr w:rsidR="00955676" w:rsidRPr="003F13E9">
        <w:tblPrEx>
          <w:tblCellMar>
            <w:top w:w="0" w:type="dxa"/>
            <w:bottom w:w="0" w:type="dxa"/>
          </w:tblCellMar>
        </w:tblPrEx>
        <w:trPr>
          <w:cantSplit/>
        </w:trPr>
        <w:tc>
          <w:tcPr>
            <w:tcW w:w="3536"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العاملون في مجال الإنتاج والميادين ذات الصلة</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38.3</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25.4</w:t>
            </w:r>
          </w:p>
        </w:tc>
        <w:tc>
          <w:tcPr>
            <w:tcW w:w="927"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38.4</w:t>
            </w:r>
          </w:p>
        </w:tc>
        <w:tc>
          <w:tcPr>
            <w:tcW w:w="1003" w:type="dxa"/>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sz w:val="16"/>
                <w:szCs w:val="24"/>
                <w:rtl/>
                <w:lang w:val="en-GB"/>
              </w:rPr>
            </w:pPr>
            <w:r>
              <w:rPr>
                <w:rFonts w:hint="cs"/>
                <w:sz w:val="16"/>
                <w:szCs w:val="24"/>
                <w:rtl/>
                <w:lang w:val="en-GB"/>
              </w:rPr>
              <w:t>22.6</w:t>
            </w:r>
          </w:p>
        </w:tc>
      </w:tr>
      <w:tr w:rsidR="00955676" w:rsidRPr="003F13E9">
        <w:tblPrEx>
          <w:tblCellMar>
            <w:top w:w="0" w:type="dxa"/>
            <w:bottom w:w="0" w:type="dxa"/>
          </w:tblCellMar>
        </w:tblPrEx>
        <w:trPr>
          <w:cantSplit/>
        </w:trPr>
        <w:tc>
          <w:tcPr>
            <w:tcW w:w="3536"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F13E9">
              <w:rPr>
                <w:rFonts w:hint="cs"/>
                <w:b/>
                <w:bCs/>
                <w:sz w:val="16"/>
                <w:szCs w:val="24"/>
                <w:rtl/>
                <w:lang w:val="en-GB"/>
              </w:rPr>
              <w:t>المجموع</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F13E9">
              <w:rPr>
                <w:rFonts w:hint="cs"/>
                <w:b/>
                <w:bCs/>
                <w:sz w:val="16"/>
                <w:szCs w:val="24"/>
                <w:rtl/>
                <w:lang w:val="en-GB"/>
              </w:rPr>
              <w:t>100</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F13E9">
              <w:rPr>
                <w:rFonts w:hint="cs"/>
                <w:b/>
                <w:bCs/>
                <w:sz w:val="16"/>
                <w:szCs w:val="24"/>
                <w:rtl/>
                <w:lang w:val="en-GB"/>
              </w:rPr>
              <w:t>100</w:t>
            </w:r>
          </w:p>
        </w:tc>
        <w:tc>
          <w:tcPr>
            <w:tcW w:w="927"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F13E9">
              <w:rPr>
                <w:rFonts w:hint="cs"/>
                <w:b/>
                <w:bCs/>
                <w:sz w:val="16"/>
                <w:szCs w:val="24"/>
                <w:rtl/>
                <w:lang w:val="en-GB"/>
              </w:rPr>
              <w:t>100</w:t>
            </w:r>
          </w:p>
        </w:tc>
        <w:tc>
          <w:tcPr>
            <w:tcW w:w="1003" w:type="dxa"/>
            <w:tcBorders>
              <w:bottom w:val="single" w:sz="12" w:space="0" w:color="auto"/>
            </w:tcBorders>
            <w:shd w:val="clear" w:color="auto" w:fill="auto"/>
            <w:vAlign w:val="bottom"/>
          </w:tcPr>
          <w:p w:rsidR="00955676" w:rsidRPr="003F13E9" w:rsidRDefault="00955676" w:rsidP="00C43389">
            <w:pPr>
              <w:tabs>
                <w:tab w:val="left" w:pos="288"/>
                <w:tab w:val="left" w:pos="576"/>
                <w:tab w:val="left" w:pos="864"/>
                <w:tab w:val="left" w:pos="1152"/>
              </w:tabs>
              <w:spacing w:before="40" w:after="80" w:line="200" w:lineRule="exact"/>
              <w:ind w:left="170" w:right="170"/>
              <w:rPr>
                <w:rFonts w:hint="cs"/>
                <w:b/>
                <w:bCs/>
                <w:sz w:val="16"/>
                <w:szCs w:val="24"/>
                <w:rtl/>
                <w:lang w:val="en-GB"/>
              </w:rPr>
            </w:pPr>
            <w:r w:rsidRPr="003F13E9">
              <w:rPr>
                <w:rFonts w:hint="cs"/>
                <w:b/>
                <w:bCs/>
                <w:sz w:val="16"/>
                <w:szCs w:val="24"/>
                <w:rtl/>
                <w:lang w:val="en-GB"/>
              </w:rPr>
              <w:t>100</w:t>
            </w:r>
          </w:p>
        </w:tc>
      </w:tr>
    </w:tbl>
    <w:p w:rsidR="00955676" w:rsidRPr="003F13E9" w:rsidRDefault="00955676" w:rsidP="0095567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 الخطة الماليزية الثامنة (2001-2005).</w:t>
      </w:r>
    </w:p>
    <w:p w:rsidR="00955676" w:rsidRDefault="00955676" w:rsidP="00955676">
      <w:pPr>
        <w:pStyle w:val="SingleTxt"/>
        <w:rPr>
          <w:rFonts w:hint="cs"/>
          <w:rtl/>
          <w:lang w:val="en-GB"/>
        </w:rPr>
      </w:pPr>
      <w:r>
        <w:rPr>
          <w:rFonts w:hint="cs"/>
          <w:rtl/>
          <w:lang w:val="en-GB"/>
        </w:rPr>
        <w:t>التدابير المتخذة لتحسين أوضاع المرأة</w:t>
      </w:r>
    </w:p>
    <w:p w:rsidR="00955676" w:rsidRDefault="00955676" w:rsidP="00955676">
      <w:pPr>
        <w:pStyle w:val="SingleTxt"/>
        <w:rPr>
          <w:rFonts w:hint="cs"/>
          <w:rtl/>
          <w:lang w:val="en-GB"/>
        </w:rPr>
      </w:pPr>
      <w:r>
        <w:rPr>
          <w:rFonts w:hint="cs"/>
          <w:rtl/>
          <w:lang w:val="en-GB"/>
        </w:rPr>
        <w:t>204 -</w:t>
      </w:r>
      <w:r>
        <w:rPr>
          <w:rFonts w:hint="cs"/>
          <w:rtl/>
          <w:lang w:val="en-GB"/>
        </w:rPr>
        <w:tab/>
        <w:t>اتخذت الحكومة الماليزية تدابير عديدة لتحسين اشتراك المرأة في سوق العمل. واشتملت هذه التدابير على إتاحة إمكانية انتفاع الوالدين من مرافق رعاية الأطفال فضلا عن التشجيع على الاستفادة من إمكانية العمل بدوام جزئي أو بساعات دوام مرنة. وش</w:t>
      </w:r>
      <w:r w:rsidR="00AB673A">
        <w:rPr>
          <w:rFonts w:hint="cs"/>
          <w:rtl/>
          <w:lang w:val="en-GB"/>
        </w:rPr>
        <w:t>ُ</w:t>
      </w:r>
      <w:r>
        <w:rPr>
          <w:rFonts w:hint="cs"/>
          <w:rtl/>
          <w:lang w:val="en-GB"/>
        </w:rPr>
        <w:t>ج</w:t>
      </w:r>
      <w:r w:rsidR="00AB673A">
        <w:rPr>
          <w:rFonts w:hint="cs"/>
          <w:rtl/>
          <w:lang w:val="en-GB"/>
        </w:rPr>
        <w:t>ّ</w:t>
      </w:r>
      <w:r>
        <w:rPr>
          <w:rFonts w:hint="cs"/>
          <w:rtl/>
          <w:lang w:val="en-GB"/>
        </w:rPr>
        <w:t>ع أرباب العمل كذلك على توفير تسهيلات لجميع العمال، وبخاصة منهم المهاجرون من الريف وغالبيتهم من النساء في مجالات مثل الإسكان والنقل والرعاية الصحية والإفادة من البرامج والاستحقاقات المتصلة بذلك.</w:t>
      </w:r>
    </w:p>
    <w:p w:rsidR="00955676" w:rsidRDefault="00955676" w:rsidP="00955676">
      <w:pPr>
        <w:pStyle w:val="SingleTxt"/>
        <w:rPr>
          <w:rFonts w:hint="cs"/>
          <w:rtl/>
          <w:lang w:val="en-GB"/>
        </w:rPr>
      </w:pPr>
      <w:r>
        <w:rPr>
          <w:rFonts w:hint="cs"/>
          <w:rtl/>
          <w:lang w:val="en-GB"/>
        </w:rPr>
        <w:t>205 -</w:t>
      </w:r>
      <w:r>
        <w:rPr>
          <w:rFonts w:hint="cs"/>
          <w:rtl/>
          <w:lang w:val="en-GB"/>
        </w:rPr>
        <w:tab/>
        <w:t>وبالإضافة إلى ذلك، شرع مجلس الدخل الوطني بتطبيق أحكام تقضي بمنح أرباب العمل اقتطاعات وحوافز ضريبية من أجل إنشاء مراكز لرعاية الأطفال في مكان العمل أو بالقرب منه. كما توجد قوانين عديدة تحمي المرأة في مكان العمل، من أهمها القوانين الموصوفة أدناه.</w:t>
      </w:r>
    </w:p>
    <w:p w:rsidR="00955676" w:rsidRDefault="00955676" w:rsidP="009556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قانون العمل لعام 1955 (القانون رقم 256)</w:t>
      </w:r>
    </w:p>
    <w:p w:rsidR="00955676" w:rsidRDefault="00955676" w:rsidP="00C526D1">
      <w:pPr>
        <w:pStyle w:val="SingleTxt"/>
        <w:rPr>
          <w:rFonts w:hint="cs"/>
          <w:rtl/>
          <w:lang w:val="en-GB"/>
        </w:rPr>
      </w:pPr>
      <w:r>
        <w:rPr>
          <w:rFonts w:hint="cs"/>
          <w:rtl/>
          <w:lang w:val="en-GB"/>
        </w:rPr>
        <w:t>206 -</w:t>
      </w:r>
      <w:r>
        <w:rPr>
          <w:rFonts w:hint="cs"/>
          <w:rtl/>
          <w:lang w:val="en-GB"/>
        </w:rPr>
        <w:tab/>
      </w:r>
      <w:r w:rsidR="00AB673A">
        <w:rPr>
          <w:rFonts w:hint="cs"/>
          <w:rtl/>
          <w:lang w:val="en-GB"/>
        </w:rPr>
        <w:t xml:space="preserve">يوفر </w:t>
      </w:r>
      <w:r>
        <w:rPr>
          <w:rFonts w:hint="cs"/>
          <w:rtl/>
          <w:lang w:val="en-GB"/>
        </w:rPr>
        <w:t>قانون العمل لعام 1955، دون إيراد أي إشارة لنوع الجنس، إطار</w:t>
      </w:r>
      <w:r w:rsidR="00AB673A">
        <w:rPr>
          <w:rFonts w:hint="cs"/>
          <w:rtl/>
          <w:lang w:val="en-GB"/>
        </w:rPr>
        <w:t>ا</w:t>
      </w:r>
      <w:r>
        <w:rPr>
          <w:rFonts w:hint="cs"/>
          <w:rtl/>
          <w:lang w:val="en-GB"/>
        </w:rPr>
        <w:t xml:space="preserve"> قانوني</w:t>
      </w:r>
      <w:r w:rsidR="00AB673A">
        <w:rPr>
          <w:rFonts w:hint="cs"/>
          <w:rtl/>
          <w:lang w:val="en-GB"/>
        </w:rPr>
        <w:t>ا</w:t>
      </w:r>
      <w:r>
        <w:rPr>
          <w:rFonts w:hint="cs"/>
          <w:rtl/>
          <w:lang w:val="en-GB"/>
        </w:rPr>
        <w:t xml:space="preserve"> شامل</w:t>
      </w:r>
      <w:r w:rsidR="00AB673A">
        <w:rPr>
          <w:rFonts w:hint="cs"/>
          <w:rtl/>
          <w:lang w:val="en-GB"/>
        </w:rPr>
        <w:t>ا</w:t>
      </w:r>
      <w:r>
        <w:rPr>
          <w:rFonts w:hint="cs"/>
          <w:rtl/>
          <w:lang w:val="en-GB"/>
        </w:rPr>
        <w:t xml:space="preserve"> ينظم مسائل من قبيل دفع الأجور وأيام الراحة وساعات العمل والعطل الأسبوعية وإنهاء الخدمة وجميع المسائل الأخرى ذات الصلة بالعمل. ولا يجيز قانون العمل في ماليزيا </w:t>
      </w:r>
      <w:r w:rsidR="00AB673A">
        <w:rPr>
          <w:rFonts w:hint="cs"/>
          <w:rtl/>
          <w:lang w:val="en-GB"/>
        </w:rPr>
        <w:t xml:space="preserve">بداية </w:t>
      </w:r>
      <w:r>
        <w:rPr>
          <w:rFonts w:hint="cs"/>
          <w:rtl/>
          <w:lang w:val="en-GB"/>
        </w:rPr>
        <w:t>عدم المساواة أو التمييز ضد المرأة.</w:t>
      </w:r>
    </w:p>
    <w:p w:rsidR="00955676" w:rsidRDefault="00955676" w:rsidP="00AB673A">
      <w:pPr>
        <w:pStyle w:val="SingleTxt"/>
        <w:rPr>
          <w:rFonts w:hint="cs"/>
          <w:rtl/>
          <w:lang w:val="en-GB"/>
        </w:rPr>
      </w:pPr>
      <w:r>
        <w:rPr>
          <w:rFonts w:hint="cs"/>
          <w:rtl/>
          <w:lang w:val="en-GB"/>
        </w:rPr>
        <w:t>207 -</w:t>
      </w:r>
      <w:r>
        <w:rPr>
          <w:rFonts w:hint="cs"/>
          <w:rtl/>
          <w:lang w:val="en-GB"/>
        </w:rPr>
        <w:tab/>
        <w:t xml:space="preserve">بيد أن بعض الأحكام الواردة في القانون لا تنطبق إلا على المرأة على وجه الحصر. وتتعلق هذه الأحكام بعمل المرأة في الليل وبمنح إجازات الأمومة وغير ذلك من استحقاقات الأمومة. ويمكن </w:t>
      </w:r>
      <w:r w:rsidR="00AB673A">
        <w:rPr>
          <w:rFonts w:hint="cs"/>
          <w:rtl/>
          <w:lang w:val="en-GB"/>
        </w:rPr>
        <w:t xml:space="preserve">ملاحظة </w:t>
      </w:r>
      <w:r>
        <w:rPr>
          <w:rFonts w:hint="cs"/>
          <w:rtl/>
          <w:lang w:val="en-GB"/>
        </w:rPr>
        <w:t>الحماية التي يوفرها القانون للعاملات من خلال عدم السماح بتشغيلهن بين الساعة العاشرة مساء والخامسة صباحا في أي مشروع صناعي أو زراعي، أو بالشروع بعمل اليوم دون أخذهن راحة من ذلك العمل لمدة إحدى عشر</w:t>
      </w:r>
      <w:r w:rsidR="00AB673A">
        <w:rPr>
          <w:rFonts w:hint="cs"/>
          <w:rtl/>
          <w:lang w:val="en-GB"/>
        </w:rPr>
        <w:t>ة</w:t>
      </w:r>
      <w:r>
        <w:rPr>
          <w:rFonts w:hint="cs"/>
          <w:rtl/>
          <w:lang w:val="en-GB"/>
        </w:rPr>
        <w:t xml:space="preserve"> ساعة متواصلة. ومن المحظور </w:t>
      </w:r>
      <w:r w:rsidR="00AB673A">
        <w:rPr>
          <w:rFonts w:hint="cs"/>
          <w:rtl/>
          <w:lang w:val="en-GB"/>
        </w:rPr>
        <w:t xml:space="preserve">أيضا تشغيل </w:t>
      </w:r>
      <w:r>
        <w:rPr>
          <w:rFonts w:hint="cs"/>
          <w:rtl/>
          <w:lang w:val="en-GB"/>
        </w:rPr>
        <w:t>النساء بأعمال تحت سطح الأرض.</w:t>
      </w:r>
    </w:p>
    <w:p w:rsidR="00955676" w:rsidRDefault="00955676" w:rsidP="00AB673A">
      <w:pPr>
        <w:pStyle w:val="SingleTxt"/>
        <w:rPr>
          <w:rFonts w:hint="cs"/>
          <w:rtl/>
          <w:lang w:val="en-GB"/>
        </w:rPr>
      </w:pPr>
      <w:r>
        <w:rPr>
          <w:rFonts w:hint="cs"/>
          <w:rtl/>
          <w:lang w:val="en-GB"/>
        </w:rPr>
        <w:t>208 -</w:t>
      </w:r>
      <w:r>
        <w:rPr>
          <w:rFonts w:hint="cs"/>
          <w:rtl/>
          <w:lang w:val="en-GB"/>
        </w:rPr>
        <w:tab/>
        <w:t xml:space="preserve">ومع ذلك، من المسلم به أن بعض العمليات في الصناعات التحويلية </w:t>
      </w:r>
      <w:r w:rsidR="00AB673A">
        <w:rPr>
          <w:rFonts w:hint="cs"/>
          <w:rtl/>
          <w:lang w:val="en-GB"/>
        </w:rPr>
        <w:t>تستوجب</w:t>
      </w:r>
      <w:r w:rsidR="00C526D1">
        <w:rPr>
          <w:rFonts w:hint="cs"/>
          <w:rtl/>
          <w:lang w:val="en-GB"/>
        </w:rPr>
        <w:t>،</w:t>
      </w:r>
      <w:r w:rsidR="00AB673A">
        <w:rPr>
          <w:rFonts w:hint="cs"/>
          <w:rtl/>
          <w:lang w:val="en-GB"/>
        </w:rPr>
        <w:t xml:space="preserve"> لأسباب تقنية</w:t>
      </w:r>
      <w:r w:rsidR="00C526D1">
        <w:rPr>
          <w:rFonts w:hint="cs"/>
          <w:rtl/>
          <w:lang w:val="en-GB"/>
        </w:rPr>
        <w:t>،</w:t>
      </w:r>
      <w:r w:rsidR="00AB673A">
        <w:rPr>
          <w:rFonts w:hint="cs"/>
          <w:rtl/>
          <w:lang w:val="en-GB"/>
        </w:rPr>
        <w:t xml:space="preserve"> </w:t>
      </w:r>
      <w:r>
        <w:rPr>
          <w:rFonts w:hint="cs"/>
          <w:rtl/>
          <w:lang w:val="en-GB"/>
        </w:rPr>
        <w:t>الاضطلاع بها بصورة مستمرة. وقد أسفرت الحاجة إلى استخدام المنشآت والمعدات بصورة كثيفة وزيادة وجود العاملات في قطاع الصناعات التحويلية عن حالة تستلزم، في بعض الأحيان، إجراء است</w:t>
      </w:r>
      <w:r w:rsidR="00AB673A">
        <w:rPr>
          <w:rFonts w:hint="cs"/>
          <w:rtl/>
          <w:lang w:val="en-GB"/>
        </w:rPr>
        <w:t>ث</w:t>
      </w:r>
      <w:r>
        <w:rPr>
          <w:rFonts w:hint="cs"/>
          <w:rtl/>
          <w:lang w:val="en-GB"/>
        </w:rPr>
        <w:t xml:space="preserve">ناءات من الأحكام الناظمة لتشغيل العاملات. ولهذا، منح قانون العمل </w:t>
      </w:r>
      <w:r w:rsidR="00AB673A">
        <w:rPr>
          <w:rFonts w:hint="cs"/>
          <w:rtl/>
          <w:lang w:val="en-GB"/>
        </w:rPr>
        <w:t xml:space="preserve">للمدير </w:t>
      </w:r>
      <w:r>
        <w:rPr>
          <w:rFonts w:hint="cs"/>
          <w:rtl/>
          <w:lang w:val="en-GB"/>
        </w:rPr>
        <w:t>العام للعمل صلاحية الموافقة على تشغيل العاملات بين الساعة العاشرة مساء والخامسة صباحا رهنا بالشروط التي يرى ضرورة لفرضها مثل دفع بدلات عن المناوبات الليلية وتكاليف وسائط النقل ومرافق الإيواء. ويمكن أن يؤدي عدم الامتثال للشروط المفروضة إلى إلغاء رخصة رب العمل.</w:t>
      </w:r>
    </w:p>
    <w:p w:rsidR="00502F63" w:rsidRDefault="00955676" w:rsidP="00AB673A">
      <w:pPr>
        <w:pStyle w:val="SingleTxt"/>
        <w:rPr>
          <w:rFonts w:hint="cs"/>
          <w:rtl/>
          <w:lang w:val="en-GB"/>
        </w:rPr>
      </w:pPr>
      <w:r>
        <w:rPr>
          <w:rFonts w:hint="cs"/>
          <w:rtl/>
          <w:lang w:val="en-GB"/>
        </w:rPr>
        <w:t>209 -</w:t>
      </w:r>
      <w:r>
        <w:rPr>
          <w:rFonts w:hint="cs"/>
          <w:rtl/>
          <w:lang w:val="en-GB"/>
        </w:rPr>
        <w:tab/>
        <w:t>ويضمن قانون العمل كذلك للمرأة العاملة حق الحصول على إجازة أمومة لا تقل مدتها عن 60 يوما متواصلة عن كل ولادة تلدها حتى خمسة أطفال أحياء. وبإمكانها أخذ الإجازة في أي وقت خلال الأيام الثلاثين السابقة مباشرة للولادة أو في أي وقت لا يتعدى اليوم التالي مباشرة للولادة. وعلى أي حال، يجب إبلاغ أرباب العمل، إما شفويا أو كتابيا، بالموعد المتوقع للولادة والموعد المتوقع لبدء الإجازة في غضون</w:t>
      </w:r>
      <w:r w:rsidR="00AB673A">
        <w:rPr>
          <w:rFonts w:hint="cs"/>
          <w:rtl/>
          <w:lang w:val="en-GB"/>
        </w:rPr>
        <w:t xml:space="preserve"> الـ</w:t>
      </w:r>
      <w:r>
        <w:rPr>
          <w:rFonts w:hint="cs"/>
          <w:rtl/>
          <w:lang w:val="en-GB"/>
        </w:rPr>
        <w:t xml:space="preserve"> 60 يوما السابقة لموعد الولادة المتوقع. ولا يجوز تسريح أي عاملة في أثناء إجازة الأمومة. كما يحق للعاملات اللائي لا يحصلن على أجور شهرية خلال إجازة الأمومة الحصول على بدل أمومة من أرباب عملهن لخمسة أطفال أحياء على الأكثر. وينبغي أن لا يقل بدل الأمومة عن 6 رينغيتات في اليوم. ويحق للعاملة التي ت</w:t>
      </w:r>
      <w:r w:rsidR="00AB673A">
        <w:rPr>
          <w:rFonts w:hint="cs"/>
          <w:rtl/>
          <w:lang w:val="en-GB"/>
        </w:rPr>
        <w:t>ُ</w:t>
      </w:r>
      <w:r>
        <w:rPr>
          <w:rFonts w:hint="cs"/>
          <w:rtl/>
          <w:lang w:val="en-GB"/>
        </w:rPr>
        <w:t>فصل عن العمل أو ي</w:t>
      </w:r>
      <w:r w:rsidR="00AB673A">
        <w:rPr>
          <w:rFonts w:hint="cs"/>
          <w:rtl/>
          <w:lang w:val="en-GB"/>
        </w:rPr>
        <w:t>ُ</w:t>
      </w:r>
      <w:r>
        <w:rPr>
          <w:rFonts w:hint="cs"/>
          <w:rtl/>
          <w:lang w:val="en-GB"/>
        </w:rPr>
        <w:t>سر</w:t>
      </w:r>
      <w:r w:rsidR="00AB673A">
        <w:rPr>
          <w:rFonts w:hint="cs"/>
          <w:rtl/>
          <w:lang w:val="en-GB"/>
        </w:rPr>
        <w:t>ّ</w:t>
      </w:r>
      <w:r>
        <w:rPr>
          <w:rFonts w:hint="cs"/>
          <w:rtl/>
          <w:lang w:val="en-GB"/>
        </w:rPr>
        <w:t>حها رب العمل بعد أن تكون قد عملت لديه بصورة متواصلة فترة لا تقل عن 12 شهرا أن تحصل على استحقاقات تسريح أو إنهاء خدمة</w:t>
      </w:r>
      <w:r w:rsidR="00AB673A">
        <w:rPr>
          <w:rFonts w:hint="cs"/>
          <w:rtl/>
          <w:lang w:val="en-GB"/>
        </w:rPr>
        <w:t>.</w:t>
      </w:r>
    </w:p>
    <w:p w:rsidR="00974675" w:rsidRDefault="00974675" w:rsidP="00F33784">
      <w:pPr>
        <w:pStyle w:val="SingleTxt"/>
        <w:rPr>
          <w:rFonts w:hint="cs"/>
          <w:rtl/>
        </w:rPr>
      </w:pPr>
      <w:r>
        <w:rPr>
          <w:rFonts w:hint="cs"/>
          <w:rtl/>
        </w:rPr>
        <w:t>210 -</w:t>
      </w:r>
      <w:r>
        <w:rPr>
          <w:rFonts w:hint="cs"/>
          <w:rtl/>
        </w:rPr>
        <w:tab/>
        <w:t xml:space="preserve">تغطي القوانين المدنية والجنائية على السواء حوادث التحرش الجنسي في مكان العمل. وتقوم وزارة الموارد البشرية حاليا بشن حملة تشتمل على عقد حلقات دراسية وبرامج تثقيفية للتوعية </w:t>
      </w:r>
      <w:r w:rsidR="00F33784">
        <w:rPr>
          <w:rFonts w:hint="cs"/>
          <w:rtl/>
        </w:rPr>
        <w:t>ب</w:t>
      </w:r>
      <w:r>
        <w:rPr>
          <w:rFonts w:hint="cs"/>
          <w:rtl/>
        </w:rPr>
        <w:t xml:space="preserve">مسائل التحرش الجنسي. ومن خلال وزارة الموارد البشرية، بدأت الحكومة بتطبيق </w:t>
      </w:r>
      <w:r w:rsidR="00F33784">
        <w:rPr>
          <w:rFonts w:hint="eastAsia"/>
          <w:rtl/>
        </w:rPr>
        <w:t>”</w:t>
      </w:r>
      <w:r>
        <w:rPr>
          <w:rFonts w:hint="cs"/>
          <w:rtl/>
        </w:rPr>
        <w:t>مدونة الممارسات المتعلقة بمنع ومعالجة مسائل التحرش الجنسي في مكان العمل</w:t>
      </w:r>
      <w:r w:rsidR="00F33784">
        <w:rPr>
          <w:rFonts w:hint="eastAsia"/>
          <w:rtl/>
        </w:rPr>
        <w:t>“</w:t>
      </w:r>
      <w:r>
        <w:rPr>
          <w:rFonts w:hint="cs"/>
          <w:rtl/>
        </w:rPr>
        <w:t>.</w:t>
      </w:r>
    </w:p>
    <w:p w:rsidR="00974675" w:rsidRDefault="00974675" w:rsidP="00F33784">
      <w:pPr>
        <w:pStyle w:val="SingleTxt"/>
        <w:rPr>
          <w:rFonts w:hint="cs"/>
          <w:rtl/>
        </w:rPr>
      </w:pPr>
      <w:r>
        <w:rPr>
          <w:rFonts w:hint="cs"/>
          <w:rtl/>
        </w:rPr>
        <w:t>21</w:t>
      </w:r>
      <w:r w:rsidR="00F33784">
        <w:rPr>
          <w:rFonts w:hint="cs"/>
          <w:rtl/>
        </w:rPr>
        <w:t>1 -</w:t>
      </w:r>
      <w:r w:rsidR="00F33784">
        <w:rPr>
          <w:rFonts w:hint="cs"/>
          <w:rtl/>
        </w:rPr>
        <w:tab/>
        <w:t>وتنص المدونة على تعريف عملي</w:t>
      </w:r>
      <w:r>
        <w:rPr>
          <w:rFonts w:hint="cs"/>
          <w:rtl/>
        </w:rPr>
        <w:t xml:space="preserve"> للتحرش الجنسي وتوفر مبادئ توجيهية لأرباب العمل بشأن كيفية معالجته. فعلى سبيل المثال، يشجع أرباب العمل على وضع إجراءات للتظلم تتماشى مع المبادئ المبينة في المدونة. غير أن مدونة الممارسات هذه ليست صكا ملزما من الناحية القانونية وأرباب العمل غير ملزمين باعتماد المدونة. ولهذا، تقوم وزارة شؤون المرأة وتنمية الأسرة حاليا، بالتشاور مع وزارة الموارد البشرية والمنظمات غير الحكومية واتحاد أرباب العمل الماليزيين و</w:t>
      </w:r>
      <w:r w:rsidR="00F33784">
        <w:rPr>
          <w:rFonts w:hint="cs"/>
          <w:rtl/>
        </w:rPr>
        <w:t>المنظمة الاتحادية الماليزية ل</w:t>
      </w:r>
      <w:r>
        <w:rPr>
          <w:rFonts w:hint="cs"/>
          <w:rtl/>
        </w:rPr>
        <w:t>أرباب الصناعات التحويلية بدراسة اقتراح لصياغة تشريع خاص بالتحرش الجنسي.</w:t>
      </w:r>
    </w:p>
    <w:p w:rsidR="00974675" w:rsidRDefault="00974675" w:rsidP="00F33784">
      <w:pPr>
        <w:pStyle w:val="SingleTxt"/>
        <w:rPr>
          <w:rFonts w:hint="cs"/>
          <w:rtl/>
        </w:rPr>
      </w:pPr>
      <w:r>
        <w:rPr>
          <w:rFonts w:hint="cs"/>
          <w:rtl/>
        </w:rPr>
        <w:t>212 -</w:t>
      </w:r>
      <w:r>
        <w:rPr>
          <w:rFonts w:hint="cs"/>
          <w:rtl/>
        </w:rPr>
        <w:tab/>
        <w:t xml:space="preserve">وفي عام 1998، عدل قانون العمل لعام 1955 بحيث أصبح </w:t>
      </w:r>
      <w:r w:rsidR="00F33784">
        <w:rPr>
          <w:rFonts w:hint="cs"/>
          <w:rtl/>
        </w:rPr>
        <w:t xml:space="preserve">يجيز، في جملة أمور، </w:t>
      </w:r>
      <w:r>
        <w:rPr>
          <w:rFonts w:hint="cs"/>
          <w:rtl/>
        </w:rPr>
        <w:t xml:space="preserve">العمل </w:t>
      </w:r>
      <w:r w:rsidR="00F33784">
        <w:rPr>
          <w:rFonts w:hint="cs"/>
          <w:rtl/>
        </w:rPr>
        <w:t>ب</w:t>
      </w:r>
      <w:r>
        <w:rPr>
          <w:rFonts w:hint="cs"/>
          <w:rtl/>
        </w:rPr>
        <w:t>ساعات دوام مرنة وحصول العاملين بدوام جزئي على استحقاقات قانونية تتناسب مع الاستحقاقات التي يحصل عليها العاملون بدوام كامل. وحققت هذه الخطوة منفعة خاصة للمرأة بصفة عامة باعتبار أن المسؤوليات العائلية ما زالت تقع على عاتق المرأة أساسا في هذا البلد.</w:t>
      </w:r>
    </w:p>
    <w:p w:rsidR="00974675" w:rsidRDefault="00974675" w:rsidP="0097467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نقابات العمال لعام 1959 (القانون رقم 262)</w:t>
      </w:r>
    </w:p>
    <w:p w:rsidR="00974675" w:rsidRDefault="00974675" w:rsidP="00F33784">
      <w:pPr>
        <w:pStyle w:val="SingleTxt"/>
        <w:rPr>
          <w:rFonts w:hint="cs"/>
          <w:rtl/>
        </w:rPr>
      </w:pPr>
      <w:r>
        <w:rPr>
          <w:rFonts w:hint="cs"/>
          <w:rtl/>
        </w:rPr>
        <w:t>213 -</w:t>
      </w:r>
      <w:r>
        <w:rPr>
          <w:rFonts w:hint="cs"/>
          <w:rtl/>
        </w:rPr>
        <w:tab/>
        <w:t xml:space="preserve">يسلم قانون نقابات العمال لعام 1959 بحق العاملين </w:t>
      </w:r>
      <w:r w:rsidR="00F33784">
        <w:rPr>
          <w:rFonts w:hint="cs"/>
          <w:rtl/>
        </w:rPr>
        <w:t xml:space="preserve">في </w:t>
      </w:r>
      <w:r>
        <w:rPr>
          <w:rFonts w:hint="cs"/>
          <w:rtl/>
        </w:rPr>
        <w:t>تشك</w:t>
      </w:r>
      <w:r w:rsidR="00F33784">
        <w:rPr>
          <w:rFonts w:hint="cs"/>
          <w:rtl/>
        </w:rPr>
        <w:t>ي</w:t>
      </w:r>
      <w:r>
        <w:rPr>
          <w:rFonts w:hint="cs"/>
          <w:rtl/>
        </w:rPr>
        <w:t>ل نقابات عمالية والدخول في مساواة جماعية. وتؤيد الحكومة مفهوم الأطراف الثلاثة الذي ت</w:t>
      </w:r>
      <w:r w:rsidR="00F33784">
        <w:rPr>
          <w:rFonts w:hint="cs"/>
          <w:rtl/>
        </w:rPr>
        <w:t>ُ</w:t>
      </w:r>
      <w:r>
        <w:rPr>
          <w:rFonts w:hint="cs"/>
          <w:rtl/>
        </w:rPr>
        <w:t>عقد بموجبه مشاورات بش</w:t>
      </w:r>
      <w:r w:rsidR="00F33784">
        <w:rPr>
          <w:rFonts w:hint="cs"/>
          <w:rtl/>
        </w:rPr>
        <w:t>أن</w:t>
      </w:r>
      <w:r>
        <w:rPr>
          <w:rFonts w:hint="cs"/>
          <w:rtl/>
        </w:rPr>
        <w:t xml:space="preserve"> المسائل العمالية بين ممثلي أرباب العمل والعمال لكفالة مراعاة مصالح جميع المعنيين. وليس هناك ما يمنع العاملات من الاشتراك في النقابات العمال</w:t>
      </w:r>
      <w:r w:rsidR="00F33784">
        <w:rPr>
          <w:rFonts w:hint="cs"/>
          <w:rtl/>
        </w:rPr>
        <w:t>ي</w:t>
      </w:r>
      <w:r>
        <w:rPr>
          <w:rFonts w:hint="cs"/>
          <w:rtl/>
        </w:rPr>
        <w:t>ة</w:t>
      </w:r>
      <w:r w:rsidR="00F33784">
        <w:rPr>
          <w:rFonts w:hint="cs"/>
          <w:rtl/>
        </w:rPr>
        <w:t>،</w:t>
      </w:r>
      <w:r>
        <w:rPr>
          <w:rFonts w:hint="cs"/>
          <w:rtl/>
        </w:rPr>
        <w:t xml:space="preserve"> ومع ذلك يجري تشجيعهن على القيام بذلك. ويوضح الجدول 11-3 أدناه عدد العضوات في النقابات العمالية.</w:t>
      </w:r>
    </w:p>
    <w:p w:rsidR="00974675" w:rsidRDefault="00974675" w:rsidP="009746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11-3: عدد نقابات العمال وعدد الأعضاء فيها، بحسب نوع الجنس، 1998-2000</w:t>
      </w:r>
    </w:p>
    <w:p w:rsidR="00974675" w:rsidRPr="00803CE4" w:rsidRDefault="00974675" w:rsidP="00974675">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74675" w:rsidRPr="00803CE4">
        <w:tblPrEx>
          <w:tblCellMar>
            <w:top w:w="0" w:type="dxa"/>
            <w:bottom w:w="0" w:type="dxa"/>
          </w:tblCellMar>
        </w:tblPrEx>
        <w:trPr>
          <w:cantSplit/>
          <w:tblHeader/>
        </w:trPr>
        <w:tc>
          <w:tcPr>
            <w:tcW w:w="1464" w:type="dxa"/>
            <w:vMerge w:val="restart"/>
            <w:tcBorders>
              <w:top w:val="single" w:sz="4"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80" w:after="80" w:line="240" w:lineRule="exact"/>
              <w:ind w:left="170" w:right="170"/>
              <w:rPr>
                <w:rFonts w:hint="cs"/>
                <w:i/>
                <w:iCs/>
                <w:sz w:val="16"/>
                <w:szCs w:val="24"/>
                <w:rtl/>
              </w:rPr>
            </w:pPr>
            <w:r w:rsidRPr="00803CE4">
              <w:rPr>
                <w:rFonts w:hint="cs"/>
                <w:i/>
                <w:iCs/>
                <w:sz w:val="16"/>
                <w:szCs w:val="24"/>
                <w:rtl/>
              </w:rPr>
              <w:t>السنة</w:t>
            </w:r>
          </w:p>
        </w:tc>
        <w:tc>
          <w:tcPr>
            <w:tcW w:w="1464" w:type="dxa"/>
            <w:vMerge w:val="restart"/>
            <w:tcBorders>
              <w:top w:val="single" w:sz="4"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803CE4">
              <w:rPr>
                <w:rFonts w:hint="cs"/>
                <w:i/>
                <w:iCs/>
                <w:sz w:val="16"/>
                <w:szCs w:val="24"/>
                <w:rtl/>
              </w:rPr>
              <w:t>عدد النقابات</w:t>
            </w:r>
          </w:p>
        </w:tc>
        <w:tc>
          <w:tcPr>
            <w:tcW w:w="4392" w:type="dxa"/>
            <w:gridSpan w:val="3"/>
            <w:tcBorders>
              <w:top w:val="single" w:sz="4"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80" w:after="80" w:line="240" w:lineRule="exact"/>
              <w:ind w:left="170" w:right="144"/>
              <w:jc w:val="center"/>
              <w:rPr>
                <w:rFonts w:hint="cs"/>
                <w:i/>
                <w:iCs/>
                <w:sz w:val="16"/>
                <w:szCs w:val="24"/>
                <w:rtl/>
              </w:rPr>
            </w:pPr>
            <w:r w:rsidRPr="00803CE4">
              <w:rPr>
                <w:rFonts w:hint="cs"/>
                <w:i/>
                <w:iCs/>
                <w:sz w:val="16"/>
                <w:szCs w:val="24"/>
                <w:rtl/>
              </w:rPr>
              <w:t>العضوية</w:t>
            </w:r>
          </w:p>
        </w:tc>
      </w:tr>
      <w:tr w:rsidR="00974675" w:rsidRPr="00803CE4">
        <w:tblPrEx>
          <w:tblCellMar>
            <w:top w:w="0" w:type="dxa"/>
            <w:bottom w:w="0" w:type="dxa"/>
          </w:tblCellMar>
        </w:tblPrEx>
        <w:trPr>
          <w:cantSplit/>
          <w:tblHeader/>
        </w:trPr>
        <w:tc>
          <w:tcPr>
            <w:tcW w:w="1464" w:type="dxa"/>
            <w:vMerge/>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after="80" w:line="240" w:lineRule="exact"/>
              <w:ind w:left="170" w:right="170"/>
              <w:rPr>
                <w:rFonts w:hint="cs"/>
                <w:i/>
                <w:iCs/>
                <w:sz w:val="16"/>
                <w:szCs w:val="24"/>
                <w:rtl/>
              </w:rPr>
            </w:pPr>
          </w:p>
        </w:tc>
        <w:tc>
          <w:tcPr>
            <w:tcW w:w="1464" w:type="dxa"/>
            <w:vMerge/>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after="80" w:line="240" w:lineRule="exact"/>
              <w:ind w:left="170" w:right="144"/>
              <w:jc w:val="lowKashida"/>
              <w:rPr>
                <w:rFonts w:hint="cs"/>
                <w:i/>
                <w:iCs/>
                <w:sz w:val="16"/>
                <w:szCs w:val="24"/>
                <w:rtl/>
              </w:rPr>
            </w:pPr>
          </w:p>
        </w:tc>
        <w:tc>
          <w:tcPr>
            <w:tcW w:w="1464" w:type="dxa"/>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after="80" w:line="240" w:lineRule="exact"/>
              <w:ind w:left="170" w:right="144"/>
              <w:jc w:val="lowKashida"/>
              <w:rPr>
                <w:rFonts w:hint="cs"/>
                <w:i/>
                <w:iCs/>
                <w:sz w:val="16"/>
                <w:szCs w:val="24"/>
                <w:rtl/>
              </w:rPr>
            </w:pPr>
            <w:r w:rsidRPr="00803CE4">
              <w:rPr>
                <w:rFonts w:hint="cs"/>
                <w:i/>
                <w:iCs/>
                <w:sz w:val="16"/>
                <w:szCs w:val="24"/>
                <w:rtl/>
              </w:rPr>
              <w:t>المجموع</w:t>
            </w:r>
          </w:p>
        </w:tc>
        <w:tc>
          <w:tcPr>
            <w:tcW w:w="1464" w:type="dxa"/>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after="80" w:line="240" w:lineRule="exact"/>
              <w:ind w:left="170" w:right="144"/>
              <w:jc w:val="lowKashida"/>
              <w:rPr>
                <w:rFonts w:hint="cs"/>
                <w:i/>
                <w:iCs/>
                <w:sz w:val="16"/>
                <w:szCs w:val="24"/>
                <w:rtl/>
              </w:rPr>
            </w:pPr>
            <w:r w:rsidRPr="00803CE4">
              <w:rPr>
                <w:rFonts w:hint="cs"/>
                <w:i/>
                <w:iCs/>
                <w:sz w:val="16"/>
                <w:szCs w:val="24"/>
                <w:rtl/>
              </w:rPr>
              <w:t>الذكور</w:t>
            </w:r>
          </w:p>
        </w:tc>
        <w:tc>
          <w:tcPr>
            <w:tcW w:w="1464" w:type="dxa"/>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after="80" w:line="240" w:lineRule="exact"/>
              <w:ind w:left="170" w:right="144"/>
              <w:jc w:val="lowKashida"/>
              <w:rPr>
                <w:rFonts w:hint="cs"/>
                <w:i/>
                <w:iCs/>
                <w:sz w:val="16"/>
                <w:szCs w:val="24"/>
                <w:rtl/>
              </w:rPr>
            </w:pPr>
            <w:r w:rsidRPr="00803CE4">
              <w:rPr>
                <w:rFonts w:hint="cs"/>
                <w:i/>
                <w:iCs/>
                <w:sz w:val="16"/>
                <w:szCs w:val="24"/>
                <w:rtl/>
              </w:rPr>
              <w:t>الإناث</w:t>
            </w:r>
          </w:p>
        </w:tc>
      </w:tr>
      <w:tr w:rsidR="00974675" w:rsidRPr="00803CE4">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p>
        </w:tc>
      </w:tr>
      <w:tr w:rsidR="00974675" w:rsidRPr="00803CE4">
        <w:tblPrEx>
          <w:tblCellMar>
            <w:top w:w="0" w:type="dxa"/>
            <w:bottom w:w="0" w:type="dxa"/>
          </w:tblCellMar>
        </w:tblPrEx>
        <w:trPr>
          <w:cantSplit/>
        </w:trPr>
        <w:tc>
          <w:tcPr>
            <w:tcW w:w="1464" w:type="dxa"/>
            <w:shd w:val="clear" w:color="auto" w:fill="auto"/>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1998</w:t>
            </w:r>
          </w:p>
        </w:tc>
        <w:tc>
          <w:tcPr>
            <w:tcW w:w="1464" w:type="dxa"/>
            <w:shd w:val="clear" w:color="auto" w:fill="auto"/>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532</w:t>
            </w:r>
          </w:p>
        </w:tc>
        <w:tc>
          <w:tcPr>
            <w:tcW w:w="1464" w:type="dxa"/>
            <w:shd w:val="clear" w:color="auto" w:fill="auto"/>
            <w:vAlign w:val="bottom"/>
          </w:tcPr>
          <w:p w:rsidR="00974675"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636 739</w:t>
            </w:r>
          </w:p>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r w:rsidR="00F33784">
              <w:rPr>
                <w:rFonts w:hint="cs"/>
                <w:sz w:val="16"/>
                <w:szCs w:val="24"/>
                <w:rtl/>
              </w:rPr>
              <w:t xml:space="preserve"> في المائة</w:t>
            </w:r>
          </w:p>
        </w:tc>
        <w:tc>
          <w:tcPr>
            <w:tcW w:w="1464" w:type="dxa"/>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143 468</w:t>
            </w:r>
          </w:p>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63.0</w:t>
            </w:r>
            <w:r w:rsidR="00F33784">
              <w:rPr>
                <w:rFonts w:hint="cs"/>
                <w:sz w:val="16"/>
                <w:szCs w:val="24"/>
                <w:rtl/>
              </w:rPr>
              <w:t xml:space="preserve"> في المائة </w:t>
            </w:r>
          </w:p>
        </w:tc>
        <w:tc>
          <w:tcPr>
            <w:tcW w:w="1464" w:type="dxa"/>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493 271</w:t>
            </w:r>
          </w:p>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37</w:t>
            </w:r>
            <w:r w:rsidR="00F33784">
              <w:rPr>
                <w:rFonts w:hint="cs"/>
                <w:sz w:val="16"/>
                <w:szCs w:val="24"/>
                <w:rtl/>
              </w:rPr>
              <w:t xml:space="preserve"> في المائة </w:t>
            </w:r>
          </w:p>
        </w:tc>
      </w:tr>
      <w:tr w:rsidR="00974675" w:rsidRPr="00803CE4">
        <w:tblPrEx>
          <w:tblCellMar>
            <w:top w:w="0" w:type="dxa"/>
            <w:bottom w:w="0" w:type="dxa"/>
          </w:tblCellMar>
        </w:tblPrEx>
        <w:trPr>
          <w:cantSplit/>
        </w:trPr>
        <w:tc>
          <w:tcPr>
            <w:tcW w:w="1464" w:type="dxa"/>
            <w:shd w:val="clear" w:color="auto" w:fill="auto"/>
          </w:tcPr>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1999</w:t>
            </w:r>
          </w:p>
        </w:tc>
        <w:tc>
          <w:tcPr>
            <w:tcW w:w="1464" w:type="dxa"/>
            <w:shd w:val="clear" w:color="auto" w:fill="auto"/>
          </w:tcPr>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537</w:t>
            </w:r>
          </w:p>
        </w:tc>
        <w:tc>
          <w:tcPr>
            <w:tcW w:w="1464" w:type="dxa"/>
            <w:shd w:val="clear" w:color="auto" w:fill="auto"/>
            <w:vAlign w:val="bottom"/>
          </w:tcPr>
          <w:p w:rsidR="00974675"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322 725</w:t>
            </w:r>
          </w:p>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r w:rsidR="00F33784">
              <w:rPr>
                <w:rFonts w:hint="cs"/>
                <w:sz w:val="16"/>
                <w:szCs w:val="24"/>
                <w:rtl/>
              </w:rPr>
              <w:t xml:space="preserve"> في المائة </w:t>
            </w:r>
          </w:p>
        </w:tc>
        <w:tc>
          <w:tcPr>
            <w:tcW w:w="1464" w:type="dxa"/>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938 461</w:t>
            </w:r>
          </w:p>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63.7</w:t>
            </w:r>
            <w:r w:rsidR="00F33784">
              <w:rPr>
                <w:rFonts w:hint="cs"/>
                <w:sz w:val="16"/>
                <w:szCs w:val="24"/>
                <w:rtl/>
              </w:rPr>
              <w:t xml:space="preserve"> في المائة </w:t>
            </w:r>
          </w:p>
        </w:tc>
        <w:tc>
          <w:tcPr>
            <w:tcW w:w="1464" w:type="dxa"/>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384 263</w:t>
            </w:r>
          </w:p>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36.3</w:t>
            </w:r>
            <w:r w:rsidR="00F33784">
              <w:rPr>
                <w:rFonts w:hint="cs"/>
                <w:sz w:val="16"/>
                <w:szCs w:val="24"/>
                <w:rtl/>
              </w:rPr>
              <w:t xml:space="preserve"> في المائة </w:t>
            </w:r>
          </w:p>
        </w:tc>
      </w:tr>
      <w:tr w:rsidR="00974675" w:rsidRPr="00803CE4">
        <w:tblPrEx>
          <w:tblCellMar>
            <w:top w:w="0" w:type="dxa"/>
            <w:bottom w:w="0" w:type="dxa"/>
          </w:tblCellMar>
        </w:tblPrEx>
        <w:trPr>
          <w:cantSplit/>
        </w:trPr>
        <w:tc>
          <w:tcPr>
            <w:tcW w:w="1464" w:type="dxa"/>
            <w:tcBorders>
              <w:bottom w:val="single" w:sz="12" w:space="0" w:color="auto"/>
            </w:tcBorders>
            <w:shd w:val="clear" w:color="auto" w:fill="auto"/>
            <w:vAlign w:val="bottom"/>
          </w:tcPr>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2000</w:t>
            </w:r>
          </w:p>
        </w:tc>
        <w:tc>
          <w:tcPr>
            <w:tcW w:w="1464" w:type="dxa"/>
            <w:tcBorders>
              <w:bottom w:val="single" w:sz="12" w:space="0" w:color="auto"/>
            </w:tcBorders>
            <w:shd w:val="clear" w:color="auto" w:fill="auto"/>
          </w:tcPr>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563</w:t>
            </w:r>
          </w:p>
        </w:tc>
        <w:tc>
          <w:tcPr>
            <w:tcW w:w="1464" w:type="dxa"/>
            <w:tcBorders>
              <w:bottom w:val="single" w:sz="12" w:space="0" w:color="auto"/>
            </w:tcBorders>
            <w:shd w:val="clear" w:color="auto" w:fill="auto"/>
            <w:vAlign w:val="bottom"/>
          </w:tcPr>
          <w:p w:rsidR="00974675"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037 734</w:t>
            </w:r>
          </w:p>
          <w:p w:rsidR="00974675" w:rsidRPr="00803CE4" w:rsidRDefault="00974675" w:rsidP="00BD2713">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r w:rsidR="00F33784">
              <w:rPr>
                <w:rFonts w:hint="cs"/>
                <w:sz w:val="16"/>
                <w:szCs w:val="24"/>
                <w:rtl/>
              </w:rPr>
              <w:t xml:space="preserve"> في المائة </w:t>
            </w:r>
          </w:p>
        </w:tc>
        <w:tc>
          <w:tcPr>
            <w:tcW w:w="1464" w:type="dxa"/>
            <w:tcBorders>
              <w:bottom w:val="single" w:sz="12" w:space="0" w:color="auto"/>
            </w:tcBorders>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315 468</w:t>
            </w:r>
          </w:p>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63.8</w:t>
            </w:r>
            <w:r w:rsidR="00F33784">
              <w:rPr>
                <w:rFonts w:hint="cs"/>
                <w:sz w:val="16"/>
                <w:szCs w:val="24"/>
                <w:rtl/>
              </w:rPr>
              <w:t xml:space="preserve"> في المائة </w:t>
            </w:r>
          </w:p>
        </w:tc>
        <w:tc>
          <w:tcPr>
            <w:tcW w:w="1464" w:type="dxa"/>
            <w:tcBorders>
              <w:bottom w:val="single" w:sz="12" w:space="0" w:color="auto"/>
            </w:tcBorders>
            <w:shd w:val="clear" w:color="auto" w:fill="auto"/>
          </w:tcPr>
          <w:p w:rsidR="00974675"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722 265</w:t>
            </w:r>
          </w:p>
          <w:p w:rsidR="00974675" w:rsidRPr="00803CE4" w:rsidRDefault="00974675" w:rsidP="00BD2713">
            <w:pPr>
              <w:tabs>
                <w:tab w:val="left" w:pos="288"/>
                <w:tab w:val="left" w:pos="576"/>
                <w:tab w:val="left" w:pos="864"/>
                <w:tab w:val="left" w:pos="1152"/>
              </w:tabs>
              <w:spacing w:before="40" w:after="80" w:line="240" w:lineRule="exact"/>
              <w:ind w:left="170" w:right="170"/>
              <w:jc w:val="left"/>
              <w:rPr>
                <w:rFonts w:hint="cs"/>
                <w:sz w:val="16"/>
                <w:szCs w:val="24"/>
                <w:rtl/>
              </w:rPr>
            </w:pPr>
            <w:r>
              <w:rPr>
                <w:rFonts w:hint="cs"/>
                <w:sz w:val="16"/>
                <w:szCs w:val="24"/>
                <w:rtl/>
              </w:rPr>
              <w:t>36.2</w:t>
            </w:r>
            <w:r w:rsidR="00F33784">
              <w:rPr>
                <w:rFonts w:hint="cs"/>
                <w:sz w:val="16"/>
                <w:szCs w:val="24"/>
                <w:rtl/>
              </w:rPr>
              <w:t xml:space="preserve"> في المائة </w:t>
            </w:r>
          </w:p>
        </w:tc>
      </w:tr>
    </w:tbl>
    <w:p w:rsidR="00974675" w:rsidRPr="00803CE4" w:rsidRDefault="00974675" w:rsidP="00974675">
      <w:pPr>
        <w:pStyle w:val="SingleTxt"/>
        <w:spacing w:after="0" w:line="120" w:lineRule="exact"/>
        <w:rPr>
          <w:rFonts w:hint="cs"/>
          <w:sz w:val="10"/>
          <w:rtl/>
        </w:rPr>
      </w:pPr>
    </w:p>
    <w:p w:rsidR="00974675" w:rsidRDefault="00974675" w:rsidP="009746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إدارة شؤون نقابات العمال، وزارة الموارد البشرية.</w:t>
      </w:r>
    </w:p>
    <w:p w:rsidR="00974675" w:rsidRDefault="00974675" w:rsidP="009746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ملاحظة: لا يشمل عدد نقابات أرباب العمل واتحاد نقابات العمال.</w:t>
      </w:r>
    </w:p>
    <w:p w:rsidR="00974675" w:rsidRPr="00803CE4" w:rsidRDefault="00974675" w:rsidP="0097467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974675" w:rsidRDefault="00974675" w:rsidP="0097467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قانون السلامة والصحة المهنية لعام 1994 (القانون رقم 514)/قانون المصانع والالآت لعام 1967 (القانون رقم 139) </w:t>
      </w:r>
    </w:p>
    <w:p w:rsidR="00974675" w:rsidRDefault="00974675" w:rsidP="006D530C">
      <w:pPr>
        <w:pStyle w:val="SingleTxt"/>
        <w:rPr>
          <w:rFonts w:hint="cs"/>
          <w:rtl/>
        </w:rPr>
      </w:pPr>
      <w:r>
        <w:rPr>
          <w:rFonts w:hint="cs"/>
          <w:rtl/>
        </w:rPr>
        <w:t>214 -</w:t>
      </w:r>
      <w:r>
        <w:rPr>
          <w:rFonts w:hint="cs"/>
          <w:rtl/>
        </w:rPr>
        <w:tab/>
        <w:t>يتمتع كل عامل بالحق في حماية سلامته وصحته في مكان العمل. ولا يوجد تمييز على أساس نوع الجنس. وهذا الحق منصوص عليه صراحة في القانونين الرئيسيين اللذين ينظمان سلامة وصحة العمال في مكان العمل وهما قانون السلامة والصحة المهنية لعام 1994 وقانون المصانع والالآت لعام 1967.</w:t>
      </w:r>
    </w:p>
    <w:p w:rsidR="00974675" w:rsidRDefault="00974675" w:rsidP="006D530C">
      <w:pPr>
        <w:pStyle w:val="SingleTxt"/>
        <w:rPr>
          <w:rFonts w:hint="cs"/>
          <w:rtl/>
        </w:rPr>
      </w:pPr>
      <w:r>
        <w:rPr>
          <w:rFonts w:hint="cs"/>
          <w:rtl/>
        </w:rPr>
        <w:t>215 -</w:t>
      </w:r>
      <w:r>
        <w:rPr>
          <w:rFonts w:hint="cs"/>
          <w:rtl/>
        </w:rPr>
        <w:tab/>
        <w:t xml:space="preserve">وبغية تعزيز المعايير العليا للسلامة والصحة في مكان العمل، يوفر قانون السلامة والصحة المهنية إطارا تشريعيا يشمل تعيين ضباط الإنفاذ وإنشاء المجلس الوطني للسلامة والصحة المهنية وصياغة سياسات تتعلق بالسلامة والصحة على صعيد المؤسسة. ويتضمن كذلك </w:t>
      </w:r>
      <w:r w:rsidR="006D530C">
        <w:rPr>
          <w:rFonts w:hint="cs"/>
          <w:rtl/>
        </w:rPr>
        <w:t>أ</w:t>
      </w:r>
      <w:r>
        <w:rPr>
          <w:rFonts w:hint="cs"/>
          <w:rtl/>
        </w:rPr>
        <w:t>حكاما خاصة لضمان حماية الصحة الإنجابية للمرأة من التعرض للعوامل البيئية الموجودة في مكان العمل.</w:t>
      </w:r>
    </w:p>
    <w:p w:rsidR="00974675" w:rsidRDefault="00974675" w:rsidP="0097467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الضمان  الاجتماعي للعمال لعام 1969 (القانون رقم 4)</w:t>
      </w:r>
    </w:p>
    <w:p w:rsidR="00974675" w:rsidRDefault="00974675" w:rsidP="00974675">
      <w:pPr>
        <w:pStyle w:val="SingleTxt"/>
        <w:rPr>
          <w:rFonts w:hint="cs"/>
          <w:rtl/>
        </w:rPr>
      </w:pPr>
      <w:r>
        <w:rPr>
          <w:rFonts w:hint="cs"/>
          <w:rtl/>
        </w:rPr>
        <w:t>216 -</w:t>
      </w:r>
      <w:r>
        <w:rPr>
          <w:rFonts w:hint="cs"/>
          <w:rtl/>
        </w:rPr>
        <w:tab/>
        <w:t>يحق للع</w:t>
      </w:r>
      <w:r w:rsidR="006D530C">
        <w:rPr>
          <w:rFonts w:hint="cs"/>
          <w:rtl/>
        </w:rPr>
        <w:t>مال المحليين الذين يصل</w:t>
      </w:r>
      <w:r>
        <w:rPr>
          <w:rFonts w:hint="cs"/>
          <w:rtl/>
        </w:rPr>
        <w:t xml:space="preserve"> أجرهم إلى 000 2 رينغيت في الشهر أن يحصلوا، بموجب قانون الضمان الاجتماعي للعمال لعام 1969، على مخصصات ملائمة وفي الوقت المناسب في حال الإصابات الناجمة عن العمل أو الأمراض المهنية أو العجز أو الوفاة. وبإمكان العمال ذوي الأجر الأعلى أن يختاروا التغطية بالاتفاق مع أرباب عملهم. ويساهم أرباب العمل بنسبة 1.75 في المائة من الأجر الشهري للعامل (1.25 في المائة </w:t>
      </w:r>
      <w:r w:rsidR="006D530C">
        <w:rPr>
          <w:rFonts w:hint="cs"/>
          <w:rtl/>
        </w:rPr>
        <w:t>ل</w:t>
      </w:r>
      <w:r>
        <w:rPr>
          <w:rFonts w:hint="cs"/>
          <w:rtl/>
        </w:rPr>
        <w:t>استحقاقات الإصابات الناجمة عن العمل و 0.5 في المائة لاستحقاقات حالات العجز وما شابهها) في حين يساهم العمال بنسبة 0.5 في المائة من أجرهم الشهري لاستحقاقات حالات العجز وما شابهها.</w:t>
      </w:r>
    </w:p>
    <w:p w:rsidR="00974675" w:rsidRDefault="00974675" w:rsidP="006D530C">
      <w:pPr>
        <w:pStyle w:val="SingleTxt"/>
        <w:rPr>
          <w:rFonts w:hint="cs"/>
          <w:rtl/>
        </w:rPr>
      </w:pPr>
      <w:r>
        <w:rPr>
          <w:rFonts w:hint="cs"/>
          <w:rtl/>
        </w:rPr>
        <w:t>217 -</w:t>
      </w:r>
      <w:r>
        <w:rPr>
          <w:rFonts w:hint="cs"/>
          <w:rtl/>
        </w:rPr>
        <w:tab/>
        <w:t>وإذا توفي عامل نتيجة إصابة ناجمة عن العمل، يحق لمُعاليه الحصول على استحقاق إعالة. وإذا تو</w:t>
      </w:r>
      <w:r w:rsidR="006D530C">
        <w:rPr>
          <w:rFonts w:hint="cs"/>
          <w:rtl/>
        </w:rPr>
        <w:t>فى</w:t>
      </w:r>
      <w:r>
        <w:rPr>
          <w:rFonts w:hint="cs"/>
          <w:rtl/>
        </w:rPr>
        <w:t xml:space="preserve"> عامل كان يتقاضى معاشا تقاعديا بسبب العجز، يحق لمُعاليه الحصول على المعاش التقاعدي الواجب الدفع للباقين على قيد الحياة. وتحصل الأرملة، بوصفها من المعالين الرئيسيين، على ثلاثة أخماس معدل الاستحقاق الكامل مدى الحياة أو حتى تتزوج مرة ثانية ويحصل الأولاد بوصفهم من المعالين الرئيسيين كذلك على خمسي الاستحقاق حتى بلوغهم سن الـ 21 عاما أو تخرجهم من الجامعة أو طيلة مدة العجز، إذا كان الولد عاجزا.</w:t>
      </w:r>
    </w:p>
    <w:p w:rsidR="00974675" w:rsidRDefault="00974675" w:rsidP="00974675">
      <w:pPr>
        <w:pStyle w:val="SingleTxt"/>
        <w:rPr>
          <w:rFonts w:hint="cs"/>
          <w:rtl/>
        </w:rPr>
      </w:pPr>
      <w:r>
        <w:rPr>
          <w:rFonts w:hint="cs"/>
          <w:rtl/>
        </w:rPr>
        <w:t>218 -</w:t>
      </w:r>
      <w:r>
        <w:rPr>
          <w:rFonts w:hint="cs"/>
          <w:rtl/>
        </w:rPr>
        <w:tab/>
        <w:t>وقد استثنى وزير الموارد البشرية، من خلال إخطار الضمان الاجتماعي للعمال الصادر في عام 1993 (استثناء العمال الأجانب) جميع العمال الأجانب (أي العمال غير المقيمين إقامة دائمة في ماليزيا) من التغطية بأحكام قانون الضمان الاجتماعي للعمال.</w:t>
      </w:r>
    </w:p>
    <w:p w:rsidR="00974675" w:rsidRDefault="00974675" w:rsidP="0097467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التعويضات الخاص بالعمال اليدويين لعام 1952 (القانون رقم 273)</w:t>
      </w:r>
    </w:p>
    <w:p w:rsidR="00974675" w:rsidRDefault="00974675" w:rsidP="006D530C">
      <w:pPr>
        <w:pStyle w:val="SingleTxt"/>
        <w:rPr>
          <w:rFonts w:hint="cs"/>
          <w:rtl/>
        </w:rPr>
      </w:pPr>
      <w:r>
        <w:rPr>
          <w:rFonts w:hint="cs"/>
          <w:rtl/>
        </w:rPr>
        <w:t>219 -</w:t>
      </w:r>
      <w:r>
        <w:rPr>
          <w:rFonts w:hint="cs"/>
          <w:rtl/>
        </w:rPr>
        <w:tab/>
        <w:t>يغطي قانون التعويضات الخاص بالعمال اليدويين العمال اليدويين الأجانب الذين يكسبون ما يصل إلى 500 رينغيت في الشهر والعمال اليدويين الماليزيين الذين يكسبون ما يصل إلى 400 رينغيت في الشهر ويهدف هذا القانون إلى مساعدة العمال الذين فقدوا قدرتهم على العمل بسبب إصابة ناجمة عن عملهم. وبموجب هذا القانون، يجب على رب العمل دفع تعويض للعامل المضرور أو لمُعاليه. وي</w:t>
      </w:r>
      <w:r w:rsidR="006D530C">
        <w:rPr>
          <w:rFonts w:hint="cs"/>
          <w:rtl/>
        </w:rPr>
        <w:t>ُ</w:t>
      </w:r>
      <w:r>
        <w:rPr>
          <w:rFonts w:hint="cs"/>
          <w:rtl/>
        </w:rPr>
        <w:t xml:space="preserve">طلب إلى أرباب العمل أن </w:t>
      </w:r>
      <w:r w:rsidR="006D530C">
        <w:rPr>
          <w:rFonts w:hint="cs"/>
          <w:rtl/>
        </w:rPr>
        <w:t xml:space="preserve">يكون لديهم تأمين </w:t>
      </w:r>
      <w:r>
        <w:rPr>
          <w:rFonts w:hint="cs"/>
          <w:rtl/>
        </w:rPr>
        <w:t>ضد مسؤولية من هذا القبيل.</w:t>
      </w:r>
    </w:p>
    <w:p w:rsidR="00974675" w:rsidRDefault="00974675" w:rsidP="0097467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صندوق ادخار العمال لعام 1991 (القانون رقم 452)</w:t>
      </w:r>
    </w:p>
    <w:p w:rsidR="00974675" w:rsidRDefault="00974675" w:rsidP="006D530C">
      <w:pPr>
        <w:pStyle w:val="SingleTxt"/>
        <w:rPr>
          <w:rFonts w:hint="cs"/>
          <w:rtl/>
        </w:rPr>
      </w:pPr>
      <w:r>
        <w:rPr>
          <w:rFonts w:hint="cs"/>
          <w:rtl/>
        </w:rPr>
        <w:t>220 -</w:t>
      </w:r>
      <w:r>
        <w:rPr>
          <w:rFonts w:hint="cs"/>
          <w:rtl/>
        </w:rPr>
        <w:tab/>
        <w:t xml:space="preserve">صندوق ادخار العمال هو خطة ادخار إلزامية تستهدف ضمان وجود بعض المدخرات في يد العمال للاعتماد عليها في حالة التقاعد أو العجز. وعند الوفاة، تعطى المدخرات للمستفيدين المعينين من قِبَله. وبمقتضى قانون صندوق ادخار العمال لعام </w:t>
      </w:r>
      <w:r w:rsidR="006D530C">
        <w:rPr>
          <w:rFonts w:hint="cs"/>
          <w:rtl/>
        </w:rPr>
        <w:t>1991</w:t>
      </w:r>
      <w:r>
        <w:rPr>
          <w:rFonts w:hint="cs"/>
          <w:rtl/>
        </w:rPr>
        <w:t xml:space="preserve"> يتوجب على كل شخص مستخدم بموجب عقد خدمة أو تمهن أن يساهم في صندوق ادخار العمال بدءا من تقاضيه أول مرتب شهري له فصاعدا. ويجب على أرباب العمل كذلك أن يقدموا مساهمات لموظفيهم. ويبلغ معدل مساهمة أرباب العمل الواجب عليهم </w:t>
      </w:r>
      <w:r w:rsidR="006D530C">
        <w:rPr>
          <w:rFonts w:hint="cs"/>
          <w:rtl/>
        </w:rPr>
        <w:t>دفع</w:t>
      </w:r>
      <w:r w:rsidR="00D41942">
        <w:rPr>
          <w:rFonts w:hint="cs"/>
          <w:rtl/>
        </w:rPr>
        <w:t>ه</w:t>
      </w:r>
      <w:r w:rsidR="006D530C">
        <w:rPr>
          <w:rFonts w:hint="cs"/>
          <w:rtl/>
        </w:rPr>
        <w:t xml:space="preserve"> </w:t>
      </w:r>
      <w:r>
        <w:rPr>
          <w:rFonts w:hint="cs"/>
          <w:rtl/>
        </w:rPr>
        <w:t xml:space="preserve">قانونا 12 في المائة من الأجر الشهري للعامل في حين تبلغ مساهمة العامل 11 في المائة. ولا يعامل </w:t>
      </w:r>
      <w:r w:rsidR="006D530C">
        <w:rPr>
          <w:rFonts w:hint="cs"/>
          <w:rtl/>
        </w:rPr>
        <w:t>ال</w:t>
      </w:r>
      <w:r>
        <w:rPr>
          <w:rFonts w:hint="cs"/>
          <w:rtl/>
        </w:rPr>
        <w:t>قانون العاملات معاملة مختلفة عن العمال من حيث استحقاق الفوائد.</w:t>
      </w:r>
    </w:p>
    <w:p w:rsidR="00974675" w:rsidRDefault="00974675" w:rsidP="009746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الفروق في الأجور</w:t>
      </w:r>
    </w:p>
    <w:p w:rsidR="00974675" w:rsidRDefault="00974675" w:rsidP="006D530C">
      <w:pPr>
        <w:pStyle w:val="SingleTxt"/>
        <w:rPr>
          <w:rFonts w:hint="cs"/>
          <w:rtl/>
        </w:rPr>
      </w:pPr>
      <w:r>
        <w:rPr>
          <w:rFonts w:hint="cs"/>
          <w:rtl/>
        </w:rPr>
        <w:t>221 -</w:t>
      </w:r>
      <w:r>
        <w:rPr>
          <w:rFonts w:hint="cs"/>
          <w:rtl/>
        </w:rPr>
        <w:tab/>
        <w:t xml:space="preserve">صدقت ماليزيا في </w:t>
      </w:r>
      <w:r>
        <w:rPr>
          <w:rtl/>
        </w:rPr>
        <w:t xml:space="preserve">أيلول/سبتمبر </w:t>
      </w:r>
      <w:r>
        <w:rPr>
          <w:rFonts w:hint="cs"/>
          <w:rtl/>
        </w:rPr>
        <w:t xml:space="preserve">1997 على اتفاقية منظمة العمل الدولية رقم 100 المتعلقة بالمساواة </w:t>
      </w:r>
      <w:r w:rsidR="006D530C">
        <w:rPr>
          <w:rFonts w:hint="cs"/>
          <w:rtl/>
        </w:rPr>
        <w:t xml:space="preserve">بين العمال والعاملات </w:t>
      </w:r>
      <w:r>
        <w:rPr>
          <w:rFonts w:hint="cs"/>
          <w:rtl/>
        </w:rPr>
        <w:t xml:space="preserve">في الأجر </w:t>
      </w:r>
      <w:r w:rsidR="006D530C">
        <w:rPr>
          <w:rFonts w:hint="cs"/>
          <w:rtl/>
        </w:rPr>
        <w:t>عن العمل المتساوي القمية</w:t>
      </w:r>
      <w:r>
        <w:rPr>
          <w:rFonts w:hint="cs"/>
          <w:rtl/>
        </w:rPr>
        <w:t>. وبناء عليه، تدفع للمرأة نفس المبالغ التي تدفع للرجال عن العمل ذاته في كل من القطاعين العام والخاص.</w:t>
      </w:r>
    </w:p>
    <w:p w:rsidR="00974675" w:rsidRDefault="00974675" w:rsidP="009746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فرص التدريب</w:t>
      </w:r>
    </w:p>
    <w:p w:rsidR="00974675" w:rsidRDefault="00974675" w:rsidP="00974675">
      <w:pPr>
        <w:pStyle w:val="SingleTxt"/>
        <w:rPr>
          <w:rFonts w:hint="cs"/>
          <w:rtl/>
        </w:rPr>
      </w:pPr>
      <w:r>
        <w:rPr>
          <w:rFonts w:hint="cs"/>
          <w:rtl/>
        </w:rPr>
        <w:t>222 -</w:t>
      </w:r>
      <w:r>
        <w:rPr>
          <w:rFonts w:hint="cs"/>
          <w:rtl/>
        </w:rPr>
        <w:tab/>
        <w:t>تمشيا مع سياسة العمل الوطنية القاضية بتوفير مجموعة من العمال المثقفين جيدا والمتمتعين بمهارات عالية والمتحمسين بقوة للعمل لتلبية احتياجات التنمية الصناعية، أعطت الحكومة أولوية عليا لتنمية الموارد البشرية.</w:t>
      </w:r>
    </w:p>
    <w:p w:rsidR="006B0A1A" w:rsidRDefault="00974675" w:rsidP="006B0A1A">
      <w:pPr>
        <w:pStyle w:val="SingleTxt"/>
        <w:rPr>
          <w:rFonts w:hint="cs"/>
          <w:rtl/>
        </w:rPr>
      </w:pPr>
      <w:r>
        <w:rPr>
          <w:rFonts w:hint="cs"/>
          <w:rtl/>
        </w:rPr>
        <w:t>223 -</w:t>
      </w:r>
      <w:r>
        <w:rPr>
          <w:rFonts w:hint="cs"/>
          <w:rtl/>
        </w:rPr>
        <w:tab/>
        <w:t xml:space="preserve">كانت الموارد البشرية تقليديا وعلى وجه العموم محصورة في نطاق القطاع العام. غير أن هذا الاتجاه تغير ببطء في السنوات الأخيرة نتيجة انخراط القطاع الخاص بقوة من تلقاء ذاته في توفير التعليم والتدريب في البلد. وأتيحت للمرأة فرص متساوية للحصول على التدريب المهني أو إعادة التدريب، بما في ذلك فرص التمهن والتدريب المهني المتقدم. ومع ذلك، فإن اشتراك المرأة في التدريب الصناعي أقل من اشتراك الرجل فيه بسبب عدم اهتمام المرأة في شغل </w:t>
      </w:r>
      <w:r w:rsidR="0073227A">
        <w:rPr>
          <w:rFonts w:hint="cs"/>
          <w:rtl/>
        </w:rPr>
        <w:t>ال</w:t>
      </w:r>
      <w:r>
        <w:rPr>
          <w:rFonts w:hint="cs"/>
          <w:rtl/>
        </w:rPr>
        <w:t>وظائف الكادحة. ويوضح الجدول 11-4 أدناه عدد المتدربات في مركز تدريب المعلمين والتدريب على المهارات المتقدمة التابع لوزارة الموارد البشرية، في الفترة من 1994 إلى 1998.</w:t>
      </w:r>
    </w:p>
    <w:p w:rsidR="006B0A1A" w:rsidRDefault="006B0A1A" w:rsidP="006B0A1A">
      <w:pPr>
        <w:pStyle w:val="SingleTxt"/>
        <w:sectPr w:rsidR="006B0A1A" w:rsidSect="009A2AD0">
          <w:headerReference w:type="even" r:id="rId21"/>
          <w:footerReference w:type="even" r:id="rId22"/>
          <w:endnotePr>
            <w:numFmt w:val="decimal"/>
          </w:endnotePr>
          <w:pgSz w:w="12240" w:h="15840" w:code="1"/>
          <w:pgMar w:top="1742" w:right="1195" w:bottom="1898" w:left="1195" w:header="576" w:footer="1030" w:gutter="0"/>
          <w:cols w:space="720"/>
          <w:noEndnote/>
          <w:bidi/>
          <w:rtlGutter/>
          <w:docGrid w:linePitch="280"/>
        </w:sectPr>
      </w:pPr>
    </w:p>
    <w:p w:rsidR="006B0A1A" w:rsidRDefault="006B0A1A" w:rsidP="00E90D27">
      <w:pPr>
        <w:pStyle w:val="SingleTxt"/>
        <w:rPr>
          <w:rFonts w:hint="cs"/>
          <w:rtl/>
        </w:rPr>
      </w:pPr>
    </w:p>
    <w:p w:rsidR="006E221F" w:rsidRDefault="006E221F" w:rsidP="006E22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rPr>
        <w:t>الجدول 11-4: المتدربون في مركز تدريب المعلمين والتدريب على المهارات المتقدمة، بحسب نوع الجنس، 1994-1998</w:t>
      </w:r>
    </w:p>
    <w:p w:rsidR="006E221F" w:rsidRPr="00993BAE" w:rsidRDefault="006E221F" w:rsidP="006E221F">
      <w:pPr>
        <w:pStyle w:val="SingleTxt"/>
        <w:spacing w:after="0" w:line="120" w:lineRule="exact"/>
        <w:rPr>
          <w:rFonts w:hint="cs"/>
          <w:sz w:val="10"/>
          <w:rtl/>
        </w:rPr>
      </w:pPr>
    </w:p>
    <w:tbl>
      <w:tblPr>
        <w:bidiVisual/>
        <w:tblW w:w="12240" w:type="dxa"/>
        <w:jc w:val="center"/>
        <w:tblLayout w:type="fixed"/>
        <w:tblCellMar>
          <w:left w:w="0" w:type="dxa"/>
          <w:right w:w="0" w:type="dxa"/>
        </w:tblCellMar>
        <w:tblLook w:val="0000" w:firstRow="0" w:lastRow="0" w:firstColumn="0" w:lastColumn="0" w:noHBand="0" w:noVBand="0"/>
      </w:tblPr>
      <w:tblGrid>
        <w:gridCol w:w="720"/>
        <w:gridCol w:w="1096"/>
        <w:gridCol w:w="824"/>
        <w:gridCol w:w="618"/>
        <w:gridCol w:w="721"/>
        <w:gridCol w:w="721"/>
        <w:gridCol w:w="618"/>
        <w:gridCol w:w="824"/>
        <w:gridCol w:w="721"/>
        <w:gridCol w:w="618"/>
        <w:gridCol w:w="721"/>
        <w:gridCol w:w="721"/>
        <w:gridCol w:w="618"/>
        <w:gridCol w:w="721"/>
        <w:gridCol w:w="618"/>
        <w:gridCol w:w="618"/>
        <w:gridCol w:w="742"/>
      </w:tblGrid>
      <w:tr w:rsidR="006E221F" w:rsidRPr="001E3AFC">
        <w:tblPrEx>
          <w:tblCellMar>
            <w:top w:w="0" w:type="dxa"/>
            <w:bottom w:w="0" w:type="dxa"/>
          </w:tblCellMar>
        </w:tblPrEx>
        <w:trPr>
          <w:cantSplit/>
          <w:tblHeader/>
          <w:jc w:val="center"/>
        </w:trPr>
        <w:tc>
          <w:tcPr>
            <w:tcW w:w="720" w:type="dxa"/>
            <w:vMerge w:val="restart"/>
            <w:tcBorders>
              <w:top w:val="single" w:sz="4" w:space="0" w:color="auto"/>
            </w:tcBorders>
            <w:shd w:val="clear" w:color="auto" w:fill="auto"/>
            <w:tcMar>
              <w:left w:w="0" w:type="dxa"/>
              <w:right w:w="0" w:type="dxa"/>
            </w:tcMar>
            <w:vAlign w:val="bottom"/>
          </w:tcPr>
          <w:p w:rsidR="006E221F" w:rsidRPr="001E3AFC" w:rsidRDefault="006E221F" w:rsidP="00215D2A">
            <w:pPr>
              <w:spacing w:before="80" w:after="80" w:line="240" w:lineRule="exact"/>
              <w:ind w:left="6" w:right="6"/>
              <w:jc w:val="center"/>
              <w:rPr>
                <w:rFonts w:hint="cs"/>
                <w:i/>
                <w:iCs/>
                <w:szCs w:val="20"/>
                <w:rtl/>
              </w:rPr>
            </w:pPr>
            <w:r w:rsidRPr="001E3AFC">
              <w:rPr>
                <w:rFonts w:hint="cs"/>
                <w:i/>
                <w:iCs/>
                <w:szCs w:val="20"/>
                <w:rtl/>
              </w:rPr>
              <w:t>العدد</w:t>
            </w:r>
          </w:p>
        </w:tc>
        <w:tc>
          <w:tcPr>
            <w:tcW w:w="1096" w:type="dxa"/>
            <w:vMerge w:val="restart"/>
            <w:tcBorders>
              <w:top w:val="single" w:sz="4" w:space="0" w:color="auto"/>
            </w:tcBorders>
            <w:shd w:val="clear" w:color="auto" w:fill="auto"/>
            <w:vAlign w:val="bottom"/>
          </w:tcPr>
          <w:p w:rsidR="006E221F" w:rsidRPr="001E3AFC" w:rsidRDefault="006E221F" w:rsidP="00215D2A">
            <w:pPr>
              <w:spacing w:before="80" w:after="80" w:line="240" w:lineRule="exact"/>
              <w:ind w:left="6" w:right="144"/>
              <w:jc w:val="lowKashida"/>
              <w:rPr>
                <w:rFonts w:hint="cs"/>
                <w:i/>
                <w:iCs/>
                <w:szCs w:val="20"/>
                <w:rtl/>
              </w:rPr>
            </w:pPr>
            <w:r w:rsidRPr="001E3AFC">
              <w:rPr>
                <w:rFonts w:hint="cs"/>
                <w:i/>
                <w:iCs/>
                <w:szCs w:val="20"/>
                <w:rtl/>
              </w:rPr>
              <w:t>وحدة التدريب</w:t>
            </w:r>
          </w:p>
        </w:tc>
        <w:tc>
          <w:tcPr>
            <w:tcW w:w="2163" w:type="dxa"/>
            <w:gridSpan w:val="3"/>
            <w:tcBorders>
              <w:top w:val="single" w:sz="4" w:space="0" w:color="auto"/>
              <w:bottom w:val="single" w:sz="2" w:space="0" w:color="auto"/>
            </w:tcBorders>
            <w:shd w:val="clear" w:color="auto" w:fill="auto"/>
            <w:vAlign w:val="bottom"/>
          </w:tcPr>
          <w:p w:rsidR="006E221F" w:rsidRPr="001E3AFC" w:rsidRDefault="006E221F" w:rsidP="00215D2A">
            <w:pPr>
              <w:spacing w:before="80" w:after="80" w:line="240" w:lineRule="exact"/>
              <w:ind w:left="6" w:right="144"/>
              <w:jc w:val="center"/>
              <w:rPr>
                <w:rFonts w:hint="cs"/>
                <w:i/>
                <w:iCs/>
                <w:szCs w:val="20"/>
                <w:rtl/>
              </w:rPr>
            </w:pPr>
            <w:r w:rsidRPr="001E3AFC">
              <w:rPr>
                <w:rFonts w:hint="cs"/>
                <w:i/>
                <w:iCs/>
                <w:szCs w:val="20"/>
                <w:rtl/>
              </w:rPr>
              <w:t>1994</w:t>
            </w:r>
          </w:p>
        </w:tc>
        <w:tc>
          <w:tcPr>
            <w:tcW w:w="2163" w:type="dxa"/>
            <w:gridSpan w:val="3"/>
            <w:tcBorders>
              <w:top w:val="single" w:sz="4" w:space="0" w:color="auto"/>
              <w:bottom w:val="single" w:sz="2" w:space="0" w:color="auto"/>
            </w:tcBorders>
            <w:shd w:val="clear" w:color="auto" w:fill="auto"/>
            <w:vAlign w:val="bottom"/>
          </w:tcPr>
          <w:p w:rsidR="006E221F" w:rsidRPr="001E3AFC" w:rsidRDefault="006E221F" w:rsidP="00215D2A">
            <w:pPr>
              <w:spacing w:before="80" w:after="80" w:line="240" w:lineRule="exact"/>
              <w:ind w:left="6" w:right="144"/>
              <w:jc w:val="center"/>
              <w:rPr>
                <w:rFonts w:hint="cs"/>
                <w:i/>
                <w:iCs/>
                <w:szCs w:val="20"/>
                <w:rtl/>
              </w:rPr>
            </w:pPr>
            <w:r w:rsidRPr="001E3AFC">
              <w:rPr>
                <w:rFonts w:hint="cs"/>
                <w:i/>
                <w:iCs/>
                <w:szCs w:val="20"/>
                <w:rtl/>
              </w:rPr>
              <w:t>1995</w:t>
            </w:r>
          </w:p>
        </w:tc>
        <w:tc>
          <w:tcPr>
            <w:tcW w:w="2060" w:type="dxa"/>
            <w:gridSpan w:val="3"/>
            <w:tcBorders>
              <w:top w:val="single" w:sz="4" w:space="0" w:color="auto"/>
              <w:bottom w:val="single" w:sz="2" w:space="0" w:color="auto"/>
            </w:tcBorders>
            <w:shd w:val="clear" w:color="auto" w:fill="auto"/>
            <w:vAlign w:val="bottom"/>
          </w:tcPr>
          <w:p w:rsidR="006E221F" w:rsidRPr="001E3AFC" w:rsidRDefault="006E221F" w:rsidP="00215D2A">
            <w:pPr>
              <w:spacing w:before="80" w:after="80" w:line="240" w:lineRule="exact"/>
              <w:ind w:left="6" w:right="144"/>
              <w:jc w:val="center"/>
              <w:rPr>
                <w:rFonts w:hint="cs"/>
                <w:i/>
                <w:iCs/>
                <w:szCs w:val="20"/>
                <w:rtl/>
              </w:rPr>
            </w:pPr>
            <w:r w:rsidRPr="001E3AFC">
              <w:rPr>
                <w:rFonts w:hint="cs"/>
                <w:i/>
                <w:iCs/>
                <w:szCs w:val="20"/>
                <w:rtl/>
              </w:rPr>
              <w:t>1996</w:t>
            </w:r>
          </w:p>
        </w:tc>
        <w:tc>
          <w:tcPr>
            <w:tcW w:w="2060" w:type="dxa"/>
            <w:gridSpan w:val="3"/>
            <w:tcBorders>
              <w:top w:val="single" w:sz="4" w:space="0" w:color="auto"/>
              <w:bottom w:val="single" w:sz="2" w:space="0" w:color="auto"/>
            </w:tcBorders>
            <w:shd w:val="clear" w:color="auto" w:fill="auto"/>
            <w:vAlign w:val="bottom"/>
          </w:tcPr>
          <w:p w:rsidR="006E221F" w:rsidRPr="001E3AFC" w:rsidRDefault="006E221F" w:rsidP="00215D2A">
            <w:pPr>
              <w:spacing w:before="80" w:after="80" w:line="240" w:lineRule="exact"/>
              <w:ind w:left="6" w:right="144"/>
              <w:jc w:val="center"/>
              <w:rPr>
                <w:rFonts w:hint="cs"/>
                <w:i/>
                <w:iCs/>
                <w:szCs w:val="20"/>
                <w:rtl/>
              </w:rPr>
            </w:pPr>
            <w:r w:rsidRPr="001E3AFC">
              <w:rPr>
                <w:rFonts w:hint="cs"/>
                <w:i/>
                <w:iCs/>
                <w:szCs w:val="20"/>
                <w:rtl/>
              </w:rPr>
              <w:t>1997</w:t>
            </w:r>
          </w:p>
        </w:tc>
        <w:tc>
          <w:tcPr>
            <w:tcW w:w="1978" w:type="dxa"/>
            <w:gridSpan w:val="3"/>
            <w:tcBorders>
              <w:top w:val="single" w:sz="4" w:space="0" w:color="auto"/>
              <w:bottom w:val="single" w:sz="2" w:space="0" w:color="auto"/>
            </w:tcBorders>
            <w:shd w:val="clear" w:color="auto" w:fill="auto"/>
            <w:vAlign w:val="bottom"/>
          </w:tcPr>
          <w:p w:rsidR="006E221F" w:rsidRPr="001E3AFC" w:rsidRDefault="006E221F" w:rsidP="00215D2A">
            <w:pPr>
              <w:spacing w:before="80" w:after="80" w:line="240" w:lineRule="exact"/>
              <w:ind w:left="6" w:right="144"/>
              <w:jc w:val="center"/>
              <w:rPr>
                <w:rFonts w:hint="cs"/>
                <w:i/>
                <w:iCs/>
                <w:szCs w:val="20"/>
                <w:rtl/>
              </w:rPr>
            </w:pPr>
            <w:r w:rsidRPr="001E3AFC">
              <w:rPr>
                <w:rFonts w:hint="cs"/>
                <w:i/>
                <w:iCs/>
                <w:szCs w:val="20"/>
                <w:rtl/>
              </w:rPr>
              <w:t>1998</w:t>
            </w:r>
          </w:p>
        </w:tc>
      </w:tr>
      <w:tr w:rsidR="006E221F" w:rsidRPr="001E3AFC">
        <w:tblPrEx>
          <w:tblCellMar>
            <w:top w:w="0" w:type="dxa"/>
            <w:bottom w:w="0" w:type="dxa"/>
          </w:tblCellMar>
        </w:tblPrEx>
        <w:trPr>
          <w:cantSplit/>
          <w:tblHeader/>
          <w:jc w:val="center"/>
        </w:trPr>
        <w:tc>
          <w:tcPr>
            <w:tcW w:w="720" w:type="dxa"/>
            <w:vMerge/>
            <w:tcBorders>
              <w:bottom w:val="single" w:sz="12" w:space="0" w:color="auto"/>
            </w:tcBorders>
            <w:shd w:val="clear" w:color="auto" w:fill="auto"/>
            <w:vAlign w:val="bottom"/>
          </w:tcPr>
          <w:p w:rsidR="006E221F" w:rsidRPr="001E3AFC" w:rsidRDefault="006E221F" w:rsidP="00215D2A">
            <w:pPr>
              <w:spacing w:after="80" w:line="240" w:lineRule="exact"/>
              <w:ind w:left="6" w:right="6"/>
              <w:rPr>
                <w:rFonts w:hint="cs"/>
                <w:i/>
                <w:iCs/>
                <w:szCs w:val="20"/>
                <w:rtl/>
              </w:rPr>
            </w:pPr>
          </w:p>
        </w:tc>
        <w:tc>
          <w:tcPr>
            <w:tcW w:w="1096" w:type="dxa"/>
            <w:vMerge/>
            <w:tcBorders>
              <w:bottom w:val="single" w:sz="12" w:space="0" w:color="auto"/>
            </w:tcBorders>
            <w:shd w:val="clear" w:color="auto" w:fill="auto"/>
            <w:vAlign w:val="bottom"/>
          </w:tcPr>
          <w:p w:rsidR="006E221F" w:rsidRPr="001E3AFC" w:rsidRDefault="006E221F" w:rsidP="00215D2A">
            <w:pPr>
              <w:spacing w:after="80" w:line="240" w:lineRule="exact"/>
              <w:ind w:left="6" w:right="144"/>
              <w:jc w:val="lowKashida"/>
              <w:rPr>
                <w:rFonts w:hint="cs"/>
                <w:i/>
                <w:iCs/>
                <w:szCs w:val="20"/>
                <w:rtl/>
              </w:rPr>
            </w:pPr>
          </w:p>
        </w:tc>
        <w:tc>
          <w:tcPr>
            <w:tcW w:w="824"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ذكور</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إناث</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المجموع</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ذكور</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إناث</w:t>
            </w:r>
          </w:p>
        </w:tc>
        <w:tc>
          <w:tcPr>
            <w:tcW w:w="824"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المجموع</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ذكور</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إناث</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المجموع</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ذكور</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إناث</w:t>
            </w:r>
          </w:p>
        </w:tc>
        <w:tc>
          <w:tcPr>
            <w:tcW w:w="721"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المجموع</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ذكور</w:t>
            </w:r>
          </w:p>
        </w:tc>
        <w:tc>
          <w:tcPr>
            <w:tcW w:w="618"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إناث</w:t>
            </w:r>
          </w:p>
        </w:tc>
        <w:tc>
          <w:tcPr>
            <w:tcW w:w="742" w:type="dxa"/>
            <w:tcBorders>
              <w:top w:val="single" w:sz="2" w:space="0" w:color="auto"/>
              <w:bottom w:val="single" w:sz="12" w:space="0" w:color="auto"/>
            </w:tcBorders>
            <w:shd w:val="clear" w:color="auto" w:fill="auto"/>
            <w:vAlign w:val="bottom"/>
          </w:tcPr>
          <w:p w:rsidR="006E221F" w:rsidRPr="001E3AFC" w:rsidRDefault="006E221F" w:rsidP="00215D2A">
            <w:pPr>
              <w:spacing w:after="80" w:line="240" w:lineRule="exact"/>
              <w:ind w:left="6" w:right="144"/>
              <w:jc w:val="center"/>
              <w:rPr>
                <w:rFonts w:hint="cs"/>
                <w:i/>
                <w:iCs/>
                <w:szCs w:val="20"/>
                <w:rtl/>
              </w:rPr>
            </w:pPr>
            <w:r w:rsidRPr="001E3AFC">
              <w:rPr>
                <w:rFonts w:hint="cs"/>
                <w:i/>
                <w:iCs/>
                <w:szCs w:val="20"/>
                <w:rtl/>
              </w:rPr>
              <w:t>المجموع</w:t>
            </w:r>
          </w:p>
        </w:tc>
      </w:tr>
      <w:tr w:rsidR="006E221F" w:rsidRPr="001E3AFC">
        <w:tblPrEx>
          <w:tblCellMar>
            <w:top w:w="0" w:type="dxa"/>
            <w:bottom w:w="0" w:type="dxa"/>
          </w:tblCellMar>
        </w:tblPrEx>
        <w:trPr>
          <w:cantSplit/>
          <w:trHeight w:hRule="exact" w:val="115"/>
          <w:tblHeader/>
          <w:jc w:val="center"/>
        </w:trPr>
        <w:tc>
          <w:tcPr>
            <w:tcW w:w="720"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6"/>
              <w:rPr>
                <w:rFonts w:hint="cs"/>
                <w:szCs w:val="20"/>
                <w:rtl/>
              </w:rPr>
            </w:pPr>
          </w:p>
        </w:tc>
        <w:tc>
          <w:tcPr>
            <w:tcW w:w="1096"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824"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824"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21"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618"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c>
          <w:tcPr>
            <w:tcW w:w="742" w:type="dxa"/>
            <w:tcBorders>
              <w:top w:val="single" w:sz="12" w:space="0" w:color="auto"/>
            </w:tcBorders>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p>
        </w:tc>
      </w:tr>
      <w:tr w:rsidR="006E221F" w:rsidRPr="001E3AFC">
        <w:tblPrEx>
          <w:tblCellMar>
            <w:top w:w="0" w:type="dxa"/>
            <w:bottom w:w="0" w:type="dxa"/>
          </w:tblCellMar>
        </w:tblPrEx>
        <w:trPr>
          <w:cantSplit/>
          <w:jc w:val="center"/>
        </w:trPr>
        <w:tc>
          <w:tcPr>
            <w:tcW w:w="720" w:type="dxa"/>
            <w:shd w:val="clear" w:color="auto" w:fill="auto"/>
          </w:tcPr>
          <w:p w:rsidR="006E221F" w:rsidRPr="001E3AFC" w:rsidRDefault="006E221F" w:rsidP="00215D2A">
            <w:pPr>
              <w:spacing w:before="40" w:after="80" w:line="240" w:lineRule="exact"/>
              <w:ind w:left="6" w:right="6"/>
              <w:jc w:val="center"/>
              <w:rPr>
                <w:rFonts w:hint="cs"/>
                <w:szCs w:val="20"/>
                <w:rtl/>
              </w:rPr>
            </w:pPr>
            <w:r w:rsidRPr="001E3AFC">
              <w:rPr>
                <w:rFonts w:hint="cs"/>
                <w:szCs w:val="20"/>
                <w:rtl/>
              </w:rPr>
              <w:t>1</w:t>
            </w:r>
          </w:p>
        </w:tc>
        <w:tc>
          <w:tcPr>
            <w:tcW w:w="1096" w:type="dxa"/>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r w:rsidRPr="001E3AFC">
              <w:rPr>
                <w:rFonts w:hint="cs"/>
                <w:szCs w:val="20"/>
                <w:rtl/>
              </w:rPr>
              <w:t>وحدة الميكانيك والإنتاج</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102 1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49</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151 1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339 1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84</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423 1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767 1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90</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857 1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847 1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115</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962 1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003 2</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147</w:t>
            </w:r>
          </w:p>
        </w:tc>
        <w:tc>
          <w:tcPr>
            <w:tcW w:w="742"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150 2</w:t>
            </w:r>
          </w:p>
        </w:tc>
      </w:tr>
      <w:tr w:rsidR="006E221F" w:rsidRPr="001E3AFC">
        <w:tblPrEx>
          <w:tblCellMar>
            <w:top w:w="0" w:type="dxa"/>
            <w:bottom w:w="0" w:type="dxa"/>
          </w:tblCellMar>
        </w:tblPrEx>
        <w:trPr>
          <w:cantSplit/>
          <w:jc w:val="center"/>
        </w:trPr>
        <w:tc>
          <w:tcPr>
            <w:tcW w:w="720"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2</w:t>
            </w:r>
          </w:p>
        </w:tc>
        <w:tc>
          <w:tcPr>
            <w:tcW w:w="1096" w:type="dxa"/>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r w:rsidRPr="001E3AFC">
              <w:rPr>
                <w:rFonts w:hint="cs"/>
                <w:szCs w:val="20"/>
                <w:rtl/>
              </w:rPr>
              <w:t>أجهزة الضبط الكهربائبية والالك</w:t>
            </w:r>
            <w:r>
              <w:rPr>
                <w:rFonts w:hint="cs"/>
                <w:szCs w:val="20"/>
                <w:rtl/>
              </w:rPr>
              <w:t>ت</w:t>
            </w:r>
            <w:r w:rsidRPr="001E3AFC">
              <w:rPr>
                <w:rFonts w:hint="cs"/>
                <w:szCs w:val="20"/>
                <w:rtl/>
              </w:rPr>
              <w:t>رونية</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683</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108</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791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179 1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221</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400 1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339 1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112</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451 1</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670 2</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424</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094 3</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537 1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354</w:t>
            </w:r>
          </w:p>
        </w:tc>
        <w:tc>
          <w:tcPr>
            <w:tcW w:w="742"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891 1</w:t>
            </w:r>
          </w:p>
        </w:tc>
      </w:tr>
      <w:tr w:rsidR="006E221F" w:rsidRPr="001E3AFC">
        <w:tblPrEx>
          <w:tblCellMar>
            <w:top w:w="0" w:type="dxa"/>
            <w:bottom w:w="0" w:type="dxa"/>
          </w:tblCellMar>
        </w:tblPrEx>
        <w:trPr>
          <w:cantSplit/>
          <w:jc w:val="center"/>
        </w:trPr>
        <w:tc>
          <w:tcPr>
            <w:tcW w:w="720"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w:t>
            </w:r>
          </w:p>
        </w:tc>
        <w:tc>
          <w:tcPr>
            <w:tcW w:w="1096" w:type="dxa"/>
            <w:shd w:val="clear" w:color="auto" w:fill="auto"/>
            <w:vAlign w:val="bottom"/>
          </w:tcPr>
          <w:p w:rsidR="006E221F" w:rsidRPr="001E3AFC" w:rsidRDefault="006E221F" w:rsidP="00215D2A">
            <w:pPr>
              <w:spacing w:before="40" w:after="80" w:line="240" w:lineRule="exact"/>
              <w:ind w:left="6" w:right="144"/>
              <w:jc w:val="lowKashida"/>
              <w:rPr>
                <w:rFonts w:hint="cs"/>
                <w:szCs w:val="20"/>
                <w:rtl/>
              </w:rPr>
            </w:pPr>
            <w:r w:rsidRPr="001E3AFC">
              <w:rPr>
                <w:rFonts w:hint="cs"/>
                <w:szCs w:val="20"/>
                <w:rtl/>
              </w:rPr>
              <w:t>الأشغال المدنية والأبنية</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146</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17</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240</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163</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176</w:t>
            </w:r>
          </w:p>
        </w:tc>
        <w:tc>
          <w:tcPr>
            <w:tcW w:w="824"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22</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198</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379</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42</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421</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705</w:t>
            </w:r>
          </w:p>
        </w:tc>
        <w:tc>
          <w:tcPr>
            <w:tcW w:w="721"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33</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738</w:t>
            </w:r>
          </w:p>
        </w:tc>
        <w:tc>
          <w:tcPr>
            <w:tcW w:w="618"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229</w:t>
            </w:r>
          </w:p>
        </w:tc>
        <w:tc>
          <w:tcPr>
            <w:tcW w:w="742" w:type="dxa"/>
            <w:shd w:val="clear" w:color="auto" w:fill="auto"/>
          </w:tcPr>
          <w:p w:rsidR="006E221F" w:rsidRPr="001E3AFC" w:rsidRDefault="006E221F" w:rsidP="00215D2A">
            <w:pPr>
              <w:spacing w:before="40" w:after="80" w:line="240" w:lineRule="exact"/>
              <w:ind w:left="6" w:right="144"/>
              <w:jc w:val="center"/>
              <w:rPr>
                <w:rFonts w:hint="cs"/>
                <w:szCs w:val="20"/>
                <w:rtl/>
              </w:rPr>
            </w:pPr>
            <w:r>
              <w:rPr>
                <w:rFonts w:hint="cs"/>
                <w:szCs w:val="20"/>
                <w:rtl/>
              </w:rPr>
              <w:t>47</w:t>
            </w:r>
          </w:p>
        </w:tc>
      </w:tr>
      <w:tr w:rsidR="006E221F" w:rsidRPr="001E3AFC">
        <w:tblPrEx>
          <w:tblCellMar>
            <w:top w:w="0" w:type="dxa"/>
            <w:bottom w:w="0" w:type="dxa"/>
          </w:tblCellMar>
        </w:tblPrEx>
        <w:trPr>
          <w:cantSplit/>
          <w:jc w:val="center"/>
        </w:trPr>
        <w:tc>
          <w:tcPr>
            <w:tcW w:w="720"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4</w:t>
            </w:r>
          </w:p>
        </w:tc>
        <w:tc>
          <w:tcPr>
            <w:tcW w:w="1096" w:type="dxa"/>
            <w:shd w:val="clear" w:color="auto" w:fill="auto"/>
            <w:vAlign w:val="bottom"/>
          </w:tcPr>
          <w:p w:rsidR="006E221F" w:rsidRPr="001E3AFC" w:rsidRDefault="006E221F" w:rsidP="00215D2A">
            <w:pPr>
              <w:spacing w:before="40" w:after="80" w:line="240" w:lineRule="exact"/>
              <w:ind w:left="6" w:right="6"/>
              <w:rPr>
                <w:rFonts w:hint="cs"/>
                <w:szCs w:val="20"/>
                <w:rtl/>
              </w:rPr>
            </w:pPr>
            <w:r w:rsidRPr="001E3AFC">
              <w:rPr>
                <w:rFonts w:hint="cs"/>
                <w:szCs w:val="20"/>
                <w:rtl/>
              </w:rPr>
              <w:t>الطباعة</w:t>
            </w:r>
          </w:p>
        </w:tc>
        <w:tc>
          <w:tcPr>
            <w:tcW w:w="824"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32</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6</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38</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7</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13</w:t>
            </w:r>
          </w:p>
        </w:tc>
        <w:tc>
          <w:tcPr>
            <w:tcW w:w="824"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20</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27</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30</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57</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42</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29</w:t>
            </w:r>
          </w:p>
        </w:tc>
        <w:tc>
          <w:tcPr>
            <w:tcW w:w="721"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71</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51</w:t>
            </w:r>
          </w:p>
        </w:tc>
        <w:tc>
          <w:tcPr>
            <w:tcW w:w="618"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59</w:t>
            </w:r>
          </w:p>
        </w:tc>
        <w:tc>
          <w:tcPr>
            <w:tcW w:w="742" w:type="dxa"/>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110</w:t>
            </w:r>
          </w:p>
        </w:tc>
      </w:tr>
      <w:tr w:rsidR="006E221F" w:rsidRPr="001E3AFC">
        <w:tblPrEx>
          <w:tblCellMar>
            <w:top w:w="0" w:type="dxa"/>
            <w:bottom w:w="0" w:type="dxa"/>
          </w:tblCellMar>
        </w:tblPrEx>
        <w:trPr>
          <w:cantSplit/>
          <w:jc w:val="center"/>
        </w:trPr>
        <w:tc>
          <w:tcPr>
            <w:tcW w:w="720"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w:t>
            </w:r>
          </w:p>
        </w:tc>
        <w:tc>
          <w:tcPr>
            <w:tcW w:w="1096" w:type="dxa"/>
            <w:tcBorders>
              <w:bottom w:val="single" w:sz="12" w:space="0" w:color="auto"/>
            </w:tcBorders>
            <w:shd w:val="clear" w:color="auto" w:fill="auto"/>
            <w:vAlign w:val="bottom"/>
          </w:tcPr>
          <w:p w:rsidR="006E221F" w:rsidRPr="001E3AFC" w:rsidRDefault="006E221F" w:rsidP="00215D2A">
            <w:pPr>
              <w:spacing w:before="40" w:after="80" w:line="240" w:lineRule="exact"/>
              <w:ind w:left="6" w:right="6"/>
              <w:rPr>
                <w:rFonts w:hint="cs"/>
                <w:szCs w:val="20"/>
                <w:rtl/>
              </w:rPr>
            </w:pPr>
            <w:r>
              <w:rPr>
                <w:rFonts w:hint="cs"/>
                <w:szCs w:val="20"/>
                <w:rtl/>
              </w:rPr>
              <w:t>الأشغال غير المعدنية</w:t>
            </w:r>
          </w:p>
        </w:tc>
        <w:tc>
          <w:tcPr>
            <w:tcW w:w="824"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30</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9</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39</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67</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24</w:t>
            </w:r>
          </w:p>
        </w:tc>
        <w:tc>
          <w:tcPr>
            <w:tcW w:w="824"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91</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70</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32</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102</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41</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10</w:t>
            </w:r>
          </w:p>
        </w:tc>
        <w:tc>
          <w:tcPr>
            <w:tcW w:w="721"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51</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33</w:t>
            </w:r>
          </w:p>
        </w:tc>
        <w:tc>
          <w:tcPr>
            <w:tcW w:w="618"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5</w:t>
            </w:r>
          </w:p>
        </w:tc>
        <w:tc>
          <w:tcPr>
            <w:tcW w:w="742" w:type="dxa"/>
            <w:tcBorders>
              <w:bottom w:val="single" w:sz="12" w:space="0" w:color="auto"/>
            </w:tcBorders>
            <w:shd w:val="clear" w:color="auto" w:fill="auto"/>
          </w:tcPr>
          <w:p w:rsidR="006E221F" w:rsidRPr="001E3AFC" w:rsidRDefault="006E221F" w:rsidP="00215D2A">
            <w:pPr>
              <w:spacing w:before="40" w:after="80" w:line="240" w:lineRule="exact"/>
              <w:ind w:left="6" w:right="6"/>
              <w:jc w:val="center"/>
              <w:rPr>
                <w:rFonts w:hint="cs"/>
                <w:szCs w:val="20"/>
                <w:rtl/>
              </w:rPr>
            </w:pPr>
            <w:r>
              <w:rPr>
                <w:rFonts w:hint="cs"/>
                <w:szCs w:val="20"/>
                <w:rtl/>
              </w:rPr>
              <w:t>43</w:t>
            </w:r>
          </w:p>
        </w:tc>
      </w:tr>
    </w:tbl>
    <w:p w:rsidR="006E221F" w:rsidRDefault="006E221F" w:rsidP="006E221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المصدر: إدارة القوة العاملة، وزارة الموارد البشرية.</w:t>
      </w:r>
    </w:p>
    <w:p w:rsidR="006B0A1A" w:rsidRDefault="006B0A1A" w:rsidP="00E90D27">
      <w:pPr>
        <w:pStyle w:val="SingleTxt"/>
        <w:rPr>
          <w:rFonts w:hint="cs"/>
          <w:rtl/>
        </w:rPr>
      </w:pPr>
    </w:p>
    <w:p w:rsidR="006B0A1A" w:rsidRDefault="006B0A1A" w:rsidP="00E90D27">
      <w:pPr>
        <w:pStyle w:val="SingleTxt"/>
        <w:rPr>
          <w:rFonts w:hint="cs"/>
          <w:rtl/>
        </w:rPr>
      </w:pPr>
    </w:p>
    <w:p w:rsidR="006B0A1A" w:rsidRDefault="006B0A1A" w:rsidP="00E90D27">
      <w:pPr>
        <w:pStyle w:val="SingleTxt"/>
        <w:sectPr w:rsidR="006B0A1A" w:rsidSect="006B0A1A">
          <w:headerReference w:type="even" r:id="rId23"/>
          <w:headerReference w:type="default" r:id="rId24"/>
          <w:footerReference w:type="even" r:id="rId25"/>
          <w:footerReference w:type="default" r:id="rId26"/>
          <w:endnotePr>
            <w:numFmt w:val="decimal"/>
          </w:endnotePr>
          <w:pgSz w:w="15840" w:h="12240" w:orient="landscape" w:code="1"/>
          <w:pgMar w:top="1195" w:right="1742" w:bottom="1195" w:left="1901" w:header="576" w:footer="1037" w:gutter="0"/>
          <w:cols w:space="720"/>
          <w:noEndnote/>
          <w:bidi/>
          <w:rtlGutter/>
          <w:docGrid w:linePitch="280"/>
        </w:sectPr>
      </w:pPr>
    </w:p>
    <w:p w:rsidR="00484A02" w:rsidRPr="00377116" w:rsidRDefault="00484A02" w:rsidP="00484A02">
      <w:pPr>
        <w:pStyle w:val="SingleTxt"/>
        <w:spacing w:after="0" w:line="120" w:lineRule="exact"/>
        <w:rPr>
          <w:rFonts w:hint="cs"/>
          <w:sz w:val="10"/>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إنفاذ التدابير الخاصة </w:t>
      </w:r>
    </w:p>
    <w:p w:rsidR="00484A02" w:rsidRDefault="00484A02" w:rsidP="00484A02">
      <w:pPr>
        <w:pStyle w:val="SingleTxt"/>
        <w:rPr>
          <w:rFonts w:hint="cs"/>
          <w:rtl/>
        </w:rPr>
      </w:pPr>
      <w:r>
        <w:rPr>
          <w:rFonts w:hint="cs"/>
          <w:rtl/>
        </w:rPr>
        <w:t>224 -</w:t>
      </w:r>
      <w:r>
        <w:rPr>
          <w:rFonts w:hint="cs"/>
          <w:rtl/>
        </w:rPr>
        <w:tab/>
        <w:t>تكفل وزارة الموارد البشرية الامتثال بصفة عامة للأحكام المتعلقة بصحة وسلامة الحوامل والعاملات. وعلى سبيل المثال، يحق لجميع النساء الحصول على 60 يوما إجازة أمومة قبل الولادة وبعدها. وبالإضافة إلى ذلك، يجب عدم وضع أسمائهن في المناوبات الليلية أو تكليفهن بمهام خطرة تعرض صحتهن وصحة أطفالهن للخطر.</w:t>
      </w:r>
    </w:p>
    <w:p w:rsidR="00484A02" w:rsidRDefault="00484A02" w:rsidP="00484A02">
      <w:pPr>
        <w:pStyle w:val="SingleTxt"/>
        <w:rPr>
          <w:rFonts w:hint="cs"/>
          <w:rtl/>
        </w:rPr>
      </w:pPr>
      <w:r>
        <w:rPr>
          <w:rFonts w:hint="cs"/>
          <w:rtl/>
        </w:rPr>
        <w:t>225 -</w:t>
      </w:r>
      <w:r>
        <w:rPr>
          <w:rFonts w:hint="cs"/>
          <w:rtl/>
        </w:rPr>
        <w:tab/>
        <w:t xml:space="preserve">وتقوم وزارة العمل بصورة منتظمة بعمليات تفتيش ورصد لكفالة امتثال أرباب العمل للقوانين والأنظمة. ولم يُقيّم رسميا رصد تلك التدابير، ومع ذلك يتم التحقق من الشكاوى التي يقدمها العمال ويتخذ إجراء بشأنها. وبالإضافة إلى ذلك، ترصد نقابات العمال بحرص شديد أي تجاوزات لتلك الحقوق. </w:t>
      </w:r>
    </w:p>
    <w:p w:rsidR="00484A02" w:rsidRDefault="00484A02" w:rsidP="00484A02">
      <w:pPr>
        <w:pStyle w:val="SingleTxt"/>
        <w:rPr>
          <w:rFonts w:hint="cs"/>
          <w:rtl/>
        </w:rPr>
      </w:pPr>
      <w:r>
        <w:rPr>
          <w:rFonts w:hint="cs"/>
          <w:rtl/>
        </w:rPr>
        <w:t>226 -</w:t>
      </w:r>
      <w:r>
        <w:rPr>
          <w:rFonts w:hint="cs"/>
          <w:rtl/>
        </w:rPr>
        <w:tab/>
        <w:t>ولا تعتبر تلك التدابير تمييزية بموجب القانون. ولكن في عدد من الحالات، تردد أرباب العمل باستخدام النساء بسبب تلك الأحكام الخاصة.</w:t>
      </w:r>
    </w:p>
    <w:p w:rsidR="00484A02" w:rsidRDefault="00484A02" w:rsidP="00484A02">
      <w:pPr>
        <w:pStyle w:val="SingleTxt"/>
        <w:rPr>
          <w:rFonts w:hint="cs"/>
          <w:rtl/>
        </w:rPr>
      </w:pPr>
      <w:r>
        <w:rPr>
          <w:rFonts w:hint="cs"/>
          <w:rtl/>
        </w:rPr>
        <w:t>227 -</w:t>
      </w:r>
      <w:r>
        <w:rPr>
          <w:rFonts w:hint="cs"/>
          <w:rtl/>
        </w:rPr>
        <w:tab/>
        <w:t xml:space="preserve">وتعنى الحكومة كذلك بخدمات الدعم الذي تقدم للأمهات العاملات مثل إنشاء مراكز لرعاية الطفل. ولغاية 30 </w:t>
      </w:r>
      <w:r>
        <w:rPr>
          <w:rtl/>
        </w:rPr>
        <w:t xml:space="preserve">نيسان/أبريل </w:t>
      </w:r>
      <w:r>
        <w:rPr>
          <w:rFonts w:hint="cs"/>
          <w:rtl/>
        </w:rPr>
        <w:t xml:space="preserve">2003، تم إنشاء حوالي 416 1 من مراكز رعاية الأطفال. ويتولى إدارة مراكز رعاية الأطفال هذه موظفون متدربون تحت إشراف إدارة الرعاية. وتشجع الحكومة كذلك  القطاع الخاص على إنشاء مراكز لرعاية الأطفال في مكان العمل. وفي عام 2002، أنشئ في مكان العمل ما مجموعه 86 مركزا من مراكز رعاية الطفل. </w:t>
      </w:r>
    </w:p>
    <w:p w:rsidR="00484A02" w:rsidRDefault="00484A02" w:rsidP="00484A02">
      <w:pPr>
        <w:pStyle w:val="SingleTxt"/>
        <w:rPr>
          <w:rFonts w:hint="cs"/>
          <w:rtl/>
        </w:rPr>
      </w:pPr>
      <w:r>
        <w:rPr>
          <w:rFonts w:hint="cs"/>
          <w:rtl/>
        </w:rPr>
        <w:t>228 -</w:t>
      </w:r>
      <w:r>
        <w:rPr>
          <w:rFonts w:hint="cs"/>
          <w:rtl/>
        </w:rPr>
        <w:tab/>
        <w:t>وسوف يتواصل بذل جهود لإجراء بحوث عن المرأة في مختلف جوانب العمل. وبغية معالجة مسألة البطالة في صفوف الخريجات، تعكف الحكومة حاليا، من خلال وزارة شؤون المرأة وتنمية الأسرة وبالتعاون مع الجامعات المحلية وغيرها من الوكالات ذات الصلة على إجراء بحث يستهدف تحديد العوامل التي تتسبب في عدم تساوق المؤهلات الأكاديمية مع فرص العمل المتاحة في سوق العمل.</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النتيجة</w:t>
      </w:r>
    </w:p>
    <w:p w:rsidR="00484A02" w:rsidRDefault="00484A02" w:rsidP="00484A02">
      <w:pPr>
        <w:pStyle w:val="SingleTxt"/>
        <w:rPr>
          <w:rFonts w:hint="cs"/>
          <w:rtl/>
        </w:rPr>
      </w:pPr>
      <w:r>
        <w:rPr>
          <w:rFonts w:hint="cs"/>
          <w:rtl/>
        </w:rPr>
        <w:t>229 -</w:t>
      </w:r>
      <w:r>
        <w:rPr>
          <w:rFonts w:hint="cs"/>
          <w:rtl/>
        </w:rPr>
        <w:tab/>
        <w:t>كيما يتحقق هدف تحويل ماليزيا إلى دولة صناعية، يجب على قوة العمل أن تسعى جاهدة إلى بلوغ الجودة والتفوق من خلال العوامل الإيجابية المتعلقة بحماية القوة العاملة والارتقاء بالمهارات. وسوف تواصل الحكومة مراجعة القوانين والأنظمة السارية ورصد تنفيذها ورفع معايير العمل واستحقاقات الضمان الاجتماعي والتدريب على المهارات لحفز القوة العاملة. وسوف تواصل العمل كذلك على تحديد أو تصحيح أو إزالة العقبات أو المشاكل التي تعيق مشاركة المرأة مشاركة كاملة في قوة العمل.</w:t>
      </w:r>
    </w:p>
    <w:p w:rsidR="00484A02" w:rsidRPr="007A2C66" w:rsidRDefault="00484A02" w:rsidP="00484A02">
      <w:pPr>
        <w:pStyle w:val="SingleTxt"/>
        <w:spacing w:after="0" w:line="120" w:lineRule="exact"/>
        <w:rPr>
          <w:rFonts w:hint="cs"/>
          <w:sz w:val="10"/>
          <w:rtl/>
        </w:rPr>
      </w:pP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المادة 12</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مجال الحصول على الرعاية الصحية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4A02" w:rsidRDefault="00484A02" w:rsidP="00484A02">
      <w:pPr>
        <w:pStyle w:val="SingleTxt"/>
        <w:rPr>
          <w:rFonts w:hint="cs"/>
          <w:rtl/>
        </w:rPr>
      </w:pPr>
      <w:r>
        <w:rPr>
          <w:rFonts w:hint="cs"/>
          <w:rtl/>
        </w:rPr>
        <w:t>230 -</w:t>
      </w:r>
      <w:r>
        <w:rPr>
          <w:rFonts w:hint="cs"/>
          <w:rtl/>
        </w:rPr>
        <w:tab/>
        <w:t>لا بد من إلقاء بعض الضوء على الخلفية التاريخية للنظام الصحي كميا نقدر كيف انتفعت المرأة منه. أنشئت خدمات رعاية الأمومة والطفولة في مطلع القرن العشرين في شبه جزيرة الملايو لكنها أقيمت بصفة رئيسية في المناطق الحضرية ووُفّرت لأسر المستعمرين البريطانيين. وفي سنة 1923، التي كانت تمثل حدا فاصلا بالنسبة لخدمات صحة الأم والطفل بدئ بتطبيق التشريع الخاص بمراقبة ممارسة القبالة وتدريب القابلات في مستوطنات المضائق ثم في الولايات الأخرى في شبه جزيرة الملايو. وفي عام 1956، احتلت خدمات صحة الأم والطفل مركز الصدارة بوصفها جزءا أساسيا من البرنامج الإنمائي الصحي الوطني وأولي الاهتمام حينذاك للمناطق الريفية. وفي ذلك الوقت، كان الناس يلجأون إلى الطب التقليدي بالصورة التي تمارسها فيه القابلات التقليديات (بيدان كاميونغ) والمطببون (</w:t>
      </w:r>
      <w:r>
        <w:rPr>
          <w:rFonts w:hint="eastAsia"/>
          <w:rtl/>
        </w:rPr>
        <w:t>”</w:t>
      </w:r>
      <w:r>
        <w:rPr>
          <w:rFonts w:hint="cs"/>
          <w:rtl/>
        </w:rPr>
        <w:t>بومو</w:t>
      </w:r>
      <w:r>
        <w:rPr>
          <w:rFonts w:hint="eastAsia"/>
          <w:rtl/>
        </w:rPr>
        <w:t>“</w:t>
      </w:r>
      <w:r>
        <w:rPr>
          <w:rFonts w:hint="cs"/>
          <w:rtl/>
        </w:rPr>
        <w:t xml:space="preserve"> و </w:t>
      </w:r>
      <w:r>
        <w:rPr>
          <w:rFonts w:hint="eastAsia"/>
          <w:rtl/>
        </w:rPr>
        <w:t>”</w:t>
      </w:r>
      <w:r>
        <w:rPr>
          <w:rFonts w:hint="cs"/>
          <w:rtl/>
        </w:rPr>
        <w:t>دوكون</w:t>
      </w:r>
      <w:r>
        <w:rPr>
          <w:rFonts w:hint="eastAsia"/>
          <w:rtl/>
        </w:rPr>
        <w:t>“</w:t>
      </w:r>
      <w:r>
        <w:rPr>
          <w:rFonts w:hint="cs"/>
          <w:rtl/>
        </w:rPr>
        <w:t>). وما زال يستفاد من خدمات هؤلاء الممارسين التقليديين ولكن إلى حد أقل بكثير مما مضى.</w:t>
      </w:r>
    </w:p>
    <w:p w:rsidR="00484A02" w:rsidRDefault="00484A02" w:rsidP="00484A02">
      <w:pPr>
        <w:pStyle w:val="SingleTxt"/>
        <w:rPr>
          <w:rFonts w:hint="cs"/>
          <w:rtl/>
        </w:rPr>
      </w:pPr>
      <w:r>
        <w:rPr>
          <w:rFonts w:hint="cs"/>
          <w:rtl/>
        </w:rPr>
        <w:t>231 -</w:t>
      </w:r>
      <w:r>
        <w:rPr>
          <w:rFonts w:hint="cs"/>
          <w:rtl/>
        </w:rPr>
        <w:tab/>
        <w:t>وخلال العقدين اللذين أعقبا الاستقلال (1957 -1977)، كان تطوير القطاع الصحي أحد مجالات الاهتمام الرئيسية في المبادرات الإنمائية الوطنية. وانصب التركيز على تصحيح الاختلالات في توزيع الخدمات وتحديد الفئات المحرومة ومد يد العون لها. وهذه الفئة تشتمل تقليديا على السكان الريفيين والفقراء والنساء، ولا سيما من هن في سن الإنجاب والرضع والأطفال.</w:t>
      </w:r>
    </w:p>
    <w:p w:rsidR="00484A02" w:rsidRDefault="00484A02" w:rsidP="00484A02">
      <w:pPr>
        <w:pStyle w:val="SingleTxt"/>
        <w:rPr>
          <w:rFonts w:hint="cs"/>
          <w:rtl/>
        </w:rPr>
      </w:pPr>
      <w:r>
        <w:rPr>
          <w:rFonts w:hint="cs"/>
          <w:rtl/>
        </w:rPr>
        <w:t>232 -</w:t>
      </w:r>
      <w:r>
        <w:rPr>
          <w:rFonts w:hint="cs"/>
          <w:rtl/>
        </w:rPr>
        <w:tab/>
        <w:t xml:space="preserve">وأقيم في وقت لاحق هيكل صحي يضع في صدر أولوياته إمكانية انتفاع الجميع منه واستخدامه إلى الحد الأقصى. وكانت المرأة المستفيد الرئيسي منه، ولا سيما فيما يتعلق بصحة الأم، إضافة إلى الرضع والأطفال. وبحلول عام 1978، كانت هناك خدمة صحية متطورة جيدا نسبيا تابعة للقطاع العام. </w:t>
      </w:r>
    </w:p>
    <w:p w:rsidR="00484A02" w:rsidRDefault="00484A02" w:rsidP="00484A02">
      <w:pPr>
        <w:pStyle w:val="SingleTxt"/>
        <w:rPr>
          <w:rFonts w:hint="cs"/>
          <w:rtl/>
        </w:rPr>
      </w:pPr>
      <w:r>
        <w:rPr>
          <w:rFonts w:hint="cs"/>
          <w:rtl/>
        </w:rPr>
        <w:t>233 -</w:t>
      </w:r>
      <w:r>
        <w:rPr>
          <w:rFonts w:hint="cs"/>
          <w:rtl/>
        </w:rPr>
        <w:tab/>
        <w:t xml:space="preserve">ويوفر نظام الرعاية الصحية في ماليزيا اليوم خدمات صحية عامة متطورة جيدا في ماليزيا وهو يتكون من شبكة ريفية مؤلفة من مستوصفات الولادة والمستوصفات الصحية. وفي عام 1999، كان معدل المستوصفات الصحية الحكومية بالنسبة لعدد السكان مستوصف واحد لكل 350 27 نسمة في حين كان معدل المستوصفات الحكومية بالنسبة لعدد سكان الريف مستوصف واحد لكل 432 15 نسمة وكان معدل مستوصفات الولادة/المستوصفات المجتمعية بالنسبة لعدد سكان الريف مستوصف واحد لكل 701 4 نسمة وهذا المعدل يستوفي الأهداف التي وضعتها وزارة الصحة. وتوجد في سائر المواقع الجغرافية المختلفة في البلد مرافق صحية وهي موزعة فيه توزيعا جيدا؛ وفي المناطق النائية من ولايتي صباح وساراواك حيث لا توجد مرافق ثابتة ملائمة، تقدم للسكان فيها خدمات متنقلة، بما فيها خدمات </w:t>
      </w:r>
      <w:r>
        <w:rPr>
          <w:rFonts w:hint="eastAsia"/>
          <w:rtl/>
        </w:rPr>
        <w:t>”الطبيب الطيار</w:t>
      </w:r>
      <w:r>
        <w:rPr>
          <w:rFonts w:hint="cs"/>
          <w:rtl/>
        </w:rPr>
        <w:t>“.</w:t>
      </w:r>
    </w:p>
    <w:p w:rsidR="00484A02" w:rsidRDefault="00484A02" w:rsidP="00484A02">
      <w:pPr>
        <w:pStyle w:val="SingleTxt"/>
        <w:rPr>
          <w:rFonts w:hint="cs"/>
          <w:rtl/>
        </w:rPr>
      </w:pPr>
      <w:r>
        <w:rPr>
          <w:rFonts w:hint="cs"/>
          <w:rtl/>
        </w:rPr>
        <w:t>234 -</w:t>
      </w:r>
      <w:r>
        <w:rPr>
          <w:rFonts w:hint="cs"/>
          <w:rtl/>
        </w:rPr>
        <w:tab/>
        <w:t>ورغم ذلك، ما زال توزيع مقدمي الخدمات الصحية توزيعا غير متوازن من الناحية الجغرافية، وتبذل باستمرار جهود لمعالجة هذا الاختلال. ففي أثناء الخطة الماليزية الخامسة (1971-1975)، وعقب دراسة عن الخدمات الصحية المحلية أجريت في مطلع السبعينات بمساعدة من منظمة الصحة العالمية، تم تحويل النظام المؤلف من ثلاث طبقات إلى نظام مؤلف من طبقتين. ومنذ عام 1959 فصاعدا، تم الاضطلاع بتنمية مكثفة لشبكة الهياكل الأساسية للمرافق الصحية في المناطق الريفية. وكانت هذه الشبكة في شكل وحدات صحية ريفية تقدم كل منها الخدمة لشريحة من السكان يبلغ عددها 000 50 نسمة وتتألف من ثلاثة طبقات هي مركز صحي رئيسي واحد ومراكز صحية فرعية ومستوصف ولادة. ومنذ مطلع السبعينات، كانت هناك حاجة لتحسين نوعية الخدمة والرعاية. وأفضى هذا إلى إعادة تنظيم الهيكل الصحي الريفي من نظام مؤلف من ثلاث طبقات إلى نظام مؤلف من طبقتين. وبمقتضى هذا النظام، رقيت المراكز الصحية الفرعية إلى مركز صحي (يقدم خدمات لشريحة من السكان يتراوح عددها بين 15 و 20 ألف نسمة) ويعمل فيه طبيب واحد ورقيت بموجبه مستوصفات الولادة (التي تقدم خدمات لشريحة من السكان يبلغ عددها 000 4 نسمة) إلى مستوصفات قروية (إكلينيك ديسا). وأمكن تحقيق هذه التغييرات عن طريق ترقية العاملين فيها حيث حولت وظيفة القابلة إلى ممرضة مجتمعية يمكنها بالتالي أن توفر نطاقا أوسع من الخدمات في مرحلة الاتصال الأولى. وأعيد تدريب القابلات الريفيات اللائي يوفرن الرعاية الصحية في المناطق النائية جدا كيما يصبحن ممرضات مجتمعيات بإمكانهن توفير الرعاية للأمراض البسيطة فضلا عن العناصر الأساسية لخدمات صحة الأم والطفل. وأدى هذا إلى تحسين خدمات صحة الأم والطفل في المناطق الريفية إلى حد كبير وأسهم في تخفيض معدلات اعتلال ووفيات الأمهات والأطفال.</w:t>
      </w:r>
    </w:p>
    <w:p w:rsidR="00484A02" w:rsidRDefault="00484A02" w:rsidP="00484A02">
      <w:pPr>
        <w:pStyle w:val="SingleTxt"/>
        <w:rPr>
          <w:rFonts w:hint="cs"/>
          <w:rtl/>
        </w:rPr>
      </w:pPr>
      <w:r>
        <w:rPr>
          <w:rFonts w:hint="cs"/>
          <w:rtl/>
        </w:rPr>
        <w:t>235 -</w:t>
      </w:r>
      <w:r>
        <w:rPr>
          <w:rFonts w:hint="cs"/>
          <w:rtl/>
        </w:rPr>
        <w:tab/>
        <w:t>وتتكون الخدمات الحيوية الأساسية التي تقدم عن طريق شبكة الخدمات الريفية من علاج المرضى الخارجيين من الأمراض العادية ورعاية صحة الأم والطفل ومراقبة الأمراض المعدية والإصحاح البيئي والرعاية السنية والتثقيف الصحي والأبحاث المختبرية البسيطة.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نظام الرعاية الصحية اليوم </w:t>
      </w:r>
      <w:r>
        <w:rPr>
          <w:rtl/>
        </w:rPr>
        <w:t>–</w:t>
      </w:r>
      <w:r>
        <w:rPr>
          <w:rFonts w:hint="cs"/>
          <w:rtl/>
        </w:rPr>
        <w:t xml:space="preserve"> التركيز على المرأة</w:t>
      </w:r>
    </w:p>
    <w:p w:rsidR="00484A02" w:rsidRDefault="00484A02" w:rsidP="00484A02">
      <w:pPr>
        <w:pStyle w:val="SingleTxt"/>
        <w:rPr>
          <w:rFonts w:hint="cs"/>
          <w:rtl/>
        </w:rPr>
      </w:pPr>
      <w:r>
        <w:rPr>
          <w:rFonts w:hint="cs"/>
          <w:rtl/>
        </w:rPr>
        <w:t>236 -</w:t>
      </w:r>
      <w:r>
        <w:rPr>
          <w:rFonts w:hint="cs"/>
          <w:rtl/>
        </w:rPr>
        <w:tab/>
        <w:t xml:space="preserve">حقق نظام الرعاية الصحية الماليزي درجة معينة من التقدم ويعتبر أفضل نظام صحي في المنطقة الإقليمية. وعلى الرغم من أن السياسة الصحية منحت في بادئ الأمر أفضلية لـ </w:t>
      </w:r>
      <w:r>
        <w:rPr>
          <w:rFonts w:hint="eastAsia"/>
          <w:rtl/>
        </w:rPr>
        <w:t>”النساء اللائي هن في سن الإنجاب</w:t>
      </w:r>
      <w:r>
        <w:rPr>
          <w:rFonts w:hint="cs"/>
          <w:rtl/>
        </w:rPr>
        <w:t xml:space="preserve">“ واللائي كن يعتبرن تقليديا من </w:t>
      </w:r>
      <w:r>
        <w:rPr>
          <w:rFonts w:hint="eastAsia"/>
          <w:rtl/>
        </w:rPr>
        <w:t>”الفئات المحرومة</w:t>
      </w:r>
      <w:r>
        <w:rPr>
          <w:rFonts w:hint="cs"/>
          <w:rtl/>
        </w:rPr>
        <w:t>“، فقد أعيد النظر بهذه السياسة. فاليوم، تقدم الخدمات لجميع النساء بغض النظر عن وضعهن أو وظيفتهن الإنجابية على الرغم من أن الصحة الإنجابية (في شكل الخدمات والتخطيط التقليديين لصحة الأمهات) ما زالت موضع اهتمام خاص.</w:t>
      </w:r>
    </w:p>
    <w:p w:rsidR="00484A02" w:rsidRDefault="00484A02" w:rsidP="00484A02">
      <w:pPr>
        <w:pStyle w:val="SingleTxt"/>
        <w:rPr>
          <w:rFonts w:hint="cs"/>
          <w:rtl/>
        </w:rPr>
      </w:pPr>
      <w:r>
        <w:rPr>
          <w:rFonts w:hint="cs"/>
          <w:rtl/>
        </w:rPr>
        <w:t>237 -</w:t>
      </w:r>
      <w:r>
        <w:rPr>
          <w:rFonts w:hint="cs"/>
          <w:rtl/>
        </w:rPr>
        <w:tab/>
        <w:t xml:space="preserve">ويشمل نظام الرعاية الصحية الذي يغطي مجالات صحة المرأة إجراء فحص للكشف المبكر عن الإصابة بالسرطان، والتثقيف الصحي (بشأن الصحة العامة فضلا عن المواضيع الخاصة التي تهم المرأة) والاحتياجات الصحية للمرأة العاملة والمسائل البيئية التي تمس المرأة. وتم توسيع خدمات صحة الأم التي كانت موضع التركيز في بداية الأمر بحيث باتت تشمل الآن الجوانب الأخرى للصحة، وما كان يطلق عليه اسم خدمات صحة الأم والطفل أضحى يطلق عليه اليوم وصف أنسب هو برنامج تنمية صحة الأسرة.ويمكن القول أن النظام الصحي بدأ ينقل مركز اهتمامه من </w:t>
      </w:r>
      <w:r>
        <w:rPr>
          <w:rFonts w:hint="eastAsia"/>
          <w:rtl/>
        </w:rPr>
        <w:t>”الأمومة</w:t>
      </w:r>
      <w:r>
        <w:rPr>
          <w:rFonts w:hint="cs"/>
          <w:rtl/>
        </w:rPr>
        <w:t xml:space="preserve">“ إلى </w:t>
      </w:r>
      <w:r>
        <w:rPr>
          <w:rFonts w:hint="eastAsia"/>
          <w:rtl/>
        </w:rPr>
        <w:t>”الأنوثة</w:t>
      </w:r>
      <w:r>
        <w:rPr>
          <w:rFonts w:hint="cs"/>
          <w:rtl/>
        </w:rPr>
        <w:t xml:space="preserve">“ والانتقال من ثم إلى </w:t>
      </w:r>
      <w:r>
        <w:rPr>
          <w:rFonts w:hint="eastAsia"/>
          <w:rtl/>
        </w:rPr>
        <w:t>”الوالدية</w:t>
      </w:r>
      <w:r>
        <w:rPr>
          <w:rFonts w:hint="cs"/>
          <w:rtl/>
        </w:rPr>
        <w:t>“ مع زيادة التركيز في حقيقة الأمر على دور الرجل والأسرة.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نظام الرعاية الصحية </w:t>
      </w:r>
      <w:r>
        <w:rPr>
          <w:rtl/>
        </w:rPr>
        <w:t>–</w:t>
      </w:r>
      <w:r>
        <w:rPr>
          <w:rFonts w:hint="cs"/>
          <w:rtl/>
        </w:rPr>
        <w:t xml:space="preserve"> بعض اتجاهات المستقبل</w:t>
      </w:r>
    </w:p>
    <w:p w:rsidR="00484A02" w:rsidRDefault="00484A02" w:rsidP="00484A02">
      <w:pPr>
        <w:pStyle w:val="SingleTxt"/>
        <w:rPr>
          <w:rFonts w:hint="cs"/>
          <w:rtl/>
        </w:rPr>
      </w:pPr>
      <w:r>
        <w:rPr>
          <w:rFonts w:hint="cs"/>
          <w:rtl/>
        </w:rPr>
        <w:t>238 -</w:t>
      </w:r>
      <w:r>
        <w:rPr>
          <w:rFonts w:hint="cs"/>
          <w:rtl/>
        </w:rPr>
        <w:tab/>
        <w:t>هناك العديد من الخصائص التي يتسم بها النظام الصحي الحالي التي هي بحاجة إلى التعزيز بل والتغيير كيما تلبي احتياجات المستقبل. ويرد أدناه وصف لبعضها:</w:t>
      </w:r>
    </w:p>
    <w:p w:rsidR="00484A02" w:rsidRDefault="00484A02" w:rsidP="00484A02">
      <w:pPr>
        <w:pStyle w:val="SingleTxt"/>
        <w:rPr>
          <w:rFonts w:hint="cs"/>
          <w:rtl/>
        </w:rPr>
      </w:pPr>
      <w:r>
        <w:rPr>
          <w:rFonts w:hint="cs"/>
          <w:rtl/>
        </w:rPr>
        <w:tab/>
        <w:t>’1‘</w:t>
      </w:r>
      <w:r>
        <w:rPr>
          <w:rFonts w:hint="cs"/>
          <w:rtl/>
        </w:rPr>
        <w:tab/>
        <w:t>الرعاية الصحية الأولية</w:t>
      </w:r>
    </w:p>
    <w:p w:rsidR="00484A02" w:rsidRDefault="00484A02" w:rsidP="00484A02">
      <w:pPr>
        <w:pStyle w:val="SingleTxt"/>
        <w:ind w:left="2592" w:hanging="1325"/>
        <w:rPr>
          <w:rFonts w:hint="cs"/>
          <w:rtl/>
        </w:rPr>
      </w:pPr>
      <w:r>
        <w:rPr>
          <w:rFonts w:hint="cs"/>
          <w:rtl/>
        </w:rPr>
        <w:tab/>
      </w:r>
      <w:r>
        <w:rPr>
          <w:rFonts w:hint="cs"/>
          <w:rtl/>
        </w:rPr>
        <w:tab/>
        <w:t>سوف تظل الرعاية الصحية الأولية القوة الدافعة للنظام الصحي في المستقبل، وتدعو الحاجة إلى تحسين المبادئ الأساسية التي تستند إليها، وهي: ’1‘ تحقيق الإنصاف في مجال الحصول على الخدمات الصحية وإمكانية انتفاع الجميع منها؛ ’2‘ استخدام التكنولوجيات الملائمة؛ ’3‘ تعزيز الاعتماد على الذات والمسؤولية في ميدان الصحة. وثمة حاجة إلى دراسة ورصد أثر تلك المبادئ على صحة المرأة وعلى دور المرأة في تقرير صحتها وصحة الآخرين من حولها.</w:t>
      </w:r>
    </w:p>
    <w:p w:rsidR="00484A02" w:rsidRDefault="00484A02" w:rsidP="00484A02">
      <w:pPr>
        <w:pStyle w:val="SingleTxt"/>
        <w:ind w:left="2592" w:hanging="1325"/>
        <w:rPr>
          <w:rFonts w:hint="cs"/>
          <w:rtl/>
        </w:rPr>
      </w:pPr>
      <w:r>
        <w:rPr>
          <w:rtl/>
        </w:rPr>
        <w:br w:type="page"/>
      </w:r>
      <w:r>
        <w:rPr>
          <w:rFonts w:hint="cs"/>
          <w:rtl/>
        </w:rPr>
        <w:tab/>
        <w:t>’2‘</w:t>
      </w:r>
      <w:r>
        <w:rPr>
          <w:rFonts w:hint="cs"/>
          <w:rtl/>
        </w:rPr>
        <w:tab/>
        <w:t>نوعية الرعاية</w:t>
      </w:r>
    </w:p>
    <w:p w:rsidR="00484A02" w:rsidRDefault="00484A02" w:rsidP="00484A02">
      <w:pPr>
        <w:pStyle w:val="SingleTxt"/>
        <w:ind w:left="2592" w:hanging="1325"/>
        <w:rPr>
          <w:rFonts w:hint="cs"/>
          <w:rtl/>
        </w:rPr>
      </w:pPr>
      <w:r>
        <w:rPr>
          <w:rFonts w:hint="cs"/>
          <w:rtl/>
        </w:rPr>
        <w:tab/>
      </w:r>
      <w:r>
        <w:rPr>
          <w:rFonts w:hint="cs"/>
          <w:rtl/>
        </w:rPr>
        <w:tab/>
        <w:t>نوعية الرعاية تتطلب استعراضا مستمرا لنطاق تقديم الرعاية الصحية والنُّهج المتبعة والموارد المتاحة. وسوف تستفيد المرأة على وجه الخصوص من هذا الاستعراض بالنظر للخدمات الواسعة النطاق التي تنتفع منها.</w:t>
      </w:r>
    </w:p>
    <w:p w:rsidR="00484A02" w:rsidRDefault="00484A02" w:rsidP="00484A02">
      <w:pPr>
        <w:pStyle w:val="SingleTxt"/>
        <w:ind w:left="2592" w:hanging="1325"/>
        <w:rPr>
          <w:rFonts w:hint="cs"/>
          <w:rtl/>
        </w:rPr>
      </w:pPr>
      <w:r>
        <w:rPr>
          <w:rFonts w:hint="cs"/>
          <w:rtl/>
        </w:rPr>
        <w:tab/>
        <w:t>’3‘</w:t>
      </w:r>
      <w:r>
        <w:rPr>
          <w:rFonts w:hint="cs"/>
          <w:rtl/>
        </w:rPr>
        <w:tab/>
        <w:t>مبدأ العافية</w:t>
      </w:r>
    </w:p>
    <w:p w:rsidR="00484A02" w:rsidRDefault="00484A02" w:rsidP="00484A02">
      <w:pPr>
        <w:pStyle w:val="SingleTxt"/>
        <w:ind w:left="2592" w:hanging="1325"/>
        <w:rPr>
          <w:rFonts w:hint="cs"/>
          <w:rtl/>
        </w:rPr>
      </w:pPr>
      <w:r>
        <w:rPr>
          <w:rFonts w:hint="cs"/>
          <w:rtl/>
        </w:rPr>
        <w:tab/>
      </w:r>
      <w:r>
        <w:rPr>
          <w:rFonts w:hint="cs"/>
          <w:rtl/>
        </w:rPr>
        <w:tab/>
        <w:t>تستفيد المرأة إلى حد كبير من نظامٍٍ للرعاية الصحية يركز على العافية لا</w:t>
      </w:r>
      <w:r>
        <w:rPr>
          <w:rFonts w:hint="eastAsia"/>
          <w:rtl/>
        </w:rPr>
        <w:t> </w:t>
      </w:r>
      <w:r>
        <w:rPr>
          <w:rFonts w:hint="cs"/>
          <w:rtl/>
        </w:rPr>
        <w:t xml:space="preserve">على المرض باعتبار أن العديد من الحالات التي تؤثر على صحة المرأة من قبيل الحمل وسن اليأس ليست أوضاعا مرضَّية. وفي ضوء هذا المبدأ، من المتوقع أن تتخطى مؤشرات صحة المرأة نطاق التدابير البيولوجية </w:t>
      </w:r>
      <w:r>
        <w:rPr>
          <w:rtl/>
        </w:rPr>
        <w:t>–</w:t>
      </w:r>
      <w:r>
        <w:rPr>
          <w:rFonts w:hint="cs"/>
          <w:rtl/>
        </w:rPr>
        <w:t xml:space="preserve"> الطبية مثل طول العمر والاعتلال والوفاة. وثمة أمثلة عديدة على المبادرات القائمة على أساس مبدأ العافية منها مستوصف المرأة المتعافية وخطة الصحة مدى الحياة.</w:t>
      </w:r>
    </w:p>
    <w:p w:rsidR="00484A02" w:rsidRDefault="00484A02" w:rsidP="00484A02">
      <w:pPr>
        <w:pStyle w:val="SingleTxt"/>
        <w:ind w:left="2592" w:hanging="1325"/>
        <w:rPr>
          <w:rFonts w:hint="cs"/>
          <w:rtl/>
        </w:rPr>
      </w:pPr>
      <w:r>
        <w:rPr>
          <w:rFonts w:hint="cs"/>
          <w:rtl/>
        </w:rPr>
        <w:tab/>
        <w:t>’4‘</w:t>
      </w:r>
      <w:r>
        <w:rPr>
          <w:rFonts w:hint="cs"/>
          <w:rtl/>
        </w:rPr>
        <w:tab/>
        <w:t>إجراءات العمل والتكنولوجيا في الرعاية الصحية</w:t>
      </w:r>
    </w:p>
    <w:p w:rsidR="00484A02" w:rsidRDefault="00484A02" w:rsidP="00484A02">
      <w:pPr>
        <w:pStyle w:val="SingleTxt"/>
        <w:ind w:left="2592" w:hanging="1325"/>
        <w:rPr>
          <w:rFonts w:hint="cs"/>
          <w:rtl/>
        </w:rPr>
      </w:pPr>
      <w:r>
        <w:rPr>
          <w:rFonts w:hint="cs"/>
          <w:rtl/>
        </w:rPr>
        <w:tab/>
      </w:r>
      <w:r>
        <w:rPr>
          <w:rFonts w:hint="cs"/>
          <w:rtl/>
        </w:rPr>
        <w:tab/>
        <w:t xml:space="preserve">على الرغم من أن الإنجازات التي حققتها الحكومة في بناء الهياكل الأساسية وتوسيع نطاق خدمات صحة المرأة تستحق الثناء، فقد آن الأوان للنظر في العوامل غير المادية أو </w:t>
      </w:r>
      <w:r>
        <w:rPr>
          <w:rFonts w:hint="eastAsia"/>
          <w:rtl/>
        </w:rPr>
        <w:t>”الأ</w:t>
      </w:r>
      <w:r>
        <w:rPr>
          <w:rFonts w:hint="cs"/>
          <w:rtl/>
        </w:rPr>
        <w:t>يسر“ من قبيل الإجراءات والتكنولوجيات الملائمة والمتيسرة للمرأة.</w:t>
      </w:r>
    </w:p>
    <w:p w:rsidR="00484A02" w:rsidRDefault="00484A02" w:rsidP="00484A02">
      <w:pPr>
        <w:pStyle w:val="SingleTxt"/>
        <w:ind w:left="2592" w:hanging="1325"/>
        <w:rPr>
          <w:rFonts w:hint="cs"/>
          <w:rtl/>
        </w:rPr>
      </w:pPr>
      <w:r>
        <w:rPr>
          <w:rFonts w:hint="cs"/>
          <w:rtl/>
        </w:rPr>
        <w:tab/>
        <w:t>’5‘</w:t>
      </w:r>
      <w:r>
        <w:rPr>
          <w:rFonts w:hint="cs"/>
          <w:rtl/>
        </w:rPr>
        <w:tab/>
        <w:t>المرضى المستنيرون</w:t>
      </w:r>
    </w:p>
    <w:p w:rsidR="00484A02" w:rsidRDefault="00484A02" w:rsidP="00484A02">
      <w:pPr>
        <w:pStyle w:val="SingleTxt"/>
        <w:ind w:left="2592" w:hanging="1325"/>
        <w:rPr>
          <w:rFonts w:hint="cs"/>
          <w:rtl/>
        </w:rPr>
      </w:pPr>
      <w:r>
        <w:rPr>
          <w:rFonts w:hint="cs"/>
          <w:rtl/>
        </w:rPr>
        <w:tab/>
      </w:r>
      <w:r>
        <w:rPr>
          <w:rFonts w:hint="cs"/>
          <w:rtl/>
        </w:rPr>
        <w:tab/>
        <w:t>وضعت عملية التنمية في ماليزيا نصب عينيها بناء مجتمع قائم على المعرفة وتطوير التكنولوجيا التي تعزز تحصيل المعرفة. وانتفعت المرأة كثيرا من هذا الاتجاه وأضحى الماليزيون بصفة عامة أكثر وعيا وإدراكا بالمسائل المتعلقة بصحتهم وباتوا في وضع أفضل لاتخاذ القرارات التي تتعلق بصحتهم. ويجب على نظام الرعاية الصحية المستقبلي أن يقدم الرعاية للمرضى المتحلين بقدر أكبر من العلم والمعرفة.</w:t>
      </w:r>
    </w:p>
    <w:p w:rsidR="00484A02" w:rsidRDefault="00484A02" w:rsidP="00484A02">
      <w:pPr>
        <w:pStyle w:val="SingleTxt"/>
        <w:ind w:left="2592" w:hanging="1325"/>
        <w:rPr>
          <w:rFonts w:hint="cs"/>
          <w:rtl/>
        </w:rPr>
      </w:pPr>
      <w:r>
        <w:rPr>
          <w:rFonts w:hint="cs"/>
          <w:rtl/>
        </w:rPr>
        <w:tab/>
        <w:t>’6‘</w:t>
      </w:r>
      <w:r>
        <w:rPr>
          <w:rFonts w:hint="cs"/>
          <w:rtl/>
        </w:rPr>
        <w:tab/>
        <w:t>الاحتياجات الصحية للمجتمعات الحضرية</w:t>
      </w:r>
    </w:p>
    <w:p w:rsidR="00484A02" w:rsidRDefault="00484A02" w:rsidP="00484A02">
      <w:pPr>
        <w:pStyle w:val="SingleTxt"/>
        <w:ind w:left="2592" w:hanging="1325"/>
        <w:rPr>
          <w:rFonts w:hint="cs"/>
          <w:rtl/>
        </w:rPr>
      </w:pPr>
      <w:r>
        <w:rPr>
          <w:rFonts w:hint="cs"/>
          <w:rtl/>
        </w:rPr>
        <w:tab/>
      </w:r>
      <w:r>
        <w:rPr>
          <w:rFonts w:hint="cs"/>
          <w:rtl/>
        </w:rPr>
        <w:tab/>
        <w:t>حقق تركيز نظام الرعاية الصحية على المجتمعات الريفية نفعا كبيرا للمرأة الريفية. ولهذا فإن مجال الاهتمام الرئيسي اليوم ينصب على الاحتياجات الصحية للأشخاص الذين يعيشون في المناطق الحضرية، ولا سيما الفقراء أو المهمشين منهم بشكل ما. ويواجه هؤلاء الأشخاص العبء المزدوج للأمراض الناجمة عن الفقر (مثل الالتهابات وسوء التغذية) والأمراض المعاصرة/والمرتبطة بالمناطق الحضرية (مثل السرطان وأمراض القلب والأمراض العقلية).</w:t>
      </w:r>
    </w:p>
    <w:p w:rsidR="00484A02" w:rsidRDefault="00484A02" w:rsidP="00484A02">
      <w:pPr>
        <w:pStyle w:val="SingleTxt"/>
        <w:ind w:left="2592" w:hanging="1325"/>
        <w:rPr>
          <w:rFonts w:hint="cs"/>
          <w:rtl/>
        </w:rPr>
      </w:pPr>
      <w:r>
        <w:rPr>
          <w:rFonts w:hint="cs"/>
          <w:rtl/>
        </w:rPr>
        <w:tab/>
        <w:t>’7‘</w:t>
      </w:r>
      <w:r>
        <w:rPr>
          <w:rFonts w:hint="cs"/>
          <w:rtl/>
        </w:rPr>
        <w:tab/>
        <w:t>التكامل والشراكة</w:t>
      </w:r>
    </w:p>
    <w:p w:rsidR="00484A02" w:rsidRDefault="00484A02" w:rsidP="00484A02">
      <w:pPr>
        <w:pStyle w:val="SingleTxt"/>
        <w:ind w:left="2592" w:hanging="1325"/>
        <w:rPr>
          <w:rFonts w:hint="cs"/>
          <w:rtl/>
        </w:rPr>
      </w:pPr>
      <w:r>
        <w:rPr>
          <w:rFonts w:hint="cs"/>
          <w:rtl/>
        </w:rPr>
        <w:tab/>
      </w:r>
      <w:r>
        <w:rPr>
          <w:rFonts w:hint="cs"/>
          <w:rtl/>
        </w:rPr>
        <w:tab/>
        <w:t xml:space="preserve">لا تعتبر وزارة الصحة المقدم الوحيد للرعاية الصحية. فهناك مقدمون آخرون حكوميون وغير حكوميين على حد سواء، بمن فيهم الممارسون التقليديون. ويجب التسليم بأن الصحة متعددة العوامل ولا يستطيع قطاع واحد بمفرده أن يكفل الصحة من جميع جوانبها. وللمرأة دور هام في جعل صحة الأمة أقرب ما تكون إلى الكمال </w:t>
      </w:r>
      <w:r>
        <w:rPr>
          <w:rtl/>
        </w:rPr>
        <w:t>–</w:t>
      </w:r>
      <w:r>
        <w:rPr>
          <w:rFonts w:hint="cs"/>
          <w:rtl/>
        </w:rPr>
        <w:t xml:space="preserve"> فالعديد من النساء يعملن في النظم الصحية الرسمية أو هن عضوات في المنظمات غير الحكومية المعنية بالصحة و/أو على دراية بنظم المعالجة الأصلية/التقليدية. وينبغي استغلال هذه القدرات إلى الحد الأقصى لفائدة الأمة.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المنظورات الجنسانية المتعلقة بالصحة</w:t>
      </w:r>
    </w:p>
    <w:p w:rsidR="00484A02" w:rsidRDefault="00484A02" w:rsidP="00484A02">
      <w:pPr>
        <w:pStyle w:val="SingleTxt"/>
        <w:rPr>
          <w:rFonts w:hint="cs"/>
          <w:rtl/>
        </w:rPr>
      </w:pPr>
      <w:r>
        <w:rPr>
          <w:rFonts w:hint="cs"/>
          <w:rtl/>
        </w:rPr>
        <w:t>239 -</w:t>
      </w:r>
      <w:r>
        <w:rPr>
          <w:rFonts w:hint="cs"/>
          <w:rtl/>
        </w:rPr>
        <w:tab/>
        <w:t>تستند المنظورات الجنسانية المتعلقة بالصحة والمستخدمة في نظام الرعاية الصحية الماليزي إلى أربعة مبادئ أساسية هي:</w:t>
      </w:r>
    </w:p>
    <w:p w:rsidR="00484A02" w:rsidRDefault="00484A02" w:rsidP="00484A02">
      <w:pPr>
        <w:pStyle w:val="SingleTxt"/>
        <w:rPr>
          <w:rFonts w:hint="cs"/>
          <w:rtl/>
        </w:rPr>
      </w:pPr>
      <w:r>
        <w:rPr>
          <w:rFonts w:hint="cs"/>
          <w:rtl/>
        </w:rPr>
        <w:tab/>
        <w:t>’1‘</w:t>
      </w:r>
      <w:r>
        <w:rPr>
          <w:rFonts w:hint="cs"/>
          <w:rtl/>
        </w:rPr>
        <w:tab/>
        <w:t>الصحة كحق من الحقوق؛</w:t>
      </w:r>
    </w:p>
    <w:p w:rsidR="00484A02" w:rsidRDefault="00484A02" w:rsidP="00484A02">
      <w:pPr>
        <w:pStyle w:val="SingleTxt"/>
        <w:rPr>
          <w:rFonts w:hint="cs"/>
          <w:rtl/>
        </w:rPr>
      </w:pPr>
      <w:r>
        <w:rPr>
          <w:rFonts w:hint="cs"/>
          <w:rtl/>
        </w:rPr>
        <w:tab/>
        <w:t>’2‘</w:t>
      </w:r>
      <w:r>
        <w:rPr>
          <w:rFonts w:hint="cs"/>
          <w:rtl/>
        </w:rPr>
        <w:tab/>
        <w:t>تعزيز الإنصاف وإمكانية الوصول وتجنب التفاوت؛</w:t>
      </w:r>
    </w:p>
    <w:p w:rsidR="00484A02" w:rsidRDefault="00484A02" w:rsidP="00484A02">
      <w:pPr>
        <w:pStyle w:val="SingleTxt"/>
        <w:ind w:left="2592" w:hanging="1325"/>
        <w:rPr>
          <w:rFonts w:hint="cs"/>
          <w:rtl/>
        </w:rPr>
      </w:pPr>
      <w:r>
        <w:rPr>
          <w:rFonts w:hint="cs"/>
          <w:rtl/>
        </w:rPr>
        <w:tab/>
        <w:t>’3‘</w:t>
      </w:r>
      <w:r>
        <w:rPr>
          <w:rFonts w:hint="cs"/>
          <w:rtl/>
        </w:rPr>
        <w:tab/>
        <w:t>الاعتراف بالعوامل البيولوجية وغيرها من العوامل التي تؤدي إلى حدوث فوارق على أساس انوع لجنس في الاحتياجات الصحية؛</w:t>
      </w:r>
    </w:p>
    <w:p w:rsidR="00484A02" w:rsidRDefault="00484A02" w:rsidP="00484A02">
      <w:pPr>
        <w:pStyle w:val="SingleTxt"/>
        <w:ind w:left="2592" w:hanging="1325"/>
        <w:rPr>
          <w:rFonts w:hint="cs"/>
          <w:rtl/>
        </w:rPr>
      </w:pPr>
      <w:r>
        <w:rPr>
          <w:rFonts w:hint="cs"/>
          <w:rtl/>
        </w:rPr>
        <w:tab/>
        <w:t>’4‘</w:t>
      </w:r>
      <w:r>
        <w:rPr>
          <w:rFonts w:hint="cs"/>
          <w:rtl/>
        </w:rPr>
        <w:tab/>
        <w:t>تعزيز دور المرأة بجعل صحتها وصحة الآخرين أقرب ما تكون إلى الكمال.</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 كحق من حقوق الإنسان</w:t>
      </w:r>
    </w:p>
    <w:p w:rsidR="00484A02" w:rsidRDefault="00484A02" w:rsidP="00484A02">
      <w:pPr>
        <w:pStyle w:val="SingleTxt"/>
        <w:rPr>
          <w:rFonts w:hint="cs"/>
          <w:rtl/>
        </w:rPr>
      </w:pPr>
      <w:r>
        <w:rPr>
          <w:rFonts w:hint="cs"/>
          <w:rtl/>
        </w:rPr>
        <w:t>240 -</w:t>
      </w:r>
      <w:r>
        <w:rPr>
          <w:rFonts w:hint="cs"/>
          <w:rtl/>
        </w:rPr>
        <w:tab/>
        <w:t xml:space="preserve">في ماليزيا، تتمتع المرأة، على قدم المساواة مع الرجل، بإمكانية الوصول إلى الخدمات الصحية والرعاية الصحية </w:t>
      </w:r>
      <w:r>
        <w:rPr>
          <w:rtl/>
        </w:rPr>
        <w:t>–</w:t>
      </w:r>
      <w:r>
        <w:rPr>
          <w:rFonts w:hint="cs"/>
          <w:rtl/>
        </w:rPr>
        <w:t xml:space="preserve"> وفي الواقع تقدم للمرأة خدمات أكثر بسبب الاحتياجات المرتبطة بالأمومة وما إلى ذلك. وهناك العديد من الصكوك القانونية التي تعالج على وجه التحديد حق المرأة في الصحة من قبيل السن الدنيا للزواج والقوانين المناهضة للعنف العائلي.</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كفالة الإنصاف وإمكانية الوصول وتجنب التفاوت</w:t>
      </w:r>
    </w:p>
    <w:p w:rsidR="00484A02" w:rsidRDefault="00484A02" w:rsidP="00484A02">
      <w:pPr>
        <w:pStyle w:val="SingleTxt"/>
        <w:rPr>
          <w:rFonts w:hint="cs"/>
          <w:rtl/>
        </w:rPr>
      </w:pPr>
      <w:r>
        <w:rPr>
          <w:rFonts w:hint="cs"/>
          <w:rtl/>
        </w:rPr>
        <w:t>241 -</w:t>
      </w:r>
      <w:r>
        <w:rPr>
          <w:rFonts w:hint="cs"/>
          <w:rtl/>
        </w:rPr>
        <w:tab/>
        <w:t>يوجد في الدراسة الاستقصائية الوطنية الثانية للصحة والاعتلال التي أجرتها وزارة الصحة في عام 1996 ما يثبت أن إمكانية وصول الجميع للخدمات الصحية جيدة وأنه لا</w:t>
      </w:r>
      <w:r>
        <w:rPr>
          <w:rFonts w:hint="eastAsia"/>
          <w:rtl/>
        </w:rPr>
        <w:t> </w:t>
      </w:r>
      <w:r>
        <w:rPr>
          <w:rFonts w:hint="cs"/>
          <w:rtl/>
        </w:rPr>
        <w:t>يوجد فروق ناجمة عن نوع الجنس، كما يتضح أدناه:</w:t>
      </w:r>
    </w:p>
    <w:p w:rsidR="00484A02" w:rsidRDefault="00484A02" w:rsidP="00484A02">
      <w:pPr>
        <w:pStyle w:val="SingleTxt"/>
        <w:rPr>
          <w:rFonts w:hint="cs"/>
          <w:rtl/>
        </w:rPr>
      </w:pPr>
      <w:r>
        <w:rPr>
          <w:rFonts w:hint="cs"/>
          <w:rtl/>
        </w:rPr>
        <w:tab/>
        <w:t>(أ)</w:t>
      </w:r>
      <w:r>
        <w:rPr>
          <w:rFonts w:hint="cs"/>
          <w:rtl/>
        </w:rPr>
        <w:tab/>
        <w:t>السكان الذين يعيشون في حدود 5 كيلومترات من مرفق صحي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تعيش نسبة 88.5 في المائة من الماليزيين في حدود 5 كيلومترات من مرفق صحي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تبلغ هذه النسبة في شبه جزيرة الملايو 92.9 في المائة؛ وكانت تبلغ 89 في المائة منذ عشر سنوات خلت</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تبلغ هذه النسبة أقل من ذلك في صباح (76.3 في المائة) وفي ساراواك (60.5 في المائة).</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(ب)</w:t>
      </w:r>
      <w:r>
        <w:rPr>
          <w:rFonts w:hint="cs"/>
          <w:rtl/>
        </w:rPr>
        <w:tab/>
        <w:t>السكان الذين يعيشون في حدود 3 كيلومترات من مرفق صحي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تعيش  نسبة 81.1 في المائة من الماليزيين في حدود 3 كيلومترات من مرفق صحي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تبلغ هذه النسبة 85.9 في المائة في شبه جزيرة الملايو؛ وكانت تبلغ 74 في المائة منذ عشر سنوات خلت</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تبلغ هذه النسبة أقل من ذلك صباح (65.9 في المائة) وفي ساراواك (48.3 في المائة).</w:t>
      </w:r>
    </w:p>
    <w:p w:rsidR="00484A02" w:rsidRDefault="00484A02" w:rsidP="00484A02">
      <w:pPr>
        <w:pStyle w:val="SingleTxt"/>
        <w:rPr>
          <w:rFonts w:hint="cs"/>
          <w:rtl/>
        </w:rPr>
      </w:pPr>
      <w:r>
        <w:rPr>
          <w:rFonts w:hint="cs"/>
          <w:rtl/>
        </w:rPr>
        <w:t>242 -</w:t>
      </w:r>
      <w:r>
        <w:rPr>
          <w:rFonts w:hint="cs"/>
          <w:rtl/>
        </w:rPr>
        <w:tab/>
        <w:t>وعلى الرغم من أن هذه البيانات غير مصنفة بحسب نوع الجنس، لا توجد فروق ناجمة عن نوع الجنس من ناحية إمكانية الوصول الفعلية إلى المرافق الصحية. ولم يؤثر الركود الاقتصادي الذي حدث في الآونة الأخيرة في شرقي آسيا في الماليزيين تأثيرا كبيرا باعتبار أن الموارد المتعلقة بالصحة مصونة بواسطة سياسة حكومية مدروسة.</w:t>
      </w:r>
    </w:p>
    <w:p w:rsidR="00484A02" w:rsidRDefault="00484A02" w:rsidP="00484A02">
      <w:pPr>
        <w:pStyle w:val="SingleTxt"/>
        <w:rPr>
          <w:rFonts w:hint="cs"/>
          <w:rtl/>
        </w:rPr>
      </w:pPr>
      <w:r>
        <w:rPr>
          <w:rFonts w:hint="cs"/>
          <w:rtl/>
        </w:rPr>
        <w:t>243 -</w:t>
      </w:r>
      <w:r>
        <w:rPr>
          <w:rFonts w:hint="cs"/>
          <w:rtl/>
        </w:rPr>
        <w:tab/>
        <w:t>وهناك بصفة عامة دليل يشير إلى أن بعض الفئات النسائية مثل العاجزات والمهاجرات والآروميات والمنتميات إلى أهل البلاد الأصليين واللائي يعشن أو يعملن في اقطاعيات أو مزارع جماعية يعانين من التهميش من ناحية إمكانية وصولهن إلى الخدمات والمرافق الصحية. بيد أنه لا تتوافر بيانات موثوقة بهذا الشأن.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الاحتياجات الصحية الخاصة للمرأة</w:t>
      </w:r>
    </w:p>
    <w:p w:rsidR="00484A02" w:rsidRDefault="00484A02" w:rsidP="00484A02">
      <w:pPr>
        <w:pStyle w:val="SingleTxt"/>
        <w:rPr>
          <w:rFonts w:hint="cs"/>
          <w:rtl/>
        </w:rPr>
      </w:pPr>
      <w:r>
        <w:rPr>
          <w:rFonts w:hint="cs"/>
          <w:rtl/>
        </w:rPr>
        <w:t>244 -</w:t>
      </w:r>
      <w:r>
        <w:rPr>
          <w:rFonts w:hint="cs"/>
          <w:rtl/>
        </w:rPr>
        <w:tab/>
        <w:t xml:space="preserve">تختلف الاحتياجات الصحية للمرأة عن احتياجات الرجل بسبب الفوارق البيولوجية والديموغرافية والاقتصادية والاجتماعية. </w:t>
      </w:r>
    </w:p>
    <w:p w:rsidR="00484A02" w:rsidRDefault="00484A02" w:rsidP="00484A02">
      <w:pPr>
        <w:pStyle w:val="SingleTxt"/>
        <w:rPr>
          <w:rFonts w:hint="cs"/>
          <w:rtl/>
        </w:rPr>
      </w:pPr>
      <w:r>
        <w:rPr>
          <w:rFonts w:hint="cs"/>
          <w:rtl/>
        </w:rPr>
        <w:tab/>
        <w:t>(أ)</w:t>
      </w:r>
      <w:r>
        <w:rPr>
          <w:rFonts w:hint="cs"/>
          <w:rtl/>
        </w:rPr>
        <w:tab/>
        <w:t>العوامل البيولوجية</w:t>
      </w:r>
    </w:p>
    <w:p w:rsidR="00484A02" w:rsidRDefault="00484A02" w:rsidP="00484A02">
      <w:pPr>
        <w:pStyle w:val="SingleTxt"/>
        <w:ind w:left="1930" w:hanging="663"/>
        <w:rPr>
          <w:rFonts w:hint="cs"/>
          <w:rtl/>
        </w:rPr>
      </w:pPr>
      <w:r>
        <w:rPr>
          <w:rFonts w:hint="cs"/>
          <w:rtl/>
        </w:rPr>
        <w:tab/>
      </w:r>
      <w:r>
        <w:rPr>
          <w:rFonts w:hint="cs"/>
          <w:rtl/>
        </w:rPr>
        <w:tab/>
        <w:t>ثمة عوامل بيولوجية عديدة منها المجال الهام المتمثل في الصحة الإنجابية والحقوق الإنجابية فضلا عن الأمراض التي تمس المرأة عموما أو على وجه الحصر، على الرغم من أن المرأة تعاني أيضا من مجموعة من الأحوال الصحية التي تؤثر في الرجل. والعوامل البيولوجية الرئيسية هي:</w:t>
      </w:r>
    </w:p>
    <w:p w:rsidR="00484A02" w:rsidRDefault="00484A02" w:rsidP="00484A02">
      <w:pPr>
        <w:pStyle w:val="SingleTxt"/>
        <w:ind w:left="2592" w:hanging="1325"/>
        <w:rPr>
          <w:rFonts w:hint="cs"/>
          <w:rtl/>
        </w:rPr>
      </w:pPr>
      <w:r>
        <w:rPr>
          <w:rFonts w:hint="cs"/>
          <w:rtl/>
        </w:rPr>
        <w:tab/>
        <w:t>’1‘</w:t>
      </w:r>
      <w:r>
        <w:rPr>
          <w:rFonts w:hint="cs"/>
          <w:rtl/>
        </w:rPr>
        <w:tab/>
        <w:t>الأحوال الصحية/الأمراض التي تؤثر في الرجال والنساء على قدم المساواة تقريبا مثل الأمراض المعدية الناجمة عن بيئة غير نظيفة؛</w:t>
      </w:r>
    </w:p>
    <w:p w:rsidR="00484A02" w:rsidRDefault="00484A02" w:rsidP="00484A02">
      <w:pPr>
        <w:pStyle w:val="SingleTxt"/>
        <w:ind w:left="2592" w:hanging="1325"/>
        <w:rPr>
          <w:rFonts w:hint="cs"/>
          <w:rtl/>
        </w:rPr>
      </w:pPr>
      <w:r>
        <w:rPr>
          <w:rFonts w:hint="cs"/>
          <w:rtl/>
        </w:rPr>
        <w:tab/>
        <w:t>’2‘</w:t>
      </w:r>
      <w:r>
        <w:rPr>
          <w:rFonts w:hint="cs"/>
          <w:rtl/>
        </w:rPr>
        <w:tab/>
        <w:t>الأحوال الصحية/ الأمراض التي تؤثر في كل من الرجل والمرأة لكنها أكثر شيوعا في  صفوف النساء مثل التهاب المفاصل الرثواني؛</w:t>
      </w:r>
    </w:p>
    <w:p w:rsidR="00484A02" w:rsidRDefault="00484A02" w:rsidP="00484A02">
      <w:pPr>
        <w:pStyle w:val="SingleTxt"/>
        <w:ind w:left="2592" w:hanging="1325"/>
        <w:rPr>
          <w:rFonts w:hint="cs"/>
          <w:rtl/>
        </w:rPr>
      </w:pPr>
      <w:r>
        <w:rPr>
          <w:rFonts w:hint="cs"/>
          <w:rtl/>
        </w:rPr>
        <w:tab/>
        <w:t>’3‘</w:t>
      </w:r>
      <w:r>
        <w:rPr>
          <w:rFonts w:hint="cs"/>
          <w:rtl/>
        </w:rPr>
        <w:tab/>
        <w:t>الأحوال الصحية/الأمراض التي تؤثر في كل من الرجل والمرأة ولكن تترتب عليها آثار وعواقب مختلفة في المرأة مثل فيروس نقص المناعة البشرية/متلازمة نقص المناعة المكتسب (الإيدز)؛</w:t>
      </w:r>
    </w:p>
    <w:p w:rsidR="00484A02" w:rsidRDefault="00484A02" w:rsidP="00484A02">
      <w:pPr>
        <w:pStyle w:val="SingleTxt"/>
        <w:ind w:left="2592" w:hanging="1325"/>
        <w:rPr>
          <w:rFonts w:hint="cs"/>
          <w:rtl/>
        </w:rPr>
      </w:pPr>
      <w:r>
        <w:rPr>
          <w:rFonts w:hint="cs"/>
          <w:rtl/>
        </w:rPr>
        <w:tab/>
        <w:t>’4‘</w:t>
      </w:r>
      <w:r>
        <w:rPr>
          <w:rFonts w:hint="cs"/>
          <w:rtl/>
        </w:rPr>
        <w:tab/>
        <w:t>المشاكل الصحية المختلفة المتصلة بنمط حياة الرجل والمرأة مثل الأمراض المتصلة بالتدخين أو المتصلة بنمط الحياة الجلوسي أو الوزن المفرط أو الإدمان على الكحول؛</w:t>
      </w:r>
    </w:p>
    <w:p w:rsidR="00484A02" w:rsidRDefault="00484A02" w:rsidP="00484A02">
      <w:pPr>
        <w:pStyle w:val="SingleTxt"/>
        <w:ind w:left="2592" w:hanging="1325"/>
        <w:rPr>
          <w:rFonts w:hint="cs"/>
          <w:rtl/>
        </w:rPr>
      </w:pPr>
      <w:r>
        <w:rPr>
          <w:rFonts w:hint="cs"/>
          <w:rtl/>
        </w:rPr>
        <w:tab/>
        <w:t>’5‘</w:t>
      </w:r>
      <w:r>
        <w:rPr>
          <w:rFonts w:hint="cs"/>
          <w:rtl/>
        </w:rPr>
        <w:tab/>
        <w:t>الأمراض التي تؤثر في المرأة على وجه الحصر (سرطان الأعضاء التناسلية) أو ما يكاد يكون على وجه الحصر (سرطان الثدي)؛</w:t>
      </w:r>
    </w:p>
    <w:p w:rsidR="00484A02" w:rsidRDefault="00484A02" w:rsidP="00484A02">
      <w:pPr>
        <w:pStyle w:val="SingleTxt"/>
        <w:ind w:left="2592" w:hanging="1325"/>
        <w:rPr>
          <w:rFonts w:hint="cs"/>
          <w:rtl/>
        </w:rPr>
      </w:pPr>
      <w:r>
        <w:rPr>
          <w:rFonts w:hint="cs"/>
          <w:rtl/>
        </w:rPr>
        <w:tab/>
        <w:t>’6‘</w:t>
      </w:r>
      <w:r>
        <w:rPr>
          <w:rFonts w:hint="cs"/>
          <w:rtl/>
        </w:rPr>
        <w:tab/>
        <w:t xml:space="preserve">الأحوال الصحية الناشئة عن المراحل المختلفة التي تمر بها الأنثى في دورة حياتها </w:t>
      </w:r>
      <w:r>
        <w:rPr>
          <w:rtl/>
        </w:rPr>
        <w:t>–</w:t>
      </w:r>
      <w:r>
        <w:rPr>
          <w:rFonts w:hint="cs"/>
          <w:rtl/>
        </w:rPr>
        <w:t xml:space="preserve"> الطفلة والمراهِقة والمسنَّة.</w:t>
      </w:r>
    </w:p>
    <w:p w:rsidR="00484A02" w:rsidRDefault="00484A02" w:rsidP="00484A02">
      <w:pPr>
        <w:pStyle w:val="SingleTxt"/>
        <w:ind w:left="2592" w:hanging="1325"/>
        <w:rPr>
          <w:rFonts w:hint="cs"/>
          <w:rtl/>
        </w:rPr>
      </w:pPr>
      <w:r>
        <w:rPr>
          <w:rFonts w:hint="cs"/>
          <w:rtl/>
        </w:rPr>
        <w:tab/>
        <w:t>(ب)</w:t>
      </w:r>
      <w:r>
        <w:rPr>
          <w:rFonts w:hint="cs"/>
          <w:rtl/>
        </w:rPr>
        <w:tab/>
        <w:t>العوامل الديموغرافية</w:t>
      </w:r>
    </w:p>
    <w:p w:rsidR="00484A02" w:rsidRDefault="00484A02" w:rsidP="00484A02">
      <w:pPr>
        <w:pStyle w:val="SingleTxt"/>
        <w:ind w:left="1930" w:hanging="663"/>
        <w:rPr>
          <w:rFonts w:hint="cs"/>
          <w:rtl/>
        </w:rPr>
      </w:pPr>
      <w:r>
        <w:rPr>
          <w:rFonts w:hint="cs"/>
          <w:rtl/>
        </w:rPr>
        <w:tab/>
      </w:r>
      <w:r>
        <w:rPr>
          <w:rFonts w:hint="cs"/>
          <w:rtl/>
        </w:rPr>
        <w:tab/>
        <w:t>هناك عدة عوامل ديموغرافية تؤثر في صحة المرأة تأثيرا مباشرا من أهمها الخصوبة والإنجاب وضبط الخصوبة. وهناك عوامل رئيسية أخرى منها الشيخوخة وتأنيث الشيخوخة؛ والهجرة سواء داخل البلد ذاته (من الريف إلى الحضر) أو فيما بين البلدان (المهاجرون القانونيون وغير القانونيين).</w:t>
      </w:r>
    </w:p>
    <w:p w:rsidR="00484A02" w:rsidRDefault="00484A02" w:rsidP="00484A02">
      <w:pPr>
        <w:pStyle w:val="SingleTxt"/>
        <w:ind w:left="1930" w:hanging="663"/>
        <w:rPr>
          <w:rFonts w:hint="cs"/>
          <w:rtl/>
        </w:rPr>
      </w:pPr>
      <w:r>
        <w:rPr>
          <w:rFonts w:hint="cs"/>
          <w:rtl/>
        </w:rPr>
        <w:tab/>
        <w:t>(ج)</w:t>
      </w:r>
      <w:r>
        <w:rPr>
          <w:rFonts w:hint="cs"/>
          <w:rtl/>
        </w:rPr>
        <w:tab/>
        <w:t>العوامل الاجتماعية والاقتصادية</w:t>
      </w:r>
    </w:p>
    <w:p w:rsidR="00484A02" w:rsidRDefault="00484A02" w:rsidP="00484A02">
      <w:pPr>
        <w:pStyle w:val="SingleTxt"/>
        <w:ind w:left="1930" w:hanging="663"/>
        <w:rPr>
          <w:rFonts w:hint="cs"/>
          <w:rtl/>
        </w:rPr>
      </w:pPr>
      <w:r>
        <w:rPr>
          <w:rFonts w:hint="cs"/>
          <w:rtl/>
        </w:rPr>
        <w:tab/>
      </w:r>
      <w:r>
        <w:rPr>
          <w:rFonts w:hint="cs"/>
          <w:rtl/>
        </w:rPr>
        <w:tab/>
        <w:t>وهذه تشمل:</w:t>
      </w:r>
    </w:p>
    <w:p w:rsidR="00484A02" w:rsidRDefault="00484A02" w:rsidP="00484A02">
      <w:pPr>
        <w:pStyle w:val="SingleTxt"/>
        <w:ind w:left="1930" w:hanging="663"/>
        <w:rPr>
          <w:rFonts w:hint="cs"/>
          <w:rtl/>
        </w:rPr>
      </w:pPr>
      <w:r>
        <w:rPr>
          <w:rFonts w:hint="cs"/>
          <w:rtl/>
        </w:rPr>
        <w:tab/>
        <w:t>’1‘</w:t>
      </w:r>
      <w:r>
        <w:rPr>
          <w:rFonts w:hint="cs"/>
          <w:rtl/>
        </w:rPr>
        <w:tab/>
        <w:t>وضع المرأة التبعي في بعض المجتمعات والثقافات؛</w:t>
      </w:r>
    </w:p>
    <w:p w:rsidR="00484A02" w:rsidRDefault="00484A02" w:rsidP="00484A02">
      <w:pPr>
        <w:pStyle w:val="SingleTxt"/>
        <w:ind w:left="1930" w:hanging="663"/>
        <w:rPr>
          <w:rFonts w:hint="cs"/>
          <w:rtl/>
        </w:rPr>
      </w:pPr>
      <w:r>
        <w:rPr>
          <w:rFonts w:hint="cs"/>
          <w:rtl/>
        </w:rPr>
        <w:tab/>
        <w:t>’2‘</w:t>
      </w:r>
      <w:r>
        <w:rPr>
          <w:rFonts w:hint="cs"/>
          <w:rtl/>
        </w:rPr>
        <w:tab/>
        <w:t>الأدوار التي يسندها المجتمع للمرأة في الرعاية الصحية؛</w:t>
      </w:r>
    </w:p>
    <w:p w:rsidR="00484A02" w:rsidRDefault="00484A02" w:rsidP="00484A02">
      <w:pPr>
        <w:pStyle w:val="SingleTxt"/>
        <w:ind w:left="2592" w:hanging="1325"/>
        <w:rPr>
          <w:rFonts w:hint="cs"/>
          <w:rtl/>
        </w:rPr>
      </w:pPr>
      <w:r>
        <w:rPr>
          <w:rFonts w:hint="cs"/>
          <w:rtl/>
        </w:rPr>
        <w:tab/>
        <w:t>’3‘</w:t>
      </w:r>
      <w:r>
        <w:rPr>
          <w:rFonts w:hint="cs"/>
          <w:rtl/>
        </w:rPr>
        <w:tab/>
        <w:t>الأمراض الاجتماعية مثل العنف ضد المرأة وتشويه الأعضاء التناسلية للأنثى؛</w:t>
      </w:r>
    </w:p>
    <w:p w:rsidR="00484A02" w:rsidRDefault="00484A02" w:rsidP="00484A02">
      <w:pPr>
        <w:pStyle w:val="SingleTxt"/>
        <w:ind w:left="1930" w:hanging="663"/>
        <w:rPr>
          <w:rFonts w:hint="cs"/>
          <w:rtl/>
        </w:rPr>
      </w:pPr>
      <w:r>
        <w:rPr>
          <w:rFonts w:hint="cs"/>
          <w:rtl/>
        </w:rPr>
        <w:tab/>
        <w:t>’4‘</w:t>
      </w:r>
      <w:r>
        <w:rPr>
          <w:rFonts w:hint="cs"/>
          <w:rtl/>
        </w:rPr>
        <w:tab/>
        <w:t>الفقر وتأنيث الفقر؛</w:t>
      </w:r>
    </w:p>
    <w:p w:rsidR="00484A02" w:rsidRDefault="00484A02" w:rsidP="00484A02">
      <w:pPr>
        <w:pStyle w:val="SingleTxt"/>
        <w:ind w:left="1930" w:hanging="663"/>
        <w:rPr>
          <w:rFonts w:hint="cs"/>
          <w:rtl/>
        </w:rPr>
      </w:pPr>
      <w:r>
        <w:rPr>
          <w:rFonts w:hint="cs"/>
          <w:rtl/>
        </w:rPr>
        <w:tab/>
        <w:t>’5‘</w:t>
      </w:r>
      <w:r>
        <w:rPr>
          <w:rFonts w:hint="cs"/>
          <w:rtl/>
        </w:rPr>
        <w:tab/>
        <w:t>محنة العاملات، بمن فيهن العاملات في الاقطاعيات؛</w:t>
      </w:r>
    </w:p>
    <w:p w:rsidR="00484A02" w:rsidRDefault="00484A02" w:rsidP="00484A02">
      <w:pPr>
        <w:pStyle w:val="SingleTxt"/>
        <w:ind w:left="2592" w:hanging="1325"/>
        <w:rPr>
          <w:rFonts w:hint="cs"/>
          <w:rtl/>
        </w:rPr>
      </w:pPr>
      <w:r>
        <w:rPr>
          <w:rFonts w:hint="cs"/>
          <w:rtl/>
        </w:rPr>
        <w:tab/>
        <w:t>’6‘</w:t>
      </w:r>
      <w:r>
        <w:rPr>
          <w:rFonts w:hint="cs"/>
          <w:rtl/>
        </w:rPr>
        <w:tab/>
        <w:t>محنة النساء المهمشات مثل اللائي يعملن في المناطق النائية والمهاجرات والمشتغلات بالجنس.</w:t>
      </w:r>
    </w:p>
    <w:p w:rsidR="00484A02" w:rsidRDefault="00484A02" w:rsidP="00484A02">
      <w:pPr>
        <w:pStyle w:val="SingleTxt"/>
        <w:ind w:left="1930" w:hanging="663"/>
        <w:rPr>
          <w:rFonts w:hint="cs"/>
          <w:rtl/>
        </w:rPr>
      </w:pPr>
      <w:r>
        <w:rPr>
          <w:rFonts w:hint="cs"/>
          <w:rtl/>
        </w:rPr>
        <w:tab/>
      </w:r>
      <w:r>
        <w:rPr>
          <w:rFonts w:hint="cs"/>
          <w:rtl/>
        </w:rPr>
        <w:tab/>
        <w:t>ويتفاوت أثر العوامل المذكورة أعلاه على المرأة من بلد إلى آخر. وغني عن القول أن من الصعب جدا قياس بعض تلك العوامل قياسا كميا. ويرد وصف للحالة في ماليزيا في الفرع 12-5 (الصحة من أجل المرأة)</w:t>
      </w:r>
    </w:p>
    <w:p w:rsidR="00484A02" w:rsidRDefault="00484A02" w:rsidP="00484A02">
      <w:pPr>
        <w:pStyle w:val="SingleTxt"/>
        <w:rPr>
          <w:rFonts w:hint="cs"/>
          <w:rtl/>
        </w:rPr>
      </w:pPr>
      <w:r>
        <w:rPr>
          <w:rFonts w:hint="cs"/>
          <w:rtl/>
        </w:rPr>
        <w:tab/>
        <w:t>(د)</w:t>
      </w:r>
      <w:r>
        <w:rPr>
          <w:rFonts w:hint="cs"/>
          <w:rtl/>
        </w:rPr>
        <w:tab/>
        <w:t>المرأة كمقدم للرعاية والصحة</w:t>
      </w:r>
    </w:p>
    <w:p w:rsidR="00484A02" w:rsidRDefault="00484A02" w:rsidP="00484A02">
      <w:pPr>
        <w:pStyle w:val="SingleTxt"/>
        <w:ind w:left="1930" w:hanging="663"/>
        <w:rPr>
          <w:rFonts w:hint="cs"/>
          <w:rtl/>
        </w:rPr>
      </w:pPr>
      <w:r>
        <w:rPr>
          <w:rFonts w:hint="cs"/>
          <w:rtl/>
        </w:rPr>
        <w:tab/>
      </w:r>
      <w:r>
        <w:rPr>
          <w:rFonts w:hint="cs"/>
          <w:rtl/>
        </w:rPr>
        <w:tab/>
        <w:t>في جميع المجتمعات والثقافات تقريبا تعنى المرأة بالمرضى والعجزة وكبار السن. وتقوم أيضا بدور هام جدا في نظام الرعاية الصحية الرسمي بوصفها مقدما للرعاية الصحية للفئات المختلفة. ويرد وصف لحالة المرأة كمقدم للرعاية ومقدم للصحة في ماليزيا في الفرع 12-6 (مساهمة المرأة في الصحة)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 من أجل المرأة</w:t>
      </w:r>
    </w:p>
    <w:p w:rsidR="00484A02" w:rsidRDefault="00484A02" w:rsidP="00484A02">
      <w:pPr>
        <w:pStyle w:val="SingleTxt"/>
        <w:rPr>
          <w:rFonts w:hint="cs"/>
          <w:rtl/>
        </w:rPr>
      </w:pPr>
      <w:r>
        <w:rPr>
          <w:rFonts w:hint="cs"/>
          <w:rtl/>
        </w:rPr>
        <w:t>245 -</w:t>
      </w:r>
      <w:r>
        <w:rPr>
          <w:rFonts w:hint="cs"/>
          <w:rtl/>
        </w:rPr>
        <w:tab/>
        <w:t>يقدم هذا الفرع صورة عامة عن حالة صحة المرأة في ماليزيا ويركز على الأخطار أو المشاكل الرئيسية التي تهدد صحة المرأة. ويواصل الفرع 12-6 وصف الخدمات والمرافق المتاحة في البلد.</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 الإنجابية والمؤشرات الديموغرافية ذات الصلة</w:t>
      </w:r>
    </w:p>
    <w:p w:rsidR="00484A02" w:rsidRDefault="00484A02" w:rsidP="00484A02">
      <w:pPr>
        <w:pStyle w:val="SingleTxt"/>
        <w:rPr>
          <w:rFonts w:hint="cs"/>
          <w:rtl/>
        </w:rPr>
      </w:pPr>
      <w:r>
        <w:rPr>
          <w:rFonts w:hint="cs"/>
          <w:rtl/>
        </w:rPr>
        <w:t>246 -</w:t>
      </w:r>
      <w:r>
        <w:rPr>
          <w:rFonts w:hint="cs"/>
          <w:rtl/>
        </w:rPr>
        <w:tab/>
        <w:t>هناك ثلاث مسائل هامة بحاجة إلى مناقشة في إطار الصحة الإنجابية هي: ’1‘ الخصوبة؛ ’2‘ هيكل السكان بحسب الجنس والعمر؛ ’3‘ شيخوخة السكان وشيخوخة المرأة.</w:t>
      </w:r>
    </w:p>
    <w:p w:rsidR="00484A02" w:rsidRDefault="00484A02" w:rsidP="00484A02">
      <w:pPr>
        <w:pStyle w:val="SingleTxt"/>
        <w:rPr>
          <w:rFonts w:hint="cs"/>
          <w:rtl/>
        </w:rPr>
      </w:pPr>
      <w:r>
        <w:rPr>
          <w:rFonts w:hint="cs"/>
          <w:rtl/>
        </w:rPr>
        <w:tab/>
        <w:t>(أ)</w:t>
      </w:r>
      <w:r>
        <w:rPr>
          <w:rFonts w:hint="cs"/>
          <w:rtl/>
        </w:rPr>
        <w:tab/>
        <w:t>الخصوبة</w:t>
      </w:r>
    </w:p>
    <w:p w:rsidR="00484A02" w:rsidRDefault="00484A02" w:rsidP="00484A02">
      <w:pPr>
        <w:pStyle w:val="SingleTxt"/>
        <w:rPr>
          <w:rFonts w:hint="cs"/>
          <w:rtl/>
        </w:rPr>
      </w:pPr>
      <w:r>
        <w:rPr>
          <w:rFonts w:hint="cs"/>
          <w:rtl/>
        </w:rPr>
        <w:tab/>
        <w:t>يتنامى عدد السكان ماليزيا بمعدل 2.3 في المائة سنويا. ومن المتوقع أن ينخفض هذا المعدل نتيجة الانخفاض في كل من معدل الخصوبة والوفيات. وفي عام 1960، كانت تلد المرأة وسطيا 6.2 من الأطفال وأضحى هذا العدد الآن 3.3 وبتطبيق هذه المؤشرات، من المقدر أن يصل عدد سكان ماليزيا الحالي الذي يزيد قليلا عن 22 مليون نسمة إلى 27.8 مليون نسمة في عام 2010 و 33.4 مليون نسمة بحلول 2020.</w:t>
      </w:r>
    </w:p>
    <w:p w:rsidR="00484A02" w:rsidRDefault="00484A02" w:rsidP="00484A02">
      <w:pPr>
        <w:pStyle w:val="SingleTxt"/>
        <w:rPr>
          <w:rFonts w:hint="cs"/>
          <w:rtl/>
        </w:rPr>
      </w:pPr>
      <w:r>
        <w:rPr>
          <w:rFonts w:hint="cs"/>
          <w:rtl/>
        </w:rPr>
        <w:tab/>
        <w:t>وأسفرت التنمية الاجتماعية والاقتصادية بالاقتران مع الجهود المبذولة في برامج تنظيم الأسرة والصحة عن حالات انخفاض في معدلات الخصوبة والوفيات وعن زيادة طول العمر. واستمر تحول الخصوبة الذي بدأ في الستينات حتى وصل إلى مستوياته الحالية في التسعينات.</w:t>
      </w:r>
    </w:p>
    <w:p w:rsidR="00484A02" w:rsidRDefault="00484A02" w:rsidP="00484A02">
      <w:pPr>
        <w:pStyle w:val="SingleTxt"/>
        <w:rPr>
          <w:rFonts w:hint="cs"/>
          <w:rtl/>
        </w:rPr>
      </w:pPr>
      <w:r>
        <w:rPr>
          <w:rFonts w:hint="cs"/>
          <w:rtl/>
        </w:rPr>
        <w:tab/>
        <w:t>(ب)</w:t>
      </w:r>
      <w:r>
        <w:rPr>
          <w:rFonts w:hint="cs"/>
          <w:rtl/>
        </w:rPr>
        <w:tab/>
        <w:t>هيكل السكان بحسب الجنس والعمر</w:t>
      </w:r>
    </w:p>
    <w:p w:rsidR="00484A02" w:rsidRDefault="00484A02" w:rsidP="00484A02">
      <w:pPr>
        <w:pStyle w:val="SingleTxt"/>
        <w:rPr>
          <w:rFonts w:hint="cs"/>
          <w:rtl/>
        </w:rPr>
      </w:pPr>
      <w:r>
        <w:rPr>
          <w:rFonts w:hint="cs"/>
          <w:rtl/>
        </w:rPr>
        <w:tab/>
        <w:t>نتيجة لانخفاض النمو وانخفاض معدلات الخصوبة والوفيات أضحت نسبة صغار السن أقل بالمقارنة مع فئات كبار السن. وفي عام 1960، بلغت نسبة الأطفال الذين تقل أعمارهم عن 15 عاما 49 في المائة من السكان. وبلغت نسبة الكبار المنتجين (15 إلى 64 عاما) 49 في المائة من السكان أيضا. وفي عام 1996، بلغت نسبة الفئة الأولى 35 في المائة ونسبة الفئة الثانية 59 في المائة من السكان. وبعد 20 سنة من اليوم، من المتوقع أن تصل هاتان النسبتان إلى 30.5 في المائة و63.35 في المائة على التوالي. وارتفع كذلك عدد كبار السن (65 سنة فما فوق) من نسبة 3.1 في المائة في عام 1970 إلى 3.7 في المائة في عام 1991 و 4 في المائة في عام 2002. ومن المتوقع أن تصل إلى 6.2 في عام 2020.</w:t>
      </w:r>
    </w:p>
    <w:p w:rsidR="00484A02" w:rsidRDefault="00484A02" w:rsidP="00484A02">
      <w:pPr>
        <w:pStyle w:val="SingleTxt"/>
        <w:rPr>
          <w:rFonts w:hint="cs"/>
          <w:rtl/>
        </w:rPr>
      </w:pPr>
      <w:r>
        <w:rPr>
          <w:rFonts w:hint="cs"/>
          <w:rtl/>
        </w:rPr>
        <w:tab/>
        <w:t>(ج)</w:t>
      </w:r>
      <w:r>
        <w:rPr>
          <w:rFonts w:hint="cs"/>
          <w:rtl/>
        </w:rPr>
        <w:tab/>
        <w:t>شيخوخة السكان وشيخوخة المرأة</w:t>
      </w:r>
    </w:p>
    <w:p w:rsidR="00484A02" w:rsidRDefault="00484A02" w:rsidP="00484A02">
      <w:pPr>
        <w:pStyle w:val="SingleTxt"/>
        <w:rPr>
          <w:rFonts w:hint="cs"/>
          <w:rtl/>
        </w:rPr>
      </w:pPr>
      <w:r>
        <w:rPr>
          <w:rFonts w:hint="cs"/>
          <w:rtl/>
        </w:rPr>
        <w:tab/>
        <w:t>ارتفع معدل العمر المتوقع للماليزيين من الرجال والنساء على مر السنين. ففي عام 1948، كان العمر المتوقع للرجال 47 سنة وللنساء 50 سنة. وبحلول عام 1996، ارتفع العمر المتوقع للرجال إلى 69.3 سنة وللنساء إلى 74 سنة.</w:t>
      </w:r>
    </w:p>
    <w:p w:rsidR="00484A02" w:rsidRDefault="00484A02" w:rsidP="00484A02">
      <w:pPr>
        <w:pStyle w:val="SingleTxt"/>
        <w:rPr>
          <w:rFonts w:hint="cs"/>
          <w:rtl/>
        </w:rPr>
      </w:pPr>
      <w:r>
        <w:rPr>
          <w:rFonts w:hint="cs"/>
          <w:rtl/>
        </w:rPr>
        <w:t>247 -</w:t>
      </w:r>
      <w:r>
        <w:rPr>
          <w:rFonts w:hint="cs"/>
          <w:rtl/>
        </w:rPr>
        <w:tab/>
        <w:t>وتترتب على تأنيث الشيخوخة، حيث يفوق عدد المسنات إلى حد كبير عدد المسنين، آثار عديدة من أبرزها ما يلي:</w:t>
      </w:r>
    </w:p>
    <w:p w:rsidR="00484A02" w:rsidRDefault="00484A02" w:rsidP="00484A02">
      <w:pPr>
        <w:pStyle w:val="SingleTxt"/>
        <w:ind w:left="2592" w:hanging="1325"/>
        <w:rPr>
          <w:rFonts w:hint="cs"/>
          <w:rtl/>
        </w:rPr>
      </w:pPr>
      <w:r>
        <w:rPr>
          <w:rFonts w:hint="cs"/>
          <w:rtl/>
        </w:rPr>
        <w:tab/>
        <w:t>’1‘</w:t>
      </w:r>
      <w:r>
        <w:rPr>
          <w:rFonts w:hint="cs"/>
          <w:rtl/>
        </w:rPr>
        <w:tab/>
        <w:t>بالنسبة للعديد من النساء، تتسم السنوات الأخيرة من حياتهن بالعجز والمرض والترمل والعزلة والاتكال؛</w:t>
      </w:r>
    </w:p>
    <w:p w:rsidR="00484A02" w:rsidRDefault="00484A02" w:rsidP="00484A02">
      <w:pPr>
        <w:pStyle w:val="SingleTxt"/>
        <w:ind w:left="2592" w:hanging="1325"/>
        <w:rPr>
          <w:rFonts w:hint="cs"/>
          <w:rtl/>
        </w:rPr>
      </w:pPr>
      <w:r>
        <w:rPr>
          <w:rFonts w:hint="cs"/>
          <w:rtl/>
        </w:rPr>
        <w:tab/>
        <w:t>’2‘</w:t>
      </w:r>
      <w:r>
        <w:rPr>
          <w:rFonts w:hint="cs"/>
          <w:rtl/>
        </w:rPr>
        <w:tab/>
        <w:t>تستدعي التغييرات الكبرى في مهام المرأة الإنجابية قدرا من الاهتمام الطبي أكبر من الاهتمام الذي يتطلبه الرجال، مثل سن اليأس والأحوال الصحية الملازمة له، ولهذا يتعين على نظام الرعاية الصحية أن يكون مستعدا للتصدي لهذه الحالة؛</w:t>
      </w:r>
    </w:p>
    <w:p w:rsidR="00484A02" w:rsidRDefault="00484A02" w:rsidP="00484A02">
      <w:pPr>
        <w:pStyle w:val="SingleTxt"/>
        <w:ind w:left="2592" w:hanging="1325"/>
        <w:rPr>
          <w:rFonts w:hint="cs"/>
          <w:rtl/>
        </w:rPr>
      </w:pPr>
      <w:r>
        <w:rPr>
          <w:rFonts w:hint="cs"/>
          <w:rtl/>
        </w:rPr>
        <w:tab/>
        <w:t>’3‘</w:t>
      </w:r>
      <w:r>
        <w:rPr>
          <w:rFonts w:hint="cs"/>
          <w:rtl/>
        </w:rPr>
        <w:tab/>
        <w:t>يفتقر العديد من المسنات إلى الموارد المالية الكافية وقد تفضي بهن هذه الحالة إلى تقليص قدرتهن على الوصول إلى الرعاية الصحية.</w:t>
      </w:r>
    </w:p>
    <w:p w:rsidR="00484A02" w:rsidRDefault="00484A02" w:rsidP="00484A02">
      <w:pPr>
        <w:pStyle w:val="SingleTxt"/>
        <w:rPr>
          <w:rFonts w:hint="cs"/>
          <w:rtl/>
        </w:rPr>
      </w:pPr>
      <w:r>
        <w:rPr>
          <w:rFonts w:hint="cs"/>
          <w:rtl/>
        </w:rPr>
        <w:t>248 -</w:t>
      </w:r>
      <w:r>
        <w:rPr>
          <w:rFonts w:hint="cs"/>
          <w:rtl/>
        </w:rPr>
        <w:tab/>
        <w:t>وقد بدأت وزارة الصحة بإيلاء اهتمام للشيخوخة والرعاية الصحية للمسنين ولكن لم تول تركيزا كبيرا على الفوارق بين الجنسين باستثناء الاهتمام بسن اليأس. ولقد صاغت ماليزيا سياسة وطنية بشأن الشيخوخة وبدأت بتقديم خدمات اجتماعية وصحية للمسنين والمسنات.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وفيات واعتلال الأمهات في أثناء النفاس</w:t>
      </w:r>
    </w:p>
    <w:p w:rsidR="00484A02" w:rsidRDefault="00484A02" w:rsidP="00484A02">
      <w:pPr>
        <w:pStyle w:val="SingleTxt"/>
        <w:rPr>
          <w:rFonts w:hint="cs"/>
          <w:rtl/>
        </w:rPr>
      </w:pPr>
      <w:r>
        <w:rPr>
          <w:rFonts w:hint="cs"/>
          <w:rtl/>
        </w:rPr>
        <w:t>249 -</w:t>
      </w:r>
      <w:r>
        <w:rPr>
          <w:rFonts w:hint="cs"/>
          <w:rtl/>
        </w:rPr>
        <w:tab/>
        <w:t>ما زالت صحة المرأة وحياتها معرضين للخطر بسبب الأحوال الصحية الناجمة عن الحمل والولادة وفترة النفاس. وعلى الرغم من انخفاض معدل وفيات الأمهات في أثناء النفاس في ماليزيا إلى حد يستحق التقدير يقل عن 20 في المائة في كل 000 100 من المواليد الأحياء (كان 83 في عام 1975) فمن الضروري التحلي باليقظة وتعزيز الاستراتيجيات الفعالة من أجل مواصلة تخفيض هذا المعدل.</w:t>
      </w:r>
    </w:p>
    <w:p w:rsidR="00484A02" w:rsidRPr="0079492A" w:rsidRDefault="00484A02" w:rsidP="00484A02">
      <w:pPr>
        <w:pStyle w:val="SingleTxt"/>
        <w:spacing w:after="0" w:line="120" w:lineRule="exact"/>
        <w:rPr>
          <w:rFonts w:hint="cs"/>
          <w:sz w:val="10"/>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12-1: معدل وفيات الأمهات في أثناء النفاس في ماليزيا بحسب الولاية، 1975-1998</w:t>
      </w:r>
    </w:p>
    <w:p w:rsidR="00484A02" w:rsidRDefault="00484A02" w:rsidP="00484A02">
      <w:pPr>
        <w:pStyle w:val="SingleTxt"/>
        <w:rPr>
          <w:rFonts w:hint="cs"/>
          <w:rtl/>
        </w:rPr>
      </w:pPr>
      <w:r>
        <w:rPr>
          <w:rFonts w:hint="cs"/>
          <w:rtl/>
        </w:rPr>
        <w:t>(معدل وفيات الأمهات في أثناء النفاس في كل 000 1 من المواليد الأحياء)</w:t>
      </w:r>
    </w:p>
    <w:p w:rsidR="00484A02" w:rsidRPr="00694475"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227"/>
        <w:gridCol w:w="1133"/>
        <w:gridCol w:w="824"/>
        <w:gridCol w:w="1030"/>
        <w:gridCol w:w="1106"/>
      </w:tblGrid>
      <w:tr w:rsidR="00484A02" w:rsidRPr="00694475">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694475">
              <w:rPr>
                <w:rFonts w:hint="cs"/>
                <w:i/>
                <w:iCs/>
                <w:sz w:val="16"/>
                <w:szCs w:val="24"/>
                <w:rtl/>
              </w:rPr>
              <w:t>الولاية</w:t>
            </w:r>
          </w:p>
        </w:tc>
        <w:tc>
          <w:tcPr>
            <w:tcW w:w="1133"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1975</w:t>
            </w:r>
          </w:p>
        </w:tc>
        <w:tc>
          <w:tcPr>
            <w:tcW w:w="824"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1985</w:t>
            </w:r>
          </w:p>
        </w:tc>
        <w:tc>
          <w:tcPr>
            <w:tcW w:w="1030"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1995</w:t>
            </w:r>
          </w:p>
        </w:tc>
        <w:tc>
          <w:tcPr>
            <w:tcW w:w="1106"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1998</w:t>
            </w:r>
          </w:p>
        </w:tc>
      </w:tr>
      <w:tr w:rsidR="00484A02" w:rsidRPr="00694475">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824"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06"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برليس</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1.06</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0.72</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كيداح</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1.09</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0.55</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بولاو بيانغ</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0.42</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بيراك</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1.02</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0.43</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سيلانغور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0.49</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0.22</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كوالالمبور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0.08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نيغيري سيمبيلان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0.25</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ميلاكا</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0.38</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0.06</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جوهور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0.67</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0.24</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باهانغ</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1.71</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0.65</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0.3</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تيرينغ غانو</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1.01</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0.58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كيلانتان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1.28</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0.60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شبه جزيرة الملايو</w:t>
            </w:r>
          </w:p>
        </w:tc>
        <w:tc>
          <w:tcPr>
            <w:tcW w:w="1133"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0.83</w:t>
            </w:r>
          </w:p>
        </w:tc>
        <w:tc>
          <w:tcPr>
            <w:tcW w:w="824"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0.37</w:t>
            </w:r>
          </w:p>
        </w:tc>
        <w:tc>
          <w:tcPr>
            <w:tcW w:w="1030"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0.2</w:t>
            </w:r>
          </w:p>
        </w:tc>
        <w:tc>
          <w:tcPr>
            <w:tcW w:w="1106"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sidRPr="000374B4">
              <w:rPr>
                <w:rFonts w:hint="cs"/>
                <w:b/>
                <w:bCs/>
                <w:sz w:val="16"/>
                <w:szCs w:val="24"/>
                <w:rtl/>
              </w:rPr>
              <w:t>غير متوفر</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صباح</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0.21</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0.4</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ساراواك</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0.1</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0.2</w:t>
            </w:r>
          </w:p>
        </w:tc>
      </w:tr>
      <w:tr w:rsidR="00484A02" w:rsidRPr="00694475">
        <w:tblPrEx>
          <w:tblCellMar>
            <w:top w:w="0" w:type="dxa"/>
            <w:bottom w:w="0" w:type="dxa"/>
          </w:tblCellMar>
        </w:tblPrEx>
        <w:trPr>
          <w:cantSplit/>
        </w:trPr>
        <w:tc>
          <w:tcPr>
            <w:tcW w:w="3227"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لابوان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w:t>
            </w:r>
          </w:p>
        </w:tc>
        <w:tc>
          <w:tcPr>
            <w:tcW w:w="824"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0.0</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w:t>
            </w:r>
          </w:p>
        </w:tc>
      </w:tr>
      <w:tr w:rsidR="00484A02" w:rsidRPr="00694475">
        <w:tblPrEx>
          <w:tblCellMar>
            <w:top w:w="0" w:type="dxa"/>
            <w:bottom w:w="0" w:type="dxa"/>
          </w:tblCellMar>
        </w:tblPrEx>
        <w:trPr>
          <w:cantSplit/>
        </w:trPr>
        <w:tc>
          <w:tcPr>
            <w:tcW w:w="3227" w:type="dxa"/>
            <w:tcBorders>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sidRPr="00694475">
              <w:rPr>
                <w:rFonts w:hint="cs"/>
                <w:b/>
                <w:bCs/>
                <w:sz w:val="16"/>
                <w:szCs w:val="24"/>
                <w:rtl/>
              </w:rPr>
              <w:t>ماليزيا</w:t>
            </w:r>
          </w:p>
        </w:tc>
        <w:tc>
          <w:tcPr>
            <w:tcW w:w="1133"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غير متوفر</w:t>
            </w:r>
          </w:p>
        </w:tc>
        <w:tc>
          <w:tcPr>
            <w:tcW w:w="824"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0.34</w:t>
            </w:r>
          </w:p>
        </w:tc>
        <w:tc>
          <w:tcPr>
            <w:tcW w:w="1030"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0.2</w:t>
            </w:r>
          </w:p>
        </w:tc>
        <w:tc>
          <w:tcPr>
            <w:tcW w:w="1106"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0.3</w:t>
            </w:r>
          </w:p>
        </w:tc>
      </w:tr>
    </w:tbl>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 xml:space="preserve">مدرج ضمن سيلانغور </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 xml:space="preserve">المصدر: </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1975-</w:t>
      </w:r>
      <w:r>
        <w:rPr>
          <w:rFonts w:hint="cs"/>
          <w:rtl/>
        </w:rPr>
        <w:tab/>
      </w:r>
      <w:r>
        <w:rPr>
          <w:rFonts w:hint="cs"/>
          <w:rtl/>
        </w:rPr>
        <w:tab/>
        <w:t>الإحصاءات الحيوية، شبة جزيرة الملايو، إدارة الإحصاءات، ماليزيا، 1975.</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1985 -</w:t>
      </w:r>
      <w:r>
        <w:rPr>
          <w:rFonts w:hint="cs"/>
          <w:rtl/>
        </w:rPr>
        <w:tab/>
      </w:r>
      <w:r>
        <w:rPr>
          <w:rFonts w:hint="cs"/>
          <w:rtl/>
        </w:rPr>
        <w:tab/>
        <w:t>وحدة المعلومات والوثائق، وزارة الصحة، 1988.</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1995 -</w:t>
      </w:r>
      <w:r>
        <w:rPr>
          <w:rFonts w:hint="cs"/>
          <w:rtl/>
        </w:rPr>
        <w:tab/>
      </w:r>
      <w:r>
        <w:rPr>
          <w:rFonts w:hint="cs"/>
          <w:rtl/>
        </w:rPr>
        <w:tab/>
        <w:t>وحدة المعلومات والوثائق، وزارة الصحة، 1997.</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1998 -</w:t>
      </w:r>
      <w:r>
        <w:rPr>
          <w:rFonts w:hint="cs"/>
          <w:rtl/>
        </w:rPr>
        <w:tab/>
        <w:t>نشرة الإحصاءات الاجتماعية، إدارة الإحصاءات، ماليزيا.</w:t>
      </w:r>
    </w:p>
    <w:p w:rsidR="00484A02" w:rsidRPr="000374B4"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SingleTxt"/>
        <w:rPr>
          <w:rFonts w:hint="cs"/>
          <w:rtl/>
        </w:rPr>
      </w:pPr>
      <w:r>
        <w:rPr>
          <w:rFonts w:hint="cs"/>
          <w:rtl/>
        </w:rPr>
        <w:t>250 -</w:t>
      </w:r>
      <w:r>
        <w:rPr>
          <w:rFonts w:hint="cs"/>
          <w:rtl/>
        </w:rPr>
        <w:tab/>
        <w:t>معدل اعتلال الأمهات في أثناء النفاس مقياس آخر يستلزم الرصد؛ إذ لا يكفي منع حدوث الوفيات بل من المهم أيضا تخفيض خطر/أسباب تلك الوفيات وكفالة توفير الصحة المثلى للمرأة في هذه الوظيفة الفيسيولوجية الحرجة التي تؤديها.</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12-2: معدل وفيات الرضع في ماليزيا بحسب الولاية، 1975-1998</w:t>
      </w:r>
    </w:p>
    <w:p w:rsidR="00484A02" w:rsidRDefault="00484A02" w:rsidP="00484A02">
      <w:pPr>
        <w:pStyle w:val="SingleTxt"/>
        <w:rPr>
          <w:rFonts w:hint="cs"/>
          <w:rtl/>
        </w:rPr>
      </w:pPr>
      <w:r>
        <w:rPr>
          <w:rFonts w:hint="cs"/>
          <w:rtl/>
        </w:rPr>
        <w:t>(معدل وفيات الرضع في كل 000 1 من المواليد الأحياء)</w:t>
      </w:r>
    </w:p>
    <w:p w:rsidR="00484A02" w:rsidRPr="00694475"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1133"/>
        <w:gridCol w:w="1030"/>
        <w:gridCol w:w="1030"/>
        <w:gridCol w:w="1106"/>
      </w:tblGrid>
      <w:tr w:rsidR="00484A02" w:rsidRPr="00694475">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694475">
              <w:rPr>
                <w:rFonts w:hint="cs"/>
                <w:i/>
                <w:iCs/>
                <w:sz w:val="16"/>
                <w:szCs w:val="24"/>
                <w:rtl/>
              </w:rPr>
              <w:t>الولاية</w:t>
            </w:r>
          </w:p>
        </w:tc>
        <w:tc>
          <w:tcPr>
            <w:tcW w:w="1133"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1975</w:t>
            </w:r>
          </w:p>
        </w:tc>
        <w:tc>
          <w:tcPr>
            <w:tcW w:w="1030"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1985</w:t>
            </w:r>
          </w:p>
        </w:tc>
        <w:tc>
          <w:tcPr>
            <w:tcW w:w="1030"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1995</w:t>
            </w:r>
          </w:p>
        </w:tc>
        <w:tc>
          <w:tcPr>
            <w:tcW w:w="1106" w:type="dxa"/>
            <w:tcBorders>
              <w:top w:val="single" w:sz="4" w:space="0" w:color="auto"/>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694475">
              <w:rPr>
                <w:rFonts w:hint="cs"/>
                <w:i/>
                <w:iCs/>
                <w:sz w:val="16"/>
                <w:szCs w:val="24"/>
                <w:rtl/>
              </w:rPr>
              <w:t>1998</w:t>
            </w:r>
          </w:p>
        </w:tc>
      </w:tr>
      <w:tr w:rsidR="00484A02" w:rsidRPr="00694475">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106" w:type="dxa"/>
            <w:tcBorders>
              <w:top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برليس</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42.6</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17.7</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8.5</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8.7</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كيداح</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40.2</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20.0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7.8</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بولاو بيانغ</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28.9</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13.8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7.8</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بيراك</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32.9</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19.3</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10.4</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7.1</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سيلانغور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27.1</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13.2</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6.8</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5.9</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كوالالمبور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13.4</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11.5</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نيغيري سيمبيلان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26.8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12.4</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12.5</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7.8</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ميلاكا</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33.9</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16.9</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9.7</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9.5</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جوهور</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31.0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15.1</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9.6</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7.6</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باهانغ</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32.0</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16.8</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10.1</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10.8</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تيرينغ غانو</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38.4</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22.1</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12.3</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11.4</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كيلانتان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44.1</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25.5</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11.4</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9.6</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Pr>
                <w:rFonts w:hint="cs"/>
                <w:b/>
                <w:bCs/>
                <w:sz w:val="16"/>
                <w:szCs w:val="24"/>
                <w:rtl/>
              </w:rPr>
              <w:t>شبه جزيرة الملايو</w:t>
            </w:r>
          </w:p>
        </w:tc>
        <w:tc>
          <w:tcPr>
            <w:tcW w:w="1133"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33.2</w:t>
            </w:r>
          </w:p>
        </w:tc>
        <w:tc>
          <w:tcPr>
            <w:tcW w:w="1030"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17.0</w:t>
            </w:r>
          </w:p>
        </w:tc>
        <w:tc>
          <w:tcPr>
            <w:tcW w:w="1030"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9.8</w:t>
            </w:r>
          </w:p>
        </w:tc>
        <w:tc>
          <w:tcPr>
            <w:tcW w:w="1106" w:type="dxa"/>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8.5</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صباح</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17.6</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11.5</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ساراواك</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11.3</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6.2</w:t>
            </w:r>
          </w:p>
        </w:tc>
      </w:tr>
      <w:tr w:rsidR="00484A02" w:rsidRPr="00694475">
        <w:tblPrEx>
          <w:tblCellMar>
            <w:top w:w="0" w:type="dxa"/>
            <w:bottom w:w="0" w:type="dxa"/>
          </w:tblCellMar>
        </w:tblPrEx>
        <w:trPr>
          <w:cantSplit/>
        </w:trPr>
        <w:tc>
          <w:tcPr>
            <w:tcW w:w="3021"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لابوان</w:t>
            </w:r>
          </w:p>
        </w:tc>
        <w:tc>
          <w:tcPr>
            <w:tcW w:w="1133"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w:t>
            </w:r>
          </w:p>
        </w:tc>
        <w:tc>
          <w:tcPr>
            <w:tcW w:w="1030"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غير متوفر</w:t>
            </w:r>
          </w:p>
        </w:tc>
        <w:tc>
          <w:tcPr>
            <w:tcW w:w="1106" w:type="dxa"/>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24.1</w:t>
            </w:r>
          </w:p>
        </w:tc>
      </w:tr>
      <w:tr w:rsidR="00484A02" w:rsidRPr="00694475">
        <w:tblPrEx>
          <w:tblCellMar>
            <w:top w:w="0" w:type="dxa"/>
            <w:bottom w:w="0" w:type="dxa"/>
          </w:tblCellMar>
        </w:tblPrEx>
        <w:trPr>
          <w:cantSplit/>
        </w:trPr>
        <w:tc>
          <w:tcPr>
            <w:tcW w:w="3021" w:type="dxa"/>
            <w:tcBorders>
              <w:bottom w:val="single" w:sz="12" w:space="0" w:color="auto"/>
            </w:tcBorders>
            <w:shd w:val="clear" w:color="auto" w:fill="auto"/>
            <w:vAlign w:val="bottom"/>
          </w:tcPr>
          <w:p w:rsidR="00484A02" w:rsidRPr="00694475"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sidRPr="00694475">
              <w:rPr>
                <w:rFonts w:hint="cs"/>
                <w:b/>
                <w:bCs/>
                <w:sz w:val="16"/>
                <w:szCs w:val="24"/>
                <w:rtl/>
              </w:rPr>
              <w:t>ماليزيا</w:t>
            </w:r>
          </w:p>
        </w:tc>
        <w:tc>
          <w:tcPr>
            <w:tcW w:w="1133"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غير متوفر</w:t>
            </w:r>
          </w:p>
        </w:tc>
        <w:tc>
          <w:tcPr>
            <w:tcW w:w="1030"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16.78</w:t>
            </w:r>
          </w:p>
        </w:tc>
        <w:tc>
          <w:tcPr>
            <w:tcW w:w="1030"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غير متوفر</w:t>
            </w:r>
          </w:p>
        </w:tc>
        <w:tc>
          <w:tcPr>
            <w:tcW w:w="1106" w:type="dxa"/>
            <w:tcBorders>
              <w:bottom w:val="single" w:sz="12" w:space="0" w:color="auto"/>
            </w:tcBorders>
            <w:shd w:val="clear" w:color="auto" w:fill="auto"/>
            <w:vAlign w:val="bottom"/>
          </w:tcPr>
          <w:p w:rsidR="00484A02" w:rsidRPr="000374B4" w:rsidRDefault="00484A02" w:rsidP="00215D2A">
            <w:pPr>
              <w:tabs>
                <w:tab w:val="left" w:pos="288"/>
                <w:tab w:val="left" w:pos="576"/>
                <w:tab w:val="left" w:pos="864"/>
                <w:tab w:val="left" w:pos="1152"/>
              </w:tabs>
              <w:spacing w:before="40" w:after="80" w:line="240" w:lineRule="exact"/>
              <w:ind w:left="170" w:right="144"/>
              <w:jc w:val="lowKashida"/>
              <w:rPr>
                <w:rFonts w:hint="cs"/>
                <w:b/>
                <w:bCs/>
                <w:sz w:val="16"/>
                <w:szCs w:val="24"/>
                <w:rtl/>
              </w:rPr>
            </w:pPr>
            <w:r>
              <w:rPr>
                <w:rFonts w:hint="cs"/>
                <w:b/>
                <w:bCs/>
                <w:sz w:val="16"/>
                <w:szCs w:val="24"/>
                <w:rtl/>
              </w:rPr>
              <w:t>8.1</w:t>
            </w:r>
          </w:p>
        </w:tc>
      </w:tr>
    </w:tbl>
    <w:p w:rsidR="00484A02" w:rsidRPr="00801606" w:rsidRDefault="00484A02" w:rsidP="00484A02">
      <w:pPr>
        <w:pStyle w:val="SingleTxt"/>
        <w:spacing w:after="0" w:line="120" w:lineRule="exact"/>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 xml:space="preserve">المصدر: </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1975 -</w:t>
      </w:r>
      <w:r>
        <w:rPr>
          <w:rFonts w:hint="cs"/>
          <w:rtl/>
        </w:rPr>
        <w:tab/>
        <w:t>إدارة الإحصاءات، شبه جزيرة الملايو.</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1985 - 1998</w:t>
      </w:r>
      <w:r>
        <w:rPr>
          <w:rFonts w:hint="cs"/>
          <w:rtl/>
        </w:rPr>
        <w:tab/>
        <w:t>وحدة المعلومات الوثائق، وزارة الصحة.</w:t>
      </w:r>
    </w:p>
    <w:p w:rsidR="00484A02" w:rsidRPr="00801606" w:rsidRDefault="00484A02" w:rsidP="00484A02">
      <w:pPr>
        <w:pStyle w:val="SingleTxt"/>
        <w:spacing w:after="0" w:line="120" w:lineRule="exact"/>
        <w:rPr>
          <w:rFonts w:hint="cs"/>
          <w:sz w:val="10"/>
          <w:rtl/>
        </w:rPr>
      </w:pPr>
    </w:p>
    <w:p w:rsidR="00484A02" w:rsidRDefault="00484A02" w:rsidP="00484A02">
      <w:pPr>
        <w:pStyle w:val="SingleTxt"/>
        <w:rPr>
          <w:rFonts w:hint="cs"/>
          <w:rtl/>
        </w:rPr>
      </w:pPr>
      <w:r>
        <w:rPr>
          <w:rFonts w:hint="cs"/>
          <w:rtl/>
        </w:rPr>
        <w:t>251 -</w:t>
      </w:r>
      <w:r>
        <w:rPr>
          <w:rFonts w:hint="cs"/>
          <w:rtl/>
        </w:rPr>
        <w:tab/>
        <w:t>وبالرغم من انخفاض حالات مرضيَّة مثل فقر الدم في أثناء الحمل وسوء تغذية النفساوات هناك الكثير مما يتوجب عمله. فكثير من حالات  وفاة الأمهات في أثناء النفاس التي تحدث في الوقت الحاضر ينجم عن أو له صلة بأحوال صحية سهلة المعالجة من قبيل فرط ضغط الدم الشرياني الناجم عن الحمل أو النزف قبل الوضع أو في أثنائه أو بعده أو انسداد الأوعية الدموية. كما انخفض معدل وفيات الأمهات قبل الولادة ومعدل وفيات الرضع، حسبما هو مشار إليه في الجدول 12-2.</w:t>
      </w:r>
    </w:p>
    <w:p w:rsidR="00484A02" w:rsidRDefault="00484A02" w:rsidP="00484A02">
      <w:pPr>
        <w:pStyle w:val="SingleTxt"/>
        <w:rPr>
          <w:rFonts w:hint="cs"/>
          <w:rtl/>
        </w:rPr>
      </w:pPr>
      <w:r>
        <w:rPr>
          <w:rFonts w:hint="cs"/>
          <w:rtl/>
        </w:rPr>
        <w:t>252 -</w:t>
      </w:r>
      <w:r>
        <w:rPr>
          <w:rFonts w:hint="cs"/>
          <w:rtl/>
        </w:rPr>
        <w:tab/>
        <w:t xml:space="preserve">وتتصل مسألة الإجهاض اتصالا وثيقا بوفيات واعتلال الأمهات في أثناء النفاس. ولم يُحلَّل الإجهاض قانونا في ماليزيا ولكن يُسمح به لأسباب معينة. وقبل عام 1989، لم يكن يسمح بالإجهاض إلا لغرض إنقاذ حياة المرأة ومنذ ذلك الحين، عدل القانون بحيث يبيح </w:t>
      </w:r>
      <w:r>
        <w:rPr>
          <w:rFonts w:hint="eastAsia"/>
          <w:rtl/>
        </w:rPr>
        <w:t>”الإجهاض العلاجي</w:t>
      </w:r>
      <w:r>
        <w:rPr>
          <w:rFonts w:hint="cs"/>
          <w:rtl/>
        </w:rPr>
        <w:t>“ أي يمكن إجراء الإجهاض إذا كان من المرجح أن يفضي الحمل إلى تعريض صحة المرأة البدنية والعقلية للخطر. وبالرغم من ذلك، يجب على المريضة الحصول على موافقة خبيرين طبيين حكوميين قبل إجراء الإجهاض.</w:t>
      </w:r>
    </w:p>
    <w:p w:rsidR="00484A02" w:rsidRDefault="00484A02" w:rsidP="00484A02">
      <w:pPr>
        <w:pStyle w:val="SingleTxt"/>
        <w:rPr>
          <w:rFonts w:hint="cs"/>
          <w:rtl/>
        </w:rPr>
      </w:pPr>
      <w:r>
        <w:rPr>
          <w:rFonts w:hint="cs"/>
          <w:rtl/>
        </w:rPr>
        <w:t>253 -</w:t>
      </w:r>
      <w:r>
        <w:rPr>
          <w:rFonts w:hint="cs"/>
          <w:rtl/>
        </w:rPr>
        <w:tab/>
        <w:t xml:space="preserve">واعترافا من الحكومة بعمليات الإجهاض العديدة التي تجري خلافا للقانون، اتبعت سياسة تشترط فيها على الأطباء الذين يقومون بعمليات الإجهاض </w:t>
      </w:r>
      <w:r>
        <w:rPr>
          <w:rtl/>
        </w:rPr>
        <w:t>–</w:t>
      </w:r>
      <w:r>
        <w:rPr>
          <w:rFonts w:hint="cs"/>
          <w:rtl/>
        </w:rPr>
        <w:t xml:space="preserve"> سواء كانت قانونية أو غير قانونية </w:t>
      </w:r>
      <w:r>
        <w:rPr>
          <w:rtl/>
        </w:rPr>
        <w:t>–</w:t>
      </w:r>
      <w:r>
        <w:rPr>
          <w:rFonts w:hint="cs"/>
          <w:rtl/>
        </w:rPr>
        <w:t xml:space="preserve"> أن يعاملوا مرضاهم معاملة إنسانية وأن يبذلوا ما في وسعيهم لإنقاذ حياة المريضة أو استعادة صحتها، مثلها في ذلك مثل أي حالة طبية أخرى.</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أسباب الاعتلال والوفيات في صفوف الإناث عامة</w:t>
      </w:r>
    </w:p>
    <w:p w:rsidR="00484A02" w:rsidRDefault="00484A02" w:rsidP="00484A02">
      <w:pPr>
        <w:pStyle w:val="SingleTxt"/>
        <w:rPr>
          <w:rFonts w:hint="cs"/>
          <w:rtl/>
        </w:rPr>
      </w:pPr>
      <w:r w:rsidRPr="00C57F11">
        <w:rPr>
          <w:rFonts w:hint="cs"/>
          <w:rtl/>
        </w:rPr>
        <w:t>254 -</w:t>
      </w:r>
      <w:r w:rsidRPr="00C57F11">
        <w:rPr>
          <w:rFonts w:hint="cs"/>
          <w:rtl/>
        </w:rPr>
        <w:tab/>
        <w:t xml:space="preserve"> بصرف النظر عن المسائل المتصلة باعتلال ووفيات الأمهات في أثناء النفاس</w:t>
      </w:r>
      <w:r>
        <w:rPr>
          <w:rFonts w:hint="cs"/>
          <w:rtl/>
        </w:rPr>
        <w:t xml:space="preserve">، يعنى نظام الرعاية الصحية في ماليزيا أيضا بالأحوال التي تُعرِّض صحة المرأة للخطر بصفة عامة. وهذه تشمل الأحوال التي تؤثر في المرأة على وجه الحصر (مثل السرطانات والأمراض </w:t>
      </w:r>
      <w:r>
        <w:rPr>
          <w:rFonts w:hint="eastAsia"/>
          <w:rtl/>
        </w:rPr>
        <w:t>”النسائية</w:t>
      </w:r>
      <w:r>
        <w:rPr>
          <w:rFonts w:hint="cs"/>
          <w:rtl/>
        </w:rPr>
        <w:t>“) أو التي تترتب عليها آثار بيولوجية أو اجتماعية واقتصادية في المرأة وهي آثار وإن كانت غير محصورة بالمرأة فإنها تعتبر خاصة بها أو ذات صلة بها مثل فيروس نقص المناعة البشرية/متلازمة نقص المناعة المكتسب (الإيدز).</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4" w:right="1264" w:hanging="1267"/>
        <w:jc w:val="lowKashida"/>
        <w:rPr>
          <w:rFonts w:hint="cs"/>
          <w:rtl/>
        </w:rPr>
      </w:pPr>
      <w:r>
        <w:rPr>
          <w:rFonts w:hint="cs"/>
          <w:rtl/>
        </w:rPr>
        <w:tab/>
      </w:r>
      <w:r>
        <w:rPr>
          <w:rFonts w:hint="cs"/>
          <w:rtl/>
        </w:rPr>
        <w:tab/>
        <w:t>فيروس نقص المناعة البشرية/متلازمة نقص المناعة المكتسب (الإيدز)</w:t>
      </w:r>
    </w:p>
    <w:p w:rsidR="00484A02" w:rsidRDefault="00484A02" w:rsidP="00484A02">
      <w:pPr>
        <w:pStyle w:val="SingleTxt"/>
        <w:spacing w:line="380" w:lineRule="exact"/>
        <w:ind w:left="1264" w:right="1264"/>
        <w:rPr>
          <w:rFonts w:hint="cs"/>
          <w:rtl/>
        </w:rPr>
      </w:pPr>
      <w:r>
        <w:rPr>
          <w:rFonts w:hint="cs"/>
          <w:rtl/>
        </w:rPr>
        <w:t>255 -</w:t>
      </w:r>
      <w:r>
        <w:rPr>
          <w:rFonts w:hint="cs"/>
          <w:rtl/>
        </w:rPr>
        <w:tab/>
        <w:t>سُجِّلت أول إصابة بوباء الإيدز في ماليزيا في عام 1986. وفي عام 1990، كانت هناك 756 حالة مسجلة تشمل أشخاصا مصابين بفيروس نقص المناعة البشرية وارتفع هذا العدد إلى 230 4 إصابة في عام 1995. ويعزى جزئيا الارتفاع الشديد في عدد الحالات المبلغ عنها، على الأرجح، إلى الفحص الفعال في المؤسسات الإصلاحية في مطلع التسعينات للأشخاص ذوي السلوك المحفوف بالخطر الشديد، ولا سيما مستعملي المخدرات. وفي الوقت الحاضر، ما زال عدد الأشخاص الذين أصيبوا مؤخرا بهذا الوباء مستقرا تقريبا عند حدود 000 4 إصابة في السنة. والغالبية العظمى من تلك الإصابات في صفوف الذكور وتبلغ نسبتهم 96 في المائة من بين الأشخاص المصابين بفيروس نفص المناعة البشرية و 94 في المائة من الأشخاص المصابين بوباء الإيدز. وحدث أعلى عدد من الإصابات في أوساط مستعملي المخدرات. بيد أن نسبة الإناث اللائي يتعرضن للعدوى تزداد يوما بعد يوم، مما يشير إلى زيادة دور العدوى عن طريق الاتصال الجنسي. يرجى الرجوع إلى الرسم البياني 12-1.</w:t>
      </w:r>
    </w:p>
    <w:p w:rsidR="00484A02" w:rsidRDefault="00484A02" w:rsidP="00484A02">
      <w:pPr>
        <w:pStyle w:val="SingleTxt"/>
        <w:spacing w:line="380" w:lineRule="exact"/>
        <w:ind w:left="1264" w:right="1264"/>
        <w:rPr>
          <w:rFonts w:hint="cs"/>
          <w:rtl/>
        </w:rPr>
      </w:pPr>
      <w:r>
        <w:rPr>
          <w:rFonts w:hint="cs"/>
          <w:rtl/>
        </w:rPr>
        <w:t>256 -</w:t>
      </w:r>
      <w:r>
        <w:rPr>
          <w:rFonts w:hint="cs"/>
          <w:rtl/>
        </w:rPr>
        <w:tab/>
        <w:t>ولهذا فإن انتقال العدوى عن طريق الاتصال الجنسي تمثل مصدر قلق للمرأة باعتبارها قابلة للتأثر بيولوجيا بالأمراض المنقولة عن طريق الاتصال الجنسي مما يجعلها أكثر عرضة للإصابة بفيروس نقص المناعة البشرية بسبب هشاشة البطانة الخلوية المهبلية، وهو يستأثر بما لا يقل عن 24.3 في المائة من حالات الإصابة بوباء الإيدز و 8.8 في المائة من الإصابات بفيروس نقص المناعة البشرية.</w:t>
      </w:r>
    </w:p>
    <w:p w:rsidR="00484A02" w:rsidRDefault="00484A02" w:rsidP="00484A02">
      <w:pPr>
        <w:pStyle w:val="SingleTxt"/>
        <w:spacing w:line="380" w:lineRule="exact"/>
        <w:ind w:left="1264" w:right="1264"/>
        <w:rPr>
          <w:rFonts w:hint="cs"/>
          <w:rtl/>
        </w:rPr>
      </w:pPr>
      <w:r>
        <w:rPr>
          <w:rFonts w:hint="cs"/>
          <w:rtl/>
        </w:rPr>
        <w:t>257 -</w:t>
      </w:r>
      <w:r>
        <w:rPr>
          <w:rFonts w:hint="cs"/>
          <w:rtl/>
        </w:rPr>
        <w:tab/>
        <w:t>وثمة مسألة رئيسية هي عدم ملاءمة الحملات والاستراتيجيات الحالية الرامية للوقاية من الإصابة بوباء الإيدز/فيروس نقص المناعة البشرية بالنسبة للنساء. فعلى سبيل المثال، تركز تلك المبادرات على أهمية تقليل عدد شركاء الجماع الجنسي لكن المرأة، بالمقارنة مع الرجل، أحادية الزوج بصفة عامة باستثناء المشتغلات بالجنس اللائي تحيط بهن عوامل اجتماعية واقتصادية معقدة وتتطلب حالاتهن اتباع استراتيجيات وسياسات مستقلة. وبالمثل، يتم في أغلب الأحيان التشجيع على الإخلاص في الزواج وعلى استخدام الرفالات بشكل صحيح ومستمر؛ وفي حين يعتبر العديد من النساء مخلصات لأزواجهن فإن عددا قليلا جدا منهن يمكن أن يضمن أن يكون أزواجهن مخلصين لهن، وعددا قليلا منهن أيضا في وضع يمكنهن من الإصرار على أزواجهن أو شركائهن باستخدام الرفالات.</w:t>
      </w:r>
    </w:p>
    <w:p w:rsidR="00484A02" w:rsidRDefault="00484A02" w:rsidP="00484A02">
      <w:pPr>
        <w:pStyle w:val="SingleTxt"/>
        <w:rPr>
          <w:rFonts w:hint="cs"/>
          <w:rtl/>
        </w:rPr>
      </w:pPr>
      <w:r>
        <w:rPr>
          <w:rFonts w:hint="cs"/>
          <w:rtl/>
        </w:rPr>
        <w:t>258 -</w:t>
      </w:r>
      <w:r>
        <w:rPr>
          <w:rFonts w:hint="cs"/>
          <w:rtl/>
        </w:rPr>
        <w:tab/>
        <w:t>ومما يزيد هذه المشاكل تعقيدا أن المرأة من الناحية البيولوجية، أكثر عرضة للإصابة بالأمراض المنقولة عن الاتصال الجنسي أو بفيروس نقص المناعة البشرية. وبالإضافة إلى ذلك، فإن العديد من النساء المعرضات للخطر الشديد هن في سن الإنجاب مما يفتح المجال أمام انتقال وباء الإيدز إلى الأطفال حتى قبل ولادتهم.</w:t>
      </w:r>
    </w:p>
    <w:p w:rsidR="00484A02" w:rsidRDefault="00484A02" w:rsidP="00484A02">
      <w:pPr>
        <w:pStyle w:val="SingleTxt"/>
        <w:rPr>
          <w:b/>
          <w:bCs/>
          <w:rtl/>
        </w:rPr>
      </w:pPr>
      <w:r>
        <w:rPr>
          <w:b/>
          <w:bCs/>
          <w:rtl/>
        </w:rPr>
        <w:br w:type="page"/>
      </w:r>
      <w:r w:rsidRPr="0075437B">
        <w:rPr>
          <w:rFonts w:hint="cs"/>
          <w:b/>
          <w:bCs/>
          <w:rtl/>
        </w:rPr>
        <w:t xml:space="preserve">الرسم البياني </w:t>
      </w:r>
      <w:r>
        <w:rPr>
          <w:rFonts w:hint="cs"/>
          <w:b/>
          <w:bCs/>
          <w:rtl/>
        </w:rPr>
        <w:t>12</w:t>
      </w:r>
      <w:r w:rsidRPr="0075437B">
        <w:rPr>
          <w:rFonts w:hint="cs"/>
          <w:b/>
          <w:bCs/>
          <w:rtl/>
        </w:rPr>
        <w:t>-1: النسبة المئوية للنساء بين الأشخاص المصابين بفيروس نقص المناعة البشرية، في ماليزيا، 1989-1997</w:t>
      </w: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Pr="001A7CB4" w:rsidRDefault="00484A02" w:rsidP="00484A02">
      <w:pPr>
        <w:pStyle w:val="SingleTxt"/>
        <w:ind w:right="309"/>
        <w:jc w:val="right"/>
        <w:rPr>
          <w:rFonts w:hint="cs"/>
          <w:rtl/>
        </w:rPr>
      </w:pPr>
      <w:r w:rsidRPr="001A7CB4">
        <w:rPr>
          <w:rFonts w:hint="cs"/>
          <w:rtl/>
        </w:rPr>
        <w:t>النسبة المئوية للإناث</w:t>
      </w: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pStyle w:val="SingleTxt"/>
        <w:rPr>
          <w:rFonts w:hint="cs"/>
          <w:b/>
          <w:bCs/>
          <w:rtl/>
        </w:rPr>
      </w:pPr>
    </w:p>
    <w:p w:rsidR="00484A02" w:rsidRDefault="00484A02" w:rsidP="00484A02">
      <w:pPr>
        <w:tabs>
          <w:tab w:val="left" w:pos="662"/>
          <w:tab w:val="left" w:pos="1267"/>
          <w:tab w:val="left" w:pos="1987"/>
          <w:tab w:val="left" w:pos="2650"/>
        </w:tabs>
        <w:jc w:val="lowKashida"/>
        <w:rPr>
          <w:rFonts w:hint="cs"/>
          <w:rtl/>
        </w:rPr>
      </w:pPr>
      <w:r>
        <w:rPr>
          <w:rtl/>
        </w:rPr>
        <w:object w:dxaOrig="9891" w:dyaOrig="4305">
          <v:shape id="_x0000_i1026" type="#_x0000_t75" style="width:494.25pt;height:215.25pt" o:ole="">
            <v:imagedata r:id="rId27" o:title=""/>
          </v:shape>
          <o:OLEObject Type="Embed" ProgID="MSGraph.Chart.8" ShapeID="_x0000_i1026" DrawAspect="Content" ObjectID="_1395246494" r:id="rId28">
            <o:FieldCodes>\s</o:FieldCodes>
          </o:OLEObject>
        </w:object>
      </w:r>
    </w:p>
    <w:p w:rsidR="00484A02" w:rsidRDefault="00484A02" w:rsidP="00484A02">
      <w:pPr>
        <w:spacing w:line="480" w:lineRule="auto"/>
        <w:jc w:val="center"/>
        <w:rPr>
          <w:i/>
          <w:iCs/>
          <w:lang w:val="en-GB"/>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قسم متلازمة نقص المناعة المكتسب/ الأمراض المنقولة عن طريق الاتصال الجنسي، وزارة الصحة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tl/>
          <w:lang w:val="en-GB"/>
        </w:rPr>
        <w:br w:type="page"/>
      </w:r>
      <w:r>
        <w:rPr>
          <w:rFonts w:hint="cs"/>
          <w:rtl/>
          <w:lang w:val="en-GB"/>
        </w:rPr>
        <w:tab/>
      </w:r>
      <w:r>
        <w:rPr>
          <w:rFonts w:hint="cs"/>
          <w:rtl/>
          <w:lang w:val="en-GB"/>
        </w:rPr>
        <w:tab/>
        <w:t>مرض السرطان في المرأة</w:t>
      </w:r>
    </w:p>
    <w:p w:rsidR="00484A02" w:rsidRDefault="00484A02" w:rsidP="00484A02">
      <w:pPr>
        <w:pStyle w:val="SingleTxt"/>
        <w:rPr>
          <w:rFonts w:hint="cs"/>
          <w:rtl/>
          <w:lang w:val="en-GB"/>
        </w:rPr>
      </w:pPr>
      <w:r>
        <w:rPr>
          <w:rFonts w:hint="cs"/>
          <w:rtl/>
          <w:lang w:val="en-GB"/>
        </w:rPr>
        <w:t>259 -</w:t>
      </w:r>
      <w:r>
        <w:rPr>
          <w:rFonts w:hint="cs"/>
          <w:rtl/>
          <w:lang w:val="en-GB"/>
        </w:rPr>
        <w:tab/>
        <w:t>يعتبر سرطان الثدي وسرطان الرحم من الأسباب الأساسية التي تفضي إلى وفاة النساء في جميع أنحاء العالم. وكلاهما منتشر في ماليزيا. لكن سرطان الثدي تجاوز سرطان الرحم فأصبح بذلك نوع السرطان المنتشر بكثرة في صفوف الماليزيات. وبلغت نسبة وفيات الماليزيات الناجمة عن السرطان 12.6 في المائة في عام 1998 ويعزى 26 في المائة منها إلى سرطان الثدي والرحم وذلك من أصل 000 16 حالة وفاة تقريبا بين النساء تم التثبت منها ومعاينتها طبيا.</w:t>
      </w:r>
    </w:p>
    <w:p w:rsidR="00484A02" w:rsidRDefault="00484A02" w:rsidP="00484A02">
      <w:pPr>
        <w:pStyle w:val="SingleTxt"/>
        <w:rPr>
          <w:rFonts w:hint="cs"/>
          <w:rtl/>
          <w:lang w:val="en-GB"/>
        </w:rPr>
      </w:pPr>
      <w:r>
        <w:rPr>
          <w:rFonts w:hint="cs"/>
          <w:rtl/>
          <w:lang w:val="en-GB"/>
        </w:rPr>
        <w:t>260 -</w:t>
      </w:r>
      <w:r>
        <w:rPr>
          <w:rFonts w:hint="cs"/>
          <w:rtl/>
          <w:lang w:val="en-GB"/>
        </w:rPr>
        <w:tab/>
        <w:t xml:space="preserve">وبالنظر إلى أن الأسباب المؤدية إلى الإصابة بهذين النوعين من السرطانات ما زالت مبهمة (رغم أن بعض عوامل المخاطرة أضحت من المسائل المسلم بها) فإن الوقاية الرئيسية منهما غير ممكنة. أما الوقاية الثانوية فهي ممكنة لحسن الحظ من خلال إجراءات المعاينة الدقيقة لهذين النوعين من السرطانات. وتوضح الدراسة الاستقصائية الوطنية الثانية للصحة والاعتلال أن نسبة 26 في المائة فقط من النساء ممن تبلغ أعمارهن 20 سنة فما فوق أخذن اختبار </w:t>
      </w:r>
      <w:r>
        <w:rPr>
          <w:rFonts w:hint="eastAsia"/>
          <w:rtl/>
          <w:lang w:val="en-GB"/>
        </w:rPr>
        <w:t>”</w:t>
      </w:r>
      <w:r>
        <w:rPr>
          <w:rFonts w:hint="cs"/>
          <w:rtl/>
          <w:lang w:val="en-GB"/>
        </w:rPr>
        <w:t>بابا نيكولا</w:t>
      </w:r>
      <w:r>
        <w:rPr>
          <w:rFonts w:hint="eastAsia"/>
          <w:rtl/>
          <w:lang w:val="en-GB"/>
        </w:rPr>
        <w:t xml:space="preserve">“ </w:t>
      </w:r>
      <w:r>
        <w:rPr>
          <w:rFonts w:hint="cs"/>
          <w:rtl/>
          <w:lang w:val="en-GB"/>
        </w:rPr>
        <w:t>المهبلي</w:t>
      </w:r>
      <w:r>
        <w:rPr>
          <w:rFonts w:hint="eastAsia"/>
          <w:rtl/>
          <w:lang w:val="en-GB"/>
        </w:rPr>
        <w:t xml:space="preserve"> وأن نسبة 47 في المائة فقط أجرين الفحو</w:t>
      </w:r>
      <w:r>
        <w:rPr>
          <w:rFonts w:hint="cs"/>
          <w:rtl/>
          <w:lang w:val="en-GB"/>
        </w:rPr>
        <w:t xml:space="preserve">ص الثديية. ويتاح اختبار </w:t>
      </w:r>
      <w:r>
        <w:rPr>
          <w:rFonts w:hint="eastAsia"/>
          <w:rtl/>
          <w:lang w:val="en-GB"/>
        </w:rPr>
        <w:t>”بابا</w:t>
      </w:r>
      <w:r>
        <w:rPr>
          <w:rFonts w:hint="cs"/>
          <w:rtl/>
          <w:lang w:val="en-GB"/>
        </w:rPr>
        <w:t xml:space="preserve"> نيكولا</w:t>
      </w:r>
      <w:r>
        <w:rPr>
          <w:rFonts w:hint="eastAsia"/>
          <w:rtl/>
          <w:lang w:val="en-GB"/>
        </w:rPr>
        <w:t xml:space="preserve">“ المهبلي لجميع النساء في جميع المستوصفات الحكومية. </w:t>
      </w:r>
      <w:r>
        <w:rPr>
          <w:rFonts w:hint="cs"/>
          <w:rtl/>
          <w:lang w:val="en-GB"/>
        </w:rPr>
        <w:t>وتبذل جهود لتشجيع النساء على فحص ثديهن أو إجراء الفحص الثدي من قبل الأخصائيين الصحيين. وأنشئت في جميع المستشفيات الرئيسية في البلد مستوصفات للفحوص الثديية. وتتاح مجانا فحوص شعاعية للثدي (ماموغرام) للنساء المعرضات لخطر شديد .</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r>
      <w:r w:rsidRPr="00600EC6">
        <w:rPr>
          <w:rFonts w:hint="cs"/>
          <w:rtl/>
          <w:lang w:val="en-GB"/>
        </w:rPr>
        <w:t>أسلوب الحياة</w:t>
      </w:r>
      <w:r>
        <w:rPr>
          <w:rFonts w:hint="cs"/>
          <w:rtl/>
          <w:lang w:val="en-GB"/>
        </w:rPr>
        <w:t xml:space="preserve"> ذو الصلة بالمشاكل الصحية المنتشرة بين النساء</w:t>
      </w:r>
    </w:p>
    <w:p w:rsidR="00484A02" w:rsidRDefault="00484A02" w:rsidP="00484A02">
      <w:pPr>
        <w:pStyle w:val="SingleTxt"/>
        <w:rPr>
          <w:rFonts w:hint="cs"/>
          <w:rtl/>
          <w:lang w:val="en-GB"/>
        </w:rPr>
      </w:pPr>
      <w:r>
        <w:rPr>
          <w:rFonts w:hint="cs"/>
          <w:rtl/>
          <w:lang w:val="en-GB"/>
        </w:rPr>
        <w:t>261 -</w:t>
      </w:r>
      <w:r>
        <w:rPr>
          <w:rFonts w:hint="cs"/>
          <w:rtl/>
          <w:lang w:val="en-GB"/>
        </w:rPr>
        <w:tab/>
        <w:t>أضحت الأمراض ذات الصلة بنوع الحياة من الأسباب الهامة المؤدية إلى سوء الصحة في ماليزيا. ومنذ عام 1991، ما فتئت وزارة الصحة تشن حملة للتوعية بأسلوب الحياة الصحي تعالج من خلالها عوامل الخطر العديدة من قبيل التدخين أو النظام الغذائي السيء وما إلى ذلك.</w:t>
      </w:r>
    </w:p>
    <w:p w:rsidR="00484A02" w:rsidRDefault="00484A02" w:rsidP="00484A02">
      <w:pPr>
        <w:pStyle w:val="SingleTxt"/>
        <w:rPr>
          <w:rFonts w:hint="cs"/>
          <w:rtl/>
          <w:lang w:val="en-GB"/>
        </w:rPr>
      </w:pPr>
      <w:r>
        <w:rPr>
          <w:rFonts w:hint="cs"/>
          <w:rtl/>
          <w:lang w:val="en-GB"/>
        </w:rPr>
        <w:tab/>
        <w:t>(أ)</w:t>
      </w:r>
      <w:r>
        <w:rPr>
          <w:rFonts w:hint="cs"/>
          <w:rtl/>
          <w:lang w:val="en-GB"/>
        </w:rPr>
        <w:tab/>
        <w:t>التدخين</w:t>
      </w:r>
    </w:p>
    <w:p w:rsidR="00484A02" w:rsidRDefault="00484A02" w:rsidP="00484A02">
      <w:pPr>
        <w:pStyle w:val="SingleTxt"/>
        <w:rPr>
          <w:rFonts w:hint="cs"/>
          <w:rtl/>
          <w:lang w:val="en-GB"/>
        </w:rPr>
      </w:pPr>
      <w:r>
        <w:rPr>
          <w:rFonts w:hint="cs"/>
          <w:rtl/>
          <w:lang w:val="en-GB"/>
        </w:rPr>
        <w:tab/>
        <w:t>كشفت الدراسة الاستقصائية الوطنية الثانية للصحة والاعتلال أن نسبة 3.5 في المائة من الماليزيات اللائي يبلغ عمرهن 18 سنة فما فوق كن من المدخنات بالمقارنة مع 49.2 في المائة من الرجال. ولم تتغير هذه النسبة عما كانت عليه قبل 10 سنوات خلت عندما تبين أن 4 في المائة ممن يزيد عمرهن على 15 عاما كن من المدخنات.</w:t>
      </w:r>
    </w:p>
    <w:p w:rsidR="00484A02" w:rsidRDefault="00484A02" w:rsidP="00484A02">
      <w:pPr>
        <w:pStyle w:val="SingleTxt"/>
        <w:rPr>
          <w:rFonts w:hint="cs"/>
          <w:rtl/>
          <w:lang w:val="en-GB"/>
        </w:rPr>
      </w:pPr>
      <w:r>
        <w:rPr>
          <w:rtl/>
          <w:lang w:val="en-GB"/>
        </w:rPr>
        <w:br w:type="page"/>
      </w:r>
      <w:r>
        <w:rPr>
          <w:rFonts w:hint="cs"/>
          <w:rtl/>
          <w:lang w:val="en-GB"/>
        </w:rPr>
        <w:tab/>
        <w:t>(ب)</w:t>
      </w:r>
      <w:r>
        <w:rPr>
          <w:rFonts w:hint="cs"/>
          <w:rtl/>
          <w:lang w:val="en-GB"/>
        </w:rPr>
        <w:tab/>
        <w:t>التمارين الرياضية</w:t>
      </w:r>
    </w:p>
    <w:p w:rsidR="00484A02" w:rsidRDefault="00484A02" w:rsidP="00484A02">
      <w:pPr>
        <w:pStyle w:val="SingleTxt"/>
        <w:rPr>
          <w:rFonts w:hint="cs"/>
          <w:rtl/>
          <w:lang w:val="en-GB"/>
        </w:rPr>
      </w:pPr>
      <w:r>
        <w:rPr>
          <w:rFonts w:hint="cs"/>
          <w:rtl/>
          <w:lang w:val="en-GB"/>
        </w:rPr>
        <w:tab/>
        <w:t>أوضحت الدراسة الاستقصائية الوطنية الثانية للصحة والاعتلال أن عدد النساء اللائي يتمرن أقل من عدد الرجال وأن عددا قليلا منهن يتمرن على نحو كاف. وعلى الرغم من أن 37.8 في المائة من الرجال الذين تبلغ أعمارهم 18 فما فوق يتمرنون، فإن 25 في المائة فقط من النساء من نفس المجموعة العمرية يتمرَّن. وفي حين تبلغ نسبة الرجال الذين يتمرنون بشكل كاف من أجل اللياقة المثلى للأوعية القلبية 16.2 في المائة، تبلغ نسبة النساء بالمقابل 7.7 في المائة فقط.</w:t>
      </w:r>
    </w:p>
    <w:p w:rsidR="00484A02" w:rsidRDefault="00484A02" w:rsidP="00484A02">
      <w:pPr>
        <w:pStyle w:val="SingleTxt"/>
        <w:rPr>
          <w:rFonts w:hint="cs"/>
          <w:rtl/>
          <w:lang w:val="en-GB"/>
        </w:rPr>
      </w:pPr>
      <w:r>
        <w:rPr>
          <w:rFonts w:hint="cs"/>
          <w:rtl/>
          <w:lang w:val="en-GB"/>
        </w:rPr>
        <w:tab/>
        <w:t>(ج)</w:t>
      </w:r>
      <w:r>
        <w:rPr>
          <w:rFonts w:hint="cs"/>
          <w:rtl/>
          <w:lang w:val="en-GB"/>
        </w:rPr>
        <w:tab/>
        <w:t>وزن الجسم</w:t>
      </w:r>
    </w:p>
    <w:p w:rsidR="00484A02" w:rsidRDefault="00484A02" w:rsidP="00484A02">
      <w:pPr>
        <w:pStyle w:val="SingleTxt"/>
        <w:rPr>
          <w:rFonts w:hint="cs"/>
          <w:rtl/>
          <w:lang w:val="en-GB"/>
        </w:rPr>
      </w:pPr>
      <w:r>
        <w:rPr>
          <w:rFonts w:hint="cs"/>
          <w:rtl/>
          <w:lang w:val="en-GB"/>
        </w:rPr>
        <w:tab/>
        <w:t>توضح الدراسة نفسها أن 17.9 في المائة من النساء البالغات يعانين من فرط الوزن بالمقارنة مع 15.1 في المائة من الرجال البالغين وأن 5.7 في المائة من النساء و2.9 من الرجال يعانون من البدانة.</w:t>
      </w:r>
    </w:p>
    <w:p w:rsidR="00484A02" w:rsidRDefault="00484A02" w:rsidP="00484A02">
      <w:pPr>
        <w:pStyle w:val="SingleTxt"/>
        <w:rPr>
          <w:rFonts w:hint="cs"/>
          <w:rtl/>
          <w:lang w:val="en-GB"/>
        </w:rPr>
      </w:pPr>
      <w:r>
        <w:rPr>
          <w:rFonts w:hint="cs"/>
          <w:rtl/>
          <w:lang w:val="en-GB"/>
        </w:rPr>
        <w:tab/>
        <w:t>(د)</w:t>
      </w:r>
      <w:r>
        <w:rPr>
          <w:rFonts w:hint="cs"/>
          <w:rtl/>
          <w:lang w:val="en-GB"/>
        </w:rPr>
        <w:tab/>
        <w:t>مستوى الكوليسترول في الدم</w:t>
      </w:r>
    </w:p>
    <w:p w:rsidR="00484A02" w:rsidRDefault="00484A02" w:rsidP="00484A02">
      <w:pPr>
        <w:pStyle w:val="SingleTxt"/>
        <w:rPr>
          <w:rFonts w:hint="cs"/>
          <w:rtl/>
          <w:lang w:val="en-GB"/>
        </w:rPr>
      </w:pPr>
      <w:r>
        <w:rPr>
          <w:rFonts w:hint="cs"/>
          <w:rtl/>
          <w:lang w:val="en-GB"/>
        </w:rPr>
        <w:tab/>
        <w:t>على الرغم من أن النظام الغذائي والبدانة وعدم القيام بتمارين تعتبر من عوامل المخاطرة المستقلة بالنسبة لأمراض الأوعية القلبية فإن لها صلة بعامل مخاطرة آخر هو ارتفاع مستوى الكوليسترول في الدم. وأوضحت الدراسة الاستقصائية الوطنية الثانية للصحة والاعتلال أن معدل الكوليسترول في الدم عند النساء صغيرات السن أقل منه عند الرجال ولكنه يصبح متعادلا معهم كلما تقدمن في السن. وهذا يؤكد دور الهرمونات الأنثوية في ضبط مستويات الكوليسترول في الدم. ويعتبر تخفيض انتشار استخدام التبغ بين الماليزيين إلى نسبة لا تتعدى 10 في المائة بحلول 2010 أحد الأهداف الرامية إلى مكافحة استخدام التبغ.</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الطفلة والمراهِقة</w:t>
      </w:r>
    </w:p>
    <w:p w:rsidR="00484A02" w:rsidRDefault="00484A02" w:rsidP="00484A02">
      <w:pPr>
        <w:pStyle w:val="SingleTxt"/>
        <w:rPr>
          <w:rFonts w:hint="cs"/>
          <w:rtl/>
          <w:lang w:val="en-GB"/>
        </w:rPr>
      </w:pPr>
      <w:r>
        <w:rPr>
          <w:rFonts w:hint="cs"/>
          <w:rtl/>
          <w:lang w:val="en-GB"/>
        </w:rPr>
        <w:t>262 -</w:t>
      </w:r>
      <w:r>
        <w:rPr>
          <w:rFonts w:hint="cs"/>
          <w:rtl/>
          <w:lang w:val="en-GB"/>
        </w:rPr>
        <w:tab/>
        <w:t>هناك احتياجات صحية خاصة للمراهقين من كلا الجنسين وهي تستند إلى أسس بيولوجية واجتماعية واقتصادية وثقافية. وتتمثل مجالات الاهتمام المتصلة بالصحة فيما يلي: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الصحة الإنجابية والنشاط الجنسي، بما في ذلك مسائل من قبيل حمل المراهقات والحمل غير المرغوب فيه والحمل والوضع غير المأمونين والإجهاض والأمراض المنقولة عن طريق الاتصال الجنسي؛</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إساءة استعمال المخدرات؛</w:t>
      </w:r>
    </w:p>
    <w:p w:rsidR="00484A02" w:rsidRDefault="00484A02" w:rsidP="00484A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حوادث السيارات والإصابات الأخرى الناجمة عنها والسلوك المنطوي على مخاطر.</w:t>
      </w:r>
    </w:p>
    <w:p w:rsidR="00484A02" w:rsidRDefault="00484A02" w:rsidP="00484A02">
      <w:pPr>
        <w:pStyle w:val="SingleTxt"/>
        <w:rPr>
          <w:rFonts w:hint="cs"/>
          <w:rtl/>
          <w:lang w:val="en-GB"/>
        </w:rPr>
      </w:pPr>
      <w:r>
        <w:rPr>
          <w:rFonts w:hint="cs"/>
          <w:rtl/>
          <w:lang w:val="en-GB"/>
        </w:rPr>
        <w:t>263 -</w:t>
      </w:r>
      <w:r>
        <w:rPr>
          <w:rFonts w:hint="cs"/>
          <w:rtl/>
          <w:lang w:val="en-GB"/>
        </w:rPr>
        <w:tab/>
        <w:t>لا تتوفر في ماليزيا بيانات بشأن صحة المراهقين. ومع ذلك، فإن تعداد السكان لعام 2000 يبين أن 3 في المائة فقط من المراهقين الذين تتراوح أعمارهم بين 15 و 19 سنة كانوا متزوجين في وقت ما من عمرهم ومن بينهم 1 في المائة من الفتيان و5 في المائة من الفتيات. وحدثت نسبة تقارب 3 في المائة من مجموع المواليد الأحياء في عام 1998 لفتيات تزوجن في وقت ما وتتراوح أعمارهن بين 15 و 19 عاما وكانت نسبة 28 في المائة منها ولادة ثانية أو أكثر من المواليد الأحياء. ويبلغ معدل الخصوبة لهؤلاء المراهقات 15 في المائة لكل 000 1 فتاة. وتوضح الدراسة التي أجراها المجلس الوطني للسكان وتنمية الأسرة في عام 1994/1995 عن النشاط الجنسي للمراهقين أن عدد الفتيات اللائي لديهن علم بحبوب منع الحمل الفموية (66.7 في المائة) يزيد عن نظيرهن من الفتيان (57.1 في المائة). وتوضح الدراسة الاستقصائية الوطنية الثانية للصحة والاعتلال أن 30.7 في المائة من طلاب المدارس الثانوية من الذكور و 4.8 في المائة من الطالبات أفادوا بأنهم دخنوا سجائر. وتبين أن نسبة إساءة استعمال المخدرات تبلغ 3.4 في المائة بين الفتيان و 1.2 في المائة بين الفتيات في حين تبلغ نسبة تعاطي الكحول 13 في المائة بين الفتيان و5.6 في المائة بين الفتيات.</w:t>
      </w:r>
    </w:p>
    <w:p w:rsidR="00484A02" w:rsidRDefault="00484A02" w:rsidP="00484A02">
      <w:pPr>
        <w:pStyle w:val="SingleTxt"/>
        <w:rPr>
          <w:rFonts w:hint="cs"/>
          <w:rtl/>
          <w:lang w:val="en-GB"/>
        </w:rPr>
      </w:pPr>
      <w:r>
        <w:rPr>
          <w:rFonts w:hint="cs"/>
          <w:rtl/>
          <w:lang w:val="en-GB"/>
        </w:rPr>
        <w:t>264 -</w:t>
      </w:r>
      <w:r>
        <w:rPr>
          <w:rFonts w:hint="cs"/>
          <w:rtl/>
          <w:lang w:val="en-GB"/>
        </w:rPr>
        <w:tab/>
        <w:t>وثمة مشكلة صحية أخذة في الظهور في أوساط المراهقين هي الأمراض العقلية، ونظرا لتعرض النساء للإصابة بهذا المرض بنسبة أكبر من الرجال، فمن المهم التدخل لمعالجة الفتيات الصغار. وتعتبر اضطرابات تناول الطعام من قبيل القَهَم والقَشَم أكثر شيوعا بين الفتيات وثمة مؤشرات على أن تلك المشاكل آخذة في الانتشار بين الفتيات الماليزيات.</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شيخوخة المرأة</w:t>
      </w:r>
    </w:p>
    <w:p w:rsidR="00484A02" w:rsidRDefault="00484A02" w:rsidP="00484A02">
      <w:pPr>
        <w:pStyle w:val="SingleTxt"/>
        <w:rPr>
          <w:rFonts w:hint="cs"/>
          <w:rtl/>
          <w:lang w:val="en-GB"/>
        </w:rPr>
      </w:pPr>
      <w:r>
        <w:rPr>
          <w:rFonts w:hint="cs"/>
          <w:rtl/>
          <w:lang w:val="en-GB"/>
        </w:rPr>
        <w:t>265 -</w:t>
      </w:r>
      <w:r>
        <w:rPr>
          <w:rFonts w:hint="cs"/>
          <w:rtl/>
          <w:lang w:val="en-GB"/>
        </w:rPr>
        <w:tab/>
        <w:t>هناك فوارق جنسانية عديدة بين الرجال والنساء في عملية الشيخوخة. فسن اليأس بالنسبة للمرأة يتسم بأهمية خاصة بما له من أبعاد بدنية ونفسية واجتماعية. وتبين إحدى الدراسات أن بعض المشاكل الصحية يعتبر أكثر شيوعا بين النساء منه بين الرجال، كما يتضح من الجدول 12-3.</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الجدول 12-3: المشاكل الصحية التي يواجهها كبار السن من الرجال والنساء</w:t>
      </w:r>
    </w:p>
    <w:p w:rsidR="00484A02" w:rsidRPr="00201E96" w:rsidRDefault="00484A02" w:rsidP="00484A02">
      <w:pPr>
        <w:pStyle w:val="SingleTxt"/>
        <w:spacing w:after="0" w:line="120" w:lineRule="exact"/>
        <w:rPr>
          <w:rFonts w:hint="cs"/>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484A02" w:rsidRPr="00201E96">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80" w:after="80" w:line="240" w:lineRule="exact"/>
              <w:ind w:left="170" w:right="170"/>
              <w:rPr>
                <w:rFonts w:hint="cs"/>
                <w:i/>
                <w:iCs/>
                <w:sz w:val="16"/>
                <w:szCs w:val="24"/>
                <w:rtl/>
                <w:lang w:val="en-GB"/>
              </w:rPr>
            </w:pPr>
            <w:r w:rsidRPr="00201E96">
              <w:rPr>
                <w:rFonts w:hint="cs"/>
                <w:i/>
                <w:iCs/>
                <w:sz w:val="16"/>
                <w:szCs w:val="24"/>
                <w:rtl/>
                <w:lang w:val="en-GB"/>
              </w:rPr>
              <w:t xml:space="preserve">الحالة </w:t>
            </w:r>
          </w:p>
        </w:tc>
        <w:tc>
          <w:tcPr>
            <w:tcW w:w="2440" w:type="dxa"/>
            <w:tcBorders>
              <w:top w:val="single" w:sz="4" w:space="0" w:color="auto"/>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lang w:val="en-GB"/>
              </w:rPr>
            </w:pPr>
            <w:r w:rsidRPr="00201E96">
              <w:rPr>
                <w:rFonts w:hint="cs"/>
                <w:i/>
                <w:iCs/>
                <w:sz w:val="16"/>
                <w:szCs w:val="24"/>
                <w:rtl/>
                <w:lang w:val="en-GB"/>
              </w:rPr>
              <w:t>نسبة الانتشار بين الرجال (نسبة مئوية)</w:t>
            </w:r>
          </w:p>
        </w:tc>
        <w:tc>
          <w:tcPr>
            <w:tcW w:w="2440" w:type="dxa"/>
            <w:tcBorders>
              <w:top w:val="single" w:sz="4" w:space="0" w:color="auto"/>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lang w:val="en-GB"/>
              </w:rPr>
            </w:pPr>
            <w:r w:rsidRPr="00201E96">
              <w:rPr>
                <w:rFonts w:hint="cs"/>
                <w:i/>
                <w:iCs/>
                <w:sz w:val="16"/>
                <w:szCs w:val="24"/>
                <w:rtl/>
                <w:lang w:val="en-GB"/>
              </w:rPr>
              <w:t>نسبة الانتشار بين النساء (نسبة مئوية)</w:t>
            </w:r>
          </w:p>
        </w:tc>
      </w:tr>
      <w:tr w:rsidR="00484A02" w:rsidRPr="00201E96">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p>
        </w:tc>
        <w:tc>
          <w:tcPr>
            <w:tcW w:w="2440" w:type="dxa"/>
            <w:tcBorders>
              <w:top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p>
        </w:tc>
        <w:tc>
          <w:tcPr>
            <w:tcW w:w="2440" w:type="dxa"/>
            <w:tcBorders>
              <w:top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ضعف الأطراف</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48.8</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54.5</w:t>
            </w: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ارتفاع أو انخفاض ضغط الدم</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17.3</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32.0</w:t>
            </w: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مرض السكري</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21.3</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23.0</w:t>
            </w: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اضطرابات القلب</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18.1</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23.0</w:t>
            </w: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هشاشة العظام</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5.5</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20.8</w:t>
            </w:r>
          </w:p>
        </w:tc>
      </w:tr>
      <w:tr w:rsidR="00484A02" w:rsidRPr="00201E96">
        <w:tblPrEx>
          <w:tblCellMar>
            <w:top w:w="0" w:type="dxa"/>
            <w:bottom w:w="0" w:type="dxa"/>
          </w:tblCellMar>
        </w:tblPrEx>
        <w:trPr>
          <w:cantSplit/>
        </w:trPr>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مشاكل العينين</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26.0</w:t>
            </w:r>
          </w:p>
        </w:tc>
        <w:tc>
          <w:tcPr>
            <w:tcW w:w="2440" w:type="dxa"/>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20.8</w:t>
            </w:r>
          </w:p>
        </w:tc>
      </w:tr>
      <w:tr w:rsidR="00484A02" w:rsidRPr="00201E96">
        <w:tblPrEx>
          <w:tblCellMar>
            <w:top w:w="0" w:type="dxa"/>
            <w:bottom w:w="0" w:type="dxa"/>
          </w:tblCellMar>
        </w:tblPrEx>
        <w:trPr>
          <w:cantSplit/>
        </w:trPr>
        <w:tc>
          <w:tcPr>
            <w:tcW w:w="2440" w:type="dxa"/>
            <w:tcBorders>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70"/>
              <w:rPr>
                <w:rFonts w:hint="cs"/>
                <w:sz w:val="16"/>
                <w:szCs w:val="24"/>
                <w:rtl/>
                <w:lang w:val="en-GB"/>
              </w:rPr>
            </w:pPr>
            <w:r>
              <w:rPr>
                <w:rFonts w:hint="cs"/>
                <w:sz w:val="16"/>
                <w:szCs w:val="24"/>
                <w:rtl/>
                <w:lang w:val="en-GB"/>
              </w:rPr>
              <w:t>مشاكل الأذنين</w:t>
            </w:r>
          </w:p>
        </w:tc>
        <w:tc>
          <w:tcPr>
            <w:tcW w:w="2440" w:type="dxa"/>
            <w:tcBorders>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8.7</w:t>
            </w:r>
          </w:p>
        </w:tc>
        <w:tc>
          <w:tcPr>
            <w:tcW w:w="2440" w:type="dxa"/>
            <w:tcBorders>
              <w:bottom w:val="single" w:sz="12" w:space="0" w:color="auto"/>
            </w:tcBorders>
            <w:shd w:val="clear" w:color="auto" w:fill="auto"/>
            <w:vAlign w:val="bottom"/>
          </w:tcPr>
          <w:p w:rsidR="00484A02" w:rsidRPr="00201E9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lang w:val="en-GB"/>
              </w:rPr>
            </w:pPr>
            <w:r>
              <w:rPr>
                <w:rFonts w:hint="cs"/>
                <w:sz w:val="16"/>
                <w:szCs w:val="24"/>
                <w:rtl/>
                <w:lang w:val="en-GB"/>
              </w:rPr>
              <w:t>5.6</w:t>
            </w:r>
          </w:p>
        </w:tc>
      </w:tr>
    </w:tbl>
    <w:p w:rsidR="00484A02" w:rsidRPr="005F7FE8" w:rsidRDefault="00484A02" w:rsidP="00484A02">
      <w:pPr>
        <w:pStyle w:val="SingleTxt"/>
        <w:spacing w:after="0" w:line="120" w:lineRule="exact"/>
        <w:rPr>
          <w:rFonts w:hint="cs"/>
          <w:sz w:val="10"/>
          <w:rtl/>
          <w:lang w:val="en-GB"/>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المصدر: المجلس الوطني للسكان وتنمية الأسرة، رعاية الأسرة لكبار السن في وادي كلانغ، 1992.</w:t>
      </w:r>
    </w:p>
    <w:p w:rsidR="00484A02" w:rsidRPr="005F7FE8"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484A02" w:rsidRDefault="00484A02" w:rsidP="00484A02">
      <w:pPr>
        <w:pStyle w:val="SingleTxt"/>
        <w:rPr>
          <w:rFonts w:hint="cs"/>
          <w:rtl/>
          <w:lang w:val="en-GB"/>
        </w:rPr>
      </w:pPr>
      <w:r>
        <w:rPr>
          <w:rFonts w:hint="cs"/>
          <w:rtl/>
          <w:lang w:val="en-GB"/>
        </w:rPr>
        <w:t>266 -</w:t>
      </w:r>
      <w:r>
        <w:rPr>
          <w:rFonts w:hint="cs"/>
          <w:rtl/>
          <w:lang w:val="en-GB"/>
        </w:rPr>
        <w:tab/>
        <w:t>ونظرا إلى أن كثيرا من النساء يعمرن أكثر من أزواجهن، فإن الشيخوخة بالنسبة إليهن قد تقترن بالفقر والوحشة والإهمال والانعزال والاتكال على الآخرين.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صحة المرأة العقلية</w:t>
      </w:r>
    </w:p>
    <w:p w:rsidR="00484A02" w:rsidRDefault="00484A02" w:rsidP="00484A02">
      <w:pPr>
        <w:pStyle w:val="SingleTxt"/>
        <w:rPr>
          <w:rFonts w:hint="cs"/>
          <w:rtl/>
          <w:lang w:val="en-GB"/>
        </w:rPr>
      </w:pPr>
      <w:r>
        <w:rPr>
          <w:rFonts w:hint="cs"/>
          <w:rtl/>
          <w:lang w:val="en-GB"/>
        </w:rPr>
        <w:t>267 -</w:t>
      </w:r>
      <w:r>
        <w:rPr>
          <w:rFonts w:hint="cs"/>
          <w:rtl/>
          <w:lang w:val="en-GB"/>
        </w:rPr>
        <w:tab/>
        <w:t>يعتبر المرض العقلي أحد المشاكل الصحية الرئيسية التي تواجه المرأة وتنجم هذه الحالة إلى حد كبير عن وضعهن غير المتساوي في المجتمع وما ينجم عن ذلك من كرب. وتقترن الاضطرابات العقلية بصفة عامة بالاختلال العقلي ، والإحساس بالضعف، والفقر، وهي أحوال تعاني منها المرأة أكثر من الرجل. وتعتبر الكآبة أكثر شيوعا بمعدل ضعفين أو ثلاثة أضعاف بين النساء بالمقارنة مع الرجال كما تعتبر بعض الاضطرابات العقلية محصورة أو شبه محصورة بالنساء مثل النفاسات بعد الولادة واضطرابات تناول الطعام عند الفتيات الصغار. ووجدت الدراسة الاستقصائية الوطنية الثانية للصحة والاعتلال أن معدل انتشار الاضطرابات العقلية بين النساء أعلى مرة ونصف عن معدل انتشاره بين الرجال.</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العنف ضد المرأة</w:t>
      </w:r>
    </w:p>
    <w:p w:rsidR="00484A02" w:rsidRDefault="00484A02" w:rsidP="00484A02">
      <w:pPr>
        <w:pStyle w:val="SingleTxt"/>
        <w:rPr>
          <w:rFonts w:hint="cs"/>
          <w:rtl/>
          <w:lang w:val="en-GB"/>
        </w:rPr>
      </w:pPr>
      <w:r>
        <w:rPr>
          <w:rFonts w:hint="cs"/>
          <w:rtl/>
          <w:lang w:val="en-GB"/>
        </w:rPr>
        <w:t>268 -</w:t>
      </w:r>
      <w:r>
        <w:rPr>
          <w:rFonts w:hint="cs"/>
          <w:rtl/>
          <w:lang w:val="en-GB"/>
        </w:rPr>
        <w:tab/>
        <w:t>نوقش ها الموضوع بالتفصيل في الفصل المتعلق بالمادة 5 (دور كل من الجنسين والقوالب النمطية المتعلقة بالمرأة). وفي عام 1998، قامت وزارة الصحة، بالاشتراك مع الوكالات الأخرى، بإنشاء مراكز جامعة لمعالجة الأزمات في جميع المستشفيات الرئيسية من أجل معالجة ضحايا الاغتصاب وغير ذلك من أشكال العنف ضد المرأة والأطفال، على نحو ملائم ومنسق.</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الخدمات الصحية المتاحة للمرأة</w:t>
      </w:r>
    </w:p>
    <w:p w:rsidR="00484A02" w:rsidRDefault="00484A02" w:rsidP="00484A02">
      <w:pPr>
        <w:pStyle w:val="SingleTxt"/>
        <w:rPr>
          <w:rFonts w:hint="cs"/>
          <w:rtl/>
          <w:lang w:val="en-GB"/>
        </w:rPr>
      </w:pPr>
      <w:r>
        <w:rPr>
          <w:rFonts w:hint="cs"/>
          <w:rtl/>
          <w:lang w:val="en-GB"/>
        </w:rPr>
        <w:t>269 -</w:t>
      </w:r>
      <w:r>
        <w:rPr>
          <w:rFonts w:hint="cs"/>
          <w:rtl/>
          <w:lang w:val="en-GB"/>
        </w:rPr>
        <w:tab/>
        <w:t>تم توسيع نطاق الخدمات الصحية المتاحة للمرأة بصورة ملحوظة في الوقت الذي لا تزال فيه خدمات الصحة الإنجابية وخدمات صحة الأم والطفل تمثل أحد المجالات الرئيسية من حيث الخدمات المتاحة.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خدمات صحة الأم والطفل</w:t>
      </w:r>
    </w:p>
    <w:p w:rsidR="00484A02" w:rsidRDefault="00484A02" w:rsidP="00484A02">
      <w:pPr>
        <w:pStyle w:val="SingleTxt"/>
        <w:rPr>
          <w:rFonts w:hint="cs"/>
          <w:rtl/>
          <w:lang w:val="en-GB"/>
        </w:rPr>
      </w:pPr>
      <w:r>
        <w:rPr>
          <w:rFonts w:hint="cs"/>
          <w:rtl/>
          <w:lang w:val="en-GB"/>
        </w:rPr>
        <w:t>270 -</w:t>
      </w:r>
      <w:r>
        <w:rPr>
          <w:rFonts w:hint="cs"/>
          <w:rtl/>
          <w:lang w:val="en-GB"/>
        </w:rPr>
        <w:tab/>
        <w:t>تتألف خدمات صحة الأم من الرعاية السابقة للولادة وفي أثنائها وبعد الولادة. ويتلقى 70 في المائة من الحوامل رعاية سابقة للولادة.</w:t>
      </w:r>
    </w:p>
    <w:p w:rsidR="00484A02" w:rsidRDefault="00484A02" w:rsidP="00484A02">
      <w:pPr>
        <w:pStyle w:val="SingleTxt"/>
        <w:rPr>
          <w:rFonts w:hint="cs"/>
          <w:rtl/>
          <w:lang w:val="en-GB"/>
        </w:rPr>
      </w:pPr>
      <w:r>
        <w:rPr>
          <w:rFonts w:hint="cs"/>
          <w:rtl/>
          <w:lang w:val="en-GB"/>
        </w:rPr>
        <w:t>271 -</w:t>
      </w:r>
      <w:r>
        <w:rPr>
          <w:rFonts w:hint="cs"/>
          <w:rtl/>
          <w:lang w:val="en-GB"/>
        </w:rPr>
        <w:tab/>
        <w:t>وتشير التقديرات إلى أن المرأة الحامل تقوم في أثناء فترة كل حمل بسبع زيارات تقريبا للمراكز الصحية لتلقي الخدمات السابقة للولادة التي تقدم مجانا في المراكز الحكومية. وفيما يتعلق بالرعاية في أثناء الولادة، يتم ما يزيد على95 في المائة من الولادات في ماليزيا على يد مُولِّدين متمرسين. وحتى عندما يستعان بالقابلة لإجراء الولادة في المنزل يكون في صحبتها في معظم الأحيان قابلة أو ممرضة مدربة في المشافي الحكومية. وتقدم للنفساوات خدمة الرعاية بعد الولادة حتى نهاية فترة النفاس. وقد أسهمت خدمات صحة الأم والطفل هذه إلى حد كبير في تخفيض معدلات وفيات النفساوات والأطفال الرضع في البلد. وبالإضافة إلى ذلك، شرع بتطبيق العديد من المبادرات الرامية إلى زيادة تخفيض معدل وفيات الأمهات في أثناء النفاس. وفي جملة تلك المبادرات ما يلي:</w:t>
      </w:r>
    </w:p>
    <w:p w:rsidR="00484A02" w:rsidRDefault="00484A02" w:rsidP="00484A02">
      <w:pPr>
        <w:pStyle w:val="SingleTxt"/>
        <w:rPr>
          <w:rFonts w:hint="cs"/>
          <w:rtl/>
          <w:lang w:val="en-GB"/>
        </w:rPr>
      </w:pPr>
      <w:r>
        <w:rPr>
          <w:rFonts w:hint="cs"/>
          <w:rtl/>
          <w:lang w:val="en-GB"/>
        </w:rPr>
        <w:tab/>
        <w:t>(أ)</w:t>
      </w:r>
      <w:r>
        <w:rPr>
          <w:rFonts w:hint="cs"/>
          <w:rtl/>
          <w:lang w:val="en-GB"/>
        </w:rPr>
        <w:tab/>
        <w:t>تدريب القابلات التقليديات؛</w:t>
      </w:r>
    </w:p>
    <w:p w:rsidR="00484A02" w:rsidRDefault="00484A02" w:rsidP="00484A02">
      <w:pPr>
        <w:pStyle w:val="SingleTxt"/>
        <w:rPr>
          <w:rFonts w:hint="cs"/>
          <w:rtl/>
          <w:lang w:val="en-GB"/>
        </w:rPr>
      </w:pPr>
      <w:r>
        <w:rPr>
          <w:rFonts w:hint="cs"/>
          <w:rtl/>
          <w:lang w:val="en-GB"/>
        </w:rPr>
        <w:tab/>
        <w:t>(ب)</w:t>
      </w:r>
      <w:r>
        <w:rPr>
          <w:rFonts w:hint="cs"/>
          <w:rtl/>
          <w:lang w:val="en-GB"/>
        </w:rPr>
        <w:tab/>
        <w:t>اتباع استراتيجية لمعالجة المخاطر يتم بموجبها تحديد الأمهات المعرضات لخطر شديد؛</w:t>
      </w:r>
    </w:p>
    <w:p w:rsidR="00484A02" w:rsidRDefault="00484A02" w:rsidP="00484A02">
      <w:pPr>
        <w:pStyle w:val="SingleTxt"/>
        <w:rPr>
          <w:rFonts w:hint="cs"/>
          <w:rtl/>
          <w:lang w:val="en-GB"/>
        </w:rPr>
      </w:pPr>
      <w:r>
        <w:rPr>
          <w:rFonts w:hint="cs"/>
          <w:rtl/>
          <w:lang w:val="en-GB"/>
        </w:rPr>
        <w:tab/>
        <w:t>(ج)</w:t>
      </w:r>
      <w:r>
        <w:rPr>
          <w:rFonts w:hint="cs"/>
          <w:rtl/>
          <w:lang w:val="en-GB"/>
        </w:rPr>
        <w:tab/>
        <w:t>استخدام مبادرة الأمومة المأمونة لزيادة تعزيز معالجة الأمهات المعرضات لخطر شديد؛</w:t>
      </w:r>
    </w:p>
    <w:p w:rsidR="00484A02" w:rsidRDefault="00484A02" w:rsidP="00484A02">
      <w:pPr>
        <w:pStyle w:val="SingleTxt"/>
        <w:rPr>
          <w:rFonts w:hint="cs"/>
          <w:rtl/>
          <w:lang w:val="en-GB"/>
        </w:rPr>
      </w:pPr>
      <w:r>
        <w:rPr>
          <w:rFonts w:hint="cs"/>
          <w:rtl/>
          <w:lang w:val="en-GB"/>
        </w:rPr>
        <w:tab/>
        <w:t>(د)</w:t>
      </w:r>
      <w:r>
        <w:rPr>
          <w:rFonts w:hint="cs"/>
          <w:rtl/>
          <w:lang w:val="en-GB"/>
        </w:rPr>
        <w:tab/>
        <w:t>زيادة إمكانية الوصول إلى خدمات ومرافق تنظيم الأسرة؛</w:t>
      </w:r>
    </w:p>
    <w:p w:rsidR="00484A02" w:rsidRDefault="00484A02" w:rsidP="00484A02">
      <w:pPr>
        <w:pStyle w:val="SingleTxt"/>
        <w:rPr>
          <w:rFonts w:hint="cs"/>
          <w:rtl/>
          <w:lang w:val="en-GB"/>
        </w:rPr>
      </w:pPr>
      <w:r>
        <w:rPr>
          <w:rFonts w:hint="cs"/>
          <w:rtl/>
          <w:lang w:val="en-GB"/>
        </w:rPr>
        <w:tab/>
        <w:t>(هـ)</w:t>
      </w:r>
      <w:r>
        <w:rPr>
          <w:rFonts w:hint="cs"/>
          <w:rtl/>
          <w:lang w:val="en-GB"/>
        </w:rPr>
        <w:tab/>
        <w:t>وضع مبادئ توجيهية لمعالجة الحالات التي يمكن أن تفضي إلى الوفاة؛</w:t>
      </w:r>
    </w:p>
    <w:p w:rsidR="00484A02" w:rsidRDefault="00484A02" w:rsidP="00484A02">
      <w:pPr>
        <w:pStyle w:val="SingleTxt"/>
        <w:rPr>
          <w:rFonts w:hint="cs"/>
          <w:rtl/>
          <w:lang w:val="en-GB"/>
        </w:rPr>
      </w:pPr>
      <w:r>
        <w:rPr>
          <w:rFonts w:hint="cs"/>
          <w:rtl/>
          <w:lang w:val="en-GB"/>
        </w:rPr>
        <w:tab/>
        <w:t>(و)</w:t>
      </w:r>
      <w:r>
        <w:rPr>
          <w:rFonts w:hint="cs"/>
          <w:rtl/>
          <w:lang w:val="en-GB"/>
        </w:rPr>
        <w:tab/>
        <w:t>وضع خطة عمل للمشاركة المجتمعية؛</w:t>
      </w:r>
    </w:p>
    <w:p w:rsidR="00484A02" w:rsidRDefault="00484A02" w:rsidP="00484A02">
      <w:pPr>
        <w:pStyle w:val="SingleTxt"/>
        <w:rPr>
          <w:rFonts w:hint="cs"/>
          <w:rtl/>
          <w:lang w:val="en-GB"/>
        </w:rPr>
      </w:pPr>
      <w:r>
        <w:rPr>
          <w:rFonts w:hint="cs"/>
          <w:rtl/>
          <w:lang w:val="en-GB"/>
        </w:rPr>
        <w:tab/>
        <w:t>(ز)</w:t>
      </w:r>
      <w:r>
        <w:rPr>
          <w:rFonts w:hint="cs"/>
          <w:rtl/>
          <w:lang w:val="en-GB"/>
        </w:rPr>
        <w:tab/>
        <w:t>تعزيز الموارد والقدرات على المستويات التشغيلية؛</w:t>
      </w:r>
    </w:p>
    <w:p w:rsidR="00484A02" w:rsidRDefault="00484A02" w:rsidP="00484A02">
      <w:pPr>
        <w:pStyle w:val="SingleTxt"/>
        <w:rPr>
          <w:rFonts w:hint="cs"/>
          <w:rtl/>
          <w:lang w:val="en-GB"/>
        </w:rPr>
      </w:pPr>
      <w:r>
        <w:rPr>
          <w:rFonts w:hint="cs"/>
          <w:rtl/>
          <w:lang w:val="en-GB"/>
        </w:rPr>
        <w:tab/>
        <w:t>(ح)</w:t>
      </w:r>
      <w:r>
        <w:rPr>
          <w:rFonts w:hint="cs"/>
          <w:rtl/>
          <w:lang w:val="en-GB"/>
        </w:rPr>
        <w:tab/>
        <w:t>فتح سجلات للخدمات التي تقدم في المنازل من أجل تحسين استمرارية الرعاية؛</w:t>
      </w:r>
    </w:p>
    <w:p w:rsidR="00484A02" w:rsidRDefault="00484A02" w:rsidP="00484A02">
      <w:pPr>
        <w:pStyle w:val="SingleTxt"/>
        <w:rPr>
          <w:rFonts w:hint="cs"/>
          <w:rtl/>
          <w:lang w:val="en-GB"/>
        </w:rPr>
      </w:pPr>
      <w:r>
        <w:rPr>
          <w:rFonts w:hint="cs"/>
          <w:rtl/>
          <w:lang w:val="en-GB"/>
        </w:rPr>
        <w:tab/>
        <w:t>(ط)</w:t>
      </w:r>
      <w:r>
        <w:rPr>
          <w:rFonts w:hint="cs"/>
          <w:rtl/>
          <w:lang w:val="en-GB"/>
        </w:rPr>
        <w:tab/>
        <w:t>إقامة مراكز توليد بديلة؛</w:t>
      </w:r>
    </w:p>
    <w:p w:rsidR="00484A02" w:rsidRDefault="00484A02" w:rsidP="00484A02">
      <w:pPr>
        <w:pStyle w:val="SingleTxt"/>
        <w:rPr>
          <w:rFonts w:hint="cs"/>
          <w:rtl/>
          <w:lang w:val="en-GB"/>
        </w:rPr>
      </w:pPr>
      <w:r>
        <w:rPr>
          <w:rFonts w:hint="cs"/>
          <w:rtl/>
          <w:lang w:val="en-GB"/>
        </w:rPr>
        <w:tab/>
        <w:t>(ي)</w:t>
      </w:r>
      <w:r>
        <w:rPr>
          <w:rFonts w:hint="cs"/>
          <w:rtl/>
          <w:lang w:val="en-GB"/>
        </w:rPr>
        <w:tab/>
        <w:t>توفير مراكز متوسطة المسافة للأمهات القادمات من مناطق نائية؛</w:t>
      </w:r>
    </w:p>
    <w:p w:rsidR="00484A02" w:rsidRDefault="00484A02" w:rsidP="00484A02">
      <w:pPr>
        <w:pStyle w:val="SingleTxt"/>
        <w:rPr>
          <w:rFonts w:hint="cs"/>
          <w:rtl/>
          <w:lang w:val="en-GB"/>
        </w:rPr>
      </w:pPr>
      <w:r>
        <w:rPr>
          <w:rFonts w:hint="cs"/>
          <w:rtl/>
          <w:lang w:val="en-GB"/>
        </w:rPr>
        <w:tab/>
        <w:t>(ك)</w:t>
      </w:r>
      <w:r>
        <w:rPr>
          <w:rFonts w:hint="cs"/>
          <w:rtl/>
          <w:lang w:val="en-GB"/>
        </w:rPr>
        <w:tab/>
        <w:t>إقامة نظام للتحقيق السري في وفيات الأمهات النفساوات.</w:t>
      </w:r>
    </w:p>
    <w:p w:rsidR="00484A02" w:rsidRDefault="00484A02" w:rsidP="00484A02">
      <w:pPr>
        <w:pStyle w:val="SingleTxt"/>
        <w:rPr>
          <w:rFonts w:hint="cs"/>
          <w:rtl/>
          <w:lang w:val="en-GB"/>
        </w:rPr>
      </w:pPr>
      <w:r>
        <w:rPr>
          <w:rFonts w:hint="cs"/>
          <w:rtl/>
          <w:lang w:val="en-GB"/>
        </w:rPr>
        <w:t>272 -</w:t>
      </w:r>
      <w:r>
        <w:rPr>
          <w:rFonts w:hint="cs"/>
          <w:rtl/>
          <w:lang w:val="en-GB"/>
        </w:rPr>
        <w:tab/>
        <w:t>بإمكان القطاع الصحي أن يعالج المخاطر الصحية والبيولوجية لكن معالجة العوامل الاجتماعية تعتبر أكثر تعقيدا وصعوبة إذا كانت هناك حاجة للتدخل. وتجدر الإشارة إلى مبادرة الأمومة المأمونة على وجه الخصوص باعتبارها تتخطى العوامل البيولوجية وتعالج العوامل الاجتماعية. وتتمثل استراتيجياتها فيما يلي:</w:t>
      </w:r>
    </w:p>
    <w:p w:rsidR="00484A02" w:rsidRDefault="00484A02" w:rsidP="00484A02">
      <w:pPr>
        <w:pStyle w:val="SingleTxt"/>
        <w:rPr>
          <w:rFonts w:hint="cs"/>
          <w:rtl/>
          <w:lang w:val="en-GB"/>
        </w:rPr>
      </w:pPr>
      <w:r>
        <w:rPr>
          <w:rFonts w:hint="cs"/>
          <w:rtl/>
          <w:lang w:val="en-GB"/>
        </w:rPr>
        <w:tab/>
        <w:t>(أ)</w:t>
      </w:r>
      <w:r>
        <w:rPr>
          <w:rFonts w:hint="cs"/>
          <w:rtl/>
          <w:lang w:val="en-GB"/>
        </w:rPr>
        <w:tab/>
        <w:t>تقويم حالات عدم الإنصاف الاجتماعية التي تواجه المرأة؛</w:t>
      </w:r>
    </w:p>
    <w:p w:rsidR="00484A02" w:rsidRDefault="00484A02" w:rsidP="00484A02">
      <w:pPr>
        <w:pStyle w:val="SingleTxt"/>
        <w:rPr>
          <w:rFonts w:hint="cs"/>
          <w:rtl/>
          <w:lang w:val="en-GB"/>
        </w:rPr>
      </w:pPr>
      <w:r>
        <w:rPr>
          <w:rFonts w:hint="cs"/>
          <w:rtl/>
          <w:lang w:val="en-GB"/>
        </w:rPr>
        <w:tab/>
        <w:t>(ب)</w:t>
      </w:r>
      <w:r>
        <w:rPr>
          <w:rFonts w:hint="cs"/>
          <w:rtl/>
          <w:lang w:val="en-GB"/>
        </w:rPr>
        <w:tab/>
        <w:t>ضمان إمكانية الوصول إلى خدمات تنظيم الأسرة؛</w:t>
      </w:r>
    </w:p>
    <w:p w:rsidR="00484A02" w:rsidRDefault="00484A02" w:rsidP="00484A02">
      <w:pPr>
        <w:pStyle w:val="SingleTxt"/>
        <w:rPr>
          <w:rFonts w:hint="cs"/>
          <w:rtl/>
          <w:lang w:val="en-GB"/>
        </w:rPr>
      </w:pPr>
      <w:r>
        <w:rPr>
          <w:rFonts w:hint="cs"/>
          <w:rtl/>
          <w:lang w:val="en-GB"/>
        </w:rPr>
        <w:tab/>
        <w:t>(ج)</w:t>
      </w:r>
      <w:r>
        <w:rPr>
          <w:rFonts w:hint="cs"/>
          <w:rtl/>
          <w:lang w:val="en-GB"/>
        </w:rPr>
        <w:tab/>
        <w:t>إنشاء مراكز مجتمعية لرعاية الأمومة؛</w:t>
      </w:r>
    </w:p>
    <w:p w:rsidR="00484A02" w:rsidRDefault="00484A02" w:rsidP="00484A02">
      <w:pPr>
        <w:pStyle w:val="SingleTxt"/>
        <w:rPr>
          <w:rFonts w:hint="cs"/>
          <w:rtl/>
          <w:lang w:val="en-GB"/>
        </w:rPr>
      </w:pPr>
      <w:r>
        <w:rPr>
          <w:rFonts w:hint="cs"/>
          <w:rtl/>
          <w:lang w:val="en-GB"/>
        </w:rPr>
        <w:tab/>
        <w:t>(د)</w:t>
      </w:r>
      <w:r>
        <w:rPr>
          <w:rFonts w:hint="cs"/>
          <w:rtl/>
          <w:lang w:val="en-GB"/>
        </w:rPr>
        <w:tab/>
        <w:t>توفير خدمات مساندة ودعم على مستوى الرعاية الأول.</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تنظيم الأسرة ووسائل منع الحمل</w:t>
      </w:r>
    </w:p>
    <w:p w:rsidR="00484A02" w:rsidRDefault="00484A02" w:rsidP="00484A02">
      <w:pPr>
        <w:pStyle w:val="SingleTxt"/>
        <w:rPr>
          <w:rFonts w:hint="cs"/>
          <w:rtl/>
        </w:rPr>
      </w:pPr>
      <w:r>
        <w:rPr>
          <w:rFonts w:hint="cs"/>
          <w:rtl/>
        </w:rPr>
        <w:t>273 -</w:t>
      </w:r>
      <w:r>
        <w:rPr>
          <w:rFonts w:hint="cs"/>
          <w:rtl/>
        </w:rPr>
        <w:tab/>
        <w:t>تقدم خدمات تنظيم الأسرة من قِبَل أربع وكالات رئيسية هي وزارة الصحة، والمجلس الوطني للسكان وتنمية الأسرة، ورابطات تنظيم الأسرة، والشبكة الواسعة للأطباء الخصوصيين. وتكفل هذه الوكالات إمكانية الوصول والتغطية لسكان المدن والسكان المحليين فضلا عن توفير مجموعة واسعة من الخيارات. ولا يشترط على المرأة تقديم أي شكل من الموافقة الرسمية للانتفاع من تلك الخدمات.</w:t>
      </w:r>
    </w:p>
    <w:p w:rsidR="00484A02" w:rsidRDefault="00484A02" w:rsidP="00484A02">
      <w:pPr>
        <w:pStyle w:val="SingleTxt"/>
        <w:rPr>
          <w:rFonts w:hint="cs"/>
          <w:rtl/>
        </w:rPr>
      </w:pPr>
      <w:r>
        <w:rPr>
          <w:rFonts w:hint="cs"/>
          <w:rtl/>
        </w:rPr>
        <w:t>274 -</w:t>
      </w:r>
      <w:r>
        <w:rPr>
          <w:rFonts w:hint="cs"/>
          <w:rtl/>
        </w:rPr>
        <w:tab/>
        <w:t>وثمة مؤشرات تدل على تزايد إقبال الأزواج على ممارسة تنظيم الأسرة. ففي عام 1974، كان ثلث الأزواج فقط يستعملون وسائل منع الحمل أما الآن فإن نسبة الأزواج الذين يستعملونها تزيد على النصف. وعلى الرغم من وجود طائفة واسعة من الوسائل المتاحة، فإن حبوب منع الحمل تعتبر من أكثرها شيوعا، وهذا يدل على أن مسؤولية تنظيم الأسرة تقع على الأغلب على عاتق المرأة. بيد أن معدل استعمال الرفالات ارتفع من 2.3 في المائة في منتصف الستينات إلى 4.4 في المائة في منتصف الثمانينات وإلى 9.4 في المائة في عام 1994. ويتعين مواصلة تشجيع هذا الاتجاه لكونه يحمّل الذكور مسؤولية أكبر في مجال منع الحمل.</w:t>
      </w:r>
    </w:p>
    <w:p w:rsidR="00484A02" w:rsidRDefault="00484A02" w:rsidP="00484A02">
      <w:pPr>
        <w:pStyle w:val="SingleTxt"/>
        <w:rPr>
          <w:rFonts w:hint="cs"/>
          <w:rtl/>
        </w:rPr>
      </w:pPr>
      <w:r>
        <w:rPr>
          <w:rFonts w:hint="cs"/>
          <w:rtl/>
        </w:rPr>
        <w:t>275 -</w:t>
      </w:r>
      <w:r>
        <w:rPr>
          <w:rFonts w:hint="cs"/>
          <w:rtl/>
        </w:rPr>
        <w:tab/>
        <w:t xml:space="preserve">وتعرضت خدمات تنظيم الأسرة للانتقاد في كثير من الأحيان لأن أهدافها تستند إلى اعتبارات ديمغرافية قد تكون على حساب احتياجات المرأة وصحتها. وتستخدم خدمات تنظيم الأسرة بصورة أساسية لأغراض المباعدة بين الولادات </w:t>
      </w:r>
      <w:r>
        <w:rPr>
          <w:rtl/>
        </w:rPr>
        <w:t>–</w:t>
      </w:r>
      <w:r>
        <w:rPr>
          <w:rFonts w:hint="cs"/>
          <w:rtl/>
        </w:rPr>
        <w:t xml:space="preserve"> كل سنتين على الأقل. ويعتبر العقم مجال اهتمام آخر. ويقدر أن حوالي 15 في المائة من الأزواج الماليزيين يعانون من العقم. والخدمات العامة لمعالجة هذه المشكلة غير متاحة على نطاق واسع في البلد في الوقت الحاضر، وتكاليف العلاج في المراكز الخاصة باهظة جدا بالنسبة لكثير من الناس.</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فحوص كشف السرطان</w:t>
      </w:r>
    </w:p>
    <w:p w:rsidR="00484A02" w:rsidRDefault="00484A02" w:rsidP="00484A02">
      <w:pPr>
        <w:pStyle w:val="SingleTxt"/>
        <w:rPr>
          <w:rFonts w:hint="cs"/>
          <w:rtl/>
        </w:rPr>
      </w:pPr>
      <w:r>
        <w:rPr>
          <w:rFonts w:hint="cs"/>
          <w:rtl/>
        </w:rPr>
        <w:t>276 -</w:t>
      </w:r>
      <w:r>
        <w:rPr>
          <w:rFonts w:hint="cs"/>
          <w:rtl/>
        </w:rPr>
        <w:tab/>
        <w:t xml:space="preserve">يعتبر عدد النساء اللائي يجرين فحوصا للكشف عن السرطان ضئيلا جدا. وإدراكا لأهمية الكشف المبكر عن السرطان، أتاحت المرافق الحكومية اختبار </w:t>
      </w:r>
      <w:r>
        <w:rPr>
          <w:rFonts w:hint="eastAsia"/>
          <w:rtl/>
        </w:rPr>
        <w:t>”بابانيكولاو</w:t>
      </w:r>
      <w:r>
        <w:rPr>
          <w:rFonts w:hint="cs"/>
          <w:rtl/>
        </w:rPr>
        <w:t>“ المهبلي لجميع النساء اللائي يستخدمن أساليب تنظيم الأسرة منذ عام 1981 ولجميع النساء بصرف النظر عن استخدامهن وسائل تنظيم الأسرة منذ عام 1995. كما تجري فحوص الكشف عن السرطان، عند الضرورة، بالتنظير المهبلي لأغراض الفحص المباشر.</w:t>
      </w:r>
    </w:p>
    <w:p w:rsidR="00484A02" w:rsidRDefault="00484A02" w:rsidP="00484A02">
      <w:pPr>
        <w:pStyle w:val="SingleTxt"/>
        <w:rPr>
          <w:rFonts w:hint="cs"/>
          <w:rtl/>
        </w:rPr>
      </w:pPr>
      <w:r>
        <w:rPr>
          <w:rFonts w:hint="cs"/>
          <w:rtl/>
        </w:rPr>
        <w:t>277 -</w:t>
      </w:r>
      <w:r>
        <w:rPr>
          <w:rFonts w:hint="cs"/>
          <w:rtl/>
        </w:rPr>
        <w:tab/>
        <w:t>ويجري حاليا بذل جهود لتشجيع النساء على فحص ثديهن أو إجراء الفحوص الثديية من قِبَل الأخصائيين الصحيين وقد أنشأت جميع المستشفيات الرئيسية في البلد مستوصفات للفحوص الثديية. كما يتاح التنظير الإشعاعي (ماموغرام) مجانا لجميع النساء اللائي يعتبرن من المعرضات للخطر الشديد.</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التغذية والنظام التغذوي</w:t>
      </w:r>
    </w:p>
    <w:p w:rsidR="00484A02" w:rsidRDefault="00484A02" w:rsidP="00484A02">
      <w:pPr>
        <w:pStyle w:val="SingleTxt"/>
        <w:rPr>
          <w:rFonts w:hint="cs"/>
          <w:rtl/>
        </w:rPr>
      </w:pPr>
      <w:r>
        <w:rPr>
          <w:rFonts w:hint="cs"/>
          <w:rtl/>
        </w:rPr>
        <w:t>278 -</w:t>
      </w:r>
      <w:r>
        <w:rPr>
          <w:rFonts w:hint="cs"/>
          <w:rtl/>
        </w:rPr>
        <w:tab/>
        <w:t xml:space="preserve">يعتبر معدل انتشار البدانة بين النساء أعلى منه بين الرجال فضلا عن أنهن يمارسن تمارين رياضية بوتيرة أقل. وقد شنت حملة للتثقيف التغذوي الذي يحث على اتباع نظام غذائي صحي، وذلك باستخدام نهج متعددة. ومن أبرز تلك النهج الحملة التي شنتها وزارة الصحة بعنوان </w:t>
      </w:r>
      <w:r>
        <w:rPr>
          <w:rFonts w:hint="eastAsia"/>
          <w:rtl/>
        </w:rPr>
        <w:t>”أساليب الحياة الصحية“</w:t>
      </w:r>
      <w:r>
        <w:rPr>
          <w:rFonts w:hint="cs"/>
          <w:rtl/>
        </w:rPr>
        <w:t>. وهذه المبادرات ذات طبيعة عامة في الوقت الحاضر ولا تتناول جنسا محددا بذاته.</w:t>
      </w:r>
    </w:p>
    <w:p w:rsidR="00484A02" w:rsidRDefault="00484A02" w:rsidP="00484A02">
      <w:pPr>
        <w:pStyle w:val="SingleTxt"/>
        <w:rPr>
          <w:rFonts w:hint="cs"/>
          <w:rtl/>
        </w:rPr>
      </w:pPr>
      <w:r>
        <w:rPr>
          <w:rFonts w:hint="cs"/>
          <w:rtl/>
        </w:rPr>
        <w:t>279 -</w:t>
      </w:r>
      <w:r>
        <w:rPr>
          <w:rFonts w:hint="cs"/>
          <w:rtl/>
        </w:rPr>
        <w:tab/>
        <w:t>وفيما يتعلق  بصحة الأم والطفل، طبقت بعض الاستراتيجيات الرامية إلى كفالة تغذية ملائمة للأم والطفل ومنها:</w:t>
      </w:r>
    </w:p>
    <w:p w:rsidR="00484A02" w:rsidRDefault="00484A02" w:rsidP="00484A02">
      <w:pPr>
        <w:pStyle w:val="SingleTxt"/>
        <w:rPr>
          <w:rFonts w:hint="cs"/>
          <w:rtl/>
        </w:rPr>
      </w:pPr>
      <w:r>
        <w:rPr>
          <w:rFonts w:hint="cs"/>
          <w:rtl/>
        </w:rPr>
        <w:tab/>
        <w:t>(أ)</w:t>
      </w:r>
      <w:r>
        <w:rPr>
          <w:rFonts w:hint="cs"/>
          <w:rtl/>
        </w:rPr>
        <w:tab/>
        <w:t>التثقيف الغذوي؛</w:t>
      </w:r>
    </w:p>
    <w:p w:rsidR="00484A02" w:rsidRDefault="00484A02" w:rsidP="00484A02">
      <w:pPr>
        <w:pStyle w:val="SingleTxt"/>
        <w:rPr>
          <w:rFonts w:hint="cs"/>
          <w:rtl/>
        </w:rPr>
      </w:pPr>
      <w:r>
        <w:rPr>
          <w:rFonts w:hint="cs"/>
          <w:rtl/>
        </w:rPr>
        <w:tab/>
        <w:t>(ب)</w:t>
      </w:r>
      <w:r>
        <w:rPr>
          <w:rFonts w:hint="cs"/>
          <w:rtl/>
        </w:rPr>
        <w:tab/>
        <w:t>برامج التغذية التكميلية؛</w:t>
      </w:r>
    </w:p>
    <w:p w:rsidR="00484A02" w:rsidRDefault="00484A02" w:rsidP="00484A02">
      <w:pPr>
        <w:pStyle w:val="SingleTxt"/>
        <w:rPr>
          <w:rFonts w:hint="cs"/>
          <w:rtl/>
        </w:rPr>
      </w:pPr>
      <w:r>
        <w:rPr>
          <w:rFonts w:hint="cs"/>
          <w:rtl/>
        </w:rPr>
        <w:tab/>
        <w:t>(ج)</w:t>
      </w:r>
      <w:r>
        <w:rPr>
          <w:rFonts w:hint="cs"/>
          <w:rtl/>
        </w:rPr>
        <w:tab/>
        <w:t>توفير مقويات الحديد والفيتامينات للحوامل؛</w:t>
      </w:r>
    </w:p>
    <w:p w:rsidR="00484A02" w:rsidRDefault="00484A02" w:rsidP="00484A02">
      <w:pPr>
        <w:pStyle w:val="SingleTxt"/>
        <w:rPr>
          <w:rFonts w:hint="cs"/>
          <w:rtl/>
        </w:rPr>
      </w:pPr>
      <w:r>
        <w:rPr>
          <w:rFonts w:hint="cs"/>
          <w:rtl/>
        </w:rPr>
        <w:tab/>
        <w:t>(د)</w:t>
      </w:r>
      <w:r>
        <w:rPr>
          <w:rFonts w:hint="cs"/>
          <w:rtl/>
        </w:rPr>
        <w:tab/>
        <w:t>برامج خاصة بحالات نقص محددة مثل تزويد الملح باليود لمعالجة نقص اليود؛</w:t>
      </w:r>
    </w:p>
    <w:p w:rsidR="00484A02" w:rsidRDefault="00484A02" w:rsidP="00484A02">
      <w:pPr>
        <w:pStyle w:val="SingleTxt"/>
        <w:rPr>
          <w:rFonts w:hint="cs"/>
          <w:rtl/>
        </w:rPr>
      </w:pPr>
      <w:r>
        <w:rPr>
          <w:rFonts w:hint="cs"/>
          <w:rtl/>
        </w:rPr>
        <w:tab/>
        <w:t>(هـ)</w:t>
      </w:r>
      <w:r>
        <w:rPr>
          <w:rFonts w:hint="cs"/>
          <w:rtl/>
        </w:rPr>
        <w:tab/>
        <w:t>التشجيع على الرضاعة الثديية؛</w:t>
      </w:r>
    </w:p>
    <w:p w:rsidR="00484A02" w:rsidRDefault="00484A02" w:rsidP="00484A02">
      <w:pPr>
        <w:pStyle w:val="SingleTxt"/>
        <w:rPr>
          <w:rFonts w:hint="cs"/>
          <w:rtl/>
        </w:rPr>
      </w:pPr>
      <w:r>
        <w:rPr>
          <w:rFonts w:hint="cs"/>
          <w:rtl/>
        </w:rPr>
        <w:tab/>
        <w:t>(و)</w:t>
      </w:r>
      <w:r>
        <w:rPr>
          <w:rFonts w:hint="cs"/>
          <w:rtl/>
        </w:rPr>
        <w:tab/>
        <w:t>توفير سلل غذائية للأطفال سيئ التغذية في الأسر الفقيرة؛</w:t>
      </w:r>
    </w:p>
    <w:p w:rsidR="00484A02" w:rsidRDefault="00484A02" w:rsidP="00484A02">
      <w:pPr>
        <w:pStyle w:val="SingleTxt"/>
        <w:rPr>
          <w:rFonts w:hint="cs"/>
          <w:rtl/>
        </w:rPr>
      </w:pPr>
      <w:r>
        <w:rPr>
          <w:rFonts w:hint="cs"/>
          <w:rtl/>
        </w:rPr>
        <w:tab/>
        <w:t>(ز)</w:t>
      </w:r>
      <w:r>
        <w:rPr>
          <w:rFonts w:hint="cs"/>
          <w:rtl/>
        </w:rPr>
        <w:tab/>
        <w:t>تطوير خطة العمل الوطنية من أجل التغذية بحيث تشمل نهجا متعدد الوكالات.</w:t>
      </w:r>
    </w:p>
    <w:p w:rsidR="00484A02" w:rsidRDefault="00484A02" w:rsidP="00484A02">
      <w:pPr>
        <w:pStyle w:val="SingleTxt"/>
        <w:rPr>
          <w:rFonts w:hint="cs"/>
          <w:rtl/>
        </w:rPr>
      </w:pPr>
      <w:r>
        <w:rPr>
          <w:rFonts w:hint="cs"/>
          <w:rtl/>
        </w:rPr>
        <w:t>280 -</w:t>
      </w:r>
      <w:r>
        <w:rPr>
          <w:rFonts w:hint="cs"/>
          <w:rtl/>
        </w:rPr>
        <w:tab/>
        <w:t xml:space="preserve">والنساء، ولا سيما العاملات منهن، بحاجة إلى مزيد من الدعم والتشجيع على الرضاعة الثديية، وقد بذلت جهود عديدة في هذا المضمار أفضت إلى زيادة معدل الرضاعة الثديية. وتفيد الدراسة الاستقصائية الوطنية للصحة والاعتلال أن 88.6 في المائة من الأمهات يرضعن أطفالهن حاليا رضاعة ثديية لمدة تصل وسطيا إلى 28 أسبوعا </w:t>
      </w:r>
      <w:r>
        <w:rPr>
          <w:rtl/>
        </w:rPr>
        <w:t>–</w:t>
      </w:r>
      <w:r>
        <w:rPr>
          <w:rFonts w:hint="cs"/>
          <w:rtl/>
        </w:rPr>
        <w:t xml:space="preserve"> وتمثل هذه النسبة تحسنا على المعدلات المبلغ عنها في عام 1980 التي قلما تجاوزت 80 في المائة.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مستوصفات وقاية المرأة من المرض</w:t>
      </w:r>
    </w:p>
    <w:p w:rsidR="00484A02" w:rsidRDefault="00484A02" w:rsidP="00484A02">
      <w:pPr>
        <w:pStyle w:val="SingleTxt"/>
        <w:rPr>
          <w:rFonts w:hint="cs"/>
          <w:rtl/>
        </w:rPr>
      </w:pPr>
      <w:r>
        <w:rPr>
          <w:rFonts w:hint="cs"/>
          <w:rtl/>
        </w:rPr>
        <w:t>281 -</w:t>
      </w:r>
      <w:r>
        <w:rPr>
          <w:rFonts w:hint="cs"/>
          <w:rtl/>
        </w:rPr>
        <w:tab/>
        <w:t>اعترافا من وزارة الصحة بالخدمات المتنوعة التي تحتاجها المرأة إضافة إلى الخدمات المتصلة برعاية الأمهات في أثناء النفاس أو معالجة الحالات المرضية، شرعت بإقامة مستوصفات لوقاية المرأة من المرض توفر لها مجموعة واسعة من الخدمات الرامية إلى تأمين رعاية شاملة وتركز على تعزيز الصحة والوقاية من المرض. وتنظر المستوصفات كذلك في احتياجات المسنات وتوفر التدخلات اللازمة لمعالجة أعراض سن اليأس، إذا استدعت الحاجة ذلك.</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مساهمة المرأة في الصحة</w:t>
      </w:r>
    </w:p>
    <w:p w:rsidR="00484A02" w:rsidRDefault="00484A02" w:rsidP="00484A02">
      <w:pPr>
        <w:pStyle w:val="SingleTxt"/>
        <w:rPr>
          <w:rFonts w:hint="cs"/>
          <w:rtl/>
        </w:rPr>
      </w:pPr>
      <w:r>
        <w:rPr>
          <w:rFonts w:hint="cs"/>
          <w:rtl/>
        </w:rPr>
        <w:t>282 -</w:t>
      </w:r>
      <w:r>
        <w:rPr>
          <w:rFonts w:hint="cs"/>
          <w:rtl/>
        </w:rPr>
        <w:tab/>
        <w:t>في حين يعترف نظام الرعاية الصحية في ماليزيا بأهمية معالجة احتياجات النساء كمرضى يعترف كذلك بالمساهمة الكبيرة التي قدمتها المرأة في مجال تطوير الرعاية الصحية وبالدور الهام الذي تقوم به في نظام الرعاية الصحية في البلد بقطاعيه الرسمي وغير الرسمي.</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الرعاية الصحية الرسمية</w:t>
      </w:r>
    </w:p>
    <w:p w:rsidR="00484A02" w:rsidRDefault="00484A02" w:rsidP="00484A02">
      <w:pPr>
        <w:pStyle w:val="SingleTxt"/>
        <w:rPr>
          <w:rFonts w:hint="cs"/>
          <w:rtl/>
        </w:rPr>
      </w:pPr>
      <w:r>
        <w:rPr>
          <w:rFonts w:hint="cs"/>
          <w:rtl/>
        </w:rPr>
        <w:t>283 -</w:t>
      </w:r>
      <w:r>
        <w:rPr>
          <w:rFonts w:hint="cs"/>
          <w:rtl/>
        </w:rPr>
        <w:tab/>
        <w:t>تمثل المرأة الغالبية العظمى من الممرضين حيث تشكل نسبة تزيد عن الثلث من عدد الموظفين الذين تستخدمهم وزارة الصحة والذين يزيد عددهم عن 000 100 موظف. وفي سياق البلد، ارتفع عدد النساء العاملات في القطاع الصحي بفئاته المختلفة، في الفترة بين عامي 1980 و 1991، كما يتضح من الجدول 12-4. ومن الأمور المشجعة ملاحظة ارتفاع نسبة المحترفات في هذا القطاع، بمن فيهن الطبيبات والصيدلانيات وطبيبات الأسنان. ومن ناحية أخرى، لا تزال نسبة النساء في مناصب صنع السياسة العامة واتخاذ القرارات ضئيلة.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12-4: توزيع الأخصائيين الصحيين بحسب الجنس، 1980 و 1991</w:t>
      </w:r>
    </w:p>
    <w:p w:rsidR="00484A02" w:rsidRPr="00164DC6"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845"/>
        <w:gridCol w:w="927"/>
        <w:gridCol w:w="824"/>
        <w:gridCol w:w="824"/>
        <w:gridCol w:w="900"/>
      </w:tblGrid>
      <w:tr w:rsidR="00484A02" w:rsidRPr="00164DC6">
        <w:tblPrEx>
          <w:tblCellMar>
            <w:top w:w="0" w:type="dxa"/>
            <w:bottom w:w="0" w:type="dxa"/>
          </w:tblCellMar>
        </w:tblPrEx>
        <w:trPr>
          <w:cantSplit/>
          <w:tblHeader/>
        </w:trPr>
        <w:tc>
          <w:tcPr>
            <w:tcW w:w="3845" w:type="dxa"/>
            <w:vMerge w:val="restart"/>
            <w:tcBorders>
              <w:top w:val="single" w:sz="4"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80" w:after="80" w:line="240" w:lineRule="exact"/>
              <w:ind w:left="170" w:right="170"/>
              <w:jc w:val="center"/>
              <w:rPr>
                <w:rFonts w:hint="cs"/>
                <w:i/>
                <w:iCs/>
                <w:sz w:val="16"/>
                <w:szCs w:val="24"/>
                <w:rtl/>
              </w:rPr>
            </w:pPr>
            <w:r w:rsidRPr="00164DC6">
              <w:rPr>
                <w:rFonts w:hint="cs"/>
                <w:i/>
                <w:iCs/>
                <w:sz w:val="16"/>
                <w:szCs w:val="24"/>
                <w:rtl/>
              </w:rPr>
              <w:t>المهنة</w:t>
            </w:r>
          </w:p>
        </w:tc>
        <w:tc>
          <w:tcPr>
            <w:tcW w:w="3475" w:type="dxa"/>
            <w:gridSpan w:val="4"/>
            <w:tcBorders>
              <w:top w:val="single" w:sz="4" w:space="0" w:color="auto"/>
              <w:bottom w:val="single" w:sz="4"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80" w:after="80" w:line="240" w:lineRule="exact"/>
              <w:ind w:left="170" w:right="144"/>
              <w:jc w:val="center"/>
              <w:rPr>
                <w:rFonts w:hint="cs"/>
                <w:i/>
                <w:iCs/>
                <w:sz w:val="16"/>
                <w:szCs w:val="24"/>
                <w:rtl/>
              </w:rPr>
            </w:pPr>
            <w:r w:rsidRPr="00164DC6">
              <w:rPr>
                <w:rFonts w:hint="cs"/>
                <w:i/>
                <w:iCs/>
                <w:sz w:val="16"/>
                <w:szCs w:val="24"/>
                <w:rtl/>
              </w:rPr>
              <w:t xml:space="preserve">النسبة المئوية </w:t>
            </w:r>
            <w:r>
              <w:rPr>
                <w:rFonts w:hint="cs"/>
                <w:i/>
                <w:iCs/>
                <w:sz w:val="16"/>
                <w:szCs w:val="24"/>
                <w:rtl/>
              </w:rPr>
              <w:t>للأخصائيين الصحيين</w:t>
            </w:r>
          </w:p>
        </w:tc>
      </w:tr>
      <w:tr w:rsidR="00484A02" w:rsidRPr="00164DC6">
        <w:tblPrEx>
          <w:tblCellMar>
            <w:top w:w="0" w:type="dxa"/>
            <w:bottom w:w="0" w:type="dxa"/>
          </w:tblCellMar>
        </w:tblPrEx>
        <w:trPr>
          <w:cantSplit/>
          <w:tblHeader/>
        </w:trPr>
        <w:tc>
          <w:tcPr>
            <w:tcW w:w="3845" w:type="dxa"/>
            <w:vMerge/>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rPr>
                <w:rFonts w:hint="cs"/>
                <w:i/>
                <w:iCs/>
                <w:sz w:val="16"/>
                <w:szCs w:val="24"/>
                <w:rtl/>
              </w:rPr>
            </w:pPr>
          </w:p>
        </w:tc>
        <w:tc>
          <w:tcPr>
            <w:tcW w:w="1751" w:type="dxa"/>
            <w:gridSpan w:val="2"/>
            <w:tcBorders>
              <w:top w:val="single" w:sz="4" w:space="0" w:color="auto"/>
              <w:bottom w:val="single" w:sz="4"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44"/>
              <w:jc w:val="center"/>
              <w:rPr>
                <w:rFonts w:hint="cs"/>
                <w:i/>
                <w:iCs/>
                <w:sz w:val="16"/>
                <w:szCs w:val="24"/>
                <w:rtl/>
              </w:rPr>
            </w:pPr>
            <w:r w:rsidRPr="00164DC6">
              <w:rPr>
                <w:rFonts w:hint="cs"/>
                <w:i/>
                <w:iCs/>
                <w:sz w:val="16"/>
                <w:szCs w:val="24"/>
                <w:rtl/>
              </w:rPr>
              <w:t>1980</w:t>
            </w:r>
          </w:p>
        </w:tc>
        <w:tc>
          <w:tcPr>
            <w:tcW w:w="1724" w:type="dxa"/>
            <w:gridSpan w:val="2"/>
            <w:tcBorders>
              <w:top w:val="single" w:sz="4" w:space="0" w:color="auto"/>
              <w:bottom w:val="single" w:sz="4"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44"/>
              <w:jc w:val="center"/>
              <w:rPr>
                <w:rFonts w:hint="cs"/>
                <w:i/>
                <w:iCs/>
                <w:sz w:val="16"/>
                <w:szCs w:val="24"/>
                <w:rtl/>
              </w:rPr>
            </w:pPr>
            <w:r w:rsidRPr="00164DC6">
              <w:rPr>
                <w:rFonts w:hint="cs"/>
                <w:i/>
                <w:iCs/>
                <w:sz w:val="16"/>
                <w:szCs w:val="24"/>
                <w:rtl/>
              </w:rPr>
              <w:t>1991</w:t>
            </w:r>
          </w:p>
        </w:tc>
      </w:tr>
      <w:tr w:rsidR="00484A02" w:rsidRPr="00164DC6">
        <w:tblPrEx>
          <w:tblCellMar>
            <w:top w:w="0" w:type="dxa"/>
            <w:bottom w:w="0" w:type="dxa"/>
          </w:tblCellMar>
        </w:tblPrEx>
        <w:trPr>
          <w:cantSplit/>
          <w:tblHeader/>
        </w:trPr>
        <w:tc>
          <w:tcPr>
            <w:tcW w:w="3845" w:type="dxa"/>
            <w:vMerge/>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jc w:val="center"/>
              <w:rPr>
                <w:rFonts w:hint="cs"/>
                <w:i/>
                <w:iCs/>
                <w:sz w:val="16"/>
                <w:szCs w:val="24"/>
                <w:rtl/>
              </w:rPr>
            </w:pPr>
            <w:r w:rsidRPr="00164DC6">
              <w:rPr>
                <w:rFonts w:hint="cs"/>
                <w:i/>
                <w:iCs/>
                <w:sz w:val="16"/>
                <w:szCs w:val="24"/>
                <w:rtl/>
              </w:rPr>
              <w:t>الذكور</w:t>
            </w:r>
          </w:p>
        </w:tc>
        <w:tc>
          <w:tcPr>
            <w:tcW w:w="824" w:type="dxa"/>
            <w:tcBorders>
              <w:top w:val="single" w:sz="4" w:space="0" w:color="auto"/>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jc w:val="center"/>
              <w:rPr>
                <w:rFonts w:hint="cs"/>
                <w:i/>
                <w:iCs/>
                <w:sz w:val="16"/>
                <w:szCs w:val="24"/>
                <w:rtl/>
              </w:rPr>
            </w:pPr>
            <w:r w:rsidRPr="00164DC6">
              <w:rPr>
                <w:rFonts w:hint="cs"/>
                <w:i/>
                <w:iCs/>
                <w:sz w:val="16"/>
                <w:szCs w:val="24"/>
                <w:rtl/>
              </w:rPr>
              <w:t>الإناث</w:t>
            </w:r>
          </w:p>
        </w:tc>
        <w:tc>
          <w:tcPr>
            <w:tcW w:w="824" w:type="dxa"/>
            <w:tcBorders>
              <w:top w:val="single" w:sz="4" w:space="0" w:color="auto"/>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jc w:val="center"/>
              <w:rPr>
                <w:rFonts w:hint="cs"/>
                <w:i/>
                <w:iCs/>
                <w:sz w:val="16"/>
                <w:szCs w:val="24"/>
                <w:rtl/>
              </w:rPr>
            </w:pPr>
            <w:r w:rsidRPr="00164DC6">
              <w:rPr>
                <w:rFonts w:hint="cs"/>
                <w:i/>
                <w:iCs/>
                <w:sz w:val="16"/>
                <w:szCs w:val="24"/>
                <w:rtl/>
              </w:rPr>
              <w:t>الذكور</w:t>
            </w:r>
          </w:p>
        </w:tc>
        <w:tc>
          <w:tcPr>
            <w:tcW w:w="900" w:type="dxa"/>
            <w:tcBorders>
              <w:top w:val="single" w:sz="4" w:space="0" w:color="auto"/>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after="80" w:line="240" w:lineRule="exact"/>
              <w:ind w:left="170" w:right="170"/>
              <w:jc w:val="center"/>
              <w:rPr>
                <w:rFonts w:hint="cs"/>
                <w:i/>
                <w:iCs/>
                <w:sz w:val="16"/>
                <w:szCs w:val="24"/>
                <w:rtl/>
              </w:rPr>
            </w:pPr>
            <w:r w:rsidRPr="00164DC6">
              <w:rPr>
                <w:rFonts w:hint="cs"/>
                <w:i/>
                <w:iCs/>
                <w:sz w:val="16"/>
                <w:szCs w:val="24"/>
                <w:rtl/>
              </w:rPr>
              <w:t>الإناث</w:t>
            </w:r>
          </w:p>
        </w:tc>
      </w:tr>
      <w:tr w:rsidR="00484A02" w:rsidRPr="00164DC6">
        <w:tblPrEx>
          <w:tblCellMar>
            <w:top w:w="0" w:type="dxa"/>
            <w:bottom w:w="0" w:type="dxa"/>
          </w:tblCellMar>
        </w:tblPrEx>
        <w:trPr>
          <w:cantSplit/>
          <w:trHeight w:hRule="exact" w:val="115"/>
          <w:tblHeader/>
        </w:trPr>
        <w:tc>
          <w:tcPr>
            <w:tcW w:w="3845" w:type="dxa"/>
            <w:tcBorders>
              <w:top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tcBorders>
              <w:top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824" w:type="dxa"/>
            <w:tcBorders>
              <w:top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824" w:type="dxa"/>
            <w:tcBorders>
              <w:top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900" w:type="dxa"/>
            <w:tcBorders>
              <w:top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164DC6">
        <w:tblPrEx>
          <w:tblCellMar>
            <w:top w:w="0" w:type="dxa"/>
            <w:bottom w:w="0" w:type="dxa"/>
          </w:tblCellMar>
        </w:tblPrEx>
        <w:trPr>
          <w:cantSplit/>
        </w:trPr>
        <w:tc>
          <w:tcPr>
            <w:tcW w:w="3845"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الأطباء والجراحون</w:t>
            </w:r>
          </w:p>
        </w:tc>
        <w:tc>
          <w:tcPr>
            <w:tcW w:w="927"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78.1</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21.9</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68.4</w:t>
            </w:r>
          </w:p>
        </w:tc>
        <w:tc>
          <w:tcPr>
            <w:tcW w:w="900"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31.6</w:t>
            </w:r>
          </w:p>
        </w:tc>
      </w:tr>
      <w:tr w:rsidR="00484A02" w:rsidRPr="00164DC6">
        <w:tblPrEx>
          <w:tblCellMar>
            <w:top w:w="0" w:type="dxa"/>
            <w:bottom w:w="0" w:type="dxa"/>
          </w:tblCellMar>
        </w:tblPrEx>
        <w:trPr>
          <w:cantSplit/>
        </w:trPr>
        <w:tc>
          <w:tcPr>
            <w:tcW w:w="3845"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المساعدون الطبيون ومساعدو المختبرات الطبية والاختصاصيون ذوو الصلة</w:t>
            </w:r>
          </w:p>
        </w:tc>
        <w:tc>
          <w:tcPr>
            <w:tcW w:w="927"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86.9</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13.1</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79.1</w:t>
            </w:r>
          </w:p>
        </w:tc>
        <w:tc>
          <w:tcPr>
            <w:tcW w:w="900"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20.9</w:t>
            </w:r>
          </w:p>
        </w:tc>
      </w:tr>
      <w:tr w:rsidR="00484A02" w:rsidRPr="00164DC6">
        <w:tblPrEx>
          <w:tblCellMar>
            <w:top w:w="0" w:type="dxa"/>
            <w:bottom w:w="0" w:type="dxa"/>
          </w:tblCellMar>
        </w:tblPrEx>
        <w:trPr>
          <w:cantSplit/>
        </w:trPr>
        <w:tc>
          <w:tcPr>
            <w:tcW w:w="3845"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أطباء الأسنان وممرضو طب الأسنان المحترفون ومساعدو طب الأسنان</w:t>
            </w:r>
          </w:p>
        </w:tc>
        <w:tc>
          <w:tcPr>
            <w:tcW w:w="927"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32.8</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67.2</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31.7</w:t>
            </w:r>
          </w:p>
        </w:tc>
        <w:tc>
          <w:tcPr>
            <w:tcW w:w="900"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68.3</w:t>
            </w:r>
          </w:p>
        </w:tc>
      </w:tr>
      <w:tr w:rsidR="00484A02" w:rsidRPr="00164DC6">
        <w:tblPrEx>
          <w:tblCellMar>
            <w:top w:w="0" w:type="dxa"/>
            <w:bottom w:w="0" w:type="dxa"/>
          </w:tblCellMar>
        </w:tblPrEx>
        <w:trPr>
          <w:cantSplit/>
        </w:trPr>
        <w:tc>
          <w:tcPr>
            <w:tcW w:w="3845"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المساعدون الصيدلانيون</w:t>
            </w:r>
          </w:p>
        </w:tc>
        <w:tc>
          <w:tcPr>
            <w:tcW w:w="927"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57.5</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42.5</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45.9</w:t>
            </w:r>
          </w:p>
        </w:tc>
        <w:tc>
          <w:tcPr>
            <w:tcW w:w="900"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54.1</w:t>
            </w:r>
          </w:p>
        </w:tc>
      </w:tr>
      <w:tr w:rsidR="00484A02" w:rsidRPr="00164DC6">
        <w:tblPrEx>
          <w:tblCellMar>
            <w:top w:w="0" w:type="dxa"/>
            <w:bottom w:w="0" w:type="dxa"/>
          </w:tblCellMar>
        </w:tblPrEx>
        <w:trPr>
          <w:cantSplit/>
        </w:trPr>
        <w:tc>
          <w:tcPr>
            <w:tcW w:w="3845"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الممرضون غير المحترفين (باستثناء طب الأسنان)</w:t>
            </w:r>
          </w:p>
        </w:tc>
        <w:tc>
          <w:tcPr>
            <w:tcW w:w="927"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98.0</w:t>
            </w:r>
          </w:p>
        </w:tc>
        <w:tc>
          <w:tcPr>
            <w:tcW w:w="824"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w:t>
            </w:r>
          </w:p>
        </w:tc>
        <w:tc>
          <w:tcPr>
            <w:tcW w:w="900" w:type="dxa"/>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98.0</w:t>
            </w:r>
          </w:p>
        </w:tc>
      </w:tr>
      <w:tr w:rsidR="00484A02" w:rsidRPr="00164DC6">
        <w:tblPrEx>
          <w:tblCellMar>
            <w:top w:w="0" w:type="dxa"/>
            <w:bottom w:w="0" w:type="dxa"/>
          </w:tblCellMar>
        </w:tblPrEx>
        <w:trPr>
          <w:cantSplit/>
        </w:trPr>
        <w:tc>
          <w:tcPr>
            <w:tcW w:w="3845" w:type="dxa"/>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الممرضون غير المحترفين (طب الأسنان والطب العام)</w:t>
            </w:r>
          </w:p>
        </w:tc>
        <w:tc>
          <w:tcPr>
            <w:tcW w:w="927" w:type="dxa"/>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3.9</w:t>
            </w:r>
          </w:p>
        </w:tc>
        <w:tc>
          <w:tcPr>
            <w:tcW w:w="824" w:type="dxa"/>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96.1</w:t>
            </w:r>
          </w:p>
        </w:tc>
        <w:tc>
          <w:tcPr>
            <w:tcW w:w="824" w:type="dxa"/>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5.3</w:t>
            </w:r>
          </w:p>
        </w:tc>
        <w:tc>
          <w:tcPr>
            <w:tcW w:w="900" w:type="dxa"/>
            <w:tcBorders>
              <w:bottom w:val="single" w:sz="12" w:space="0" w:color="auto"/>
            </w:tcBorders>
            <w:shd w:val="clear" w:color="auto" w:fill="auto"/>
            <w:vAlign w:val="bottom"/>
          </w:tcPr>
          <w:p w:rsidR="00484A02" w:rsidRPr="00164DC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94.7</w:t>
            </w:r>
          </w:p>
        </w:tc>
      </w:tr>
    </w:tbl>
    <w:p w:rsidR="00484A02" w:rsidRPr="00164DC6" w:rsidRDefault="00484A02" w:rsidP="00484A02">
      <w:pPr>
        <w:pStyle w:val="SingleTxt"/>
        <w:spacing w:after="0" w:line="120" w:lineRule="exact"/>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تعداد عام 1980 وتعداد عام 1991.</w:t>
      </w:r>
    </w:p>
    <w:p w:rsidR="00484A02" w:rsidRPr="00164DC6" w:rsidRDefault="00484A02" w:rsidP="00484A02">
      <w:pPr>
        <w:pStyle w:val="SingleTxt"/>
        <w:spacing w:after="0" w:line="120" w:lineRule="exact"/>
        <w:rPr>
          <w:rFonts w:hint="cs"/>
          <w:sz w:val="10"/>
          <w:rtl/>
        </w:rPr>
      </w:pP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الرعاية الصحية غير الرسمية</w:t>
      </w:r>
    </w:p>
    <w:p w:rsidR="00484A02" w:rsidRDefault="00484A02" w:rsidP="00484A02">
      <w:pPr>
        <w:pStyle w:val="SingleTxt"/>
        <w:rPr>
          <w:rFonts w:hint="cs"/>
          <w:rtl/>
        </w:rPr>
      </w:pPr>
      <w:r>
        <w:rPr>
          <w:rFonts w:hint="cs"/>
          <w:rtl/>
        </w:rPr>
        <w:t>الرعاية الأسرية والرعاية المجتمعية</w:t>
      </w:r>
    </w:p>
    <w:p w:rsidR="00484A02" w:rsidRDefault="00484A02" w:rsidP="00484A02">
      <w:pPr>
        <w:pStyle w:val="SingleTxt"/>
        <w:rPr>
          <w:rFonts w:hint="cs"/>
          <w:rtl/>
        </w:rPr>
      </w:pPr>
      <w:r>
        <w:rPr>
          <w:rFonts w:hint="cs"/>
          <w:rtl/>
        </w:rPr>
        <w:t>284 -</w:t>
      </w:r>
      <w:r>
        <w:rPr>
          <w:rFonts w:hint="cs"/>
          <w:rtl/>
        </w:rPr>
        <w:tab/>
        <w:t xml:space="preserve">تتحمل المرأة القسط الأعظم من مسؤولية المحافظة على الصحة في المجتمع. ففي المنزل، جرت العادة أن تعنى المرأة بالاحتياجات الصحية لأفراد الأسر المعيشية </w:t>
      </w:r>
      <w:r>
        <w:rPr>
          <w:rtl/>
        </w:rPr>
        <w:t>–</w:t>
      </w:r>
      <w:r>
        <w:rPr>
          <w:rFonts w:hint="cs"/>
          <w:rtl/>
        </w:rPr>
        <w:t xml:space="preserve"> حيث تشرف على احتياجات الأطفال التغذوية وتثقيفهم بالعادات الصحية وكفالة النظافة العامة والسلامة داخل الأسرة المعيشية وتمد العون للمرضى أو كبار السن وما إلى ذلك. وفي مجتمعات الشعوب الأصلية، غالبا ما يكون المطببون من النساء بسبب معرفتهن بأساليب تداوي أهل البلاد الأصليين أو بالتداوي الشعبي. ويصح هذا القول بصفة خاصة على الحمل وعمليات الولادة </w:t>
      </w:r>
      <w:r>
        <w:rPr>
          <w:rtl/>
        </w:rPr>
        <w:t>–</w:t>
      </w:r>
      <w:r>
        <w:rPr>
          <w:rFonts w:hint="cs"/>
          <w:rtl/>
        </w:rPr>
        <w:t xml:space="preserve"> والغالبية العظمى من الولادات تتم على يد قابلات تقليديات. ومما يدعو للأسف أن مساهمات المرأة في الرعاية الصحية غير الرسمية قلما تترجم إلى قيم اقتصادية.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المنظمات غير الحكومية</w:t>
      </w:r>
    </w:p>
    <w:p w:rsidR="00484A02" w:rsidRDefault="00484A02" w:rsidP="00484A02">
      <w:pPr>
        <w:pStyle w:val="SingleTxt"/>
        <w:rPr>
          <w:rFonts w:hint="cs"/>
          <w:rtl/>
        </w:rPr>
      </w:pPr>
      <w:r>
        <w:rPr>
          <w:rFonts w:hint="cs"/>
          <w:rtl/>
        </w:rPr>
        <w:t>285 -</w:t>
      </w:r>
      <w:r>
        <w:rPr>
          <w:rFonts w:hint="cs"/>
          <w:rtl/>
        </w:rPr>
        <w:tab/>
        <w:t>تقوم المنظمات غير الحكومية بدور هام جدا في تعزيز الصحة في البلد. وتشمل مساهماتها إكمال أو دعم البرامج أو المبادرات الحكومية وتوفير التثقيف والمعلومات بشأن مجموعة واسعة من المسائل المتصلة بالصحة وتقديم خدمات من قبيل تسكين الألم والاضطلاع بأنشطة التعبئة والدعوة على صعيد المجتمع المحلي.</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النتيجة</w:t>
      </w:r>
    </w:p>
    <w:p w:rsidR="00484A02" w:rsidRDefault="00484A02" w:rsidP="00484A02">
      <w:pPr>
        <w:pStyle w:val="SingleTxt"/>
        <w:rPr>
          <w:rFonts w:hint="cs"/>
          <w:rtl/>
        </w:rPr>
      </w:pPr>
      <w:r>
        <w:rPr>
          <w:rFonts w:hint="cs"/>
          <w:rtl/>
        </w:rPr>
        <w:t>286 -</w:t>
      </w:r>
      <w:r>
        <w:rPr>
          <w:rFonts w:hint="cs"/>
          <w:rtl/>
        </w:rPr>
        <w:tab/>
        <w:t xml:space="preserve">يمكن القول إجمالا أن المرأة الماليزية ليست محرومة إلى حد كبير من إمكانية الوصول إلى الخدمات الصحية </w:t>
      </w:r>
      <w:r>
        <w:rPr>
          <w:rtl/>
        </w:rPr>
        <w:t>–</w:t>
      </w:r>
      <w:r>
        <w:rPr>
          <w:rFonts w:hint="cs"/>
          <w:rtl/>
        </w:rPr>
        <w:t xml:space="preserve"> بل تمنح المرأة في الواقع وضعا خاصا في بعض الأحيان من حيث الخدمات المقدمة لها. ومع ذلك لا يزال هناك العديد من المجالات التي هي بحاجة إلى تدخل أو إلى زيادة تحسين من قبيل توسيع نطاق الخدمات من نموذج بيولوجي طبي إلى نموذج يشمل العوامل الاجتماعية والاقتصادية والثقافية التي تؤثر في صحة المرأة.</w:t>
      </w:r>
    </w:p>
    <w:p w:rsidR="00484A02" w:rsidRPr="00FF787D" w:rsidRDefault="00484A02" w:rsidP="00484A02">
      <w:pPr>
        <w:pStyle w:val="SingleTxt"/>
        <w:spacing w:after="0" w:line="120" w:lineRule="exact"/>
        <w:rPr>
          <w:rFonts w:hint="cs"/>
          <w:sz w:val="10"/>
          <w:rtl/>
        </w:rPr>
      </w:pP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المادة 13</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الاستحقاقات الاجتماعية والاقتصادية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4A02" w:rsidRDefault="00484A02" w:rsidP="00484A02">
      <w:pPr>
        <w:pStyle w:val="SingleTxt"/>
        <w:rPr>
          <w:rFonts w:hint="cs"/>
          <w:rtl/>
        </w:rPr>
      </w:pPr>
      <w:r>
        <w:rPr>
          <w:rFonts w:hint="cs"/>
          <w:rtl/>
        </w:rPr>
        <w:t>287 -</w:t>
      </w:r>
      <w:r>
        <w:rPr>
          <w:rFonts w:hint="cs"/>
          <w:rtl/>
        </w:rPr>
        <w:tab/>
        <w:t>على الرغم من أن ماليزيا ليست دولة رفاه يحصل المواطن فيها على دفعات نقدية من الخزانة العامة حتى وإن لم يكن عاملا بأجر فإن هناك استحقاقات فردية أو عائلية أخرى. وفي جملة تلك الاستحقاقات برامج الإسكان العامة للفئات المنخفضة الدخل ومختلف أنواع المساعدة التي تعطى في إطار برنامج تخفيف وطأة الفقر المدقع والاستحقاقات الاجتماعية التي تصرف للمعوقين وخطط المعاشات التقاعدية. وتطبق تلك الاستحقاقات بصفة عامة من خلال مختلف القوانين والأنظمة ولا يوجد فيها تمييز بحسب نوع الجنس.</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الاستحقاقات الضريبية</w:t>
      </w:r>
    </w:p>
    <w:p w:rsidR="00484A02" w:rsidRDefault="00484A02" w:rsidP="00484A02">
      <w:pPr>
        <w:pStyle w:val="SingleTxt"/>
        <w:rPr>
          <w:rFonts w:hint="cs"/>
          <w:rtl/>
        </w:rPr>
      </w:pPr>
      <w:r>
        <w:rPr>
          <w:rFonts w:hint="cs"/>
          <w:rtl/>
        </w:rPr>
        <w:t>288 -</w:t>
      </w:r>
      <w:r>
        <w:rPr>
          <w:rFonts w:hint="cs"/>
          <w:rtl/>
        </w:rPr>
        <w:tab/>
        <w:t>يحق للزوجة، بموجب قانون ضريبة الدخل لعام 1967 (القانون رقم 155) أن تختار تقييم دخلها بصورة مستقلة عن دخل زوجها. ويمثل هذا الحق اعترافا بالاستقلال المالي للمرأة الماليزية  التي تشكل بصورة متزايدة نسبة هامة من القوة العاملة الماليزية في القطاعين العام والخاص على حد سواء. وبالإضافة إلى ذلك، يحق للزوج والزوجة اختيار من يطلب منهما الإعفاء الضريبي عن أولادهما.</w:t>
      </w:r>
    </w:p>
    <w:p w:rsidR="00484A02" w:rsidRDefault="00484A02" w:rsidP="00484A02">
      <w:pPr>
        <w:pStyle w:val="SingleTxt"/>
        <w:rPr>
          <w:rFonts w:hint="cs"/>
          <w:rtl/>
        </w:rPr>
      </w:pPr>
      <w:r>
        <w:rPr>
          <w:rFonts w:hint="cs"/>
          <w:rtl/>
        </w:rPr>
        <w:t>289 -</w:t>
      </w:r>
      <w:r>
        <w:rPr>
          <w:rFonts w:hint="cs"/>
          <w:rtl/>
        </w:rPr>
        <w:tab/>
        <w:t>وبالمثل، يحق للزوج أو للزوجة المطالبة بالنفقات الطبية عن الوالدين التي دفعت في سنة تقييم الدخل. وبالإضافة إلى ذلك، يحق للزوج أو للزوجة المطالبة بإعفاء ضريبي عن النفقات الطبية لزوج أو لطفل يعاني من مرض خطير أو مقابل شراء معدات دعم طبي للاستخدام الشخصي لأي منهما أو لاستخدام أفراد الأسرة الآخرين، بمن فيهم الوالدان المعوقان. وثمة استحقاق آخر بموجب قانون ضريبة الدخل هو أنه يحق للأفراد الذين يتلقون التدريب في المؤسسات الحكومية المعترف بها بغرض اكتساب مهارات تقنية أو مهنية أو صناعية الحصول على إعفاء ضريبي مقابل الرسوم التي دفعوها. ويحتسب ذلك بالإضافة إلى الحسم الضريبي إذا كان الشخص معوقا.</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المؤسسات المصرفية والمالية لعام 1989 (القانون رقم 372)</w:t>
      </w:r>
    </w:p>
    <w:p w:rsidR="00484A02" w:rsidRDefault="00484A02" w:rsidP="00484A02">
      <w:pPr>
        <w:pStyle w:val="SingleTxt"/>
        <w:rPr>
          <w:rFonts w:hint="cs"/>
          <w:rtl/>
        </w:rPr>
      </w:pPr>
      <w:r>
        <w:rPr>
          <w:rFonts w:hint="cs"/>
          <w:rtl/>
        </w:rPr>
        <w:t>290 -</w:t>
      </w:r>
      <w:r>
        <w:rPr>
          <w:rFonts w:hint="cs"/>
          <w:rtl/>
        </w:rPr>
        <w:tab/>
        <w:t>لا يميز قانون المؤسسات المصرفية والمالية لعام 1989 أو غيره من القوانين ذات الصلة بالشؤون المصرفية والمالية بين الأفراد بحسب نوع الجنس. ويغطي قانون المؤسسات المصرفية والمالية ثلاث فئات من المؤسسات المالية هي: مؤسسات مرخص لها ومؤسسات تقوم بعمليات مقررة، ومؤسسات تقوم بعمليات غير مقررة. وعلى الرغم من أن الحكومة تتخذ من حين إلى آخر موقفا نقديا صارما لتثبيط النمو السريع في الاستهلاك فهي تتخذ كذلك تدابير تكفل بها عدم تأثر قدرة بعض قطاعات الاقتصاد على الحصول على الائتمانات أو عدم تأثر الشرائح السكانية المنخفضة الدخل أو المتوسطة الدخل بتشديد القيود على السيولة الناجمة عن تلك التدابير. ولم يُبلَّغ عن حرمان أي فئة من الحصول على ائتمانات أو قروض مالية على الرغم من أن المرأة تشكل فيما يبدو، من الناحية العملية، نسبة ضئيلة من عدد المقترضين من البنوك التجارية وغيرها من المؤسسات المالية.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صندوق قروض المساكن لعام 1971 (القانون رقم 42)</w:t>
      </w:r>
    </w:p>
    <w:p w:rsidR="00484A02" w:rsidRDefault="00484A02" w:rsidP="00484A02">
      <w:pPr>
        <w:pStyle w:val="SingleTxt"/>
        <w:rPr>
          <w:rFonts w:hint="cs"/>
          <w:rtl/>
        </w:rPr>
      </w:pPr>
      <w:r>
        <w:rPr>
          <w:rFonts w:hint="cs"/>
          <w:rtl/>
        </w:rPr>
        <w:t>291 -</w:t>
      </w:r>
      <w:r>
        <w:rPr>
          <w:rFonts w:hint="cs"/>
          <w:rtl/>
        </w:rPr>
        <w:tab/>
        <w:t xml:space="preserve">يتمتع الموظفون العاملون في القطاع الخاص، ذكورا وإناثا على السواء، بإمكانية الحصول على قدم المساواة على قروض المساكن المقدمة من الحكومة وعلى قروض نقل الملكية بموجب قانون صندوق قروض المساكن لعام 1971. ولا عبرة لنوع الجنس في تقييم مقدم طلب الحصول على قرض للمسكن أو قرض لنقل الملكية؛ وعوضا عن ذلك، تؤخذ في الاعتبار عوامل مثل عدد سنوات الخدمة مقدم الطلب وأقدميته وقدرته على تسديد القرض. </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استحقاقات الأمومة</w:t>
      </w:r>
    </w:p>
    <w:p w:rsidR="00484A02" w:rsidRDefault="00484A02" w:rsidP="00484A02">
      <w:pPr>
        <w:pStyle w:val="SingleTxt"/>
        <w:rPr>
          <w:rFonts w:hint="cs"/>
          <w:rtl/>
        </w:rPr>
      </w:pPr>
      <w:r>
        <w:rPr>
          <w:rFonts w:hint="cs"/>
          <w:rtl/>
        </w:rPr>
        <w:t>292 -</w:t>
      </w:r>
      <w:r>
        <w:rPr>
          <w:rFonts w:hint="cs"/>
          <w:rtl/>
        </w:rPr>
        <w:tab/>
        <w:t>تمنح استحقاقات الأمومة، بموجب أحكام قانون العمل النافذ في البلد، إلى جميع النساء حتى الولد الخامس لفترة لا تقل عن 60 يوما. ويمنح الآباء في القطاعين العام والخاص على حد سواء إجازة أبوة لمدة لا تتجاوز 7 أيام عند ولادة كل ولد. وبالإضافة إلى ذلك، يوفر عدد متزايد من أرباب العمل مراكز لرعاية الأطفال في مكان العمل.</w:t>
      </w:r>
    </w:p>
    <w:p w:rsidR="00484A02" w:rsidRDefault="00484A02" w:rsidP="00484A02">
      <w:pPr>
        <w:pStyle w:val="SingleTxt"/>
        <w:rPr>
          <w:rFonts w:hint="cs"/>
          <w:rtl/>
        </w:rPr>
      </w:pPr>
      <w:r>
        <w:rPr>
          <w:rFonts w:hint="cs"/>
          <w:rtl/>
        </w:rPr>
        <w:t>293 -</w:t>
      </w:r>
      <w:r>
        <w:rPr>
          <w:rFonts w:hint="cs"/>
          <w:rtl/>
        </w:rPr>
        <w:tab/>
        <w:t>وعلى الرغم من أن قانون العمل لعام 1955 يضمن المساواة بين الرجل والمرأة على حد سواء فهو يتضمن أحكاما معينة تستهدف حماية المرأة في مكان العمل كالحكم القاضي بمنع المرأة من العمل تحت سطح الأرض أو في مناوبات ليلية دون موافقة مسبقة من المدير العام للعمل.</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المصانع والآليات لعام 1967 (القانون رقم 139) وقانون الضمان الاجتماعي للعمال لعام 1969 (القانون رقم 4)</w:t>
      </w:r>
    </w:p>
    <w:p w:rsidR="00484A02" w:rsidRDefault="00484A02" w:rsidP="00484A02">
      <w:pPr>
        <w:pStyle w:val="SingleTxt"/>
        <w:rPr>
          <w:rFonts w:hint="cs"/>
          <w:rtl/>
        </w:rPr>
      </w:pPr>
      <w:r>
        <w:rPr>
          <w:rFonts w:hint="cs"/>
          <w:rtl/>
        </w:rPr>
        <w:t>294 -</w:t>
      </w:r>
      <w:r>
        <w:rPr>
          <w:rFonts w:hint="cs"/>
          <w:rtl/>
        </w:rPr>
        <w:tab/>
        <w:t>يشترط قانون المصانع والآلات عام 1967 تخصيص حجرة تواليت للنساء في أي مصنع تعمل فيه 15 امرأة أو أكثر. وينص قانون الضمان الاجتماعي للعمال لعام 1969 على منح استحقاقات إعالة وصرف معاش تقاعدي للمعالين الباقين على قيد الحياة كما يتضمن أحكام الإنفاق على زوجة العامل وأطفاله في حال وفاته.</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المعاشات التقاعدية لعام 1980 (القانون رقم 227)</w:t>
      </w:r>
    </w:p>
    <w:p w:rsidR="00484A02" w:rsidRDefault="00484A02" w:rsidP="00484A02">
      <w:pPr>
        <w:pStyle w:val="SingleTxt"/>
        <w:rPr>
          <w:rFonts w:hint="cs"/>
          <w:rtl/>
        </w:rPr>
      </w:pPr>
      <w:r>
        <w:rPr>
          <w:rFonts w:hint="cs"/>
          <w:rtl/>
        </w:rPr>
        <w:t>295 -</w:t>
      </w:r>
      <w:r>
        <w:rPr>
          <w:rFonts w:hint="cs"/>
          <w:rtl/>
        </w:rPr>
        <w:tab/>
        <w:t>تدفع للعمال، بموجب قانون المعاشات التقاعدية لعام 1980، معاشات تقاعدية بالاستناد إلى صيغة مقررة سلفا بصرف النظر عن نوع الجنس. وفي حال وفاة المتقاعد، تواصل أرملته وأطفاله قبض معاشه التقاعدي والعكس بالعكس. ويدفع المعاش التقاعدي مباشرة إلى الأرملة حتى بعد زواجها مرة ثانية وإلى الأطفال حتى بلوغهم سن الرشد.</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الألعاب الرياضية والترفيه</w:t>
      </w:r>
    </w:p>
    <w:p w:rsidR="00484A02" w:rsidRDefault="00484A02" w:rsidP="00484A02">
      <w:pPr>
        <w:pStyle w:val="SingleTxt"/>
        <w:rPr>
          <w:rFonts w:hint="cs"/>
          <w:rtl/>
        </w:rPr>
      </w:pPr>
      <w:r>
        <w:rPr>
          <w:rFonts w:hint="cs"/>
          <w:rtl/>
        </w:rPr>
        <w:t>296 -</w:t>
      </w:r>
      <w:r>
        <w:rPr>
          <w:rFonts w:hint="cs"/>
          <w:rtl/>
        </w:rPr>
        <w:tab/>
        <w:t>لا يوجد تمييز ضد المرأة من ناحية اشتراكها في الأنشطة الترفيهية أو الألعاب الرياضية أو أي ناحية أخرى من نواحي الحياة الثقافية. ففي القطاع العام، على سبيل المثال، يجوز للموظفين والموظفات على حد سواء من الفئة 1 تقديم طلب للحصول على معونة حكومية مقابل رسوم العضوية في النوادي الرياضية أو الترفيهية، عند الانضمام إليها.</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النتيجة</w:t>
      </w:r>
    </w:p>
    <w:p w:rsidR="00484A02" w:rsidRDefault="00484A02" w:rsidP="00484A02">
      <w:pPr>
        <w:pStyle w:val="SingleTxt"/>
        <w:rPr>
          <w:rFonts w:hint="cs"/>
          <w:rtl/>
        </w:rPr>
      </w:pPr>
      <w:r>
        <w:rPr>
          <w:rFonts w:hint="cs"/>
          <w:rtl/>
        </w:rPr>
        <w:t>297 -</w:t>
      </w:r>
      <w:r>
        <w:rPr>
          <w:rFonts w:hint="cs"/>
          <w:rtl/>
        </w:rPr>
        <w:tab/>
        <w:t>في الختام، ستتواصل الجهود الرامية إلى تحسين الرعاية الاجتماعية والقانونية والاقتصادية للمرأة في ماليزيا، بما فيها الجهود الرامية إلى تحسين دور المرأة في التنمية الاجتماعية والاقتصادية للبلد ورفع مكانتها ومساهمتها، وستنفذ تدابير لتهيئة بيئة إيجابية تراعي الفوارق بين الجنسين في القطاعين العام والخاص على السواء. وعلاوة على ذلك، سيتواصل بذل الجهود الرامية إلى معالجة وتغيير القوالب النمطية والمفاهيم السلبية السائدة عن دور المرأة وستوفر فرص تعليمية وتدريبية لتمكين عدد أكبر من النساء من الاشتراك على نحو أكثر فعالية في سوق العمل.</w:t>
      </w:r>
    </w:p>
    <w:p w:rsidR="00484A02" w:rsidRDefault="00484A02" w:rsidP="00484A02">
      <w:pPr>
        <w:pStyle w:val="SingleTxt"/>
        <w:rPr>
          <w:rFonts w:hint="cs"/>
          <w:rtl/>
        </w:rPr>
      </w:pPr>
      <w:r>
        <w:rPr>
          <w:rFonts w:hint="cs"/>
          <w:rtl/>
        </w:rPr>
        <w:t>298 -</w:t>
      </w:r>
      <w:r>
        <w:rPr>
          <w:rFonts w:hint="cs"/>
          <w:rtl/>
        </w:rPr>
        <w:tab/>
        <w:t>وستتواصل مراجعة القوانين بهدف زيادة تحسين النهوض بالمرأة. وبغية تثقيف المرأة وزيادة وعيها بحقوقها في ظل القوانين النافذة، ستواصل الحكومة، عن طريق وزارة شؤون المرأة وتنمية الأسرة وغيرها من الوكالات الحكومية، وبمساعدة من المنظمات غير الحكومية المعنية، تنظيم برامج لمحو الأمية القانونية عند المرأة.</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المادة 14</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الريفية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4A02" w:rsidRDefault="00484A02" w:rsidP="00484A02">
      <w:pPr>
        <w:pStyle w:val="SingleTxt"/>
        <w:rPr>
          <w:rFonts w:hint="eastAsia"/>
          <w:rtl/>
        </w:rPr>
      </w:pPr>
      <w:r>
        <w:rPr>
          <w:rFonts w:hint="cs"/>
          <w:rtl/>
        </w:rPr>
        <w:t>299 -</w:t>
      </w:r>
      <w:r>
        <w:rPr>
          <w:rFonts w:hint="cs"/>
          <w:rtl/>
        </w:rPr>
        <w:tab/>
        <w:t xml:space="preserve">تعرّف إدارة الإحصاءات في ماليزيا المناطق الريفية بأنها </w:t>
      </w:r>
      <w:r>
        <w:rPr>
          <w:rFonts w:hint="eastAsia"/>
          <w:rtl/>
        </w:rPr>
        <w:t xml:space="preserve">”جميع المناطق الأخرى الخاضعة </w:t>
      </w:r>
      <w:r>
        <w:rPr>
          <w:rFonts w:hint="cs"/>
          <w:rtl/>
        </w:rPr>
        <w:t>للسلطة المحلية المعلن عنها في الجريدة الرسمية التي يقل عدد سكانها عن 000 10 نسمة، والمناطق غير المعلن عنها في الجريدة الرسمية</w:t>
      </w:r>
      <w:r>
        <w:rPr>
          <w:rFonts w:hint="eastAsia"/>
          <w:rtl/>
        </w:rPr>
        <w:t>“.</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التنمية الاقتصادية</w:t>
      </w:r>
    </w:p>
    <w:p w:rsidR="00484A02" w:rsidRDefault="00484A02" w:rsidP="00484A02">
      <w:pPr>
        <w:pStyle w:val="SingleTxt"/>
        <w:rPr>
          <w:rFonts w:hint="cs"/>
          <w:rtl/>
        </w:rPr>
      </w:pPr>
      <w:r>
        <w:rPr>
          <w:rFonts w:hint="cs"/>
          <w:rtl/>
        </w:rPr>
        <w:t>300 -</w:t>
      </w:r>
      <w:r>
        <w:rPr>
          <w:rFonts w:hint="cs"/>
          <w:rtl/>
        </w:rPr>
        <w:tab/>
        <w:t>يعتبر متوسط دخل الأسرة المعيشية في المناطق الريفية أقل على وجه العموم من دخل الأسرة المعيشية في المناطق الحضرية على الرغم من أن القطاع الريفي يشكل 45 في المائة من مجموع القوة العاملة في ماليزيا. وقد بلغ معدل الدخل الريفي إلى الدخل الحضري 1 مقابل 1.98 في عام 1995. وأدت برامج التنمية الريفية التي نفذت في إطار الخطة الماليزية السابعة (1996-2000) إلى زيادة توسيع الفجوة إلى معدل 1 مقابل 2 (الجدول 14-1).</w:t>
      </w:r>
    </w:p>
    <w:p w:rsidR="00484A02" w:rsidRDefault="00484A02" w:rsidP="00484A02">
      <w:pPr>
        <w:pStyle w:val="SingleTxt"/>
        <w:rPr>
          <w:rFonts w:hint="cs"/>
          <w:rtl/>
        </w:rPr>
      </w:pPr>
      <w:r>
        <w:rPr>
          <w:rFonts w:hint="cs"/>
          <w:rtl/>
        </w:rPr>
        <w:t>301 -</w:t>
      </w:r>
      <w:r>
        <w:rPr>
          <w:rFonts w:hint="cs"/>
          <w:rtl/>
        </w:rPr>
        <w:tab/>
        <w:t>ويعتبر انتشار الفقر في المناطق الريفية مسألة تبعث على القلق. وعلى الرغم من انخفاض معدل الفقر فيها من 21.1 في المائة في عام 1990 إلى 15.3 في المائة في عام 1995، فما زال معدل الفقر أعلى من المناطق الحضرية حيث يبلغ 3.6 في المائة. ولما كان من المتوقع أن يبلغ معدل الفقر 10.3 في المائة (800 222 أسرة معيشية) في المناطق الريفية في عام 2000، فيبدو أن أسرة معيشية واحدة من بين كل 10 أسر في المناطق الريفية لا تزال تعيش دون مستوى الفقر. ومع ذلك فإن هذا الرقم يمثل تحسنا هائلا بالمقارنة مع الرقم المقابل له في عام 1970 الذي كان يبلغ أسرة معيشية واحدة من كل أسرتين (49.3 في المائة) من مجموع الأسر المعيشية في شبه جزيرة الملايو.</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 xml:space="preserve">الجدول 14-1: مؤشرات اقتصادية مختارة للمناطق الريفية في عام 1995 واستعراض منتصف المدة للخطة الماليزية السابعة </w:t>
      </w:r>
      <w:r>
        <w:rPr>
          <w:rtl/>
        </w:rPr>
        <w:t>–</w:t>
      </w:r>
      <w:r>
        <w:rPr>
          <w:rFonts w:hint="cs"/>
          <w:rtl/>
        </w:rPr>
        <w:t xml:space="preserve"> 1999</w:t>
      </w:r>
    </w:p>
    <w:p w:rsidR="00484A02" w:rsidRPr="0044489E"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845"/>
        <w:gridCol w:w="1751"/>
        <w:gridCol w:w="1724"/>
      </w:tblGrid>
      <w:tr w:rsidR="00484A02" w:rsidRPr="0044489E">
        <w:tblPrEx>
          <w:tblCellMar>
            <w:top w:w="0" w:type="dxa"/>
            <w:bottom w:w="0" w:type="dxa"/>
          </w:tblCellMar>
        </w:tblPrEx>
        <w:trPr>
          <w:cantSplit/>
          <w:tblHeader/>
        </w:trPr>
        <w:tc>
          <w:tcPr>
            <w:tcW w:w="3845" w:type="dxa"/>
            <w:tcBorders>
              <w:top w:val="single" w:sz="4" w:space="0" w:color="auto"/>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44489E">
              <w:rPr>
                <w:rFonts w:hint="cs"/>
                <w:i/>
                <w:iCs/>
                <w:sz w:val="16"/>
                <w:szCs w:val="24"/>
                <w:rtl/>
              </w:rPr>
              <w:t>المؤشرات</w:t>
            </w:r>
          </w:p>
        </w:tc>
        <w:tc>
          <w:tcPr>
            <w:tcW w:w="1751" w:type="dxa"/>
            <w:tcBorders>
              <w:top w:val="single" w:sz="4" w:space="0" w:color="auto"/>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4489E">
              <w:rPr>
                <w:rFonts w:hint="cs"/>
                <w:i/>
                <w:iCs/>
                <w:sz w:val="16"/>
                <w:szCs w:val="24"/>
                <w:rtl/>
              </w:rPr>
              <w:t>1995</w:t>
            </w:r>
          </w:p>
        </w:tc>
        <w:tc>
          <w:tcPr>
            <w:tcW w:w="1724" w:type="dxa"/>
            <w:tcBorders>
              <w:top w:val="single" w:sz="4" w:space="0" w:color="auto"/>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44489E">
              <w:rPr>
                <w:rFonts w:hint="cs"/>
                <w:i/>
                <w:iCs/>
                <w:sz w:val="16"/>
                <w:szCs w:val="24"/>
                <w:rtl/>
              </w:rPr>
              <w:t>1999</w:t>
            </w:r>
          </w:p>
        </w:tc>
      </w:tr>
      <w:tr w:rsidR="00484A02" w:rsidRPr="0044489E">
        <w:tblPrEx>
          <w:tblCellMar>
            <w:top w:w="0" w:type="dxa"/>
            <w:bottom w:w="0" w:type="dxa"/>
          </w:tblCellMar>
        </w:tblPrEx>
        <w:trPr>
          <w:cantSplit/>
          <w:trHeight w:hRule="exact" w:val="115"/>
          <w:tblHeader/>
        </w:trPr>
        <w:tc>
          <w:tcPr>
            <w:tcW w:w="3845" w:type="dxa"/>
            <w:tcBorders>
              <w:top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751" w:type="dxa"/>
            <w:tcBorders>
              <w:top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724" w:type="dxa"/>
            <w:tcBorders>
              <w:top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دخل الأسر المعيشية:</w:t>
            </w:r>
          </w:p>
        </w:tc>
        <w:tc>
          <w:tcPr>
            <w:tcW w:w="1751"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724"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متوسط الدخل</w:t>
            </w:r>
          </w:p>
        </w:tc>
        <w:tc>
          <w:tcPr>
            <w:tcW w:w="1751"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307.00 1 رينغيت</w:t>
            </w:r>
          </w:p>
        </w:tc>
        <w:tc>
          <w:tcPr>
            <w:tcW w:w="1724"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570.00 1 رينغيت</w:t>
            </w: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نمو الدخل</w:t>
            </w:r>
          </w:p>
        </w:tc>
        <w:tc>
          <w:tcPr>
            <w:tcW w:w="1751"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5.3 في المائة</w:t>
            </w:r>
          </w:p>
        </w:tc>
        <w:tc>
          <w:tcPr>
            <w:tcW w:w="1724"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9.6 في المائة</w:t>
            </w: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صافي معدل فرق الدخل بين المناطق الريفية والمناطق الحضرية</w:t>
            </w:r>
          </w:p>
        </w:tc>
        <w:tc>
          <w:tcPr>
            <w:tcW w:w="1751" w:type="dxa"/>
            <w:shd w:val="clear" w:color="auto" w:fill="auto"/>
          </w:tcPr>
          <w:p w:rsidR="00484A02" w:rsidRPr="0044489E"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1: 1.98</w:t>
            </w:r>
          </w:p>
        </w:tc>
        <w:tc>
          <w:tcPr>
            <w:tcW w:w="1724" w:type="dxa"/>
            <w:shd w:val="clear" w:color="auto" w:fill="auto"/>
          </w:tcPr>
          <w:p w:rsidR="00484A02" w:rsidRPr="0044489E"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1:2.0</w:t>
            </w: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معدل التحضر</w:t>
            </w:r>
          </w:p>
        </w:tc>
        <w:tc>
          <w:tcPr>
            <w:tcW w:w="1751"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54.8 في المائة</w:t>
            </w:r>
          </w:p>
        </w:tc>
        <w:tc>
          <w:tcPr>
            <w:tcW w:w="1724"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58.8 في المائة</w:t>
            </w:r>
          </w:p>
        </w:tc>
      </w:tr>
      <w:tr w:rsidR="00484A02" w:rsidRPr="0044489E">
        <w:tblPrEx>
          <w:tblCellMar>
            <w:top w:w="0" w:type="dxa"/>
            <w:bottom w:w="0" w:type="dxa"/>
          </w:tblCellMar>
        </w:tblPrEx>
        <w:trPr>
          <w:cantSplit/>
        </w:trPr>
        <w:tc>
          <w:tcPr>
            <w:tcW w:w="3845"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معدل الفقر</w:t>
            </w:r>
          </w:p>
        </w:tc>
        <w:tc>
          <w:tcPr>
            <w:tcW w:w="1751"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15.3 في المائة</w:t>
            </w:r>
          </w:p>
        </w:tc>
        <w:tc>
          <w:tcPr>
            <w:tcW w:w="1724" w:type="dxa"/>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10.9 في المائة</w:t>
            </w:r>
          </w:p>
        </w:tc>
      </w:tr>
      <w:tr w:rsidR="00484A02" w:rsidRPr="0044489E">
        <w:tblPrEx>
          <w:tblCellMar>
            <w:top w:w="0" w:type="dxa"/>
            <w:bottom w:w="0" w:type="dxa"/>
          </w:tblCellMar>
        </w:tblPrEx>
        <w:trPr>
          <w:cantSplit/>
        </w:trPr>
        <w:tc>
          <w:tcPr>
            <w:tcW w:w="3845" w:type="dxa"/>
            <w:tcBorders>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الفقر المدقع</w:t>
            </w:r>
          </w:p>
        </w:tc>
        <w:tc>
          <w:tcPr>
            <w:tcW w:w="1751" w:type="dxa"/>
            <w:tcBorders>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3.7 في المائة</w:t>
            </w:r>
          </w:p>
        </w:tc>
        <w:tc>
          <w:tcPr>
            <w:tcW w:w="1724" w:type="dxa"/>
            <w:tcBorders>
              <w:bottom w:val="single" w:sz="12" w:space="0" w:color="auto"/>
            </w:tcBorders>
            <w:shd w:val="clear" w:color="auto" w:fill="auto"/>
            <w:vAlign w:val="bottom"/>
          </w:tcPr>
          <w:p w:rsidR="00484A02" w:rsidRPr="0044489E"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2.5 في المائة</w:t>
            </w:r>
          </w:p>
        </w:tc>
      </w:tr>
    </w:tbl>
    <w:p w:rsidR="00484A02" w:rsidRPr="0044489E" w:rsidRDefault="00484A02" w:rsidP="00484A02">
      <w:pPr>
        <w:pStyle w:val="SingleTxt"/>
        <w:spacing w:after="0" w:line="120" w:lineRule="exact"/>
        <w:rPr>
          <w:rFonts w:hint="cs"/>
          <w:sz w:val="10"/>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الهياكل الأساسية وأسباب الراحة الاجتماعية</w:t>
      </w:r>
    </w:p>
    <w:p w:rsidR="00484A02" w:rsidRDefault="00484A02" w:rsidP="00484A02">
      <w:pPr>
        <w:pStyle w:val="SingleTxt"/>
        <w:rPr>
          <w:rFonts w:hint="cs"/>
          <w:rtl/>
        </w:rPr>
      </w:pPr>
      <w:r>
        <w:rPr>
          <w:rFonts w:hint="cs"/>
          <w:rtl/>
        </w:rPr>
        <w:t>[301 ]</w:t>
      </w:r>
      <w:r>
        <w:rPr>
          <w:rtl/>
        </w:rPr>
        <w:t>–</w:t>
      </w:r>
      <w:r>
        <w:rPr>
          <w:rFonts w:hint="cs"/>
          <w:rtl/>
        </w:rPr>
        <w:t xml:space="preserve"> وأدت برامج الهياكل الأساسية الريفية التي نفذت منذ الاستقلال إلى تحسين الأحوال المعيشية إلى حد كبير في المناطق الريفية. ففي عام 1995 كانت الكهرباء متاحة لـ 99 في المائة من الأسر الريفية في شبه جزيرة الملايو و لـ 65 في المائة في صباح و 67 في المائة في ساراواك؛ وكانت المياه المعالجة متاحة لـ 83 في المائة من الأسر المعيشية في شبه جزيرة الملايو و لـ 61 في المائة من الأسر المعيشية في صباح وساراواك. وبالإضافة إلى ذلك، كانت لدى سكان الأرياف أيضا طرق مرصوفة كان مجموعها في عام 1995 يعادل وسطيا طريقا بطول 1.5 كيلومتر مقابل كل كيلومتر مربع من الأراضي. </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نبذة وصفية عن سكان الريف</w:t>
      </w:r>
    </w:p>
    <w:p w:rsidR="00484A02" w:rsidRDefault="00484A02" w:rsidP="00484A02">
      <w:pPr>
        <w:pStyle w:val="SingleTxt"/>
        <w:rPr>
          <w:rFonts w:hint="cs"/>
          <w:rtl/>
        </w:rPr>
      </w:pPr>
      <w:r>
        <w:rPr>
          <w:rFonts w:hint="cs"/>
          <w:rtl/>
        </w:rPr>
        <w:t>302 -</w:t>
      </w:r>
      <w:r>
        <w:rPr>
          <w:rFonts w:hint="cs"/>
          <w:rtl/>
        </w:rPr>
        <w:tab/>
        <w:t>يشكل سكان الريف 38.01 في المائة من سكان ماليزيا (تعداد السكان لعام 2000). وتشكل المرأة 48.74 في المائة من سكان الريف. وأكبر شريحة سكانية هي الفئة العمرية من 10 إلى 19 سنة تليها الفئة العمرية من 20 إلى 29 سنة وتزيد نسبة المسنات عن نسبة المسنين بكثير في فئة كبار السن.</w:t>
      </w:r>
    </w:p>
    <w:p w:rsidR="00484A02" w:rsidRDefault="00484A02" w:rsidP="00484A02">
      <w:pPr>
        <w:pStyle w:val="SingleTxt"/>
        <w:rPr>
          <w:rFonts w:hint="cs"/>
          <w:rtl/>
        </w:rPr>
      </w:pPr>
      <w:r>
        <w:rPr>
          <w:rFonts w:hint="cs"/>
          <w:rtl/>
        </w:rPr>
        <w:t>303 -</w:t>
      </w:r>
      <w:r>
        <w:rPr>
          <w:rFonts w:hint="cs"/>
          <w:rtl/>
        </w:rPr>
        <w:tab/>
        <w:t>ومن ناحية الحالة الزواجية لسكان ماليزيا تبلغ نسبة غير المتزوجين منهم 56.91 في المائة ونسبة المتزوجين 39.64 في المائة ونسبة الأرامل والمطلقين والمفرَّقين 3.64 في المائة. وبلغ عدد الأرامل في ماليزيا في عام 2000، 757 678 شخصا منهم 81 في المائة من النساء في حين بلغ عدد المطلقين 520 125 شخصا منهم 74.98 في المائة من النساء. وعلى الرغم من عدم وجود بيانات خاصة بسكان الريف، يقدر أن نصف تلك الأرقام تمثل سكان الريف.</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محو الأمية</w:t>
      </w:r>
    </w:p>
    <w:p w:rsidR="00484A02" w:rsidRDefault="00484A02" w:rsidP="00484A02">
      <w:pPr>
        <w:pStyle w:val="SingleTxt"/>
        <w:rPr>
          <w:rFonts w:hint="cs"/>
          <w:rtl/>
        </w:rPr>
      </w:pPr>
      <w:r>
        <w:rPr>
          <w:rFonts w:hint="cs"/>
          <w:rtl/>
        </w:rPr>
        <w:t>304 -</w:t>
      </w:r>
      <w:r>
        <w:rPr>
          <w:rFonts w:hint="cs"/>
          <w:rtl/>
        </w:rPr>
        <w:tab/>
        <w:t>تحسن معدل محو الأمية بين النساء الريفيات من 58.6 في المائة في عام 1980 إلى 74 في المائة في عام 1991. وبالرغم من ذلك، يعتبر معدل محو الأمية بين النساء الريفيات منخفضا إذا قورن بالنساء الحضريات أو الرجال الحضريين، ككل. ويدخل هؤلاء الأميون على الأرجح في فئة كبار السن وسوف تنخفض هذه المعدلات مع تحسن الخدمات التعليمية.</w:t>
      </w:r>
    </w:p>
    <w:p w:rsidR="00484A02" w:rsidRPr="002439AE" w:rsidRDefault="00484A02" w:rsidP="00484A02">
      <w:pPr>
        <w:pStyle w:val="SingleTxt"/>
        <w:spacing w:after="0" w:line="120" w:lineRule="exact"/>
        <w:rPr>
          <w:rFonts w:hint="cs"/>
          <w:sz w:val="10"/>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الجدول 14-2: معدل محو الأمية في الأعوام 1970 و 1980 و 1991 و 1996 و 2000</w:t>
      </w:r>
    </w:p>
    <w:p w:rsidR="00484A02" w:rsidRPr="002439AE"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579"/>
        <w:gridCol w:w="1349"/>
        <w:gridCol w:w="1464"/>
        <w:gridCol w:w="1464"/>
        <w:gridCol w:w="1464"/>
      </w:tblGrid>
      <w:tr w:rsidR="00484A02" w:rsidRPr="002439AE">
        <w:tblPrEx>
          <w:tblCellMar>
            <w:top w:w="0" w:type="dxa"/>
            <w:bottom w:w="0" w:type="dxa"/>
          </w:tblCellMar>
        </w:tblPrEx>
        <w:trPr>
          <w:cantSplit/>
          <w:tblHeader/>
        </w:trPr>
        <w:tc>
          <w:tcPr>
            <w:tcW w:w="1579" w:type="dxa"/>
            <w:tcBorders>
              <w:top w:val="single" w:sz="4"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2439AE">
              <w:rPr>
                <w:rFonts w:hint="cs"/>
                <w:i/>
                <w:iCs/>
                <w:sz w:val="16"/>
                <w:szCs w:val="24"/>
                <w:rtl/>
              </w:rPr>
              <w:t>السنة</w:t>
            </w:r>
          </w:p>
        </w:tc>
        <w:tc>
          <w:tcPr>
            <w:tcW w:w="2813" w:type="dxa"/>
            <w:gridSpan w:val="2"/>
            <w:tcBorders>
              <w:top w:val="single" w:sz="4"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2439AE">
              <w:rPr>
                <w:rFonts w:hint="cs"/>
                <w:i/>
                <w:iCs/>
                <w:sz w:val="16"/>
                <w:szCs w:val="24"/>
                <w:rtl/>
              </w:rPr>
              <w:t>سكان الحضر (نسبة مئوية)</w:t>
            </w:r>
          </w:p>
        </w:tc>
        <w:tc>
          <w:tcPr>
            <w:tcW w:w="2928" w:type="dxa"/>
            <w:gridSpan w:val="2"/>
            <w:tcBorders>
              <w:top w:val="single" w:sz="4"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2439AE">
              <w:rPr>
                <w:rFonts w:hint="cs"/>
                <w:i/>
                <w:iCs/>
                <w:sz w:val="16"/>
                <w:szCs w:val="24"/>
                <w:rtl/>
              </w:rPr>
              <w:t>سكان الريف (نسبة مئوية</w:t>
            </w:r>
          </w:p>
        </w:tc>
      </w:tr>
      <w:tr w:rsidR="00484A02" w:rsidRPr="002439AE">
        <w:tblPrEx>
          <w:tblCellMar>
            <w:top w:w="0" w:type="dxa"/>
            <w:bottom w:w="0" w:type="dxa"/>
          </w:tblCellMar>
        </w:tblPrEx>
        <w:trPr>
          <w:cantSplit/>
          <w:tblHeader/>
        </w:trPr>
        <w:tc>
          <w:tcPr>
            <w:tcW w:w="1579"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after="80" w:line="240" w:lineRule="exact"/>
              <w:ind w:left="170" w:right="170"/>
              <w:rPr>
                <w:rFonts w:hint="cs"/>
                <w:i/>
                <w:iCs/>
                <w:sz w:val="16"/>
                <w:szCs w:val="24"/>
                <w:rtl/>
              </w:rPr>
            </w:pPr>
          </w:p>
        </w:tc>
        <w:tc>
          <w:tcPr>
            <w:tcW w:w="1349"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2439AE">
              <w:rPr>
                <w:rFonts w:hint="cs"/>
                <w:i/>
                <w:iCs/>
                <w:sz w:val="16"/>
                <w:szCs w:val="24"/>
                <w:rtl/>
              </w:rPr>
              <w:t>الذكور</w:t>
            </w: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2439AE">
              <w:rPr>
                <w:rFonts w:hint="cs"/>
                <w:i/>
                <w:iCs/>
                <w:sz w:val="16"/>
                <w:szCs w:val="24"/>
                <w:rtl/>
              </w:rPr>
              <w:t>الإناث</w:t>
            </w: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2439AE">
              <w:rPr>
                <w:rFonts w:hint="cs"/>
                <w:i/>
                <w:iCs/>
                <w:sz w:val="16"/>
                <w:szCs w:val="24"/>
                <w:rtl/>
              </w:rPr>
              <w:t>الذكور</w:t>
            </w: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2439AE">
              <w:rPr>
                <w:rFonts w:hint="cs"/>
                <w:i/>
                <w:iCs/>
                <w:sz w:val="16"/>
                <w:szCs w:val="24"/>
                <w:rtl/>
              </w:rPr>
              <w:t>الإناث</w:t>
            </w:r>
          </w:p>
        </w:tc>
      </w:tr>
      <w:tr w:rsidR="00484A02" w:rsidRPr="002439AE">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349" w:type="dxa"/>
            <w:tcBorders>
              <w:top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top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2439AE">
        <w:tblPrEx>
          <w:tblCellMar>
            <w:top w:w="0" w:type="dxa"/>
            <w:bottom w:w="0" w:type="dxa"/>
          </w:tblCellMar>
        </w:tblPrEx>
        <w:trPr>
          <w:cantSplit/>
        </w:trPr>
        <w:tc>
          <w:tcPr>
            <w:tcW w:w="157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1970</w:t>
            </w:r>
          </w:p>
        </w:tc>
        <w:tc>
          <w:tcPr>
            <w:tcW w:w="134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78.2</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57.7</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65.4</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42.4</w:t>
            </w:r>
          </w:p>
        </w:tc>
      </w:tr>
      <w:tr w:rsidR="00484A02" w:rsidRPr="002439AE">
        <w:tblPrEx>
          <w:tblCellMar>
            <w:top w:w="0" w:type="dxa"/>
            <w:bottom w:w="0" w:type="dxa"/>
          </w:tblCellMar>
        </w:tblPrEx>
        <w:trPr>
          <w:cantSplit/>
        </w:trPr>
        <w:tc>
          <w:tcPr>
            <w:tcW w:w="157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1980</w:t>
            </w:r>
          </w:p>
        </w:tc>
        <w:tc>
          <w:tcPr>
            <w:tcW w:w="134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88.0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74.2</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76.2</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58.6</w:t>
            </w:r>
          </w:p>
        </w:tc>
      </w:tr>
      <w:tr w:rsidR="00484A02" w:rsidRPr="002439AE">
        <w:tblPrEx>
          <w:tblCellMar>
            <w:top w:w="0" w:type="dxa"/>
            <w:bottom w:w="0" w:type="dxa"/>
          </w:tblCellMar>
        </w:tblPrEx>
        <w:trPr>
          <w:cantSplit/>
        </w:trPr>
        <w:tc>
          <w:tcPr>
            <w:tcW w:w="157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1991</w:t>
            </w:r>
          </w:p>
        </w:tc>
        <w:tc>
          <w:tcPr>
            <w:tcW w:w="134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94.0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86.0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86.0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74.0</w:t>
            </w:r>
          </w:p>
        </w:tc>
      </w:tr>
      <w:tr w:rsidR="00484A02" w:rsidRPr="002439AE">
        <w:tblPrEx>
          <w:tblCellMar>
            <w:top w:w="0" w:type="dxa"/>
            <w:bottom w:w="0" w:type="dxa"/>
          </w:tblCellMar>
        </w:tblPrEx>
        <w:trPr>
          <w:cantSplit/>
        </w:trPr>
        <w:tc>
          <w:tcPr>
            <w:tcW w:w="157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1996*</w:t>
            </w:r>
          </w:p>
        </w:tc>
        <w:tc>
          <w:tcPr>
            <w:tcW w:w="1349"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95.0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91.0</w:t>
            </w:r>
          </w:p>
        </w:tc>
        <w:tc>
          <w:tcPr>
            <w:tcW w:w="1464" w:type="dxa"/>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2439AE">
        <w:tblPrEx>
          <w:tblCellMar>
            <w:top w:w="0" w:type="dxa"/>
            <w:bottom w:w="0" w:type="dxa"/>
          </w:tblCellMar>
        </w:tblPrEx>
        <w:trPr>
          <w:cantSplit/>
        </w:trPr>
        <w:tc>
          <w:tcPr>
            <w:tcW w:w="1579"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2000</w:t>
            </w:r>
          </w:p>
        </w:tc>
        <w:tc>
          <w:tcPr>
            <w:tcW w:w="1349"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96.1</w:t>
            </w: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86.1</w:t>
            </w:r>
          </w:p>
        </w:tc>
        <w:tc>
          <w:tcPr>
            <w:tcW w:w="1464" w:type="dxa"/>
            <w:tcBorders>
              <w:bottom w:val="single" w:sz="12" w:space="0" w:color="auto"/>
            </w:tcBorders>
            <w:shd w:val="clear" w:color="auto" w:fill="auto"/>
            <w:vAlign w:val="bottom"/>
          </w:tcPr>
          <w:p w:rsidR="00484A02" w:rsidRPr="002439AE"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bl>
    <w:p w:rsidR="00484A02" w:rsidRPr="00E72E59" w:rsidRDefault="00484A02" w:rsidP="00484A02">
      <w:pPr>
        <w:pStyle w:val="SingleTxt"/>
        <w:spacing w:after="0" w:line="120" w:lineRule="exact"/>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تعداد السكان في أعوام 1970 و 1980 و 1991 و 2000.</w:t>
      </w: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r>
      <w:r>
        <w:rPr>
          <w:rFonts w:hint="cs"/>
          <w:rtl/>
        </w:rPr>
        <w:tab/>
        <w:t>المصدر: دراسة أجرتها المكتبة الوطنية في ماليزيا.</w:t>
      </w:r>
    </w:p>
    <w:p w:rsidR="00484A02" w:rsidRPr="00E72E59"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اشتراك المرأة الريفية في العمل</w:t>
      </w:r>
    </w:p>
    <w:p w:rsidR="00484A02" w:rsidRDefault="00484A02" w:rsidP="00484A02">
      <w:pPr>
        <w:pStyle w:val="SingleTxt"/>
        <w:rPr>
          <w:rFonts w:hint="cs"/>
          <w:rtl/>
        </w:rPr>
      </w:pPr>
      <w:r>
        <w:rPr>
          <w:rFonts w:hint="cs"/>
          <w:rtl/>
        </w:rPr>
        <w:t>305 -</w:t>
      </w:r>
      <w:r>
        <w:rPr>
          <w:rFonts w:hint="cs"/>
          <w:rtl/>
        </w:rPr>
        <w:tab/>
        <w:t>يمكن تحليل دور المرأة الريفية في الاقتصاد من منظورين هما: المنظور الرسمي (الاشتراك في قوة العمل) والمنظور غير الرسمي (أنشطة المشاريع الصغيرة). وفي عام 2000، شكلت المرأة الريفية 15.2 في المائة من مجموع القوة العاملة و 32.4 في المائة من قوة العمل الريفية. وفي عام 2000، شكلت المرأة الريفية 10.5 في المائة (100 006 1 امرأة) و</w:t>
      </w:r>
      <w:r>
        <w:rPr>
          <w:rFonts w:hint="eastAsia"/>
          <w:rtl/>
        </w:rPr>
        <w:t> </w:t>
      </w:r>
      <w:r>
        <w:rPr>
          <w:rFonts w:hint="cs"/>
          <w:rtl/>
        </w:rPr>
        <w:t>2.6 في المائة (200 246 امرأة) و 2.2 في المائة (400 212 امرأة) من مجموع القوة العاملة في شبه جزيرة الملايو وصباح وساراواك، على التوالي. وشكلت المرأة 22.3 في المائة و 5.4 و 4.7 في المائة من مجموع قوة العمل الريفية في شبه جزيرة الملايو وصباح وساراواك، على التوالي.</w:t>
      </w:r>
    </w:p>
    <w:p w:rsidR="00484A02" w:rsidRDefault="00484A02" w:rsidP="00484A02">
      <w:pPr>
        <w:pStyle w:val="SingleTxt"/>
      </w:pPr>
      <w:r>
        <w:rPr>
          <w:rFonts w:hint="cs"/>
          <w:rtl/>
        </w:rPr>
        <w:t>306 -</w:t>
      </w:r>
      <w:r>
        <w:rPr>
          <w:rFonts w:hint="cs"/>
          <w:rtl/>
        </w:rPr>
        <w:tab/>
        <w:t>وفي عام 2000، بلغت نسبة اشتراك المرأة الريفية في قوة العمل 43.8 في المائة وهي نسبة أقل نوعا ما من النسبة المئوية للمشاركة الإجمالية للمرأة في قوة العمل. والسبب الرئيسي الذي أعطته ثلاثة أرباع النساء غير المشتركات في قوة العمل هو العمل المنزلي. وتشير البحوث المتعلقة بأداء الأدوار داخل الأسر المعيشية الريفية أن المرأة سواء كانت مشتركة في قوة العمل أو غير مشتركة فيها تتولى مسؤولية إدارة شؤون الأسرة في حين يتفرغ الأزواج للتركيز على الأنشطة الاقتصادية. ويوضح الرسم البياني 14-1 أن غالبية النساء المشتركات في قوة العمل يعملن في صناعات قائمة على الزراعة تليها الصناعات التحويلية والخدمات المهنية والمبيعات.</w:t>
      </w:r>
      <w:r>
        <w:t xml:space="preserve"> </w:t>
      </w:r>
    </w:p>
    <w:p w:rsidR="00484A02" w:rsidRPr="00856758" w:rsidRDefault="00484A02" w:rsidP="00484A02">
      <w:pPr>
        <w:pStyle w:val="SingleTxt"/>
        <w:spacing w:after="0" w:line="120" w:lineRule="exact"/>
        <w:rPr>
          <w:sz w:val="10"/>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rPr>
        <w:t>الرسم البياني 14-1: توزيع اشتراك المرأة الريفية في قوة العمل، بحسب المهنة</w:t>
      </w: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p>
    <w:p w:rsidR="00484A02" w:rsidRDefault="00484A02" w:rsidP="00484A02">
      <w:pPr>
        <w:tabs>
          <w:tab w:val="left" w:pos="662"/>
          <w:tab w:val="left" w:pos="1267"/>
          <w:tab w:val="left" w:pos="1987"/>
          <w:tab w:val="left" w:pos="2650"/>
        </w:tabs>
        <w:jc w:val="lowKashida"/>
        <w:rPr>
          <w:rFonts w:hint="cs"/>
          <w:rtl/>
        </w:rPr>
      </w:pPr>
      <w:r>
        <w:rPr>
          <w:rtl/>
        </w:rPr>
        <w:object w:dxaOrig="9730" w:dyaOrig="6032">
          <v:shape id="_x0000_i1027" type="#_x0000_t75" style="width:486.75pt;height:301.5pt" o:ole="">
            <v:imagedata r:id="rId29" o:title=""/>
          </v:shape>
          <o:OLEObject Type="Embed" ProgID="MSGraph.Chart.8" ShapeID="_x0000_i1027" DrawAspect="Content" ObjectID="_1395246495" r:id="rId30">
            <o:FieldCodes>\s</o:FieldCodes>
          </o:OLEObject>
        </w:object>
      </w:r>
    </w:p>
    <w:p w:rsidR="00484A02" w:rsidRDefault="00484A02" w:rsidP="00484A02">
      <w:pPr>
        <w:pStyle w:val="SingleTxt"/>
        <w:pBdr>
          <w:top w:val="single" w:sz="4" w:space="1" w:color="auto"/>
          <w:left w:val="single" w:sz="4" w:space="31" w:color="auto"/>
          <w:bottom w:val="single" w:sz="4" w:space="1" w:color="auto"/>
          <w:right w:val="single" w:sz="4" w:space="0" w:color="auto"/>
        </w:pBdr>
      </w:pPr>
      <w:r>
        <w:rPr>
          <w:rFonts w:hint="cs"/>
          <w:rtl/>
        </w:rPr>
        <w:t xml:space="preserve">الخدمات المهنية </w:t>
      </w:r>
      <w:r>
        <w:rPr>
          <w:rFonts w:hint="cs"/>
          <w:rtl/>
        </w:rPr>
        <w:tab/>
      </w:r>
      <w:r>
        <w:t>P</w:t>
      </w:r>
      <w:r>
        <w:tab/>
      </w:r>
      <w:r>
        <w:rPr>
          <w:rFonts w:hint="cs"/>
          <w:rtl/>
        </w:rPr>
        <w:t>المبيعات</w:t>
      </w:r>
      <w:r>
        <w:rPr>
          <w:rFonts w:hint="cs"/>
          <w:rtl/>
        </w:rPr>
        <w:tab/>
        <w:t xml:space="preserve">  </w:t>
      </w:r>
      <w:r>
        <w:t>S</w:t>
      </w:r>
      <w:r>
        <w:tab/>
      </w:r>
      <w:r>
        <w:tab/>
      </w:r>
      <w:r>
        <w:rPr>
          <w:rFonts w:hint="cs"/>
          <w:rtl/>
        </w:rPr>
        <w:t>الز</w:t>
      </w:r>
      <w:r>
        <w:t>.</w:t>
      </w:r>
      <w:r>
        <w:rPr>
          <w:rFonts w:hint="cs"/>
          <w:rtl/>
        </w:rPr>
        <w:t xml:space="preserve">راعة   </w:t>
      </w:r>
      <w:r>
        <w:t>A</w:t>
      </w:r>
      <w:r>
        <w:tab/>
      </w:r>
      <w:r>
        <w:tab/>
      </w:r>
      <w:r>
        <w:rPr>
          <w:rFonts w:hint="cs"/>
          <w:rtl/>
        </w:rPr>
        <w:t xml:space="preserve">الصناعات التحويلية  </w:t>
      </w:r>
      <w:r>
        <w:t>M</w:t>
      </w:r>
    </w:p>
    <w:p w:rsidR="00484A02" w:rsidRDefault="00484A02" w:rsidP="00484A02">
      <w:pPr>
        <w:pStyle w:val="SingleTxt"/>
        <w:rPr>
          <w:rFonts w:hint="cs"/>
          <w:rtl/>
        </w:rPr>
      </w:pPr>
    </w:p>
    <w:p w:rsidR="00484A02" w:rsidRDefault="00484A02" w:rsidP="00484A02">
      <w:pPr>
        <w:pStyle w:val="SingleTxt"/>
        <w:rPr>
          <w:rFonts w:hint="cs"/>
          <w:rtl/>
        </w:rPr>
      </w:pPr>
      <w:r>
        <w:rPr>
          <w:rtl/>
        </w:rPr>
        <w:br w:type="page"/>
      </w:r>
      <w:r>
        <w:rPr>
          <w:rFonts w:hint="cs"/>
          <w:rtl/>
        </w:rPr>
        <w:t>307 -</w:t>
      </w:r>
      <w:r>
        <w:rPr>
          <w:rFonts w:hint="cs"/>
          <w:rtl/>
        </w:rPr>
        <w:tab/>
        <w:t>ومن ناحية وضع العمل، بلغت نسبة الريفيات العاملات دون أجر داخل نطاق الأسرة 19 في المائة في حين بلغت العاملات منهن لحسابهن الخاص نسبة 16.4 في المائة في عام 2000</w:t>
      </w:r>
    </w:p>
    <w:p w:rsidR="00484A02" w:rsidRDefault="00484A02" w:rsidP="00484A02">
      <w:pPr>
        <w:pStyle w:val="SingleTxt"/>
        <w:rPr>
          <w:rFonts w:hint="cs"/>
          <w:rtl/>
        </w:rPr>
      </w:pPr>
      <w:r>
        <w:rPr>
          <w:rFonts w:hint="cs"/>
          <w:rtl/>
        </w:rPr>
        <w:t>308 -</w:t>
      </w:r>
      <w:r>
        <w:rPr>
          <w:rFonts w:hint="cs"/>
          <w:rtl/>
        </w:rPr>
        <w:tab/>
        <w:t>وشكل العاملون دون أجر داخل نطاق الأسرة أعلى فئة بين الريفيات. إذ شكلت الريفيات نسبة 69.2 في المائة و 68 في المائة و 61.7 في المائة من مجموع العاملين دون أجر داخل نطاق الأسرة في شبه جزيرة الملايو وساراواك وصباح على التوالي في عام 2000.</w:t>
      </w:r>
    </w:p>
    <w:p w:rsidR="00484A02" w:rsidRDefault="00484A02" w:rsidP="00484A02">
      <w:pPr>
        <w:pStyle w:val="SingleTxt"/>
        <w:rPr>
          <w:rFonts w:hint="cs"/>
          <w:rtl/>
        </w:rPr>
      </w:pPr>
      <w:r>
        <w:rPr>
          <w:rFonts w:hint="cs"/>
          <w:rtl/>
        </w:rPr>
        <w:t>309 -</w:t>
      </w:r>
      <w:r>
        <w:rPr>
          <w:rFonts w:hint="cs"/>
          <w:rtl/>
        </w:rPr>
        <w:tab/>
        <w:t xml:space="preserve">وبالإضافة إلى اشتراك المرأة الريفية في قوة العمل، فهي نشيطة أيضا في المشاريع الصغيرة وغير ذلك من الأنشطة المدرة للدخل. وتشير البيانات المستمدة من وزارة الزراعة إلى أن عضوات مجموعة تقديم الخدمات الإرشادية للمرأة يُشغِّلن 175 1 مشروعا صغيرا وأنه تم تسجيل 27 مشروعا. وتشير تقديرات سلطة استصلاح الأراضي الاتحادية إلى أن حوالي 900 امرأة يشاركن في مشاريع مؤسسات صغيرة. وهناك أيضا 81 امرأة مستفيدة من برنامج المشاريع الحرة التابع لسلطة منظمات المزارعين. وفي عام 1997، قدمت المساعدة إلى 214 امرأة من صاحبات المشاريع الحرة بغية تمكينهن من تطوير مشاريعهن في إطار البرنامج القروي للتنمية البشرية التابع لسلطة منظمات المزارعين. </w:t>
      </w:r>
    </w:p>
    <w:p w:rsidR="00484A02" w:rsidRDefault="00484A02" w:rsidP="00484A02">
      <w:pPr>
        <w:pStyle w:val="SingleTxt"/>
        <w:rPr>
          <w:rFonts w:hint="cs"/>
          <w:rtl/>
        </w:rPr>
      </w:pPr>
      <w:r>
        <w:rPr>
          <w:rFonts w:hint="cs"/>
          <w:rtl/>
        </w:rPr>
        <w:t>310 -</w:t>
      </w:r>
      <w:r>
        <w:rPr>
          <w:rFonts w:hint="cs"/>
          <w:rtl/>
        </w:rPr>
        <w:tab/>
        <w:t>وتشير البيانات المستمدة من سلطة تنمية المزارع الصغيرة للصناعات المطاطية إلى أن 945 5 عضوة من مجموعة صاحبات المزارع الصغيرة يشاركن في مشاريع المؤسسات الصغيرة. ومن المحتمل أن يكون هناك عدد أكبر من النساء يشاركن حاليا في المشاريع الصغيرة ويساهمن إلى حد كبير في الوضع الاقتصادي لأسرهن.</w:t>
      </w:r>
    </w:p>
    <w:p w:rsidR="00484A02" w:rsidRDefault="00484A02" w:rsidP="00484A02">
      <w:pPr>
        <w:pStyle w:val="SingleTxt"/>
        <w:rPr>
          <w:rFonts w:hint="cs"/>
          <w:rtl/>
        </w:rPr>
      </w:pPr>
      <w:r>
        <w:rPr>
          <w:rFonts w:hint="cs"/>
          <w:rtl/>
        </w:rPr>
        <w:t>311 -</w:t>
      </w:r>
      <w:r>
        <w:rPr>
          <w:rFonts w:hint="cs"/>
          <w:rtl/>
        </w:rPr>
        <w:tab/>
        <w:t>ويوضح الجدول 14-3 توزيع العاملين في المهن الزراعية بحسب الجنس في عامي 1992 و 1995. ومن بين العاملات في قطاع الزراعة، يعمل ما يزيد على نصفهن في مجال الأشجار المثمرة وما إلى ذلك من أشجار وزراعة محاصيل الجنبات يليه مجال محاصيل الحقول وزراعة الخضروات. ويمكن ملاحظة ارتفاع معدل اشتراك النساء، بالمقارنة مع الرجال، في مجال محاصيل الحقول وزراعة الخضروات؛ وضآلة اشتراك النساء في تشغيل آلات المزارع. وهذا يشير إلى أن المرأة ما زالت تعمل في المهن التي تتطلب قدرا قليلا من المهارات ومستوى منخفضا من التكيف التكنولوجي.</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14-3: النسبة المئوية لتوزيع العاملين في مهن زراعية مختارة، بحسب نوع الجنس في ماليزيا في عامي 1992 و 1995</w:t>
      </w:r>
    </w:p>
    <w:p w:rsidR="00484A02" w:rsidRPr="00986DF9"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433"/>
        <w:gridCol w:w="1030"/>
        <w:gridCol w:w="1030"/>
        <w:gridCol w:w="927"/>
        <w:gridCol w:w="900"/>
      </w:tblGrid>
      <w:tr w:rsidR="00484A02" w:rsidRPr="00986DF9">
        <w:tblPrEx>
          <w:tblCellMar>
            <w:top w:w="0" w:type="dxa"/>
            <w:bottom w:w="0" w:type="dxa"/>
          </w:tblCellMar>
        </w:tblPrEx>
        <w:trPr>
          <w:cantSplit/>
          <w:tblHeader/>
        </w:trPr>
        <w:tc>
          <w:tcPr>
            <w:tcW w:w="3433" w:type="dxa"/>
            <w:tcBorders>
              <w:top w:val="single" w:sz="4"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986DF9">
              <w:rPr>
                <w:rFonts w:hint="cs"/>
                <w:i/>
                <w:iCs/>
                <w:sz w:val="16"/>
                <w:szCs w:val="24"/>
                <w:rtl/>
              </w:rPr>
              <w:t>المهنة</w:t>
            </w:r>
          </w:p>
        </w:tc>
        <w:tc>
          <w:tcPr>
            <w:tcW w:w="2060" w:type="dxa"/>
            <w:gridSpan w:val="2"/>
            <w:tcBorders>
              <w:top w:val="single" w:sz="4"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986DF9">
              <w:rPr>
                <w:rFonts w:hint="cs"/>
                <w:i/>
                <w:iCs/>
                <w:sz w:val="16"/>
                <w:szCs w:val="24"/>
                <w:rtl/>
              </w:rPr>
              <w:t>1992</w:t>
            </w:r>
          </w:p>
        </w:tc>
        <w:tc>
          <w:tcPr>
            <w:tcW w:w="1827" w:type="dxa"/>
            <w:gridSpan w:val="2"/>
            <w:tcBorders>
              <w:top w:val="single" w:sz="4"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986DF9">
              <w:rPr>
                <w:rFonts w:hint="cs"/>
                <w:i/>
                <w:iCs/>
                <w:sz w:val="16"/>
                <w:szCs w:val="24"/>
                <w:rtl/>
              </w:rPr>
              <w:t>1995</w:t>
            </w:r>
          </w:p>
        </w:tc>
      </w:tr>
      <w:tr w:rsidR="00484A02" w:rsidRPr="00986DF9">
        <w:tblPrEx>
          <w:tblCellMar>
            <w:top w:w="0" w:type="dxa"/>
            <w:bottom w:w="0" w:type="dxa"/>
          </w:tblCellMar>
        </w:tblPrEx>
        <w:trPr>
          <w:cantSplit/>
          <w:tblHeader/>
        </w:trPr>
        <w:tc>
          <w:tcPr>
            <w:tcW w:w="3433" w:type="dxa"/>
            <w:tcBorders>
              <w:bottom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after="80" w:line="240" w:lineRule="exact"/>
              <w:ind w:left="170" w:right="170"/>
              <w:rPr>
                <w:rFonts w:hint="cs"/>
                <w:i/>
                <w:iCs/>
                <w:sz w:val="16"/>
                <w:szCs w:val="24"/>
                <w:rtl/>
              </w:rPr>
            </w:pPr>
          </w:p>
        </w:tc>
        <w:tc>
          <w:tcPr>
            <w:tcW w:w="1030" w:type="dxa"/>
            <w:tcBorders>
              <w:bottom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986DF9">
              <w:rPr>
                <w:rFonts w:hint="cs"/>
                <w:i/>
                <w:iCs/>
                <w:sz w:val="16"/>
                <w:szCs w:val="24"/>
                <w:rtl/>
              </w:rPr>
              <w:t>الذكور</w:t>
            </w:r>
          </w:p>
        </w:tc>
        <w:tc>
          <w:tcPr>
            <w:tcW w:w="1030" w:type="dxa"/>
            <w:tcBorders>
              <w:bottom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986DF9">
              <w:rPr>
                <w:rFonts w:hint="cs"/>
                <w:i/>
                <w:iCs/>
                <w:sz w:val="16"/>
                <w:szCs w:val="24"/>
                <w:rtl/>
              </w:rPr>
              <w:t>الإناث</w:t>
            </w:r>
          </w:p>
        </w:tc>
        <w:tc>
          <w:tcPr>
            <w:tcW w:w="927" w:type="dxa"/>
            <w:tcBorders>
              <w:bottom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986DF9">
              <w:rPr>
                <w:rFonts w:hint="cs"/>
                <w:i/>
                <w:iCs/>
                <w:sz w:val="16"/>
                <w:szCs w:val="24"/>
                <w:rtl/>
              </w:rPr>
              <w:t>الذكور</w:t>
            </w:r>
          </w:p>
        </w:tc>
        <w:tc>
          <w:tcPr>
            <w:tcW w:w="900" w:type="dxa"/>
            <w:tcBorders>
              <w:bottom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986DF9">
              <w:rPr>
                <w:rFonts w:hint="cs"/>
                <w:i/>
                <w:iCs/>
                <w:sz w:val="16"/>
                <w:szCs w:val="24"/>
                <w:rtl/>
              </w:rPr>
              <w:t>الإناث</w:t>
            </w:r>
          </w:p>
        </w:tc>
      </w:tr>
      <w:tr w:rsidR="00484A02" w:rsidRPr="00986DF9">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030" w:type="dxa"/>
            <w:tcBorders>
              <w:top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030" w:type="dxa"/>
            <w:tcBorders>
              <w:top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927" w:type="dxa"/>
            <w:tcBorders>
              <w:top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900" w:type="dxa"/>
            <w:tcBorders>
              <w:top w:val="single" w:sz="12" w:space="0" w:color="auto"/>
            </w:tcBorders>
            <w:shd w:val="clear" w:color="auto" w:fill="auto"/>
            <w:vAlign w:val="bottom"/>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 xml:space="preserve">عمال عموميون في مزارع الأشجار </w:t>
            </w:r>
          </w:p>
        </w:tc>
        <w:tc>
          <w:tcPr>
            <w:tcW w:w="1030" w:type="dxa"/>
            <w:shd w:val="clear" w:color="auto" w:fill="auto"/>
            <w:vAlign w:val="bottom"/>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(73.2)</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0.2</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(26.8)</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(70.4)</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0.9</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(29.6)</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عمال حقول المحاصيل ومزارع الخضروات</w:t>
            </w:r>
          </w:p>
        </w:tc>
        <w:tc>
          <w:tcPr>
            <w:tcW w:w="1030" w:type="dxa"/>
            <w:shd w:val="clear" w:color="auto" w:fill="auto"/>
            <w:vAlign w:val="bottom"/>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(32.7)</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36.0</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(67.3*</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11.4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(33.9)</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34.8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(66.1)</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عمال الأشجار المثمرة وما إلى ذلك من أشجار وعمال محاصيل الجنبات</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60.7</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(54.7)</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59.4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(45.3)</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65.5</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(63.2)</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59.8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(36.8)</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عمال المداجن</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1.5</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(65.5)</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0.9</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(34.4)</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1.3</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(72.5)</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(27.5)</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عمال المشاتل والبساتنة</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(89.6)</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(10.6)</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13.3</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(89.9)</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2.3</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(10.1)</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مشغلو الآلات الزراعية</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2.8</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(99.3)</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0.0</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(0.7)</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(98.6)</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0.1</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w:t>
            </w:r>
          </w:p>
        </w:tc>
      </w:tr>
      <w:tr w:rsidR="00484A02" w:rsidRPr="00986DF9">
        <w:tblPrEx>
          <w:tblCellMar>
            <w:top w:w="0" w:type="dxa"/>
            <w:bottom w:w="0" w:type="dxa"/>
          </w:tblCellMar>
        </w:tblPrEx>
        <w:trPr>
          <w:cantSplit/>
        </w:trPr>
        <w:tc>
          <w:tcPr>
            <w:tcW w:w="3433" w:type="dxa"/>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عمال الزراعة ورعاية الحيوانات الداجنة، غير المشمولين بتصنيف آخر</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5.0</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(92.0)</w:t>
            </w:r>
          </w:p>
        </w:tc>
        <w:tc>
          <w:tcPr>
            <w:tcW w:w="103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1.4</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(8.0)</w:t>
            </w:r>
          </w:p>
        </w:tc>
        <w:tc>
          <w:tcPr>
            <w:tcW w:w="927"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4.7</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(8.4)</w:t>
            </w:r>
          </w:p>
        </w:tc>
        <w:tc>
          <w:tcPr>
            <w:tcW w:w="900" w:type="dxa"/>
            <w:shd w:val="clear" w:color="auto" w:fill="auto"/>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1.2</w:t>
            </w:r>
          </w:p>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(11.6)</w:t>
            </w:r>
          </w:p>
        </w:tc>
      </w:tr>
      <w:tr w:rsidR="00484A02" w:rsidRPr="00986DF9">
        <w:tblPrEx>
          <w:tblCellMar>
            <w:top w:w="0" w:type="dxa"/>
            <w:bottom w:w="0" w:type="dxa"/>
          </w:tblCellMar>
        </w:tblPrEx>
        <w:trPr>
          <w:cantSplit/>
        </w:trPr>
        <w:tc>
          <w:tcPr>
            <w:tcW w:w="3433" w:type="dxa"/>
            <w:tcBorders>
              <w:bottom w:val="single" w:sz="12" w:space="0" w:color="auto"/>
            </w:tcBorders>
            <w:shd w:val="clear" w:color="auto" w:fill="auto"/>
            <w:vAlign w:val="bottom"/>
          </w:tcPr>
          <w:p w:rsidR="00484A02"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المجموع</w:t>
            </w:r>
          </w:p>
        </w:tc>
        <w:tc>
          <w:tcPr>
            <w:tcW w:w="1030" w:type="dxa"/>
            <w:tcBorders>
              <w:bottom w:val="single" w:sz="12" w:space="0" w:color="auto"/>
            </w:tcBorders>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p>
        </w:tc>
        <w:tc>
          <w:tcPr>
            <w:tcW w:w="1030" w:type="dxa"/>
            <w:tcBorders>
              <w:bottom w:val="single" w:sz="12" w:space="0" w:color="auto"/>
            </w:tcBorders>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p>
        </w:tc>
        <w:tc>
          <w:tcPr>
            <w:tcW w:w="927" w:type="dxa"/>
            <w:tcBorders>
              <w:bottom w:val="single" w:sz="12" w:space="0" w:color="auto"/>
            </w:tcBorders>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p>
        </w:tc>
        <w:tc>
          <w:tcPr>
            <w:tcW w:w="900" w:type="dxa"/>
            <w:tcBorders>
              <w:bottom w:val="single" w:sz="12" w:space="0" w:color="auto"/>
            </w:tcBorders>
            <w:shd w:val="clear" w:color="auto" w:fill="auto"/>
          </w:tcPr>
          <w:p w:rsidR="00484A02" w:rsidRPr="00986DF9"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100</w:t>
            </w:r>
          </w:p>
        </w:tc>
      </w:tr>
    </w:tbl>
    <w:p w:rsidR="00484A02" w:rsidRPr="00986DF9" w:rsidRDefault="00484A02" w:rsidP="00484A02">
      <w:pPr>
        <w:pStyle w:val="SingleTxt"/>
        <w:spacing w:after="0" w:line="120" w:lineRule="exact"/>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 )</w:t>
      </w:r>
      <w:r>
        <w:rPr>
          <w:rFonts w:hint="cs"/>
          <w:rtl/>
        </w:rPr>
        <w:tab/>
      </w:r>
      <w:r>
        <w:rPr>
          <w:rFonts w:hint="cs"/>
          <w:rtl/>
        </w:rPr>
        <w:tab/>
        <w:t>الأرقام المدرجة داخل القوسين المعقوفين أعلاه تمثل النسبة المئوية من مجموع كل فئة مهنية في كل سنة.</w:t>
      </w:r>
    </w:p>
    <w:p w:rsidR="00484A02" w:rsidRPr="003E53A1"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SingleTxt"/>
        <w:rPr>
          <w:rFonts w:hint="cs"/>
          <w:rtl/>
        </w:rPr>
      </w:pPr>
      <w:r>
        <w:rPr>
          <w:rFonts w:hint="cs"/>
          <w:rtl/>
        </w:rPr>
        <w:t>312 -</w:t>
      </w:r>
      <w:r>
        <w:rPr>
          <w:rFonts w:hint="cs"/>
          <w:rtl/>
        </w:rPr>
        <w:tab/>
        <w:t>تتوافر بيانات عن دور المرأة في الزراعة وبخاصة في الزراعة، متعددة المحاصيل من دراسة أجريت في عام 1990 وشملت 180 أسرة في جيلوبو في ولاية نيغيري سيمبيلان. وقامت النساء، والغالبية العظمى منهن من الزوجات، بأداء أعمال رئيسية وتقاسم المسؤولية في جميع مراحل زراعة المحاصيل الرئيسية (الأرز والمطاط والكاكاو والمحاصيل النقدية) بدءا من مرحلة تحضير الأرض وانتهاء بمرحلة تسويق المحاصيل.</w:t>
      </w:r>
    </w:p>
    <w:p w:rsidR="00484A02" w:rsidRDefault="00484A02" w:rsidP="00484A02">
      <w:pPr>
        <w:pStyle w:val="SingleTxt"/>
        <w:rPr>
          <w:rFonts w:hint="cs"/>
          <w:rtl/>
        </w:rPr>
      </w:pPr>
      <w:r>
        <w:rPr>
          <w:rFonts w:hint="cs"/>
          <w:rtl/>
        </w:rPr>
        <w:t>313 -</w:t>
      </w:r>
      <w:r>
        <w:rPr>
          <w:rFonts w:hint="cs"/>
          <w:rtl/>
        </w:rPr>
        <w:tab/>
        <w:t>وعلى نقيض المناطق الغنية بالأرز في ماليزيا حيث يوجد تقسيم متميز لمهام العمل بين الرجل والمرأة في مزارع الأرز يتضح تقسيم المهام بين المرأة والرجل في جيلوبو بجلاء أكبر، وبخاصة في عمليات الحصاد ودرس الحنطة ونقل الغراس والرزم. فقد أجاب 60 في المائة من النساء المشمولات بالدراسة أنهن تقاسمن مع أزواجهن مهام الحصاد في حين تقاسمت 59 في المائة منهن مهام درس الحنطة مع أزواجهن. غير أن نسبة كبيرة من المجيبات على الدراسة قمن بعمليات تحضير الشتلات ونقل الأغراس والتعشيب والتذرية والتجفيف دون أي مساعدة من أقربائهم الذكور في حين صرف الأزواج معظم وقتهم في أنشطة تحضير الأرض وتنقيتها. كما تأكد تقاسم المهام بين الأزواج والزوجات في بعض أنشطة زراعة الأرز من خلال بيانات استغلال الوقت.</w:t>
      </w:r>
    </w:p>
    <w:p w:rsidR="00484A02" w:rsidRDefault="00484A02" w:rsidP="00484A02">
      <w:pPr>
        <w:pStyle w:val="SingleTxt"/>
        <w:rPr>
          <w:rFonts w:hint="cs"/>
          <w:rtl/>
        </w:rPr>
      </w:pPr>
      <w:r>
        <w:rPr>
          <w:rFonts w:hint="cs"/>
          <w:rtl/>
        </w:rPr>
        <w:t>314 -</w:t>
      </w:r>
      <w:r>
        <w:rPr>
          <w:rFonts w:hint="cs"/>
          <w:rtl/>
        </w:rPr>
        <w:tab/>
        <w:t>وينطبق القول ذاته على زراعة الكاكاو وبزل عصارة أشجار المطاط وزراعة المحاصيل النقدية. إذ يقضي الزوج والزوجة بصفة عامة نفس الوقت أو يقومان بنفس العمل في المراحل الأولى من الزراعة باستثناء صيانة المحصول التي تتولاها المرأة أساسا. ويتولى معظم الأزواج بأنفسهم، دون زوجاتهم، عمليات التسويق والبيع وتجهيز الأرض ورش السماد والتعشيب ورش المبيدات الحشرية. وفي زراعة المحاصيل النقدية التي تشمل زراعة الموز والأناناس وقصب السكر، يأتي معظم اليد العاملة من أفراد الأسرة، بمن فيهم النساء. ويأخذ عدد كبير من الرجال على عاتقهم مسؤولية أداء مختلف المهام التي تنطوي عليها زراعة وإنتاج المحاصيل النقدية، بالمقارنة مع غيرها من المحاصيل. وعلى النقيض من ذلك، تشارك المرأة على الأغلب في غرس النباتات على نطاق صغير في إطار أنشطة الإنتاج المنزلي. وعلى الرغم من عدم وجود تمييز واضح ضد الريفيات، لا بد من بذل جهود لتحسين أدوارهن في المنزل وفي مكان العمل على السواء. وينبغي اختراع آلات ملائمة للمرأة لتحسين دورها في مكان العمل.</w:t>
      </w:r>
    </w:p>
    <w:p w:rsidR="00484A02" w:rsidRDefault="00484A02" w:rsidP="00484A02">
      <w:pPr>
        <w:pStyle w:val="SingleTxt"/>
        <w:rPr>
          <w:rFonts w:hint="cs"/>
          <w:rtl/>
        </w:rPr>
      </w:pPr>
      <w:r>
        <w:rPr>
          <w:rFonts w:hint="cs"/>
          <w:rtl/>
        </w:rPr>
        <w:t>315 -</w:t>
      </w:r>
      <w:r>
        <w:rPr>
          <w:rFonts w:hint="cs"/>
          <w:rtl/>
        </w:rPr>
        <w:tab/>
        <w:t>وتعتبر المرأة المساهم الرئيسي في القوة العاملة في الصناعات التحويلية والقطاع الصناعي. وهذا العمل يتطلب من المرأة العمل في مناوبات أو في ساعات عمل غير نظامية في المصانع أو المناطق الصناعية البعيدة عن منازلهن وأسرهن.</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المرأة في تخطيط التنمية</w:t>
      </w:r>
    </w:p>
    <w:p w:rsidR="00484A02" w:rsidRDefault="00484A02" w:rsidP="00484A02">
      <w:pPr>
        <w:pStyle w:val="SingleTxt"/>
        <w:rPr>
          <w:rFonts w:hint="cs"/>
          <w:rtl/>
        </w:rPr>
      </w:pPr>
      <w:r>
        <w:rPr>
          <w:rFonts w:hint="cs"/>
          <w:rtl/>
        </w:rPr>
        <w:t>316 -</w:t>
      </w:r>
      <w:r>
        <w:rPr>
          <w:rFonts w:hint="cs"/>
          <w:rtl/>
        </w:rPr>
        <w:tab/>
        <w:t>يعتبر اشتراك المرأة الريفية في عملية صنع القرار على جميع مستويات تخطيط السياسات والبرامج أمرا بالغ الأهمية لكفالة معالجة احتياجاتهن وإتاحة الفرصة لهن ليكن شركاء في التنمية.</w:t>
      </w:r>
    </w:p>
    <w:p w:rsidR="00484A02" w:rsidRDefault="00484A02" w:rsidP="00484A02">
      <w:pPr>
        <w:pStyle w:val="SingleTxt"/>
        <w:rPr>
          <w:rFonts w:hint="cs"/>
          <w:rtl/>
        </w:rPr>
      </w:pPr>
      <w:r>
        <w:rPr>
          <w:rFonts w:hint="cs"/>
          <w:rtl/>
        </w:rPr>
        <w:t>317 -</w:t>
      </w:r>
      <w:r>
        <w:rPr>
          <w:rFonts w:hint="cs"/>
          <w:rtl/>
        </w:rPr>
        <w:tab/>
        <w:t>وتشير البيانات الحالية إلى أن عددا قليلا من النساء يشاركن في صنع القرار على مستوى المقاطعة أو المستوى الأعلى من ذلك. ومن شأن تحسين اشتراك المرأة في تيار التنمية الرئيسي أن يتيح لها فرصا وإمكانيات أكبر لاتخاذ قرارات وإدارة مواردهن والاعتماد على أنفسهن. وقد تبين أن أفضل طريقة أمام المرأة لتحقيق ذلك هي من خلال الاشتراك في المجموعات النسائية.</w:t>
      </w:r>
    </w:p>
    <w:p w:rsidR="00484A02" w:rsidRDefault="00484A02" w:rsidP="00484A02">
      <w:pPr>
        <w:pStyle w:val="SingleTxt"/>
        <w:rPr>
          <w:rFonts w:hint="cs"/>
          <w:rtl/>
        </w:rPr>
      </w:pPr>
      <w:r>
        <w:rPr>
          <w:rFonts w:hint="cs"/>
          <w:rtl/>
        </w:rPr>
        <w:t>318 -</w:t>
      </w:r>
      <w:r>
        <w:rPr>
          <w:rFonts w:hint="cs"/>
          <w:rtl/>
        </w:rPr>
        <w:tab/>
        <w:t>وفي عام 1994، سُجِّلت 250 منظمة نسائية لدى مسجل الجمعيات، 150 منها ناشطة جدا. غير أن عددا كبيرا من تلك المنظمات موجود في المناطق الحضرية. وتبذل الوكالات الحكومية وشبه الحكومية جهودا لتعبئة الريفيات عن طريق المجموعات النسائية. وفي عام 1994، كان لدى وزارة الزراعة أعلى عدد من المنظمات النسائية القروية تضم 146 1 مجموعة لتقديم الخدمات الإرشادية للمرأة ويبلغ عدد العضوات فيها 192 32 عضوة. وكان لدى سلطة استصلاح الأراضي الاتحادية 324 جمعية نسائية يبلغ عدد العضوات فيها 000 113 عضوة.</w:t>
      </w:r>
    </w:p>
    <w:p w:rsidR="00484A02" w:rsidRDefault="00484A02" w:rsidP="00484A02">
      <w:pPr>
        <w:pStyle w:val="SingleTxt"/>
        <w:rPr>
          <w:rFonts w:hint="cs"/>
          <w:rtl/>
        </w:rPr>
      </w:pPr>
      <w:r>
        <w:rPr>
          <w:rFonts w:hint="cs"/>
          <w:rtl/>
        </w:rPr>
        <w:t>319 -</w:t>
      </w:r>
      <w:r>
        <w:rPr>
          <w:rFonts w:hint="cs"/>
          <w:rtl/>
        </w:rPr>
        <w:tab/>
        <w:t>وباستثناء سلطة استصلاح الأراضي الاتحادية، لا تُمثَّل المنظمات النسائية الريفية إلا على مستوى القرية عادة مما يحد من قدرة تلك المنظمات على دراسة وتمثيل الاحتياجات والقضايا التي تهم عضواتها على الصعيدين الوطني والعالمي. وفي سلطة استصلاح الأراضي الاتحادية، تشتغل الحركة النسائية (جيركان بريستوان ونيتا) على صعيد الخطة (القرية)، ولكن يوجد ممثلون عنها على صعيد المنطقة والصعيد الوطني. ويمكن القول، في هذا السياق، أن المرأة في سلطة استصلاح الأراضي الاتحادية تحظى بوضع أفضل في ضوء اختيار 13 من القياديات الريفيات ليصبحن عضوات في مجالس بعض الشركات التابعة للمصلحة. وعلاوة على ذلك، يفوق عدد عضوات اللجنة الاستشارية للمزارعين عدد الأعضاء الرجال فيها (15 امرأة و 13 رجلا).</w:t>
      </w:r>
    </w:p>
    <w:p w:rsidR="00484A02" w:rsidRDefault="00484A02" w:rsidP="00484A02">
      <w:pPr>
        <w:pStyle w:val="SingleTxt"/>
        <w:rPr>
          <w:rFonts w:hint="cs"/>
          <w:rtl/>
        </w:rPr>
      </w:pPr>
      <w:r>
        <w:rPr>
          <w:rFonts w:hint="cs"/>
          <w:rtl/>
        </w:rPr>
        <w:t>320 -</w:t>
      </w:r>
      <w:r>
        <w:rPr>
          <w:rFonts w:hint="cs"/>
          <w:rtl/>
        </w:rPr>
        <w:tab/>
        <w:t xml:space="preserve">وأفضت الجهود الرامية إلى استغلال الأنشطة الزراعية تجاريا إلى إنشاء تعاونيات ومنظمات للمزارعين ومزارع جماعية. غير أن مشاركة المرأة في عمليات صنع القرار في هذه الهيئات ما زالت منخفضة جدا. وفي عام 1996، شكلت المرأة 21 في المائة بين عدد أعضاء منظمات المزارعين على مستوى المنطقة لكنها شكلت 6 في المائة فقط من أعضاء مجلس المديرين البالغ عددهم 010 2 أعضاء. وبالإضافة إلى ذلك، فإن غالبية العضوات في مجلس المديرين لا يمثلن سوى مجموعات أو تعاونيات المزارعات. وفي مشاريع المزارع الجماعية التي تنفذها وزارة الزراعة والتي كان يبلغ عددها 072 3 مشروعا في عام 1997، لم يتجاوز تمثيل المرأة فيها نسبة 4 في المائة تقريبا على الرغم من أن المزارعات يمثلن 18 في المائة من المزارعين. </w:t>
      </w:r>
    </w:p>
    <w:p w:rsidR="00484A02" w:rsidRDefault="00484A02" w:rsidP="00484A02">
      <w:pPr>
        <w:pStyle w:val="SingleTxt"/>
        <w:rPr>
          <w:rFonts w:hint="cs"/>
          <w:rtl/>
        </w:rPr>
      </w:pPr>
      <w:r>
        <w:rPr>
          <w:rFonts w:hint="cs"/>
          <w:rtl/>
        </w:rPr>
        <w:t>321 -</w:t>
      </w:r>
      <w:r>
        <w:rPr>
          <w:rFonts w:hint="cs"/>
          <w:rtl/>
        </w:rPr>
        <w:tab/>
        <w:t>وفيما يتعلق بطرق اشتراك المرأة، تحتكر المرأة الريفية القيادة في المنظمات المقصورة عضويتها على النساء، وهي منظمات تتسم أساسا بطابع اجتماعي وخيري. وما دام الحال على هذا النحو، فإن قدرة القياديات على صنع القرار الخاص بالمشاركة الاقتصادية ومراقبة الموارد وتخطيط الأنشطة الرئيسية، ولا سيما في سياق تنمية القرى، قدرة محدودة النطاق وغالبا ما يعهد إلى القياديات مسؤولية تحضير الطعام والشراب في المناسبات الاحتفالية ويفقدن، بصفة عامة، فرصة الحصول على المعلومات والمعارف الهامة اللازمة لصنع القرار على نحو فعال.</w:t>
      </w:r>
    </w:p>
    <w:p w:rsidR="00484A02" w:rsidRDefault="00484A02" w:rsidP="00484A02">
      <w:pPr>
        <w:pStyle w:val="SingleTxt"/>
        <w:rPr>
          <w:rFonts w:hint="cs"/>
          <w:rtl/>
        </w:rPr>
      </w:pPr>
      <w:r>
        <w:rPr>
          <w:rFonts w:hint="cs"/>
          <w:rtl/>
        </w:rPr>
        <w:t>322 -</w:t>
      </w:r>
      <w:r>
        <w:rPr>
          <w:rFonts w:hint="cs"/>
          <w:rtl/>
        </w:rPr>
        <w:tab/>
        <w:t>وعلى الساحة السياسية، كانت المرأة الريفية دائما مناصرا رئيسيا للأحزاب السياسية. غير أن مشاركة المرأة في هيئات صنع القرار ومختلف الأحزاب السياسية تعتبر مشاركة ضئيلة بالمقارنة مع أعدادهن في تلك الهيئات. وتميل الغالبية العظمى من الريفيات إلى ممارسة دور التابع لا القائد. ويمكن أن يعزى هذا الأمر جزئيا إلى الحواجز الثقافية أمام استقلال المرأة والدور التقليدي أو النمطي لكل من الجنسين في المجتمعات الريفية.</w:t>
      </w:r>
    </w:p>
    <w:p w:rsidR="00484A02" w:rsidRDefault="00484A02" w:rsidP="00484A02">
      <w:pPr>
        <w:pStyle w:val="SingleTxt"/>
        <w:rPr>
          <w:rFonts w:hint="cs"/>
          <w:rtl/>
        </w:rPr>
      </w:pPr>
      <w:r>
        <w:rPr>
          <w:rFonts w:hint="cs"/>
          <w:rtl/>
        </w:rPr>
        <w:t>323 -</w:t>
      </w:r>
      <w:r>
        <w:rPr>
          <w:rFonts w:hint="cs"/>
          <w:rtl/>
        </w:rPr>
        <w:tab/>
        <w:t>ومن المسائل الآخذة في الظهور في ماليزيا ارتفاع عدد الأسر المعيشية التي ترأسها أنثى. ويشير تعداد السكان لعام 1991 إلى أن 18.2 في المائة من الأسر المعيشية الريفية في ماليزيا ترأسها أنثى. وتوضح دراسة استقصائية لقوة العمل أجريت في عام 1996 أن 13.5 في المائة من الأسر المعيشية ترأسها أنثى. وعلى الرغم من أن هذا الرقم أقل من نسبة 18.2 في المائة التي سجلها تعداد السكان لعام 1991، فإن العدد الإجمالي للأسر المعيشية التي ترأسها أنثى في ماليزيا قد ارتفع من 200 607 في عام 1990 إلى 400 689 في عام 1996.</w:t>
      </w:r>
    </w:p>
    <w:p w:rsidR="00484A02" w:rsidRDefault="00484A02" w:rsidP="00484A02">
      <w:pPr>
        <w:pStyle w:val="SingleTxt"/>
        <w:rPr>
          <w:rFonts w:hint="cs"/>
          <w:rtl/>
        </w:rPr>
      </w:pPr>
      <w:r>
        <w:rPr>
          <w:rFonts w:hint="cs"/>
          <w:rtl/>
        </w:rPr>
        <w:t>324 -</w:t>
      </w:r>
      <w:r>
        <w:rPr>
          <w:rFonts w:hint="cs"/>
          <w:rtl/>
        </w:rPr>
        <w:tab/>
        <w:t>وتتسم الأسر المعيشية التي ترأسها أنثى في المناطق الريفية بكون أفرادها من كبار السن بالمقارنة مع الأسر المعيشية التي يرأسها رجل، وربما يعزى ذلك إلى أن العمر المتوقع للمرأة أطول من العمر المتوقع للرجل وغالبا ما تعمر الزوجات أكثر من أزواجهن. وتشير دراسة أجريت في عام 1995 بين 300 1 أسرة معيشية ترأسها أنثى إلى أن ثلثي النساء اللائي أجريت معهن مقابلات كن من الأرامل، وتتفق النتيجة التي توصلت إليها الدراسة مع البيانات التي توصل إليها تعداد السكان. وثمة عامل آخر أفضى إلى زيادة عدد الأسر المعيشية التي ترأسها أنثى هو هجرة الرجال للبحث عمل أفضل خارج القرى.</w:t>
      </w:r>
    </w:p>
    <w:p w:rsidR="00484A02" w:rsidRDefault="00484A02" w:rsidP="00484A02">
      <w:pPr>
        <w:pStyle w:val="SingleTxt"/>
        <w:rPr>
          <w:rFonts w:hint="cs"/>
          <w:rtl/>
        </w:rPr>
      </w:pPr>
      <w:r>
        <w:rPr>
          <w:rFonts w:hint="cs"/>
          <w:rtl/>
        </w:rPr>
        <w:t>325 -</w:t>
      </w:r>
      <w:r>
        <w:rPr>
          <w:rFonts w:hint="cs"/>
          <w:rtl/>
        </w:rPr>
        <w:tab/>
        <w:t>وبغية زيادة اشتراك المرأة الريفية في مستوى صنع القرار، اضطلعت وكالات مختلفة من قبيل إدارة تطوير شؤون المرأة ووزارة التنمية الريفية وإدارة الزراعة بدورات تدريبية لبناء قدرات أو مهارات المرأة الريفية وتحسين إمكانية حصولهن على المعارف، ولا سيما محو الأمية في مجالات المعلومات والتكنولوجيا والاتصالات وتوفير الحوافز لهن وزيادة قدرتهن القيادية. كما أجرت إدارة تطوير شؤون المرأة ومعهد الإدارة العامة دورات لصناع السياسة ومنفذي البرامج والقادة المجتمعيين لتوعيتهم بالفوارق بين الجنسين.</w:t>
      </w:r>
    </w:p>
    <w:p w:rsidR="00484A02" w:rsidRDefault="00484A02" w:rsidP="00484A02">
      <w:pPr>
        <w:pStyle w:val="SingleTxt"/>
        <w:rPr>
          <w:rFonts w:hint="cs"/>
          <w:rtl/>
        </w:rPr>
      </w:pP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الوضع الصحي للمرأة الريفية</w:t>
      </w:r>
    </w:p>
    <w:p w:rsidR="00484A02" w:rsidRDefault="00484A02" w:rsidP="00484A02">
      <w:pPr>
        <w:pStyle w:val="SingleTxt"/>
        <w:rPr>
          <w:rFonts w:hint="cs"/>
          <w:rtl/>
        </w:rPr>
      </w:pPr>
      <w:r>
        <w:rPr>
          <w:rFonts w:hint="cs"/>
          <w:rtl/>
        </w:rPr>
        <w:t>326 -</w:t>
      </w:r>
      <w:r>
        <w:rPr>
          <w:rFonts w:hint="cs"/>
          <w:rtl/>
        </w:rPr>
        <w:tab/>
        <w:t>تشتمل الخدمات الصحية الأساسية التي تقدم إلى المناطق الريفية من قبل شبكة الخدمات الصحية على عيادات المرضى الخارجيين لمعالجة الأمراض العامة وتوفير الرعاية لصحة الأم والطفل ومراقبة الأمراض المُعْدِية، والإصحاح البيئي، ورعاية طب الأسنان، والتثقيف الصحي والفحوص المختبرية البسيطة. وأعيد تدريب القابلات الريفيات ليصبحن ممرضات مجتمعيات بحيث يصبح بإمكانهن معالجة الأمراض البسيطة فضلا عن توفير العناصر الأساسية لرعاية صحة الأم والطفل. وتتاح كذلك لكبار السن في المناطق الريفية خدمات صحية يمكنهم الوصول إليها بسهولة.</w:t>
      </w:r>
    </w:p>
    <w:p w:rsidR="00484A02" w:rsidRDefault="00484A02" w:rsidP="00484A02">
      <w:pPr>
        <w:pStyle w:val="SingleTxt"/>
        <w:rPr>
          <w:rFonts w:hint="cs"/>
          <w:rtl/>
        </w:rPr>
      </w:pPr>
      <w:r>
        <w:rPr>
          <w:rFonts w:hint="cs"/>
          <w:rtl/>
        </w:rPr>
        <w:t>327 -</w:t>
      </w:r>
      <w:r>
        <w:rPr>
          <w:rFonts w:hint="cs"/>
          <w:rtl/>
        </w:rPr>
        <w:tab/>
        <w:t>وتحققت كذلك إنجازات في توفير الهياكل الأساسية الصحية. ففي عام 1999، كان معدل المستوصفات الصحيـــــة الحكومية بالمقارنة مع عدد السكان مستوصف واحد لكل 524 19 نسمة في حين كان معدل المستوصفات الصحية الحكومية بالمقارنة مع عدد سكان الريف مستوصف واحد لكل 194 13 نسمة وكان عدد مستوصفات القبالة/ المستوصفات المجتمعية بالمقارنة مع عدد سكان الريف مستوصف واحد لكل 758 4 نسمة. وتقوم الحكومة بين الفينة والأخرى بحملات للتوعية الصحية في أوساط المجتمعات الريفية.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تعليم وتدريب المرأة الريفية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 النظامي</w:t>
      </w:r>
    </w:p>
    <w:p w:rsidR="00484A02" w:rsidRDefault="00484A02" w:rsidP="00484A02">
      <w:pPr>
        <w:pStyle w:val="SingleTxt"/>
        <w:rPr>
          <w:rFonts w:hint="cs"/>
          <w:rtl/>
        </w:rPr>
      </w:pPr>
      <w:r>
        <w:rPr>
          <w:rFonts w:hint="cs"/>
          <w:rtl/>
        </w:rPr>
        <w:t>328 -</w:t>
      </w:r>
      <w:r>
        <w:rPr>
          <w:rFonts w:hint="cs"/>
          <w:rtl/>
        </w:rPr>
        <w:tab/>
        <w:t>تشير معدلات القيد في المدارس إلى زيادة إمكانية الحصول على التعليم في ماليزيا. ففي عام 1993، كان معدل القيد في المدارس الابتدائية يبلغ 93.8 في المائة وارتفع هذا المعدل إلى 95.4 في المائة في عام 1998. وفي الوقت نفسه، ارتفع معدل القيد في المدارس الثانوية من 44.5 في المائة في عام 1993 إلى 79.3 في المائة في عام 1998. وبصورة إجمالية، يعتبر مستوى تعليم المرأة أقل من مستوى الرجل كما يعتبر مستوى تعليم المرأة الريفية أقل بصورة طفيفة عن المرأة الحضرية.</w:t>
      </w:r>
    </w:p>
    <w:p w:rsidR="00484A02" w:rsidRDefault="00484A02" w:rsidP="00484A02">
      <w:pPr>
        <w:pStyle w:val="SingleTxt"/>
        <w:rPr>
          <w:rFonts w:hint="cs"/>
          <w:rtl/>
        </w:rPr>
      </w:pPr>
      <w:r>
        <w:rPr>
          <w:rFonts w:hint="cs"/>
          <w:rtl/>
        </w:rPr>
        <w:t>329 -</w:t>
      </w:r>
      <w:r>
        <w:rPr>
          <w:rFonts w:hint="cs"/>
          <w:rtl/>
        </w:rPr>
        <w:tab/>
        <w:t>ويوضع الجدول 14-5 أن عدد الريفيات اللائي لم يحصلن على تعليم نظامي قد انخفض وأن عدد الحاصلين على تعليم ثانوي أو جامعي قد ازداد من عام 1970 إلى عام 1991. وغالبا ما يكون الأشخاص غير الحاصلين على تعليم نظامي من كبار السن في الجماعات المنغلقة.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[14-5]: توزيع السكان الماليزيين بحسب التحصيل التعليمي ونوع الجنس، الأعوام 1970 و 1980 و 1991</w:t>
      </w:r>
    </w:p>
    <w:p w:rsidR="00484A02" w:rsidRPr="000645B8" w:rsidRDefault="00484A02" w:rsidP="00484A0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339"/>
        <w:gridCol w:w="1133"/>
        <w:gridCol w:w="1236"/>
        <w:gridCol w:w="1209"/>
      </w:tblGrid>
      <w:tr w:rsidR="00484A02" w:rsidRPr="000645B8">
        <w:tblPrEx>
          <w:tblCellMar>
            <w:top w:w="0" w:type="dxa"/>
            <w:bottom w:w="0" w:type="dxa"/>
          </w:tblCellMar>
        </w:tblPrEx>
        <w:trPr>
          <w:cantSplit/>
          <w:tblHeader/>
        </w:trPr>
        <w:tc>
          <w:tcPr>
            <w:tcW w:w="2403" w:type="dxa"/>
            <w:vMerge w:val="restart"/>
            <w:tcBorders>
              <w:top w:val="single" w:sz="4"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80" w:after="80" w:line="240" w:lineRule="exact"/>
              <w:ind w:left="170" w:right="170"/>
              <w:rPr>
                <w:rFonts w:hint="cs"/>
                <w:i/>
                <w:iCs/>
                <w:sz w:val="16"/>
                <w:szCs w:val="24"/>
                <w:rtl/>
              </w:rPr>
            </w:pPr>
            <w:r w:rsidRPr="000645B8">
              <w:rPr>
                <w:rFonts w:hint="cs"/>
                <w:i/>
                <w:iCs/>
                <w:sz w:val="16"/>
                <w:szCs w:val="24"/>
                <w:rtl/>
              </w:rPr>
              <w:t>التحصيل التعليمي</w:t>
            </w:r>
          </w:p>
        </w:tc>
        <w:tc>
          <w:tcPr>
            <w:tcW w:w="2472" w:type="dxa"/>
            <w:gridSpan w:val="2"/>
            <w:tcBorders>
              <w:top w:val="single" w:sz="4"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80" w:after="80" w:line="240" w:lineRule="exact"/>
              <w:ind w:left="170" w:right="144"/>
              <w:jc w:val="center"/>
              <w:rPr>
                <w:rFonts w:hint="cs"/>
                <w:i/>
                <w:iCs/>
                <w:sz w:val="16"/>
                <w:szCs w:val="24"/>
                <w:rtl/>
              </w:rPr>
            </w:pPr>
            <w:r w:rsidRPr="000645B8">
              <w:rPr>
                <w:rFonts w:hint="cs"/>
                <w:i/>
                <w:iCs/>
                <w:sz w:val="16"/>
                <w:szCs w:val="24"/>
                <w:rtl/>
              </w:rPr>
              <w:t>المناطق الحضرية</w:t>
            </w:r>
          </w:p>
        </w:tc>
        <w:tc>
          <w:tcPr>
            <w:tcW w:w="2445" w:type="dxa"/>
            <w:gridSpan w:val="2"/>
            <w:tcBorders>
              <w:top w:val="single" w:sz="4"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80" w:after="80" w:line="240" w:lineRule="exact"/>
              <w:ind w:left="170" w:right="144"/>
              <w:jc w:val="center"/>
              <w:rPr>
                <w:rFonts w:hint="cs"/>
                <w:i/>
                <w:iCs/>
                <w:sz w:val="16"/>
                <w:szCs w:val="24"/>
                <w:rtl/>
              </w:rPr>
            </w:pPr>
            <w:r w:rsidRPr="000645B8">
              <w:rPr>
                <w:rFonts w:hint="cs"/>
                <w:i/>
                <w:iCs/>
                <w:sz w:val="16"/>
                <w:szCs w:val="24"/>
                <w:rtl/>
              </w:rPr>
              <w:t>المناطق الريفية</w:t>
            </w:r>
          </w:p>
        </w:tc>
      </w:tr>
      <w:tr w:rsidR="00484A02" w:rsidRPr="000645B8">
        <w:tblPrEx>
          <w:tblCellMar>
            <w:top w:w="0" w:type="dxa"/>
            <w:bottom w:w="0" w:type="dxa"/>
          </w:tblCellMar>
        </w:tblPrEx>
        <w:trPr>
          <w:cantSplit/>
          <w:tblHeader/>
        </w:trPr>
        <w:tc>
          <w:tcPr>
            <w:tcW w:w="2403" w:type="dxa"/>
            <w:vMerge/>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after="80" w:line="240" w:lineRule="exact"/>
              <w:ind w:left="170" w:right="170"/>
              <w:rPr>
                <w:rFonts w:hint="cs"/>
                <w:i/>
                <w:iCs/>
                <w:sz w:val="16"/>
                <w:szCs w:val="24"/>
                <w:rtl/>
              </w:rPr>
            </w:pPr>
          </w:p>
        </w:tc>
        <w:tc>
          <w:tcPr>
            <w:tcW w:w="1339"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0645B8">
              <w:rPr>
                <w:rFonts w:hint="cs"/>
                <w:i/>
                <w:iCs/>
                <w:sz w:val="16"/>
                <w:szCs w:val="24"/>
                <w:rtl/>
              </w:rPr>
              <w:t>الذكور</w:t>
            </w:r>
          </w:p>
        </w:tc>
        <w:tc>
          <w:tcPr>
            <w:tcW w:w="1133"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0645B8">
              <w:rPr>
                <w:rFonts w:hint="cs"/>
                <w:i/>
                <w:iCs/>
                <w:sz w:val="16"/>
                <w:szCs w:val="24"/>
                <w:rtl/>
              </w:rPr>
              <w:t>الإناث</w:t>
            </w:r>
          </w:p>
        </w:tc>
        <w:tc>
          <w:tcPr>
            <w:tcW w:w="1236"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0645B8">
              <w:rPr>
                <w:rFonts w:hint="cs"/>
                <w:i/>
                <w:iCs/>
                <w:sz w:val="16"/>
                <w:szCs w:val="24"/>
                <w:rtl/>
              </w:rPr>
              <w:t>الذكور</w:t>
            </w:r>
          </w:p>
        </w:tc>
        <w:tc>
          <w:tcPr>
            <w:tcW w:w="1209"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after="80" w:line="240" w:lineRule="exact"/>
              <w:ind w:left="170" w:right="144"/>
              <w:jc w:val="lowKashida"/>
              <w:rPr>
                <w:rFonts w:hint="cs"/>
                <w:i/>
                <w:iCs/>
                <w:sz w:val="16"/>
                <w:szCs w:val="24"/>
                <w:rtl/>
              </w:rPr>
            </w:pPr>
            <w:r w:rsidRPr="000645B8">
              <w:rPr>
                <w:rFonts w:hint="cs"/>
                <w:i/>
                <w:iCs/>
                <w:sz w:val="16"/>
                <w:szCs w:val="24"/>
                <w:rtl/>
              </w:rPr>
              <w:t>الإناث</w:t>
            </w:r>
          </w:p>
        </w:tc>
      </w:tr>
      <w:tr w:rsidR="00484A02" w:rsidRPr="000645B8">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339" w:type="dxa"/>
            <w:tcBorders>
              <w:top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tcBorders>
              <w:top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tcBorders>
              <w:top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09" w:type="dxa"/>
            <w:tcBorders>
              <w:top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0645B8">
        <w:tblPrEx>
          <w:tblCellMar>
            <w:top w:w="0" w:type="dxa"/>
            <w:bottom w:w="0" w:type="dxa"/>
          </w:tblCellMar>
        </w:tblPrEx>
        <w:trPr>
          <w:cantSplit/>
        </w:trPr>
        <w:tc>
          <w:tcPr>
            <w:tcW w:w="2403" w:type="dxa"/>
            <w:shd w:val="clear" w:color="auto" w:fill="auto"/>
            <w:vAlign w:val="bottom"/>
          </w:tcPr>
          <w:p w:rsidR="00484A02" w:rsidRPr="00103FD6"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Pr>
                <w:rFonts w:hint="cs"/>
                <w:sz w:val="16"/>
                <w:szCs w:val="24"/>
                <w:rtl/>
              </w:rPr>
              <w:t>1970</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دون تعليم</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25.7</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39.5</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39.8</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55.3</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ابتدائي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44.8</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40.1</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47.6</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37.5</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ثانوي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29.6</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20.4</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12.6</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7.2</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جامعي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w:t>
            </w:r>
          </w:p>
        </w:tc>
      </w:tr>
      <w:tr w:rsidR="00484A02" w:rsidRPr="000645B8">
        <w:tblPrEx>
          <w:tblCellMar>
            <w:top w:w="0" w:type="dxa"/>
            <w:bottom w:w="0" w:type="dxa"/>
          </w:tblCellMar>
        </w:tblPrEx>
        <w:trPr>
          <w:cantSplit/>
        </w:trPr>
        <w:tc>
          <w:tcPr>
            <w:tcW w:w="2403" w:type="dxa"/>
            <w:shd w:val="clear" w:color="auto" w:fill="auto"/>
            <w:vAlign w:val="bottom"/>
          </w:tcPr>
          <w:p w:rsidR="00484A02" w:rsidRPr="00103FD6"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sidRPr="00103FD6">
              <w:rPr>
                <w:rFonts w:hint="cs"/>
                <w:b/>
                <w:bCs/>
                <w:sz w:val="16"/>
                <w:szCs w:val="24"/>
                <w:rtl/>
              </w:rPr>
              <w:t>1980</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دون تعليم</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23.8</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32.4</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33.7</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44.9</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ابتدائي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35.1</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34.5</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42.4</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36.8</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ثانوي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37.9</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31.5</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23.1</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18.0</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جامعي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3.2</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1.6</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0.7</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0.3</w:t>
            </w:r>
          </w:p>
        </w:tc>
      </w:tr>
      <w:tr w:rsidR="00484A02" w:rsidRPr="000645B8">
        <w:tblPrEx>
          <w:tblCellMar>
            <w:top w:w="0" w:type="dxa"/>
            <w:bottom w:w="0" w:type="dxa"/>
          </w:tblCellMar>
        </w:tblPrEx>
        <w:trPr>
          <w:cantSplit/>
        </w:trPr>
        <w:tc>
          <w:tcPr>
            <w:tcW w:w="2403" w:type="dxa"/>
            <w:shd w:val="clear" w:color="auto" w:fill="auto"/>
            <w:vAlign w:val="bottom"/>
          </w:tcPr>
          <w:p w:rsidR="00484A02" w:rsidRPr="00103FD6" w:rsidRDefault="00484A02" w:rsidP="00215D2A">
            <w:pPr>
              <w:tabs>
                <w:tab w:val="left" w:pos="288"/>
                <w:tab w:val="left" w:pos="576"/>
                <w:tab w:val="left" w:pos="864"/>
                <w:tab w:val="left" w:pos="1152"/>
              </w:tabs>
              <w:spacing w:before="40" w:after="80" w:line="240" w:lineRule="exact"/>
              <w:ind w:left="170" w:right="170"/>
              <w:rPr>
                <w:rFonts w:hint="cs"/>
                <w:b/>
                <w:bCs/>
                <w:sz w:val="16"/>
                <w:szCs w:val="24"/>
                <w:rtl/>
              </w:rPr>
            </w:pPr>
            <w:r w:rsidRPr="00103FD6">
              <w:rPr>
                <w:rFonts w:hint="cs"/>
                <w:b/>
                <w:bCs/>
                <w:sz w:val="16"/>
                <w:szCs w:val="24"/>
                <w:rtl/>
              </w:rPr>
              <w:t>1991</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دون تعليم</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21.3</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26.6</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30.0</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38.2</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ابتدائي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29.5</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29.7</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38.8</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34.8</w:t>
            </w:r>
          </w:p>
        </w:tc>
      </w:tr>
      <w:tr w:rsidR="00484A02" w:rsidRPr="000645B8">
        <w:tblPrEx>
          <w:tblCellMar>
            <w:top w:w="0" w:type="dxa"/>
            <w:bottom w:w="0" w:type="dxa"/>
          </w:tblCellMar>
        </w:tblPrEx>
        <w:trPr>
          <w:cantSplit/>
        </w:trPr>
        <w:tc>
          <w:tcPr>
            <w:tcW w:w="240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ثانوي</w:t>
            </w:r>
          </w:p>
        </w:tc>
        <w:tc>
          <w:tcPr>
            <w:tcW w:w="133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40.1</w:t>
            </w:r>
          </w:p>
        </w:tc>
        <w:tc>
          <w:tcPr>
            <w:tcW w:w="1133"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36.3</w:t>
            </w:r>
          </w:p>
        </w:tc>
        <w:tc>
          <w:tcPr>
            <w:tcW w:w="1236"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28.1</w:t>
            </w:r>
          </w:p>
        </w:tc>
        <w:tc>
          <w:tcPr>
            <w:tcW w:w="1209" w:type="dxa"/>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24.4</w:t>
            </w:r>
          </w:p>
        </w:tc>
      </w:tr>
      <w:tr w:rsidR="00484A02" w:rsidRPr="000645B8">
        <w:tblPrEx>
          <w:tblCellMar>
            <w:top w:w="0" w:type="dxa"/>
            <w:bottom w:w="0" w:type="dxa"/>
          </w:tblCellMar>
        </w:tblPrEx>
        <w:trPr>
          <w:cantSplit/>
        </w:trPr>
        <w:tc>
          <w:tcPr>
            <w:tcW w:w="2403"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جامعي</w:t>
            </w:r>
          </w:p>
        </w:tc>
        <w:tc>
          <w:tcPr>
            <w:tcW w:w="1339"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9.1</w:t>
            </w:r>
          </w:p>
        </w:tc>
        <w:tc>
          <w:tcPr>
            <w:tcW w:w="1133"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7.4</w:t>
            </w:r>
          </w:p>
        </w:tc>
        <w:tc>
          <w:tcPr>
            <w:tcW w:w="1236"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3.0</w:t>
            </w:r>
          </w:p>
        </w:tc>
        <w:tc>
          <w:tcPr>
            <w:tcW w:w="1209" w:type="dxa"/>
            <w:tcBorders>
              <w:bottom w:val="single" w:sz="12" w:space="0" w:color="auto"/>
            </w:tcBorders>
            <w:shd w:val="clear" w:color="auto" w:fill="auto"/>
            <w:vAlign w:val="bottom"/>
          </w:tcPr>
          <w:p w:rsidR="00484A02" w:rsidRPr="000645B8"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2.5</w:t>
            </w:r>
          </w:p>
        </w:tc>
      </w:tr>
    </w:tbl>
    <w:p w:rsidR="00484A02" w:rsidRPr="00D264CD"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تعداد السكان في الأعوام 1970 و 1980 و 1991.</w:t>
      </w:r>
    </w:p>
    <w:p w:rsidR="00484A02" w:rsidRPr="00D264CD"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SingleTxt"/>
        <w:rPr>
          <w:rFonts w:hint="cs"/>
          <w:rtl/>
        </w:rPr>
      </w:pPr>
      <w:r>
        <w:rPr>
          <w:rFonts w:hint="cs"/>
          <w:rtl/>
        </w:rPr>
        <w:t>330 -</w:t>
      </w:r>
      <w:r>
        <w:rPr>
          <w:rFonts w:hint="cs"/>
          <w:rtl/>
        </w:rPr>
        <w:tab/>
        <w:t>وقد أنفقت الحكومة الماليزية مبالغ ضخمة على التعليم. ولغاية تاريخه، تبلغ نسبة القيد في الصف الأول الموحد من المدارس الابتدائية 100 في المائة (السنة الأولى من المرحلة الابتدائية) ويتمتع الفتيان والفتيات بفرص تعليمية متساوية. ويوضح الجدول 14-6 عدد الأطفال في المدارس العامة بحسب المرحلة التعليمية في الأعوام 1996 و 1997 و 1998. وكان ثلثا أطفال المدارس الابتدائية في عام 1998 يتعلمون في المدارس الريفية وكان عدد التلاميذ الذكور في المدارس الابتدائية أعلى من عدد التلميذات.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الجدول 14-6: عدد الأطفال في المدارس الابتدائية والمدارس الثانوية بحسب نوع الجنس والمرحلة التعليمية في الأعوام 1996 و 1997 و 1998</w:t>
      </w:r>
    </w:p>
    <w:p w:rsidR="00484A02" w:rsidRPr="00D264CD" w:rsidRDefault="00484A02" w:rsidP="00484A02">
      <w:pPr>
        <w:pStyle w:val="SingleTxt"/>
        <w:spacing w:after="0" w:line="120" w:lineRule="exact"/>
        <w:rPr>
          <w:rFonts w:hint="cs"/>
          <w:sz w:val="10"/>
          <w:rtl/>
        </w:rPr>
      </w:pPr>
    </w:p>
    <w:tbl>
      <w:tblPr>
        <w:bidiVisual/>
        <w:tblW w:w="10230" w:type="dxa"/>
        <w:jc w:val="center"/>
        <w:tblInd w:w="-141" w:type="dxa"/>
        <w:tblLayout w:type="fixed"/>
        <w:tblCellMar>
          <w:left w:w="0" w:type="dxa"/>
          <w:right w:w="0" w:type="dxa"/>
        </w:tblCellMar>
        <w:tblLook w:val="0000" w:firstRow="0" w:lastRow="0" w:firstColumn="0" w:lastColumn="0" w:noHBand="0" w:noVBand="0"/>
      </w:tblPr>
      <w:tblGrid>
        <w:gridCol w:w="770"/>
        <w:gridCol w:w="1133"/>
        <w:gridCol w:w="1030"/>
        <w:gridCol w:w="1030"/>
        <w:gridCol w:w="1030"/>
        <w:gridCol w:w="1133"/>
        <w:gridCol w:w="927"/>
        <w:gridCol w:w="1133"/>
        <w:gridCol w:w="1133"/>
        <w:gridCol w:w="911"/>
      </w:tblGrid>
      <w:tr w:rsidR="00484A02" w:rsidRPr="007A3ACA">
        <w:tblPrEx>
          <w:tblCellMar>
            <w:top w:w="0" w:type="dxa"/>
            <w:bottom w:w="0" w:type="dxa"/>
          </w:tblCellMar>
        </w:tblPrEx>
        <w:trPr>
          <w:cantSplit/>
          <w:tblHeader/>
          <w:jc w:val="center"/>
        </w:trPr>
        <w:tc>
          <w:tcPr>
            <w:tcW w:w="770" w:type="dxa"/>
            <w:tcBorders>
              <w:top w:val="single" w:sz="4" w:space="0" w:color="auto"/>
              <w:bottom w:val="single" w:sz="4" w:space="0" w:color="auto"/>
            </w:tcBorders>
            <w:shd w:val="clear" w:color="auto" w:fill="auto"/>
            <w:tcMar>
              <w:left w:w="0" w:type="dxa"/>
              <w:right w:w="0" w:type="dxa"/>
            </w:tcMar>
            <w:vAlign w:val="bottom"/>
          </w:tcPr>
          <w:p w:rsidR="00484A02" w:rsidRPr="007A3ACA" w:rsidRDefault="00484A02" w:rsidP="00215D2A">
            <w:pPr>
              <w:spacing w:before="80" w:after="80" w:line="240" w:lineRule="exact"/>
              <w:ind w:left="57" w:right="57"/>
              <w:rPr>
                <w:rFonts w:hint="cs"/>
                <w:i/>
                <w:iCs/>
                <w:sz w:val="16"/>
                <w:szCs w:val="24"/>
                <w:rtl/>
              </w:rPr>
            </w:pPr>
          </w:p>
        </w:tc>
        <w:tc>
          <w:tcPr>
            <w:tcW w:w="3193" w:type="dxa"/>
            <w:gridSpan w:val="3"/>
            <w:tcBorders>
              <w:top w:val="single" w:sz="4" w:space="0" w:color="auto"/>
              <w:bottom w:val="single" w:sz="4" w:space="0" w:color="auto"/>
            </w:tcBorders>
            <w:shd w:val="clear" w:color="auto" w:fill="auto"/>
            <w:vAlign w:val="bottom"/>
          </w:tcPr>
          <w:p w:rsidR="00484A02" w:rsidRPr="007A3ACA" w:rsidRDefault="00484A02" w:rsidP="00215D2A">
            <w:pPr>
              <w:spacing w:before="80" w:after="80" w:line="240" w:lineRule="exact"/>
              <w:ind w:left="57" w:right="144"/>
              <w:jc w:val="center"/>
              <w:rPr>
                <w:rFonts w:hint="cs"/>
                <w:i/>
                <w:iCs/>
                <w:sz w:val="16"/>
                <w:szCs w:val="24"/>
                <w:rtl/>
              </w:rPr>
            </w:pPr>
            <w:r w:rsidRPr="007A3ACA">
              <w:rPr>
                <w:rFonts w:hint="cs"/>
                <w:i/>
                <w:iCs/>
                <w:sz w:val="16"/>
                <w:szCs w:val="24"/>
                <w:rtl/>
              </w:rPr>
              <w:t>1996</w:t>
            </w:r>
          </w:p>
        </w:tc>
        <w:tc>
          <w:tcPr>
            <w:tcW w:w="3090" w:type="dxa"/>
            <w:gridSpan w:val="3"/>
            <w:tcBorders>
              <w:top w:val="single" w:sz="4" w:space="0" w:color="auto"/>
              <w:bottom w:val="single" w:sz="4" w:space="0" w:color="auto"/>
            </w:tcBorders>
            <w:shd w:val="clear" w:color="auto" w:fill="auto"/>
            <w:vAlign w:val="bottom"/>
          </w:tcPr>
          <w:p w:rsidR="00484A02" w:rsidRPr="007A3ACA" w:rsidRDefault="00484A02" w:rsidP="00215D2A">
            <w:pPr>
              <w:spacing w:before="80" w:after="80" w:line="240" w:lineRule="exact"/>
              <w:ind w:left="57" w:right="144"/>
              <w:jc w:val="center"/>
              <w:rPr>
                <w:rFonts w:hint="cs"/>
                <w:i/>
                <w:iCs/>
                <w:sz w:val="16"/>
                <w:szCs w:val="24"/>
                <w:rtl/>
              </w:rPr>
            </w:pPr>
            <w:r w:rsidRPr="007A3ACA">
              <w:rPr>
                <w:rFonts w:hint="cs"/>
                <w:i/>
                <w:iCs/>
                <w:sz w:val="16"/>
                <w:szCs w:val="24"/>
                <w:rtl/>
              </w:rPr>
              <w:t>1997</w:t>
            </w:r>
          </w:p>
        </w:tc>
        <w:tc>
          <w:tcPr>
            <w:tcW w:w="3177" w:type="dxa"/>
            <w:gridSpan w:val="3"/>
            <w:tcBorders>
              <w:top w:val="single" w:sz="4" w:space="0" w:color="auto"/>
              <w:bottom w:val="single" w:sz="4" w:space="0" w:color="auto"/>
            </w:tcBorders>
            <w:shd w:val="clear" w:color="auto" w:fill="auto"/>
            <w:vAlign w:val="bottom"/>
          </w:tcPr>
          <w:p w:rsidR="00484A02" w:rsidRPr="007A3ACA" w:rsidRDefault="00484A02" w:rsidP="00215D2A">
            <w:pPr>
              <w:spacing w:before="80" w:after="80" w:line="240" w:lineRule="exact"/>
              <w:ind w:left="57" w:right="144"/>
              <w:jc w:val="center"/>
              <w:rPr>
                <w:rFonts w:hint="cs"/>
                <w:i/>
                <w:iCs/>
                <w:sz w:val="16"/>
                <w:szCs w:val="24"/>
                <w:rtl/>
              </w:rPr>
            </w:pPr>
            <w:r w:rsidRPr="007A3ACA">
              <w:rPr>
                <w:rFonts w:hint="cs"/>
                <w:i/>
                <w:iCs/>
                <w:sz w:val="16"/>
                <w:szCs w:val="24"/>
                <w:rtl/>
              </w:rPr>
              <w:t>1998</w:t>
            </w:r>
          </w:p>
        </w:tc>
      </w:tr>
      <w:tr w:rsidR="00484A02" w:rsidRPr="007A3ACA">
        <w:tblPrEx>
          <w:tblCellMar>
            <w:top w:w="0" w:type="dxa"/>
            <w:bottom w:w="0" w:type="dxa"/>
          </w:tblCellMar>
        </w:tblPrEx>
        <w:trPr>
          <w:cantSplit/>
          <w:tblHeader/>
          <w:jc w:val="center"/>
        </w:trPr>
        <w:tc>
          <w:tcPr>
            <w:tcW w:w="770" w:type="dxa"/>
            <w:tcBorders>
              <w:top w:val="single" w:sz="4" w:space="0" w:color="auto"/>
              <w:bottom w:val="single" w:sz="12" w:space="0" w:color="auto"/>
            </w:tcBorders>
            <w:shd w:val="clear" w:color="auto" w:fill="auto"/>
          </w:tcPr>
          <w:p w:rsidR="00484A02" w:rsidRDefault="00484A02" w:rsidP="00215D2A">
            <w:pPr>
              <w:spacing w:after="80" w:line="240" w:lineRule="exact"/>
              <w:ind w:left="57" w:right="57"/>
              <w:rPr>
                <w:rFonts w:hint="cs"/>
                <w:i/>
                <w:iCs/>
                <w:sz w:val="16"/>
                <w:szCs w:val="24"/>
                <w:rtl/>
              </w:rPr>
            </w:pPr>
            <w:r>
              <w:rPr>
                <w:rFonts w:hint="cs"/>
                <w:i/>
                <w:iCs/>
                <w:sz w:val="16"/>
                <w:szCs w:val="24"/>
                <w:rtl/>
              </w:rPr>
              <w:t>المكان</w:t>
            </w:r>
          </w:p>
          <w:p w:rsidR="00484A02" w:rsidRPr="007A3ACA" w:rsidRDefault="00484A02" w:rsidP="00215D2A">
            <w:pPr>
              <w:spacing w:after="80" w:line="240" w:lineRule="exact"/>
              <w:ind w:left="57" w:right="57"/>
              <w:rPr>
                <w:rFonts w:hint="cs"/>
                <w:i/>
                <w:iCs/>
                <w:sz w:val="16"/>
                <w:szCs w:val="24"/>
                <w:rtl/>
              </w:rPr>
            </w:pPr>
            <w:r>
              <w:rPr>
                <w:rFonts w:hint="cs"/>
                <w:i/>
                <w:iCs/>
                <w:sz w:val="16"/>
                <w:szCs w:val="24"/>
                <w:rtl/>
              </w:rPr>
              <w:t>نوع الجنس</w:t>
            </w:r>
          </w:p>
        </w:tc>
        <w:tc>
          <w:tcPr>
            <w:tcW w:w="1133"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الابتدائية</w:t>
            </w:r>
          </w:p>
        </w:tc>
        <w:tc>
          <w:tcPr>
            <w:tcW w:w="1030"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الإعدادية</w:t>
            </w:r>
          </w:p>
        </w:tc>
        <w:tc>
          <w:tcPr>
            <w:tcW w:w="1030"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الثانوية</w:t>
            </w:r>
          </w:p>
        </w:tc>
        <w:tc>
          <w:tcPr>
            <w:tcW w:w="1030"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الابتدائية</w:t>
            </w:r>
          </w:p>
        </w:tc>
        <w:tc>
          <w:tcPr>
            <w:tcW w:w="1133"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الإعدادية</w:t>
            </w:r>
          </w:p>
        </w:tc>
        <w:tc>
          <w:tcPr>
            <w:tcW w:w="927"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الثانوية</w:t>
            </w:r>
          </w:p>
        </w:tc>
        <w:tc>
          <w:tcPr>
            <w:tcW w:w="1133"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الابتدائية</w:t>
            </w:r>
          </w:p>
        </w:tc>
        <w:tc>
          <w:tcPr>
            <w:tcW w:w="1133"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الإعدادية</w:t>
            </w:r>
          </w:p>
        </w:tc>
        <w:tc>
          <w:tcPr>
            <w:tcW w:w="911" w:type="dxa"/>
            <w:tcBorders>
              <w:top w:val="single" w:sz="4" w:space="0" w:color="auto"/>
              <w:bottom w:val="single" w:sz="12" w:space="0" w:color="auto"/>
            </w:tcBorders>
            <w:shd w:val="clear" w:color="auto" w:fill="auto"/>
            <w:vAlign w:val="bottom"/>
          </w:tcPr>
          <w:p w:rsidR="00484A02" w:rsidRPr="007A3ACA" w:rsidRDefault="00484A02" w:rsidP="00215D2A">
            <w:pPr>
              <w:spacing w:after="80" w:line="240" w:lineRule="exact"/>
              <w:ind w:left="57" w:right="144"/>
              <w:jc w:val="lowKashida"/>
              <w:rPr>
                <w:rFonts w:hint="cs"/>
                <w:i/>
                <w:iCs/>
                <w:sz w:val="16"/>
                <w:szCs w:val="24"/>
                <w:rtl/>
              </w:rPr>
            </w:pPr>
            <w:r w:rsidRPr="007A3ACA">
              <w:rPr>
                <w:rFonts w:hint="cs"/>
                <w:i/>
                <w:iCs/>
                <w:sz w:val="16"/>
                <w:szCs w:val="24"/>
                <w:rtl/>
              </w:rPr>
              <w:t>المرحلة الثانوية</w:t>
            </w:r>
          </w:p>
        </w:tc>
      </w:tr>
      <w:tr w:rsidR="00484A02" w:rsidRPr="007A3ACA">
        <w:tblPrEx>
          <w:tblCellMar>
            <w:top w:w="0" w:type="dxa"/>
            <w:bottom w:w="0" w:type="dxa"/>
          </w:tblCellMar>
        </w:tblPrEx>
        <w:trPr>
          <w:cantSplit/>
          <w:trHeight w:hRule="exact" w:val="115"/>
          <w:tblHeader/>
          <w:jc w:val="center"/>
        </w:trPr>
        <w:tc>
          <w:tcPr>
            <w:tcW w:w="770"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57"/>
              <w:rPr>
                <w:rFonts w:hint="cs"/>
                <w:sz w:val="16"/>
                <w:szCs w:val="24"/>
                <w:rtl/>
              </w:rPr>
            </w:pPr>
          </w:p>
        </w:tc>
        <w:tc>
          <w:tcPr>
            <w:tcW w:w="1133"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030"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133"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927"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133"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1133"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c>
          <w:tcPr>
            <w:tcW w:w="911" w:type="dxa"/>
            <w:tcBorders>
              <w:top w:val="single" w:sz="12" w:space="0" w:color="auto"/>
            </w:tcBorders>
            <w:shd w:val="clear" w:color="auto" w:fill="auto"/>
            <w:vAlign w:val="bottom"/>
          </w:tcPr>
          <w:p w:rsidR="00484A02" w:rsidRPr="007A3ACA" w:rsidRDefault="00484A02" w:rsidP="00215D2A">
            <w:pPr>
              <w:spacing w:before="40" w:after="80" w:line="240" w:lineRule="exact"/>
              <w:ind w:left="57" w:right="144"/>
              <w:jc w:val="lowKashida"/>
              <w:rPr>
                <w:rFonts w:hint="cs"/>
                <w:sz w:val="16"/>
                <w:szCs w:val="24"/>
                <w:rtl/>
              </w:rPr>
            </w:pP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الحضر</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الذكور</w:t>
            </w:r>
          </w:p>
        </w:tc>
        <w:tc>
          <w:tcPr>
            <w:tcW w:w="1133"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914 508</w:t>
            </w:r>
          </w:p>
        </w:tc>
        <w:tc>
          <w:tcPr>
            <w:tcW w:w="1030"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026 256</w:t>
            </w:r>
          </w:p>
        </w:tc>
        <w:tc>
          <w:tcPr>
            <w:tcW w:w="1030"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804 120</w:t>
            </w:r>
          </w:p>
        </w:tc>
        <w:tc>
          <w:tcPr>
            <w:tcW w:w="1030"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250 529</w:t>
            </w:r>
          </w:p>
        </w:tc>
        <w:tc>
          <w:tcPr>
            <w:tcW w:w="1133"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077 274</w:t>
            </w:r>
          </w:p>
        </w:tc>
        <w:tc>
          <w:tcPr>
            <w:tcW w:w="927"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860 136</w:t>
            </w:r>
          </w:p>
        </w:tc>
        <w:tc>
          <w:tcPr>
            <w:tcW w:w="1133"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292 529</w:t>
            </w:r>
          </w:p>
        </w:tc>
        <w:tc>
          <w:tcPr>
            <w:tcW w:w="1133"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220 283</w:t>
            </w:r>
          </w:p>
        </w:tc>
        <w:tc>
          <w:tcPr>
            <w:tcW w:w="911" w:type="dxa"/>
            <w:shd w:val="clear" w:color="auto" w:fill="auto"/>
            <w:vAlign w:val="bottom"/>
          </w:tcPr>
          <w:p w:rsidR="00484A02" w:rsidRPr="004531E5" w:rsidRDefault="00484A02" w:rsidP="00215D2A">
            <w:pPr>
              <w:spacing w:before="40" w:after="80" w:line="240" w:lineRule="exact"/>
              <w:ind w:left="57" w:right="144"/>
              <w:jc w:val="lowKashida"/>
              <w:rPr>
                <w:rFonts w:hint="cs"/>
                <w:sz w:val="22"/>
                <w:szCs w:val="22"/>
                <w:rtl/>
              </w:rPr>
            </w:pPr>
            <w:r w:rsidRPr="004531E5">
              <w:rPr>
                <w:rFonts w:hint="cs"/>
                <w:sz w:val="22"/>
                <w:szCs w:val="22"/>
                <w:rtl/>
              </w:rPr>
              <w:t>190 146</w:t>
            </w: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الحضر</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الإناث</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187 483</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121 269</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286 149</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609 499</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420 277</w:t>
            </w: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454 163</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711 502</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378 285</w:t>
            </w: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414 170</w:t>
            </w: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الريف</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الذكور</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715 951</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839 314</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510 143</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640 94</w:t>
            </w:r>
            <w:r>
              <w:rPr>
                <w:rFonts w:hint="cs"/>
                <w:sz w:val="22"/>
                <w:szCs w:val="22"/>
                <w:rtl/>
              </w:rPr>
              <w:t>8</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986 329</w:t>
            </w: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 xml:space="preserve">925 </w:t>
            </w:r>
            <w:r>
              <w:rPr>
                <w:rFonts w:hint="cs"/>
                <w:sz w:val="22"/>
                <w:szCs w:val="22"/>
                <w:rtl/>
              </w:rPr>
              <w:t>147</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021 946</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285 336</w:t>
            </w: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220 156</w:t>
            </w: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الريف</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p>
        </w:tc>
      </w:tr>
      <w:tr w:rsidR="00484A02" w:rsidRPr="007A3ACA">
        <w:tblPrEx>
          <w:tblCellMar>
            <w:top w:w="0" w:type="dxa"/>
            <w:bottom w:w="0" w:type="dxa"/>
          </w:tblCellMar>
        </w:tblPrEx>
        <w:trPr>
          <w:cantSplit/>
          <w:jc w:val="center"/>
        </w:trPr>
        <w:tc>
          <w:tcPr>
            <w:tcW w:w="77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الإناث</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303 903</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849 304</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105 169</w:t>
            </w:r>
          </w:p>
        </w:tc>
        <w:tc>
          <w:tcPr>
            <w:tcW w:w="1030"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355 901</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351 318</w:t>
            </w:r>
          </w:p>
        </w:tc>
        <w:tc>
          <w:tcPr>
            <w:tcW w:w="927"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961 170</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686 893</w:t>
            </w:r>
          </w:p>
        </w:tc>
        <w:tc>
          <w:tcPr>
            <w:tcW w:w="1133"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968 324</w:t>
            </w:r>
          </w:p>
        </w:tc>
        <w:tc>
          <w:tcPr>
            <w:tcW w:w="911" w:type="dxa"/>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489 179</w:t>
            </w:r>
          </w:p>
        </w:tc>
      </w:tr>
      <w:tr w:rsidR="00484A02" w:rsidRPr="007A3ACA">
        <w:tblPrEx>
          <w:tblCellMar>
            <w:top w:w="0" w:type="dxa"/>
            <w:bottom w:w="0" w:type="dxa"/>
          </w:tblCellMar>
        </w:tblPrEx>
        <w:trPr>
          <w:cantSplit/>
          <w:jc w:val="center"/>
        </w:trPr>
        <w:tc>
          <w:tcPr>
            <w:tcW w:w="770"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المجموع</w:t>
            </w:r>
          </w:p>
        </w:tc>
        <w:tc>
          <w:tcPr>
            <w:tcW w:w="1133"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119 847 2</w:t>
            </w:r>
          </w:p>
        </w:tc>
        <w:tc>
          <w:tcPr>
            <w:tcW w:w="1030"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835 153 1</w:t>
            </w:r>
          </w:p>
        </w:tc>
        <w:tc>
          <w:tcPr>
            <w:tcW w:w="1030"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705 582</w:t>
            </w:r>
          </w:p>
        </w:tc>
        <w:tc>
          <w:tcPr>
            <w:tcW w:w="1030"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854 878 2</w:t>
            </w:r>
          </w:p>
        </w:tc>
        <w:tc>
          <w:tcPr>
            <w:tcW w:w="1133"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834 199 1</w:t>
            </w:r>
          </w:p>
        </w:tc>
        <w:tc>
          <w:tcPr>
            <w:tcW w:w="927"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200 619</w:t>
            </w:r>
          </w:p>
        </w:tc>
        <w:tc>
          <w:tcPr>
            <w:tcW w:w="1133"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710 871 2</w:t>
            </w:r>
          </w:p>
        </w:tc>
        <w:tc>
          <w:tcPr>
            <w:tcW w:w="1133"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951 229 1</w:t>
            </w:r>
          </w:p>
        </w:tc>
        <w:tc>
          <w:tcPr>
            <w:tcW w:w="911" w:type="dxa"/>
            <w:tcBorders>
              <w:bottom w:val="single" w:sz="12" w:space="0" w:color="auto"/>
            </w:tcBorders>
            <w:shd w:val="clear" w:color="auto" w:fill="auto"/>
            <w:vAlign w:val="bottom"/>
          </w:tcPr>
          <w:p w:rsidR="00484A02" w:rsidRPr="004531E5" w:rsidRDefault="00484A02" w:rsidP="00215D2A">
            <w:pPr>
              <w:spacing w:before="40" w:after="80" w:line="240" w:lineRule="exact"/>
              <w:ind w:left="57" w:right="57"/>
              <w:rPr>
                <w:rFonts w:hint="cs"/>
                <w:sz w:val="22"/>
                <w:szCs w:val="22"/>
                <w:rtl/>
              </w:rPr>
            </w:pPr>
            <w:r w:rsidRPr="004531E5">
              <w:rPr>
                <w:rFonts w:hint="cs"/>
                <w:sz w:val="22"/>
                <w:szCs w:val="22"/>
                <w:rtl/>
              </w:rPr>
              <w:t>313 632</w:t>
            </w:r>
          </w:p>
        </w:tc>
      </w:tr>
    </w:tbl>
    <w:p w:rsidR="00484A02" w:rsidRPr="007A3ACA" w:rsidRDefault="00484A02" w:rsidP="00484A02">
      <w:pPr>
        <w:pStyle w:val="SingleTxt"/>
        <w:spacing w:after="0" w:line="120" w:lineRule="exact"/>
        <w:rPr>
          <w:rFonts w:hint="cs"/>
          <w:sz w:val="10"/>
          <w:rtl/>
        </w:rPr>
      </w:pPr>
    </w:p>
    <w:p w:rsidR="00484A02" w:rsidRDefault="00484A02" w:rsidP="00484A0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المصدر: وزارة التربية.</w:t>
      </w:r>
    </w:p>
    <w:p w:rsidR="00484A02" w:rsidRPr="004531E5" w:rsidRDefault="00484A02" w:rsidP="00484A0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484A02" w:rsidRDefault="00484A02" w:rsidP="00484A02">
      <w:pPr>
        <w:pStyle w:val="SingleTxt"/>
        <w:rPr>
          <w:rFonts w:hint="cs"/>
          <w:rtl/>
        </w:rPr>
      </w:pPr>
      <w:r>
        <w:rPr>
          <w:rFonts w:hint="cs"/>
          <w:rtl/>
        </w:rPr>
        <w:t>331 -</w:t>
      </w:r>
      <w:r>
        <w:rPr>
          <w:rFonts w:hint="cs"/>
          <w:rtl/>
        </w:rPr>
        <w:tab/>
        <w:t>كما يعتبر معدل التحاق الطالبات وأداؤهن أفضل من ذلك في المرحلة الجامعية ولئن كانت تلك الحقيقة لا تنعكس فيما بعد في الاشتراك فعليا في القوة العاملة. فنسبة اشتراك الإناث في القوة العاملة لم تتجاوز 63 في المائة بالمقارنة مع نسبة اشتراك الذكور التي تبلغ 80 في المائة. وبالإضافة إلى ذلك، تتجه الفتيات إلى الالتحاق بأعداد كبيرة في الدورات المرتبطة صورتها تقليديا بالمرأة في المدارس  ومؤسسات التعليم العالي. ولهذا تدعو الحاجة إلى إعادة التوجيه والتكييف بغرض تشجيع أعداد أكبر من الفتيات على الالتحاق بالدورات التي يغلب فيها عدد الذكور عدد الإناث على الرغم من أن عدد الفتيات اللائي يلتحقن حاليا في تلك الدورات آخذ في الازدياد.</w:t>
      </w:r>
    </w:p>
    <w:p w:rsidR="00484A02" w:rsidRDefault="00484A02" w:rsidP="00484A02">
      <w:pPr>
        <w:pStyle w:val="SingleTxt"/>
        <w:rPr>
          <w:rFonts w:hint="cs"/>
          <w:rtl/>
        </w:rPr>
      </w:pPr>
      <w:r>
        <w:rPr>
          <w:rFonts w:hint="cs"/>
          <w:rtl/>
        </w:rPr>
        <w:t>332 -</w:t>
      </w:r>
      <w:r>
        <w:rPr>
          <w:rFonts w:hint="cs"/>
          <w:rtl/>
        </w:rPr>
        <w:tab/>
        <w:t>ووفرت الحكومة كذلك للمناطق الريفية مرافق تكنولوجيا المعلومات والتعليم في هذا المجال عن طريق إقامة مدارس ذكية وافتتاح صفوف لتعليم الحاسوب. ويكتسب الطلاب كذلك مزيدا من المعارف حول تكنولوجيا المعلومات عندما يواصلون تحصليهن العالي على مستوى الجامعات.</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التعليم والتدريب غير النظاميين</w:t>
      </w:r>
    </w:p>
    <w:p w:rsidR="00484A02" w:rsidRDefault="00484A02" w:rsidP="00484A02">
      <w:pPr>
        <w:pStyle w:val="SingleTxt"/>
        <w:rPr>
          <w:rFonts w:hint="cs"/>
          <w:rtl/>
        </w:rPr>
      </w:pPr>
      <w:r>
        <w:rPr>
          <w:rFonts w:hint="cs"/>
          <w:rtl/>
        </w:rPr>
        <w:t>333 -</w:t>
      </w:r>
      <w:r>
        <w:rPr>
          <w:rFonts w:hint="cs"/>
          <w:rtl/>
        </w:rPr>
        <w:tab/>
        <w:t>يوفر العديد من الوكالات بناء المهارات والقدرات في المناطق الريفية. وتركز البرامج التدريبية التي تستهدف المرأة الريفية أساسا على تحسين دور المرأة في الأعمال المنزلية وحياة الأسرة من خلال تعليمها مهارات من قبيل الطبخ والخياطة ورعاية الأطفال. غير أن بعض النساء يملكن القدرة على تطوير مهاراتهن واستغلالها تجاريا من خلال الدخول في مشاريع تجارية صغيرة وغير ذلك من الأنشطة الاقتصادية. وتم في الآونة الأخيرة توسيع نطاق الدورات والبرامج التدريبية التي تستهدف المرأة الريفية بحيث باتت تشمل التدريب على مباشرة الأعمال الحرة والحوافز والقيادة والمهارات اللازمة لتطوير المشاريع الصغيرة وما إلى ذلك. وتنظم دورات دينية وبرامج لمحو الأمية وبرامج لتنمية الأسرة تستهدف المرأة بصورة أساسية.</w:t>
      </w:r>
    </w:p>
    <w:p w:rsidR="00484A02" w:rsidRDefault="00484A02" w:rsidP="00484A02">
      <w:pPr>
        <w:pStyle w:val="SingleTxt"/>
        <w:rPr>
          <w:rFonts w:hint="cs"/>
          <w:rtl/>
        </w:rPr>
      </w:pPr>
      <w:r>
        <w:rPr>
          <w:rFonts w:hint="cs"/>
          <w:rtl/>
        </w:rPr>
        <w:t>334 -</w:t>
      </w:r>
      <w:r>
        <w:rPr>
          <w:rFonts w:hint="cs"/>
          <w:rtl/>
        </w:rPr>
        <w:tab/>
        <w:t>وبالنظر إلى أن البيانات التي تقدمها الوكالات غير مصنفة بحسب نوع الجنس فمن الصعب تحديد مدى اشتراك المرأة في البرامج التدريبية لتلك الوكالات. ويتعذر على الوكالات تقديم البيانات المطلوبة إلا في حال كون البرامج التدريبية مخصصة للنساء. وتشير البيانات المقدمة من وكالة بيرهاد التابعة للسلطة الاتحادية لدمج واستصلاح الأراضي أن ما مجموعه 448 2 امرأة ريفية شاركن في عام 1998 ببرامج التدريب على المهارات والمشاريع الحرة والحوافز والقيادة. وشكلت المرأة نسبة 24 في المائة من مجموع المتدربين في الوكالة. ووفرت سلطة تنمية المزارع الصغيرة للصناعات المطاطية خدمات إرشادية لـ 955 590 امرأة في الفترة الممتدة بين عامي 1994 إلى 1998. وشكلت المرأة نسبة 35 في المائة خلال تلك الفترة من مجموع المستفيدين من برامج تلك السلطة.</w:t>
      </w:r>
    </w:p>
    <w:p w:rsidR="00484A02" w:rsidRDefault="00484A02" w:rsidP="00484A02">
      <w:pPr>
        <w:pStyle w:val="SingleTxt"/>
        <w:rPr>
          <w:rFonts w:hint="cs"/>
          <w:rtl/>
        </w:rPr>
      </w:pPr>
      <w:r>
        <w:rPr>
          <w:rFonts w:hint="cs"/>
          <w:rtl/>
        </w:rPr>
        <w:t>335 -</w:t>
      </w:r>
      <w:r>
        <w:rPr>
          <w:rFonts w:hint="cs"/>
          <w:rtl/>
        </w:rPr>
        <w:tab/>
        <w:t>وما زال قسم توفير الخدمات لمباشري الأعمال الحرة التابع لوزارة الزراعة يقوم بدور نشط جدا في توفير التدريب لـ 435 34 من أعضاء مجموعة تقديم الخدمات الإرشادية للمرأة. وحضر ما يزيد على 000 15 عضو من تلك المجموعة الدورات التدريبية التي عقدت في القرى التي ينتمون إليها أو في مختلف مراكز التدريب على الأعمال الزراعية. ويبلغ عدد أعضاء المجموعة المشاركين في مشاريع مدرة للدخل 175 1 عضوا. وفي الفترة من 1996 إلى 1997 شارك ما مجموعه 184 19 امرأة، أي 43 في المائة من مجموع عدد الأشخاص الذين دربتهم وزارة الزراعة في دورات إنتاج الأغذية، وتجهيز الأغذية، وإدارة الحوافز. وبالإضافة إلى ذلك، وفرت سلطة تنمية المزارع الصغيرة للصناعات المطاطية ما مجموعة 815 21 من الأنشطة الإرشادية استفاد منها ما مجموعة 000 326 مشترك في عام 1996 كان 42 في المائة منهم من النساء.</w:t>
      </w:r>
    </w:p>
    <w:p w:rsidR="00484A02" w:rsidRDefault="00484A02" w:rsidP="00484A02">
      <w:pPr>
        <w:pStyle w:val="SingleTxt"/>
        <w:rPr>
          <w:rFonts w:hint="cs"/>
          <w:rtl/>
        </w:rPr>
      </w:pPr>
      <w:r>
        <w:rPr>
          <w:rFonts w:hint="cs"/>
          <w:rtl/>
        </w:rPr>
        <w:t>336 -</w:t>
      </w:r>
      <w:r>
        <w:rPr>
          <w:rFonts w:hint="cs"/>
          <w:rtl/>
        </w:rPr>
        <w:tab/>
        <w:t>وهناك العديد من الوكالات الأخرى التي تقدم خدمات للمرأة الريفية. إذ تتولى شعبة التنمية المجتمعية (كيماس) التابعة لوزارة التنمية الريفية مسؤولية توفير التدريب والقيادة في مجال تنمية الأسرة. وتوفر هذه الوكالة التدريب المهني وتدريب المعلمين في مرحلة التعليم قبل الابتدائي فضلا عن التدريب على رفاه الأسرة ومحو الأمية الوظيفية. وثمة وكالات أخرى اضطلعت ببرامج تدريبية لزيادة معارف ومهارات الأسر الريفية منها، السلطة الإقليمية لتنمية ولاية بينانغ وسلطة تنمية الجنوب الشرقي من ولاية جوهور. وبالإضافة إلى ذلك،  أنشئت في القرى أيضا مكتبات لتلبية الاحتياجات التعليمية والإعلامية لسكان الريف.</w:t>
      </w:r>
    </w:p>
    <w:p w:rsidR="00484A02" w:rsidRDefault="00484A02" w:rsidP="00484A02">
      <w:pPr>
        <w:pStyle w:val="SingleTxt"/>
        <w:rPr>
          <w:rFonts w:hint="cs"/>
          <w:rtl/>
        </w:rPr>
      </w:pPr>
      <w:r>
        <w:rPr>
          <w:rFonts w:hint="cs"/>
          <w:rtl/>
        </w:rPr>
        <w:t>337 -</w:t>
      </w:r>
      <w:r>
        <w:rPr>
          <w:rFonts w:hint="cs"/>
          <w:rtl/>
        </w:rPr>
        <w:tab/>
        <w:t>وبالرغم من الدورات المختلفة لبناء المهارات التي تقدمها الوكالات الحكومية، تجد المرأة نفسها في أغلب الأحيان غير قادرة على الانتفاع تماما من تلك الدورات بسبب مسؤولياتها العائلية. وتشير الدراسات التي أجريت في عام 1991 فيما بين نساء ولاية جيليبو أن نقل التكنولوجيا الزراعية كان ضئيلا جدا بسبب حضور الأزواج للدورات التي يفترض أنها تستهدف المرأة والتي تفترض أن المرأة هي التي تضطلع بالعمل في المزرعة. وبالنظر لعقد تلك الدورات في أماكن بعيدة عن مساكن العديد من النساء ولطول مدة الدورات، فقد تعذر على العديد من النساء حضور تلك الدورات بسبب مسؤولياتهن العائلية. ولهذا، لا بد من تعديل الدورات لاستيعاب احتياجات المرأة من حيث الوحدات التدريبية ومضمون التدريب والسوقيات.</w:t>
      </w:r>
    </w:p>
    <w:p w:rsidR="00484A02" w:rsidRDefault="00484A02" w:rsidP="00484A02">
      <w:pPr>
        <w:pStyle w:val="SingleTxt"/>
        <w:rPr>
          <w:rFonts w:hint="cs"/>
          <w:rtl/>
        </w:rPr>
      </w:pPr>
      <w:r>
        <w:rPr>
          <w:rFonts w:hint="cs"/>
          <w:rtl/>
        </w:rPr>
        <w:t>338 -</w:t>
      </w:r>
      <w:r>
        <w:rPr>
          <w:rFonts w:hint="cs"/>
          <w:rtl/>
        </w:rPr>
        <w:tab/>
        <w:t>ولا يزال التحصيل التعليمي للمرأة الريفية منخفضا، ولا سيما في ميادين التكنولوجيا ومباشرة الأعمال الحرة والحوافز والقيادة، وهذا يحد من قدرتها على زيادة إمكانية الانتفاع من الموارد الإنتاجية أو من التنافس في السوق للحصول على فرص أفضل. ويركز نوع التدريب المتاح للمرأة على نحو أكبر على المهارات الأساسية ومعرفة الأنشطة الميدانية والتنمية المجتمعية، وقلما تتاح للمرأة دورات متخصصة للتدريب على مجالات من قبيل مباشرة الأعمال الحرة. ولهذا، فإن غالبية الريفيات يشتغلن في أعمال منخفضة الأجر وفي أنشطة حقلية مبددة للوقت حتى بالرغم من توفير مرشدين مدربين مؤهلين في تنمية الموراد البشرية من قبل شعبة التنمية المجتمعية التابعة لوزارة التنمية الريفية ووزارة الزراعة والسلطة الاتحادية لدمج واستصلاح الأراضي.</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حصول المرأة الريفية على الموارد الإنتاجية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إمكانية الحصول على الائتمانات والإئتمانات الصغيرة</w:t>
      </w:r>
    </w:p>
    <w:p w:rsidR="00484A02" w:rsidRDefault="00484A02" w:rsidP="00484A02">
      <w:pPr>
        <w:pStyle w:val="SingleTxt"/>
        <w:rPr>
          <w:rFonts w:hint="cs"/>
          <w:rtl/>
        </w:rPr>
      </w:pPr>
      <w:r>
        <w:rPr>
          <w:rFonts w:hint="cs"/>
          <w:rtl/>
        </w:rPr>
        <w:t>339 -</w:t>
      </w:r>
      <w:r>
        <w:rPr>
          <w:rFonts w:hint="cs"/>
          <w:rtl/>
        </w:rPr>
        <w:tab/>
        <w:t xml:space="preserve">تتوقف إمكانية حصول المرأة الريفية، في أغلب الأحيان، على موارد إنتاجية من قبيل الائتمانات على مستوى دخلها. وفي إطار برامج القضاء على الفقر، تتمتع الفقيرات المدقعات، وبخاصة من أدرجت أسماؤهن في قائمة الفقراء المدقعين التي تعدها الحكومة بإمكانية أفضل للحصول على الائتمانات بالمقارنة مع الأسر المعيشية غير الفقيرة. وما زالت المرأة الريفية الفقيرة تمثل أيضا المجموعة المستهدفة لغالبية برامج الائتمانات الصغيرة التي وضعتها المنظمات غير الحكومية باعتبارها أثبتت جدارتها للإقراض المصرفي. ويوجد لغاية الآن 382 64 مستفيدا من الائتمانات الصغيرة في إطار البرامج التي تديرها هيئات من قبيل </w:t>
      </w:r>
      <w:r>
        <w:rPr>
          <w:rFonts w:hint="eastAsia"/>
          <w:rtl/>
        </w:rPr>
        <w:t>”أمانة اختيار ماليزيا</w:t>
      </w:r>
      <w:r>
        <w:rPr>
          <w:rFonts w:hint="cs"/>
          <w:rtl/>
        </w:rPr>
        <w:t>“</w:t>
      </w:r>
      <w:r>
        <w:rPr>
          <w:rFonts w:hint="eastAsia"/>
          <w:rtl/>
        </w:rPr>
        <w:t xml:space="preserve"> و</w:t>
      </w:r>
      <w:r>
        <w:rPr>
          <w:rFonts w:hint="cs"/>
          <w:rtl/>
        </w:rPr>
        <w:t xml:space="preserve">مؤسسة التنمية </w:t>
      </w:r>
      <w:r>
        <w:rPr>
          <w:rFonts w:hint="eastAsia"/>
          <w:rtl/>
        </w:rPr>
        <w:t>”ياسان أوساها ماجو</w:t>
      </w:r>
      <w:r>
        <w:rPr>
          <w:rFonts w:hint="cs"/>
          <w:rtl/>
        </w:rPr>
        <w:t>“</w:t>
      </w:r>
      <w:r>
        <w:rPr>
          <w:rFonts w:hint="eastAsia"/>
          <w:rtl/>
        </w:rPr>
        <w:t>ومؤسسة تنمية ترين</w:t>
      </w:r>
      <w:r>
        <w:rPr>
          <w:rFonts w:hint="cs"/>
          <w:rtl/>
        </w:rPr>
        <w:t>غ</w:t>
      </w:r>
      <w:r>
        <w:rPr>
          <w:rFonts w:hint="eastAsia"/>
          <w:rtl/>
        </w:rPr>
        <w:t xml:space="preserve"> </w:t>
      </w:r>
      <w:r>
        <w:rPr>
          <w:rFonts w:hint="cs"/>
          <w:rtl/>
        </w:rPr>
        <w:t>غ</w:t>
      </w:r>
      <w:r>
        <w:rPr>
          <w:rFonts w:hint="eastAsia"/>
          <w:rtl/>
        </w:rPr>
        <w:t>انو</w:t>
      </w:r>
      <w:r>
        <w:rPr>
          <w:rFonts w:hint="cs"/>
          <w:rtl/>
        </w:rPr>
        <w:t xml:space="preserve"> ”</w:t>
      </w:r>
      <w:r>
        <w:rPr>
          <w:rFonts w:hint="eastAsia"/>
          <w:rtl/>
        </w:rPr>
        <w:t xml:space="preserve">ياياسان </w:t>
      </w:r>
      <w:r>
        <w:rPr>
          <w:rFonts w:hint="cs"/>
          <w:rtl/>
        </w:rPr>
        <w:t>بيمبانغ غ</w:t>
      </w:r>
      <w:r>
        <w:rPr>
          <w:rFonts w:hint="eastAsia"/>
          <w:rtl/>
        </w:rPr>
        <w:t>ونان ترين</w:t>
      </w:r>
      <w:r>
        <w:rPr>
          <w:rFonts w:hint="cs"/>
          <w:rtl/>
        </w:rPr>
        <w:t>غ</w:t>
      </w:r>
      <w:r>
        <w:rPr>
          <w:rFonts w:hint="eastAsia"/>
          <w:rtl/>
        </w:rPr>
        <w:t xml:space="preserve"> </w:t>
      </w:r>
      <w:r>
        <w:rPr>
          <w:rFonts w:hint="cs"/>
          <w:rtl/>
        </w:rPr>
        <w:t>غ</w:t>
      </w:r>
      <w:r>
        <w:rPr>
          <w:rFonts w:hint="eastAsia"/>
          <w:rtl/>
        </w:rPr>
        <w:t>انو</w:t>
      </w:r>
      <w:r>
        <w:rPr>
          <w:rFonts w:hint="cs"/>
          <w:rtl/>
        </w:rPr>
        <w:t>“</w:t>
      </w:r>
      <w:r>
        <w:rPr>
          <w:rFonts w:hint="eastAsia"/>
          <w:rtl/>
        </w:rPr>
        <w:t xml:space="preserve">. </w:t>
      </w:r>
      <w:r>
        <w:rPr>
          <w:rFonts w:hint="cs"/>
          <w:rtl/>
        </w:rPr>
        <w:t>ويبلغ معدل الائتمان 272.9 مليون رينغيت.</w:t>
      </w:r>
    </w:p>
    <w:p w:rsidR="00484A02" w:rsidRDefault="00484A02" w:rsidP="00484A02">
      <w:pPr>
        <w:pStyle w:val="SingleTxt"/>
        <w:rPr>
          <w:rFonts w:hint="cs"/>
          <w:rtl/>
        </w:rPr>
      </w:pPr>
      <w:r>
        <w:rPr>
          <w:rFonts w:hint="cs"/>
          <w:rtl/>
        </w:rPr>
        <w:t>340 -</w:t>
      </w:r>
      <w:r>
        <w:rPr>
          <w:rFonts w:hint="cs"/>
          <w:rtl/>
        </w:rPr>
        <w:tab/>
        <w:t>وفيما يتعلق بالنساء الريفيات غير المصنفات في عداد الفقيرات المدقعات، فهن يتمتعن بإمكانية الحصول على التسهيلات الائتمانية التي توفرها بعض الوكالات الحكومية. على سبيل المثال، تقدم سلطة منظمات المزارعين ائتمانات لأغراض الزراعة ولوازم الأسر المعيشية وكذلك لتعليم أطفال المزارعين. وتوفر سلطة تنمية المزارع الصغيرة أيضا، في إطار صندوق التنمية الاقتصادية والاجتماعية التابع لها، ائتمانات للمشاريع المدرة للدخل. وبالإضافة إلى ذلك، بدأت ولايتان من ولايات شبه جزيرة الملايو بإعطاء مزيد من الائتمانات للنساء الريفيات بغرض رفع مستوى أعمالهن التجارية في إطار برامج إدارات الزراعة في الولايات. ومن المتوقع أن تحذو حذوهما في المستقبل القريب ولايات أخرى.</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تسهيلات التسويق</w:t>
      </w:r>
    </w:p>
    <w:p w:rsidR="00484A02" w:rsidRDefault="00484A02" w:rsidP="00484A02">
      <w:pPr>
        <w:pStyle w:val="SingleTxt"/>
        <w:rPr>
          <w:rFonts w:hint="cs"/>
          <w:rtl/>
        </w:rPr>
      </w:pPr>
      <w:r>
        <w:rPr>
          <w:rFonts w:hint="cs"/>
          <w:rtl/>
        </w:rPr>
        <w:t>341 -</w:t>
      </w:r>
      <w:r>
        <w:rPr>
          <w:rFonts w:hint="cs"/>
          <w:rtl/>
        </w:rPr>
        <w:tab/>
        <w:t xml:space="preserve">من الشواغل الرئيسية للمرأة المشتغلة في مشروع صغير هو ضآلة إمكانية تسويق منتجاتها. وتبذل حاليا جهود من قبل وزارات عديدة من قبيل وزارة الزراعة والسلطة الاتحادية للتسويق الزراعي لتسهيل عملية تسويق منتجات النساء الريفيات. ويجري حاليا تسويق منتجات مجموعة تقديم الخدمات الإرشادية للمرأة تحت العلامة التجارية المعروفة باسم </w:t>
      </w:r>
      <w:r>
        <w:rPr>
          <w:rFonts w:hint="eastAsia"/>
          <w:rtl/>
        </w:rPr>
        <w:t>”وانيس</w:t>
      </w:r>
      <w:r>
        <w:rPr>
          <w:rFonts w:hint="cs"/>
          <w:rtl/>
        </w:rPr>
        <w:t xml:space="preserve"> </w:t>
      </w:r>
      <w:r>
        <w:t>WANIS</w:t>
      </w:r>
      <w:r>
        <w:rPr>
          <w:rFonts w:hint="cs"/>
          <w:rtl/>
        </w:rPr>
        <w:t>“ في حين تُسوَّق بعض المنتجات الغذائية (مثل روسيلي) في السوق المحلية والدولية على حد سواء.</w:t>
      </w:r>
    </w:p>
    <w:p w:rsidR="00484A02" w:rsidRDefault="00484A02" w:rsidP="00484A02">
      <w:pPr>
        <w:pStyle w:val="SingleTxt"/>
        <w:rPr>
          <w:rFonts w:hint="cs"/>
          <w:rtl/>
        </w:rPr>
      </w:pPr>
      <w:r>
        <w:rPr>
          <w:rFonts w:hint="cs"/>
          <w:rtl/>
        </w:rPr>
        <w:t>342 -</w:t>
      </w:r>
      <w:r>
        <w:rPr>
          <w:rFonts w:hint="cs"/>
          <w:rtl/>
        </w:rPr>
        <w:tab/>
        <w:t xml:space="preserve">أنشئ ما مجموعة 940 مركزا للتجميع لتوفير مرافق للتعليب وقنوات لتوزيع منتجات مجموعة تقديم الخدمات الإرشادية للمرأة من خلال مفهوم البيع المباشر. وتقوم سلطة تنمية المزارع الصغيرة للصناعات المطاطية وسلطة منظمات المزارعين بتسويق منتجات عضواتهما عن طريق التعاونيات التابعة للسلطتين. وتقوم الأسواق الصغيرة التابعة للسلطة الاتحادية للتسويق الزراعي وأسواق المزارعين فضلا عن أسواق المزارعين التابعة لسلطة منظمات المزارعين بتيسير بيع المنتجات الطازجة والمجهزة. وشكلت مجموعة النسوة في بونتيان شركة لتسويق منتجاتهن تحت العلامة التجارية المعروفة باسم </w:t>
      </w:r>
      <w:r>
        <w:rPr>
          <w:rFonts w:hint="eastAsia"/>
          <w:rtl/>
        </w:rPr>
        <w:t>”مادوماس</w:t>
      </w:r>
      <w:r>
        <w:rPr>
          <w:rFonts w:hint="cs"/>
          <w:rtl/>
        </w:rPr>
        <w:t xml:space="preserve"> </w:t>
      </w:r>
      <w:r>
        <w:t>MADUMAS</w:t>
      </w:r>
      <w:r>
        <w:rPr>
          <w:rFonts w:hint="cs"/>
          <w:rtl/>
        </w:rPr>
        <w:t>“. وبالإضافة إلى ذلك، أتاحت منظمات عديدة أخرى للمجموعات النسائية فرصة عرض وبيع منتجاتها في المعارض التي تقيمها.</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إمكانية الوصول إلى التكنولوجيا</w:t>
      </w:r>
    </w:p>
    <w:p w:rsidR="00484A02" w:rsidRDefault="00484A02" w:rsidP="00484A02">
      <w:pPr>
        <w:pStyle w:val="SingleTxt"/>
        <w:rPr>
          <w:rFonts w:hint="cs"/>
          <w:rtl/>
        </w:rPr>
      </w:pPr>
      <w:r>
        <w:rPr>
          <w:rFonts w:hint="cs"/>
          <w:rtl/>
        </w:rPr>
        <w:t>343 -</w:t>
      </w:r>
      <w:r>
        <w:rPr>
          <w:rFonts w:hint="cs"/>
          <w:rtl/>
        </w:rPr>
        <w:tab/>
        <w:t>على الرغم من أن مكننة الأنشطة الزراعية تساعد في تحسين الإنتاجية لكنها تفقد المرأة عملها في بعض الأحيان. ففي منطقة زراعة الأرز في كيداح، تؤدي الآلات دور المرأة في غرس الشتلات وحصاد المحصول. وفي تجهيز ثمار الكاكاو، تتولى المرأة بصفة أساسية فلق حبوب الكاكاو. وتعتبر معظم الآلات غير ملائمة للمرأة لأنه لم يراع عند تصميمها تخفيف المشقة عن المرأة في أدائها لعملها. ولهذا، وبغية كفالة عدم فقدان المرأة لعملها نتيجة استخدام التكنولوجيات أو الآلات الجديدة، شرعت وحدة تنمية الأسرة والمزرعة بتوفير آلات ملائمة لمباشرات الأعمال الحرة الصغيرة لتمكينهن من زيادة إنتاجهن. ويحق أيضا لعضوات مجموعة تقديم الخدمات الإرشادية للمرأة الاستفادة من هذا الدعم إذا كن يشتغلن بأعمال حرة صغيرة ويحتجن لآلات من أجل توسيع نطاق إنتاجهن. وبالإضافة إلى ذلك، توفر أيضا لمباشرات الأعمال الحرة الريفيات المشورة والتوجيه بشأن كيفية النهوض بمشاريعهن. وتوفر شعبة الاقتصاد الريفي التابعة لوزارة التنمية الريفية، في إطار برنامج القروض الجزئية (بمعدل 70 مقابل 30)، إعانات لشراء الآلات اللازمة للصناعات الريفية تتيح للمرأة الريفية إمكانية امتلاك الآلات الخاصة بها أو اقتناء مستوى التكنولوجيا الأحدث لمساعدتها في تجهيز منتجاتها والنهوض بمشروعاتها. وفي عام 2001، استفاد من برنامج تمويل الاقتصاد الريفي 17 امرأة مقابل 59 رجلا.</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الأرض</w:t>
      </w:r>
    </w:p>
    <w:p w:rsidR="00484A02" w:rsidRDefault="00484A02" w:rsidP="00484A02">
      <w:pPr>
        <w:pStyle w:val="SingleTxt"/>
        <w:rPr>
          <w:rFonts w:hint="cs"/>
          <w:rtl/>
        </w:rPr>
      </w:pPr>
      <w:r>
        <w:rPr>
          <w:rFonts w:hint="cs"/>
          <w:rtl/>
        </w:rPr>
        <w:t>344 -</w:t>
      </w:r>
      <w:r>
        <w:rPr>
          <w:rFonts w:hint="cs"/>
          <w:rtl/>
        </w:rPr>
        <w:tab/>
        <w:t>تتمتع المرأة الريفية في ماليزيا بحق امتلاك الأرض ووراثتها. ويحق للمرأة المسلمة وراثة الأرض استنادا إلى الشريعة الإسلامية. وبعد إقرار تعديل قانون الأراضي (مناطق المستوطنات الجماعية) يحق للزوجة أو الزوجة السابقة المشاركة على قدم المساواة في ملكية الأرض المستصلحة بموجب البرنامج الذي تديره سلطة استصلاح الأراضي الاتحادية.</w:t>
      </w:r>
    </w:p>
    <w:p w:rsidR="00484A02" w:rsidRDefault="00484A02" w:rsidP="00484A02">
      <w:pPr>
        <w:pStyle w:val="SingleTxt"/>
        <w:rPr>
          <w:rFonts w:hint="cs"/>
          <w:rtl/>
        </w:rPr>
      </w:pPr>
      <w:r>
        <w:rPr>
          <w:rFonts w:hint="cs"/>
          <w:rtl/>
        </w:rPr>
        <w:t>345 -</w:t>
      </w:r>
      <w:r>
        <w:rPr>
          <w:rFonts w:hint="cs"/>
          <w:rtl/>
        </w:rPr>
        <w:tab/>
        <w:t>تشير البيانات المستمدة من تعداد أصحاب المزارع الصغيرة لعام 1992 أن عدد أصحاب مزارع المطاط الصغيرة بلغ 193 420 مزارعا في تلك السنة، منهم 30 في المائة من المزراعات وبلغ متوسط مساحة الأرض التي تملكها كل منهن 1.65 هكتار مقابل 2.02 هكتار للمزارعين. ويوضح التعداد كذلك أن نسبة 13.6 في المائة من الإناث مصنفات في عداد الفقيرات المدقعات بالمقارنة مع 10.9 في المائة فقط من الذكور. ويعتبر صغر مساحة المزارع إلى حد غير اقتصادي، ولا سيما مزارع المطاط، أحد العوامل الرئيسية التي تسهم في انخفاض دخل أصحاب وصاحبات مزارع المطاط الصغيرة، على حد سواء. وبغية التصدي لهذه المشكلة شرعت سلطة تنمية المزراع الصغيرة للصناعات المطاطية بتطبيق برنامج لإدارة الممتلكات تقوم السلطة بموجبه بإدارة مزارع المطاط الصغيرة جدا إلى حد غير اقتصادي بوصفها ممتلكات عقارية من أجل زيادة إنتاجيتها وتوفير دخل شهري لأصحابها، أو أجر شهري لهم إذا وظفوا للعمل فيها بصفة عمال.</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اشتراك المرأة الريفية في مجموعات المعونة الذاتية والتعاونية والتنمية المجتمعية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مجموعات المعونة الذاتية والتعاونيات</w:t>
      </w:r>
    </w:p>
    <w:p w:rsidR="00484A02" w:rsidRDefault="00484A02" w:rsidP="00484A02">
      <w:pPr>
        <w:pStyle w:val="SingleTxt"/>
        <w:rPr>
          <w:rFonts w:hint="cs"/>
          <w:rtl/>
        </w:rPr>
      </w:pPr>
      <w:r>
        <w:rPr>
          <w:rFonts w:hint="cs"/>
          <w:rtl/>
        </w:rPr>
        <w:t>346 -</w:t>
      </w:r>
      <w:r>
        <w:rPr>
          <w:rFonts w:hint="cs"/>
          <w:rtl/>
        </w:rPr>
        <w:tab/>
        <w:t>تم من خلال الأقسام المعنية بالمرأة في مختلف الوكالات مثل مجموعة تقديم الخدمات الإرشادية للمرأة التابعة لوزارة الزراعة أو مجموعة صاحبات المزارع الصغيرة التابعة لسلطة تنمية المزارع الصغيرة تنظيم النساء في شكل مجموعات للمعونة الذاتية. وعلى الرغم من تركيز تلك المجموعات جل اهتمامها في المرحلة الأولية على الأنشطة الاجتماعية، انخرطت مجموعات عديدة منها منذئذ بنجاح في أنشطة اقتصادية. فقد سجلت مجموعة تقديم الخدمات الإرشادية للمرأة في عام 1996 رقم مبيعات إجمالي قدره 14.5 مليون رينغيت في حين سجلت مجموعة صاحبات المزارع الصغيرة في السنة ذاتها رقم مبيعات إجمالي قدره 1.2 مليون رينغيت. وفي الوقت نفسه، تمكنت المرأة تحت إشراف سلطة منظمات المزارعين من تنظيم قريناتها في شكل تعاونيات شاركت بفعالية في المشاريع الاقتصادية.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الجدول 14-7: عدد مجموعات المعونة الذاتية النسائية المنظمة في إطار الوكالات المختلفة* </w:t>
      </w:r>
    </w:p>
    <w:p w:rsidR="00484A02" w:rsidRPr="00ED65A6" w:rsidRDefault="00484A02" w:rsidP="00484A02">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2736"/>
        <w:gridCol w:w="1545"/>
        <w:gridCol w:w="1209"/>
      </w:tblGrid>
      <w:tr w:rsidR="00484A02" w:rsidRPr="00ED65A6">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80" w:after="80" w:line="240" w:lineRule="exact"/>
              <w:ind w:left="170" w:right="170"/>
              <w:jc w:val="center"/>
              <w:rPr>
                <w:rFonts w:hint="cs"/>
                <w:i/>
                <w:iCs/>
                <w:sz w:val="16"/>
                <w:szCs w:val="24"/>
                <w:rtl/>
              </w:rPr>
            </w:pPr>
            <w:r w:rsidRPr="00ED65A6">
              <w:rPr>
                <w:rFonts w:hint="cs"/>
                <w:i/>
                <w:iCs/>
                <w:sz w:val="16"/>
                <w:szCs w:val="24"/>
                <w:rtl/>
              </w:rPr>
              <w:t>الوكالة</w:t>
            </w:r>
          </w:p>
        </w:tc>
        <w:tc>
          <w:tcPr>
            <w:tcW w:w="2736" w:type="dxa"/>
            <w:tcBorders>
              <w:top w:val="single" w:sz="4" w:space="0" w:color="auto"/>
              <w:bottom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80" w:after="80" w:line="240" w:lineRule="exact"/>
              <w:ind w:left="170" w:right="144"/>
              <w:jc w:val="center"/>
              <w:rPr>
                <w:rFonts w:hint="cs"/>
                <w:i/>
                <w:iCs/>
                <w:sz w:val="16"/>
                <w:szCs w:val="24"/>
                <w:rtl/>
              </w:rPr>
            </w:pPr>
            <w:r w:rsidRPr="00ED65A6">
              <w:rPr>
                <w:rFonts w:hint="cs"/>
                <w:i/>
                <w:iCs/>
                <w:sz w:val="16"/>
                <w:szCs w:val="24"/>
                <w:rtl/>
              </w:rPr>
              <w:t>المجموعة</w:t>
            </w:r>
          </w:p>
        </w:tc>
        <w:tc>
          <w:tcPr>
            <w:tcW w:w="1545" w:type="dxa"/>
            <w:tcBorders>
              <w:top w:val="single" w:sz="4" w:space="0" w:color="auto"/>
              <w:bottom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ED65A6">
              <w:rPr>
                <w:rFonts w:hint="cs"/>
                <w:i/>
                <w:iCs/>
                <w:sz w:val="16"/>
                <w:szCs w:val="24"/>
                <w:rtl/>
              </w:rPr>
              <w:t>عدد الفروع/المجموعات</w:t>
            </w:r>
          </w:p>
        </w:tc>
        <w:tc>
          <w:tcPr>
            <w:tcW w:w="1209" w:type="dxa"/>
            <w:tcBorders>
              <w:top w:val="single" w:sz="4" w:space="0" w:color="auto"/>
              <w:bottom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80" w:after="80" w:line="240" w:lineRule="exact"/>
              <w:ind w:left="170" w:right="144"/>
              <w:jc w:val="lowKashida"/>
              <w:rPr>
                <w:rFonts w:hint="cs"/>
                <w:i/>
                <w:iCs/>
                <w:sz w:val="16"/>
                <w:szCs w:val="24"/>
                <w:rtl/>
              </w:rPr>
            </w:pPr>
            <w:r w:rsidRPr="00ED65A6">
              <w:rPr>
                <w:rFonts w:hint="cs"/>
                <w:i/>
                <w:iCs/>
                <w:sz w:val="16"/>
                <w:szCs w:val="24"/>
                <w:rtl/>
              </w:rPr>
              <w:t>عدد الأعضاء</w:t>
            </w:r>
          </w:p>
        </w:tc>
      </w:tr>
      <w:tr w:rsidR="00484A02" w:rsidRPr="00ED65A6">
        <w:tblPrEx>
          <w:tblCellMar>
            <w:top w:w="0" w:type="dxa"/>
            <w:bottom w:w="0" w:type="dxa"/>
          </w:tblCellMar>
        </w:tblPrEx>
        <w:trPr>
          <w:cantSplit/>
          <w:trHeight w:hRule="exact" w:val="115"/>
          <w:tblHeader/>
        </w:trPr>
        <w:tc>
          <w:tcPr>
            <w:tcW w:w="1830" w:type="dxa"/>
            <w:tcBorders>
              <w:top w:val="single" w:sz="12" w:space="0" w:color="auto"/>
            </w:tcBorders>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70"/>
              <w:jc w:val="right"/>
              <w:rPr>
                <w:rFonts w:hint="cs"/>
                <w:sz w:val="16"/>
                <w:szCs w:val="24"/>
                <w:rtl/>
              </w:rPr>
            </w:pPr>
          </w:p>
        </w:tc>
        <w:tc>
          <w:tcPr>
            <w:tcW w:w="2736" w:type="dxa"/>
            <w:tcBorders>
              <w:top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545" w:type="dxa"/>
            <w:tcBorders>
              <w:top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c>
          <w:tcPr>
            <w:tcW w:w="1209" w:type="dxa"/>
            <w:tcBorders>
              <w:top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p>
        </w:tc>
      </w:tr>
      <w:tr w:rsidR="00484A02" w:rsidRPr="00ED65A6">
        <w:tblPrEx>
          <w:tblCellMar>
            <w:top w:w="0" w:type="dxa"/>
            <w:bottom w:w="0" w:type="dxa"/>
          </w:tblCellMar>
        </w:tblPrEx>
        <w:trPr>
          <w:cantSplit/>
        </w:trPr>
        <w:tc>
          <w:tcPr>
            <w:tcW w:w="1830"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وزارة الزراعة</w:t>
            </w:r>
          </w:p>
        </w:tc>
        <w:tc>
          <w:tcPr>
            <w:tcW w:w="2736" w:type="dxa"/>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مجموعة تقديم الخدمات الإرشادية للمرأة</w:t>
            </w:r>
          </w:p>
        </w:tc>
        <w:tc>
          <w:tcPr>
            <w:tcW w:w="1545"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202 1</w:t>
            </w:r>
          </w:p>
        </w:tc>
        <w:tc>
          <w:tcPr>
            <w:tcW w:w="1209"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435 34</w:t>
            </w:r>
          </w:p>
        </w:tc>
      </w:tr>
      <w:tr w:rsidR="00484A02" w:rsidRPr="00ED65A6">
        <w:tblPrEx>
          <w:tblCellMar>
            <w:top w:w="0" w:type="dxa"/>
            <w:bottom w:w="0" w:type="dxa"/>
          </w:tblCellMar>
        </w:tblPrEx>
        <w:trPr>
          <w:cantSplit/>
        </w:trPr>
        <w:tc>
          <w:tcPr>
            <w:tcW w:w="1830" w:type="dxa"/>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السلطة الاتحادية لدمج واستصلاح الأراضي</w:t>
            </w:r>
          </w:p>
        </w:tc>
        <w:tc>
          <w:tcPr>
            <w:tcW w:w="2736"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eastAsia"/>
                <w:sz w:val="16"/>
                <w:szCs w:val="24"/>
                <w:rtl/>
              </w:rPr>
            </w:pPr>
            <w:r>
              <w:rPr>
                <w:rFonts w:hint="cs"/>
                <w:sz w:val="16"/>
                <w:szCs w:val="24"/>
                <w:rtl/>
              </w:rPr>
              <w:t xml:space="preserve">مجموعة </w:t>
            </w:r>
            <w:r>
              <w:rPr>
                <w:rFonts w:hint="eastAsia"/>
                <w:sz w:val="16"/>
                <w:szCs w:val="24"/>
                <w:rtl/>
              </w:rPr>
              <w:t>”</w:t>
            </w:r>
            <w:r>
              <w:rPr>
                <w:rFonts w:hint="cs"/>
                <w:sz w:val="16"/>
                <w:szCs w:val="24"/>
                <w:rtl/>
              </w:rPr>
              <w:t xml:space="preserve">واديرا </w:t>
            </w:r>
            <w:r>
              <w:rPr>
                <w:sz w:val="16"/>
                <w:szCs w:val="24"/>
              </w:rPr>
              <w:t>WADIRA</w:t>
            </w:r>
            <w:r>
              <w:rPr>
                <w:rFonts w:hint="eastAsia"/>
                <w:sz w:val="16"/>
                <w:szCs w:val="24"/>
                <w:rtl/>
              </w:rPr>
              <w:t>“</w:t>
            </w:r>
          </w:p>
        </w:tc>
        <w:tc>
          <w:tcPr>
            <w:tcW w:w="1545" w:type="dxa"/>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111 1</w:t>
            </w:r>
          </w:p>
        </w:tc>
        <w:tc>
          <w:tcPr>
            <w:tcW w:w="1209" w:type="dxa"/>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44"/>
              <w:jc w:val="lowKashida"/>
              <w:rPr>
                <w:rFonts w:hint="cs"/>
                <w:sz w:val="16"/>
                <w:szCs w:val="24"/>
                <w:rtl/>
              </w:rPr>
            </w:pPr>
            <w:r>
              <w:rPr>
                <w:rFonts w:hint="cs"/>
                <w:sz w:val="16"/>
                <w:szCs w:val="24"/>
                <w:rtl/>
              </w:rPr>
              <w:t>592 10</w:t>
            </w:r>
          </w:p>
        </w:tc>
      </w:tr>
      <w:tr w:rsidR="00484A02" w:rsidRPr="00ED65A6">
        <w:tblPrEx>
          <w:tblCellMar>
            <w:top w:w="0" w:type="dxa"/>
            <w:bottom w:w="0" w:type="dxa"/>
          </w:tblCellMar>
        </w:tblPrEx>
        <w:trPr>
          <w:cantSplit/>
        </w:trPr>
        <w:tc>
          <w:tcPr>
            <w:tcW w:w="1830" w:type="dxa"/>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سلطة تنمية المزارع الصغيرة للصناعات المطاطية</w:t>
            </w:r>
          </w:p>
        </w:tc>
        <w:tc>
          <w:tcPr>
            <w:tcW w:w="2736"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مجموعة صاحبات المزارع الصغيرة</w:t>
            </w:r>
          </w:p>
        </w:tc>
        <w:tc>
          <w:tcPr>
            <w:tcW w:w="1545"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660</w:t>
            </w:r>
          </w:p>
        </w:tc>
        <w:tc>
          <w:tcPr>
            <w:tcW w:w="1209" w:type="dxa"/>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470 16</w:t>
            </w:r>
          </w:p>
        </w:tc>
      </w:tr>
      <w:tr w:rsidR="00484A02" w:rsidRPr="00ED65A6">
        <w:tblPrEx>
          <w:tblCellMar>
            <w:top w:w="0" w:type="dxa"/>
            <w:bottom w:w="0" w:type="dxa"/>
          </w:tblCellMar>
        </w:tblPrEx>
        <w:trPr>
          <w:cantSplit/>
        </w:trPr>
        <w:tc>
          <w:tcPr>
            <w:tcW w:w="1830" w:type="dxa"/>
            <w:tcBorders>
              <w:bottom w:val="single" w:sz="12" w:space="0" w:color="auto"/>
            </w:tcBorders>
            <w:shd w:val="clear" w:color="auto" w:fill="auto"/>
            <w:vAlign w:val="bottom"/>
          </w:tcPr>
          <w:p w:rsidR="00484A02" w:rsidRPr="00ED65A6" w:rsidRDefault="00484A02" w:rsidP="00215D2A">
            <w:pPr>
              <w:tabs>
                <w:tab w:val="left" w:pos="288"/>
                <w:tab w:val="left" w:pos="576"/>
                <w:tab w:val="left" w:pos="864"/>
                <w:tab w:val="left" w:pos="1152"/>
              </w:tabs>
              <w:spacing w:before="40" w:after="80" w:line="240" w:lineRule="exact"/>
              <w:ind w:left="170" w:right="170"/>
              <w:rPr>
                <w:rFonts w:hint="cs"/>
                <w:sz w:val="16"/>
                <w:szCs w:val="24"/>
                <w:rtl/>
              </w:rPr>
            </w:pPr>
            <w:r>
              <w:rPr>
                <w:rFonts w:hint="cs"/>
                <w:sz w:val="16"/>
                <w:szCs w:val="24"/>
                <w:rtl/>
              </w:rPr>
              <w:t>سلطة تنمية مصائد الأسماك</w:t>
            </w:r>
          </w:p>
        </w:tc>
        <w:tc>
          <w:tcPr>
            <w:tcW w:w="2736" w:type="dxa"/>
            <w:tcBorders>
              <w:bottom w:val="single" w:sz="12" w:space="0" w:color="auto"/>
            </w:tcBorders>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eastAsia"/>
                <w:sz w:val="16"/>
                <w:szCs w:val="24"/>
                <w:rtl/>
              </w:rPr>
            </w:pPr>
            <w:r>
              <w:rPr>
                <w:rFonts w:hint="cs"/>
                <w:sz w:val="16"/>
                <w:szCs w:val="24"/>
                <w:rtl/>
              </w:rPr>
              <w:t xml:space="preserve">مجموعة </w:t>
            </w:r>
            <w:r>
              <w:rPr>
                <w:rFonts w:hint="eastAsia"/>
                <w:sz w:val="16"/>
                <w:szCs w:val="24"/>
                <w:rtl/>
              </w:rPr>
              <w:t>”</w:t>
            </w:r>
            <w:r>
              <w:rPr>
                <w:rFonts w:hint="cs"/>
                <w:sz w:val="16"/>
                <w:szCs w:val="24"/>
                <w:rtl/>
              </w:rPr>
              <w:t xml:space="preserve">كونيتا </w:t>
            </w:r>
            <w:r>
              <w:rPr>
                <w:sz w:val="16"/>
                <w:szCs w:val="24"/>
              </w:rPr>
              <w:t>Kunita</w:t>
            </w:r>
            <w:r>
              <w:rPr>
                <w:rFonts w:hint="eastAsia"/>
                <w:sz w:val="16"/>
                <w:szCs w:val="24"/>
                <w:rtl/>
              </w:rPr>
              <w:t>“</w:t>
            </w:r>
          </w:p>
        </w:tc>
        <w:tc>
          <w:tcPr>
            <w:tcW w:w="1545" w:type="dxa"/>
            <w:tcBorders>
              <w:bottom w:val="single" w:sz="12" w:space="0" w:color="auto"/>
            </w:tcBorders>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78</w:t>
            </w:r>
          </w:p>
        </w:tc>
        <w:tc>
          <w:tcPr>
            <w:tcW w:w="1209" w:type="dxa"/>
            <w:tcBorders>
              <w:bottom w:val="single" w:sz="12" w:space="0" w:color="auto"/>
            </w:tcBorders>
            <w:shd w:val="clear" w:color="auto" w:fill="auto"/>
          </w:tcPr>
          <w:p w:rsidR="00484A02" w:rsidRPr="00ED65A6" w:rsidRDefault="00484A02" w:rsidP="00215D2A">
            <w:pPr>
              <w:tabs>
                <w:tab w:val="left" w:pos="288"/>
                <w:tab w:val="left" w:pos="576"/>
                <w:tab w:val="left" w:pos="864"/>
                <w:tab w:val="left" w:pos="1152"/>
              </w:tabs>
              <w:spacing w:before="40" w:after="80" w:line="240" w:lineRule="exact"/>
              <w:ind w:left="170" w:right="144"/>
              <w:rPr>
                <w:rFonts w:hint="cs"/>
                <w:sz w:val="16"/>
                <w:szCs w:val="24"/>
                <w:rtl/>
              </w:rPr>
            </w:pPr>
            <w:r>
              <w:rPr>
                <w:rFonts w:hint="cs"/>
                <w:sz w:val="16"/>
                <w:szCs w:val="24"/>
                <w:rtl/>
              </w:rPr>
              <w:t>223 3</w:t>
            </w:r>
          </w:p>
        </w:tc>
      </w:tr>
    </w:tbl>
    <w:p w:rsidR="00484A02" w:rsidRPr="005B6CA6" w:rsidRDefault="00484A02" w:rsidP="00484A0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484A02" w:rsidRDefault="00484A02" w:rsidP="00484A0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البيانات مقدمة قبل الوكالات.</w:t>
      </w:r>
    </w:p>
    <w:p w:rsidR="00484A02" w:rsidRDefault="00484A02" w:rsidP="00484A02">
      <w:pPr>
        <w:pStyle w:val="SingleTxt"/>
        <w:rPr>
          <w:rFonts w:hint="cs"/>
          <w:rtl/>
        </w:rPr>
      </w:pPr>
      <w:r>
        <w:rPr>
          <w:rFonts w:hint="cs"/>
          <w:rtl/>
        </w:rPr>
        <w:t>347 -</w:t>
      </w:r>
      <w:r>
        <w:rPr>
          <w:rFonts w:hint="cs"/>
          <w:rtl/>
        </w:rPr>
        <w:tab/>
        <w:t>التعاونية عبارة عن منظمة تضم 100 عضو فما فوق. وضخامة العضوية لا تعتبر بالضرورة مشكلة شريطة أن تكون إدارة وتنظيم التعاونية مصقولين ومدارين جيدا. ومن الأهمية بمكان صقل آلية التعاونية لجعلها صالحة للعمل على صعيد المقاطعات ولتحقيق اتساقها على صعيد الولايات. وفي عام 1997، كانت هناك 21 تعاونية في شكل 14 تعاونية نسائية (تضم 149 2 عضوة)، و 4 تعاونيات قروية (تضم 368 عضوا)، و 3 تعاونيات متعددة الأغراض تضم 459 عضوا. وتبلغ القيمة السهمية لهذه التعاونيات 415 491 رينغيت.</w:t>
      </w:r>
    </w:p>
    <w:p w:rsidR="00484A02" w:rsidRDefault="00484A02" w:rsidP="00484A02">
      <w:pPr>
        <w:pStyle w:val="SingleTxt"/>
        <w:rPr>
          <w:rFonts w:hint="cs"/>
          <w:rtl/>
        </w:rPr>
      </w:pPr>
      <w:r>
        <w:rPr>
          <w:rFonts w:hint="cs"/>
          <w:rtl/>
        </w:rPr>
        <w:t>348 -</w:t>
      </w:r>
      <w:r>
        <w:rPr>
          <w:rFonts w:hint="cs"/>
          <w:rtl/>
        </w:rPr>
        <w:tab/>
        <w:t xml:space="preserve">وتتسم الأنشطة التي تضطلع بها المرأة الريفية، بصفة عامة، بطابع غير نظامي وتستند إلى أساس اجتماعي. وعلى الرغم من وجود الحركة التعاونية في المناطق الريفية منذ الاستقلال، فإن اشتراك المرأة في الأنشطة التعاونية ضئيل جدا. ففي عام 1996، لم يتجاوز عدد العضوات في تعاونيات مزارع المطاط الصغيرة اللائي هن عضوات في مجموعة صاحبات المزارع الصغيرة 723 8 عضوة من أصل 574 13 مجموع عضوات المجموعة. وقد أنشأت السلطة الاتحادية لدمج واستصلاح الأراضي 147 تعاونية يصل عدد أعضائها إلى 000 30 عضو، بمن فيهم أعضاء المجالس البالغ عددهم 617 1 عضوا. ولكن هناك 30 عضوة فقط في مجالس 17 تعاونية. وعندما تنضم المرأة فعليا إلى تعاونية فهي تقوم عادة بدور عضو عادي فيها ولا تشارك في عملية صنع القرار. </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التنمية المجتمعية</w:t>
      </w:r>
    </w:p>
    <w:p w:rsidR="00484A02" w:rsidRDefault="00484A02" w:rsidP="00484A02">
      <w:pPr>
        <w:pStyle w:val="SingleTxt"/>
        <w:rPr>
          <w:rFonts w:hint="cs"/>
          <w:rtl/>
        </w:rPr>
      </w:pPr>
      <w:r>
        <w:rPr>
          <w:rFonts w:hint="cs"/>
          <w:rtl/>
        </w:rPr>
        <w:t xml:space="preserve">349 </w:t>
      </w:r>
      <w:r>
        <w:rPr>
          <w:rtl/>
        </w:rPr>
        <w:t>–</w:t>
      </w:r>
      <w:r>
        <w:rPr>
          <w:rFonts w:hint="cs"/>
          <w:rtl/>
        </w:rPr>
        <w:tab/>
        <w:t xml:space="preserve">تقوم المرأة الريفية بدور نشط في الأنشطة المجتمعية، ولا سيما أنشطة الرعاية والأنشطة الاجتماعية. ولولا الخدمات الطوعية التي يقدمها الرجال والنساء في المناطق الريفية لما استطاع الناس هناك إقامة الاحتفالات والأعراس والتجمعات الأخرى. وتساهم المرأة إلى حد كبير في صون المجتمع المحلي </w:t>
      </w:r>
      <w:r>
        <w:rPr>
          <w:rtl/>
        </w:rPr>
        <w:t>–</w:t>
      </w:r>
      <w:r>
        <w:rPr>
          <w:rFonts w:hint="cs"/>
          <w:rtl/>
        </w:rPr>
        <w:t xml:space="preserve"> فتنشئة الأسرة ورعاية المرضى، على سبيل المثال، هي من المهام التي تقع بأكملها تقريبا على عاتق المرأة. ومع ذلك، لا تتلقى المرأة في أغلب الأحيان الدعم أو للتدريب على المهارات اللازمة لمساعدتها في التصدي لتلك المهام، وتعاني بالتالي من الإجهاد.</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خدمات الدعم المقدمة للمرأة الريفية</w:t>
      </w:r>
    </w:p>
    <w:p w:rsidR="00484A02" w:rsidRDefault="00484A02" w:rsidP="00484A02">
      <w:pPr>
        <w:pStyle w:val="SingleTxt"/>
        <w:rPr>
          <w:rFonts w:hint="cs"/>
          <w:rtl/>
        </w:rPr>
      </w:pPr>
      <w:r>
        <w:rPr>
          <w:rFonts w:hint="cs"/>
          <w:rtl/>
        </w:rPr>
        <w:t>350 -</w:t>
      </w:r>
      <w:r>
        <w:rPr>
          <w:rFonts w:hint="cs"/>
          <w:rtl/>
        </w:rPr>
        <w:tab/>
        <w:t>اشتراك المرأة في القوة العاملة وغير ذلك من الأنشطة خارج المنزل لا تعفيها من مسؤولياتها في المجال المنزلي. وبالرغم من أن المرأة تساعد زوجها حاليا في جني المال فإن مشاركة زوجها في الأنشطة المنزلية ما زال ضئيلا جدا. وهكذا تقوم المرأة بدور ثلاثي كأم وزوجة في المنزل، وكصاحبة مهنة أو عاملة منتجة في سوق العمل، وكمشترك في الأنشطة المجتمعية، عند الاقتضاء.</w:t>
      </w:r>
    </w:p>
    <w:p w:rsidR="00484A02" w:rsidRDefault="00484A02" w:rsidP="00484A02">
      <w:pPr>
        <w:pStyle w:val="SingleTxt"/>
        <w:rPr>
          <w:rFonts w:hint="cs"/>
          <w:rtl/>
        </w:rPr>
      </w:pPr>
      <w:r>
        <w:rPr>
          <w:rFonts w:hint="cs"/>
          <w:rtl/>
        </w:rPr>
        <w:t>351 -</w:t>
      </w:r>
      <w:r>
        <w:rPr>
          <w:rFonts w:hint="cs"/>
          <w:rtl/>
        </w:rPr>
        <w:tab/>
        <w:t>تمثل رعاية الأطفال أحد القضايا الرئيسية التي تواجه المرأة العاملة. وقد أنشأت مؤسسة تنمية الأسرة في ترينغ غانو خدمات للرعاية النهارية بسعر ضئيل جدا لمساعدة أسر الزوجين العاملين. وكانت سلطة استصلاح الأراضي الاتحادية سباقة في مضمار وضع برامج خاصة بالآباء في محاولة منها لإشراك الآباء في تنشئة أسرهم. وبالإضافة إلى ذلك، أنشأت السلطة دعما مجتمعيا لتخفيف العبء عن عاتق المرأة التي تعمل خارج المنزل من خلال التشجيع على تقديم خدمات الرعاية النهارية في المنازل. وفي عام 1997، كان لدى السلطة 300 من مقدمي الرعاية النهارية في المنازل يوفرون الرعاية لـ 960 طفلا.</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الأحوال المعيشية للمرأة الريفية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الأحوال المعيشية</w:t>
      </w:r>
    </w:p>
    <w:p w:rsidR="00484A02" w:rsidRDefault="00484A02" w:rsidP="00484A02">
      <w:pPr>
        <w:pStyle w:val="SingleTxt"/>
        <w:rPr>
          <w:rFonts w:hint="cs"/>
          <w:rtl/>
        </w:rPr>
      </w:pPr>
      <w:r>
        <w:rPr>
          <w:rFonts w:hint="cs"/>
          <w:rtl/>
        </w:rPr>
        <w:t>352 -</w:t>
      </w:r>
      <w:r>
        <w:rPr>
          <w:rFonts w:hint="cs"/>
          <w:rtl/>
        </w:rPr>
        <w:tab/>
        <w:t>تمثل الأسر المعيشية المعسرة في المناطق الريفية الفئة المستهدفة من وراء برنامج القضاء على الفقر في ماليزيا. وفي جملة أهداف هذا البرنامج تحسين الأحوال المعيشية للفقراء عن طريق توفير إعانة سكن لهم. وعلاوة على ذلك، هناك أيضا برامج عديدة من قبيل برنامج تقديم كتب مدرسية مجانا للطلاب، وإعانة الألبسة الرسمية للمدارس وإعانة لتوفير أغذية جيدة النوعية للأطفال في مرحلة التعليم قبل المدرسي، ومنح دراسية، ودورات في مجال التنمية البشرية لتحسين الأحوال المعيشية للفقراء المعسرين وأسرهم وتحسين وضعهم. كما تقدم للأسر المشمولة ببرامج استيطان الأراضي التي تنفذها الوكالات المسؤولة عن تطوير الأراضي من قبيل سلطة استصلاح الأراضي الاتحادية والسلطة الاتحادية لدمج واستصلاح الأراضي وسلطة تنمية المزارع الصغيرة للصناعات المطاطية، وحدات سكنية يسدد المستفيدون منها تكاليفها من مبيعات منتجاتهم.</w:t>
      </w:r>
    </w:p>
    <w:p w:rsidR="00484A02" w:rsidRDefault="00484A02" w:rsidP="00484A02">
      <w:pPr>
        <w:pStyle w:val="SingleTxt"/>
        <w:rPr>
          <w:rFonts w:hint="cs"/>
          <w:rtl/>
        </w:rPr>
      </w:pPr>
    </w:p>
    <w:p w:rsidR="00484A02" w:rsidRDefault="00484A02" w:rsidP="00484A02">
      <w:pPr>
        <w:pStyle w:val="SingleTxt"/>
        <w:rPr>
          <w:rFonts w:hint="cs"/>
          <w:rtl/>
        </w:rPr>
      </w:pPr>
    </w:p>
    <w:p w:rsidR="00484A02" w:rsidRPr="003D5634" w:rsidRDefault="00484A02" w:rsidP="00484A02">
      <w:pPr>
        <w:pageBreakBefore/>
        <w:framePr w:w="9792" w:h="602" w:hSpace="180" w:wrap="around" w:vAnchor="page" w:hAnchor="page" w:x="1200" w:y="13443"/>
        <w:spacing w:line="300" w:lineRule="exact"/>
        <w:ind w:left="1140" w:right="1236"/>
        <w:jc w:val="lowKashida"/>
        <w:rPr>
          <w:rFonts w:hint="cs"/>
          <w:sz w:val="26"/>
          <w:szCs w:val="26"/>
          <w:rtl/>
        </w:rPr>
      </w:pPr>
      <w:r w:rsidRPr="003D5634">
        <w:rPr>
          <w:noProof/>
          <w:w w:val="100"/>
          <w:sz w:val="26"/>
          <w:szCs w:val="26"/>
          <w:rtl/>
        </w:rPr>
        <w:pict>
          <v:line id="_x0000_s2131" style="position:absolute;left:0;text-align:left;z-index:59" from="379.5pt,-1pt" to="451.5pt,-1pt"/>
        </w:pict>
      </w:r>
      <w:r w:rsidRPr="003D5634">
        <w:rPr>
          <w:rFonts w:hint="cs"/>
          <w:sz w:val="26"/>
          <w:szCs w:val="26"/>
          <w:rtl/>
        </w:rPr>
        <w:tab/>
        <w:t xml:space="preserve"> (6)</w:t>
      </w:r>
      <w:r w:rsidRPr="003D5634">
        <w:rPr>
          <w:rFonts w:hint="cs"/>
          <w:sz w:val="26"/>
          <w:szCs w:val="26"/>
          <w:rtl/>
        </w:rPr>
        <w:tab/>
        <w:t>كومي. ي</w:t>
      </w:r>
      <w:r>
        <w:rPr>
          <w:rFonts w:hint="cs"/>
          <w:sz w:val="26"/>
          <w:szCs w:val="26"/>
          <w:rtl/>
        </w:rPr>
        <w:t>،</w:t>
      </w:r>
      <w:r w:rsidRPr="003D5634">
        <w:rPr>
          <w:rFonts w:hint="cs"/>
          <w:sz w:val="26"/>
          <w:szCs w:val="26"/>
          <w:rtl/>
        </w:rPr>
        <w:t xml:space="preserve"> حسنة س. و وون</w:t>
      </w:r>
      <w:r>
        <w:rPr>
          <w:rFonts w:hint="cs"/>
          <w:sz w:val="26"/>
          <w:szCs w:val="26"/>
          <w:rtl/>
        </w:rPr>
        <w:t>غ</w:t>
      </w:r>
      <w:r w:rsidRPr="003D5634">
        <w:rPr>
          <w:rFonts w:hint="cs"/>
          <w:sz w:val="26"/>
          <w:szCs w:val="26"/>
          <w:rtl/>
        </w:rPr>
        <w:t xml:space="preserve"> ف. ي. (1996)، </w:t>
      </w:r>
      <w:r w:rsidRPr="003D5634">
        <w:rPr>
          <w:rFonts w:hint="eastAsia"/>
          <w:sz w:val="26"/>
          <w:szCs w:val="26"/>
          <w:rtl/>
        </w:rPr>
        <w:t>”تطوير إدارة المزارع وتحويلها لأغراض الاستغلال التجاري في ماليزيا</w:t>
      </w:r>
      <w:r w:rsidRPr="003D5634">
        <w:rPr>
          <w:rFonts w:hint="cs"/>
          <w:sz w:val="26"/>
          <w:szCs w:val="26"/>
          <w:rtl/>
        </w:rPr>
        <w:t>“، تقرير الدراسة التعاونية التي أجرتها جامعة بيرتانيان، ماليزيا ومركز البحوث الياباني الدولي للعلوم الزراعية، في الفترة 1993-1996، جامعة بيرتانيان، ماليزيا.</w:t>
      </w:r>
    </w:p>
    <w:p w:rsidR="00484A02" w:rsidRDefault="00484A02" w:rsidP="00484A02">
      <w:pPr>
        <w:pStyle w:val="SingleTxt"/>
        <w:spacing w:line="240" w:lineRule="auto"/>
        <w:rPr>
          <w:rFonts w:hint="cs"/>
          <w:rtl/>
        </w:rPr>
      </w:pPr>
      <w:r>
        <w:rPr>
          <w:rFonts w:hint="cs"/>
          <w:rtl/>
        </w:rPr>
        <w:t>353 -</w:t>
      </w:r>
      <w:r>
        <w:rPr>
          <w:rFonts w:hint="cs"/>
          <w:rtl/>
        </w:rPr>
        <w:tab/>
        <w:t xml:space="preserve">ومن الضروري تخفيف مشقة العمل المنزلي عن كاهل المرأة وتمكينها من المشاركة في الأنشطة الاقتصادية. وتخفف المياه المنقولة عبر الأنابيب والكهرباء ضغط العمل عن كاهل المرأة ويقللان الوقت الذي تستغرقه في أداء المهام الروتينية للأسرة المعيشية وتدبير شؤون المنزل. ويمكن استغلال الوقت الموفر في توليد دخل للأسرة. وتشير دراسة أجراها </w:t>
      </w:r>
      <w:r>
        <w:rPr>
          <w:rFonts w:hint="eastAsia"/>
          <w:rtl/>
        </w:rPr>
        <w:t>”</w:t>
      </w:r>
      <w:r>
        <w:rPr>
          <w:rFonts w:hint="cs"/>
          <w:rtl/>
        </w:rPr>
        <w:t>كومي وآل</w:t>
      </w:r>
      <w:r>
        <w:rPr>
          <w:rFonts w:hint="eastAsia"/>
          <w:rtl/>
        </w:rPr>
        <w:t>“</w:t>
      </w:r>
      <w:r>
        <w:rPr>
          <w:rFonts w:hint="cs"/>
          <w:rtl/>
        </w:rPr>
        <w:t xml:space="preserve"> في عام 1996</w:t>
      </w:r>
      <w:r w:rsidRPr="00F36225">
        <w:rPr>
          <w:rFonts w:hint="cs"/>
          <w:vertAlign w:val="superscript"/>
          <w:rtl/>
        </w:rPr>
        <w:t>(6)</w:t>
      </w:r>
      <w:r>
        <w:rPr>
          <w:rFonts w:hint="cs"/>
          <w:rtl/>
        </w:rPr>
        <w:t xml:space="preserve"> إلى أن جميع الذين أجابوا على الأسئلة المشمولة بالدراسة تقريبا يمتلكون أجهزة تليفزيون وراديو وبرادات وغسالات ومواقد غاز. وتتمتع المناطق الريفية في ماليزيا، بصفة عامة، بأحوال معيشية جيدة، كما يتضح من تعداد المساكن لعام 1991 الذي أوضح أن ثلاثة أرباع المجيبين عليه يمتلكون أدوات كهربائية منزلية مثل أجهزة التليفزيون (69 في المائة) وبرادات (42 في المائة) و غسالات (19 في المائة) وراديوهات/ترددات عالية (70 في المائة). وارتفع عدد ملاك السيارات الخاصة والدراجات النارية من 12 في المائة إلى 32 في ا</w:t>
      </w:r>
      <w:r w:rsidRPr="00F36225">
        <w:rPr>
          <w:rFonts w:hint="cs"/>
          <w:szCs w:val="10"/>
          <w:rtl/>
        </w:rPr>
        <w:t>ا</w:t>
      </w:r>
      <w:r>
        <w:rPr>
          <w:rFonts w:hint="cs"/>
          <w:rtl/>
        </w:rPr>
        <w:t>لمائة، على التوالي في عام 1980 إلى 18 في المائة و 50 في المائة في عام 1991.</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النتيجة</w:t>
      </w:r>
    </w:p>
    <w:p w:rsidR="00484A02" w:rsidRDefault="00484A02" w:rsidP="00484A02">
      <w:pPr>
        <w:pStyle w:val="SingleTxt"/>
        <w:spacing w:line="240" w:lineRule="auto"/>
        <w:rPr>
          <w:rtl/>
        </w:rPr>
      </w:pPr>
      <w:r>
        <w:rPr>
          <w:rFonts w:hint="cs"/>
          <w:rtl/>
        </w:rPr>
        <w:t>354 -</w:t>
      </w:r>
      <w:r>
        <w:rPr>
          <w:rFonts w:hint="cs"/>
          <w:rtl/>
        </w:rPr>
        <w:tab/>
        <w:t>يمثل هذا التقرير محاولة لتقييم وضع المرأة الريفية في سياق اتفاقية القضاء على جميع أشكال التمييز ضد المرأة. ومن الصعب تحديد وضع المرأة في قطاع الزراعة بسبب عدم توفر بيانات مستكملة عن اشتراك المرأة، وبخاصة في ذلك القطاع. وتتولى عدة وكالات مسؤولية تنمية المناطق الريفية، ويوصى ببذل جهود متضافرة فيما بين جميع الوكالات التي تخدم المجتمعات الريفية من أجل تحقيق هدف تمكين المرأة الريفية. وبالإضافة إلى ذلك، ينبغي تكثيف حملات التوعية بالفوارق بين الجنسين على جميع المستويات بغرض إزالة الافتراضات القائمة على القوالب النمطية المتعلقة بدور المرأة من قبل صناع السياسة العامة ومنفذي البرامج وقادة المجتمعات المحلية والنساء أنفسهن حتى تتمكن المرأة الريفية من توظيف كامل طاقتها.</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rPr>
          <w:rFonts w:hint="cs"/>
          <w:rtl/>
        </w:rPr>
      </w:pPr>
      <w:r w:rsidRPr="007F6CBE">
        <w:rPr>
          <w:szCs w:val="6"/>
          <w:rtl/>
        </w:rPr>
        <w:br w:type="page"/>
      </w:r>
      <w:r>
        <w:rPr>
          <w:rFonts w:hint="cs"/>
          <w:rtl/>
        </w:rPr>
        <w:t>المادة 15</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 وفي المسائل المدنية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4A02" w:rsidRDefault="00484A02" w:rsidP="00484A02">
      <w:pPr>
        <w:pStyle w:val="SingleTxt"/>
        <w:rPr>
          <w:rFonts w:hint="cs"/>
          <w:rtl/>
        </w:rPr>
      </w:pPr>
      <w:r>
        <w:rPr>
          <w:rFonts w:hint="cs"/>
          <w:rtl/>
        </w:rPr>
        <w:t>355 -</w:t>
      </w:r>
      <w:r>
        <w:rPr>
          <w:rFonts w:hint="cs"/>
          <w:rtl/>
        </w:rPr>
        <w:tab/>
        <w:t xml:space="preserve">المساواة أمام القانون مجسدة بوضوح في المادة 8 من الدستور الاتحادي، كما ذُكر آنفا. وهي تتمثل في المبدأ الأساسي القاضي بأن يتمتع جميع الأشخاص، بغض النظر عن نوع الجنس، بحماية قانونية متساوية في ماليزيا. </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أهلية التعاقد وغيرها من أشكال الأهلية القانونية</w:t>
      </w:r>
    </w:p>
    <w:p w:rsidR="00484A02" w:rsidRDefault="00484A02" w:rsidP="00484A02">
      <w:pPr>
        <w:pStyle w:val="SingleTxt"/>
        <w:rPr>
          <w:rFonts w:hint="cs"/>
          <w:rtl/>
        </w:rPr>
      </w:pPr>
      <w:r>
        <w:rPr>
          <w:rFonts w:hint="cs"/>
          <w:rtl/>
        </w:rPr>
        <w:t>356-</w:t>
      </w:r>
      <w:r>
        <w:rPr>
          <w:rFonts w:hint="cs"/>
          <w:rtl/>
        </w:rPr>
        <w:tab/>
        <w:t>يحق للمرأة في ماليزيا الدخول في أي نوع من العلاقة التعاقدية سواء كانت لها صلة بأنشطة تجارية أو غير تجارية. والقانون الناظم للعلاقات التعاقدية هو قانون العقود لعام 1950 (القانون رقم 319). وبموجب هذا القانون، يشترط لصحة العقد أن يكون العاقد كامل الأهلية داخلا فيه بإرادته الحرة من أجل تحقيق كسب مشروع من وراء غرض مشروع. ويعتبر الشخص كامل الأهلية، بموجب هذا القانون، إذا كان بالغا عاقلا راشدا ولا يوجد ما يمنعه قانونا من التعاقد. ويعتبر الشخص عاقلا، لأغراض إبرام العقود، إذا كان قادرا على فهم مضمون العقد وإدراك آثاره على مصلحته.</w:t>
      </w:r>
    </w:p>
    <w:p w:rsidR="00484A02" w:rsidRDefault="00484A02" w:rsidP="00484A02">
      <w:pPr>
        <w:pStyle w:val="SingleTxt"/>
        <w:rPr>
          <w:rFonts w:hint="cs"/>
          <w:rtl/>
        </w:rPr>
      </w:pPr>
      <w:r>
        <w:rPr>
          <w:rFonts w:hint="cs"/>
          <w:rtl/>
        </w:rPr>
        <w:t>357 -</w:t>
      </w:r>
      <w:r>
        <w:rPr>
          <w:rFonts w:hint="cs"/>
          <w:rtl/>
        </w:rPr>
        <w:tab/>
        <w:t>ويتضح من هذه الأحكام أن أهلية التعاقد وصحة العقود تستندان إلى إرادة الطرفين على القيام بعمل معين أو الامتناع عنه وأنه لا عبرة لجنس طرفي العقد. ولهذا، فليس هناك مجال للتمييز على أساس نوع الجنس. والواقع أن المرأة المتزوجة ليست بحاجة إلى موافقة زوجها المسبقة قبل الدخول في عقد ما.</w:t>
      </w:r>
    </w:p>
    <w:p w:rsidR="00484A02" w:rsidRDefault="00484A02" w:rsidP="00484A02">
      <w:pPr>
        <w:pStyle w:val="SingleTxt"/>
        <w:rPr>
          <w:rFonts w:hint="cs"/>
          <w:rtl/>
        </w:rPr>
      </w:pPr>
      <w:r>
        <w:rPr>
          <w:rFonts w:hint="cs"/>
          <w:rtl/>
        </w:rPr>
        <w:t>358 -</w:t>
      </w:r>
      <w:r>
        <w:rPr>
          <w:rFonts w:hint="cs"/>
          <w:rtl/>
        </w:rPr>
        <w:tab/>
        <w:t xml:space="preserve">وفي معاملات تجارية محددة، كشراء أو استئجار السلع، على سبيل المثال، تتسم المصطلحات المستخدمة في القانون الناظم لتلك المعاملات بالحياد، وهو في هذه الحالة قانون الشراء والاستئجار لعام 1967 (القانون رقم 212). ولا يميز تعريف كلمتي </w:t>
      </w:r>
      <w:r>
        <w:rPr>
          <w:rFonts w:hint="eastAsia"/>
          <w:rtl/>
        </w:rPr>
        <w:t>”المالك</w:t>
      </w:r>
      <w:r>
        <w:rPr>
          <w:rFonts w:hint="cs"/>
          <w:rtl/>
        </w:rPr>
        <w:t xml:space="preserve">“ أو </w:t>
      </w:r>
      <w:r>
        <w:rPr>
          <w:rFonts w:hint="eastAsia"/>
          <w:rtl/>
        </w:rPr>
        <w:t>”المستأجر</w:t>
      </w:r>
      <w:r>
        <w:rPr>
          <w:rFonts w:hint="cs"/>
          <w:rtl/>
        </w:rPr>
        <w:t>“ على أساس نوع الجنس. ويوفر قانون الشراء والاستئجار لعام 1967 أيضا الحماية ووسائل الانتصاف للمستأجرين على أساس عام بصرف النظر عن جنس المستأجر أو المالك. واستنادا إلى ذلك، بإمكان المرأة أن تعقد اتفاق شراء أو استئجار أو أي عقد آخر ما دامت مستوفية للمعايير المحددة بالأنظمة الأساسية.</w:t>
      </w:r>
    </w:p>
    <w:p w:rsidR="00484A02" w:rsidRDefault="00484A02" w:rsidP="00484A02">
      <w:pPr>
        <w:pStyle w:val="SingleTxt"/>
        <w:rPr>
          <w:rFonts w:hint="cs"/>
          <w:rtl/>
        </w:rPr>
      </w:pPr>
      <w:r>
        <w:rPr>
          <w:rFonts w:hint="cs"/>
          <w:rtl/>
        </w:rPr>
        <w:t>359 -</w:t>
      </w:r>
      <w:r>
        <w:rPr>
          <w:rFonts w:hint="cs"/>
          <w:rtl/>
        </w:rPr>
        <w:tab/>
        <w:t xml:space="preserve">ويضمن قانون المرأة المتزوجة لعام 1957 (القانون رقم 450) وينظم كذلك الوضع القانوني للمرأة المتزوجة وحقوقها والتزاماتها. وفي هذا السياق، تعتبر المرأة المتزوجة ذات شخصية قانونية مستقلة </w:t>
      </w:r>
      <w:r>
        <w:rPr>
          <w:rFonts w:hint="eastAsia"/>
          <w:rtl/>
        </w:rPr>
        <w:t>”</w:t>
      </w:r>
      <w:r>
        <w:t xml:space="preserve"> Feme Sole</w:t>
      </w:r>
      <w:r>
        <w:rPr>
          <w:rFonts w:hint="eastAsia"/>
          <w:rtl/>
        </w:rPr>
        <w:t xml:space="preserve">“ </w:t>
      </w:r>
      <w:r>
        <w:rPr>
          <w:rFonts w:hint="cs"/>
          <w:rtl/>
        </w:rPr>
        <w:t xml:space="preserve">بموجب القانون </w:t>
      </w:r>
      <w:r w:rsidRPr="00DC2701">
        <w:rPr>
          <w:rFonts w:hint="cs"/>
          <w:vertAlign w:val="superscript"/>
          <w:rtl/>
        </w:rPr>
        <w:t>(7)</w:t>
      </w:r>
      <w:r>
        <w:rPr>
          <w:rFonts w:hint="cs"/>
          <w:rtl/>
        </w:rPr>
        <w:t xml:space="preserve"> من ناحية أهليتها لتحمل المسؤولية أو إجبارها على تحمل المسؤولية الناجمة عن أي ضرر شخصي تسببت به أو عقد أبرمته أو التزام دين مستحق بذمتها، أو من ناحية أهليتها لرفع دعوى باسمها على الغير أو رفع الغير دعوى عليها.</w:t>
      </w:r>
    </w:p>
    <w:p w:rsidR="00484A02" w:rsidRDefault="00484A02" w:rsidP="00484A02">
      <w:pPr>
        <w:pStyle w:val="SingleTxt"/>
        <w:rPr>
          <w:rFonts w:hint="cs"/>
          <w:rtl/>
        </w:rPr>
      </w:pPr>
      <w:r>
        <w:rPr>
          <w:rFonts w:hint="cs"/>
          <w:rtl/>
        </w:rPr>
        <w:t>360 -</w:t>
      </w:r>
      <w:r>
        <w:rPr>
          <w:rFonts w:hint="cs"/>
          <w:rtl/>
        </w:rPr>
        <w:tab/>
        <w:t>وتتحمل المرأة المتزوجة كذلك المسؤولية الناجمة عن أي دين أو عقد التزمت به وعن أي فعل غير مشروع قامت به قبل زواجها. ويمكن تعيينها، بمفردها أو بالاشتراك مع آخر، بصفة منفذة للوصية أو مديرة لتركة أي شخص متوفى ويحق لها رفع دعوى باسمها على الغير كما يحق للغير رفع دعوى عليها دون زوجها.</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امتلاك وإدارة الممتلكات</w:t>
      </w:r>
    </w:p>
    <w:p w:rsidR="00484A02" w:rsidRDefault="00484A02" w:rsidP="00484A02">
      <w:pPr>
        <w:pStyle w:val="SingleTxt"/>
        <w:rPr>
          <w:rFonts w:hint="cs"/>
          <w:rtl/>
        </w:rPr>
      </w:pPr>
      <w:r>
        <w:rPr>
          <w:rFonts w:hint="cs"/>
          <w:rtl/>
        </w:rPr>
        <w:t>361 -</w:t>
      </w:r>
      <w:r>
        <w:rPr>
          <w:rFonts w:hint="cs"/>
          <w:rtl/>
        </w:rPr>
        <w:tab/>
        <w:t xml:space="preserve">تنص المادة 13 من الدستور الاتحادي على عدم جواز حرمان أي شخص من ممتلكاته إلا طبقا لأحكام القانون. ومن الناحية العملية، يحق للبنت أو لأي أنثى في سلَّم النسب في الأسرة امتلاك ملكية. وفيما يتعلق بملكية العقارات، مثل ملكية الأراضي أو المساكن أو الشقق، فهي تستند إلى مفهوم تسجيل الملكية الذي يعد أحد الملامح الرئيسية </w:t>
      </w:r>
      <w:r>
        <w:rPr>
          <w:rFonts w:hint="eastAsia"/>
          <w:rtl/>
        </w:rPr>
        <w:t>”</w:t>
      </w:r>
      <w:r>
        <w:rPr>
          <w:rFonts w:hint="cs"/>
          <w:rtl/>
        </w:rPr>
        <w:t>لنظام تورينس ’</w:t>
      </w:r>
      <w:r>
        <w:t>TORRENS</w:t>
      </w:r>
      <w:r>
        <w:rPr>
          <w:rFonts w:hint="cs"/>
          <w:rtl/>
        </w:rPr>
        <w:t>‘ للتسجيل العقاري</w:t>
      </w:r>
      <w:r>
        <w:rPr>
          <w:rFonts w:hint="eastAsia"/>
          <w:rtl/>
        </w:rPr>
        <w:t>“</w:t>
      </w:r>
      <w:r>
        <w:rPr>
          <w:rFonts w:hint="cs"/>
          <w:rtl/>
        </w:rPr>
        <w:t>. ويستند المفهوم القانوني لهذا النظام إلى عدم جواز إبطال سند الملكية، أو الأسهم في الملكية وبالتالي إذا كانت الوثيقة مسجلة باسم امرأة فتكون هي بالتالي المالك القانوني لها.</w:t>
      </w:r>
    </w:p>
    <w:p w:rsidR="00484A02" w:rsidRDefault="00484A02" w:rsidP="00484A02">
      <w:pPr>
        <w:pStyle w:val="SingleTxt"/>
        <w:rPr>
          <w:rFonts w:hint="cs"/>
          <w:rtl/>
        </w:rPr>
      </w:pPr>
      <w:r>
        <w:rPr>
          <w:rFonts w:hint="cs"/>
          <w:rtl/>
        </w:rPr>
        <w:t>362 -</w:t>
      </w:r>
      <w:r>
        <w:rPr>
          <w:rFonts w:hint="cs"/>
          <w:rtl/>
        </w:rPr>
        <w:tab/>
        <w:t>والقانون المطبق على إدارة الممتلكات والإشراف عليها هو قانون إثبات الوصايا وإدارتها لعام 1959 (القانون رقم 97). وهذا القانون لا يميز كذلك على أساس نوع الجنس لأغراض إدارة تركة شخص متوفى. وفيما يتعلق بكتابة الوصايا، ينص قانون الوصاية لعام 1959 (القانون رقم 346) على أن الوصية يعقدها موصٍ متمتع بكامل قواه العقلية وبأهلية التصرف بممتلكاته والإيصاء بها.</w:t>
      </w:r>
    </w:p>
    <w:p w:rsidR="00484A02" w:rsidRPr="00DC2701" w:rsidRDefault="00484A02" w:rsidP="00484A02">
      <w:pPr>
        <w:framePr w:w="9792" w:h="432" w:hSpace="180" w:wrap="around" w:vAnchor="page" w:hAnchor="page" w:x="1200" w:y="12903"/>
        <w:spacing w:line="240" w:lineRule="auto"/>
        <w:jc w:val="lowKashida"/>
        <w:rPr>
          <w:szCs w:val="10"/>
          <w:rtl/>
        </w:rPr>
      </w:pPr>
    </w:p>
    <w:p w:rsidR="00484A02" w:rsidRPr="00DC2701" w:rsidRDefault="00484A02" w:rsidP="00484A02">
      <w:pPr>
        <w:framePr w:w="9792" w:h="432" w:hSpace="180" w:wrap="around" w:vAnchor="page" w:hAnchor="page" w:x="1200" w:y="12903"/>
        <w:spacing w:line="240" w:lineRule="auto"/>
        <w:jc w:val="lowKashida"/>
        <w:rPr>
          <w:szCs w:val="6"/>
          <w:rtl/>
        </w:rPr>
      </w:pPr>
    </w:p>
    <w:p w:rsidR="00484A02" w:rsidRPr="00DC2701" w:rsidRDefault="00484A02" w:rsidP="00484A02">
      <w:pPr>
        <w:framePr w:w="9792" w:h="432" w:hSpace="180" w:wrap="around" w:vAnchor="page" w:hAnchor="page" w:x="1200" w:y="12903"/>
        <w:tabs>
          <w:tab w:val="right" w:pos="1195"/>
          <w:tab w:val="left" w:pos="1267"/>
        </w:tabs>
        <w:spacing w:line="300" w:lineRule="exact"/>
        <w:ind w:left="1267" w:right="1267" w:hanging="547"/>
        <w:rPr>
          <w:rFonts w:hint="eastAsia"/>
          <w:sz w:val="17"/>
          <w:szCs w:val="26"/>
          <w:rtl/>
        </w:rPr>
      </w:pPr>
      <w:r>
        <w:rPr>
          <w:noProof/>
          <w:w w:val="100"/>
        </w:rPr>
        <w:pict>
          <v:line id="_x0000_s2132" style="position:absolute;left:0;text-align:left;z-index:60" from="379.5pt,-1pt" to="451.5pt,-1pt"/>
        </w:pict>
      </w:r>
      <w:r>
        <w:rPr>
          <w:rFonts w:hint="cs"/>
          <w:sz w:val="17"/>
          <w:szCs w:val="26"/>
          <w:rtl/>
        </w:rPr>
        <w:tab/>
        <w:t>(7)</w:t>
      </w:r>
      <w:r>
        <w:rPr>
          <w:rFonts w:hint="cs"/>
          <w:sz w:val="17"/>
          <w:szCs w:val="26"/>
          <w:rtl/>
        </w:rPr>
        <w:tab/>
        <w:t xml:space="preserve">يعرّف معجم </w:t>
      </w:r>
      <w:r>
        <w:rPr>
          <w:rFonts w:hint="eastAsia"/>
          <w:sz w:val="17"/>
          <w:szCs w:val="26"/>
          <w:rtl/>
        </w:rPr>
        <w:t>”</w:t>
      </w:r>
      <w:r>
        <w:rPr>
          <w:sz w:val="17"/>
          <w:szCs w:val="26"/>
        </w:rPr>
        <w:t>Black</w:t>
      </w:r>
      <w:r>
        <w:rPr>
          <w:rFonts w:hint="eastAsia"/>
          <w:sz w:val="17"/>
          <w:szCs w:val="26"/>
          <w:rtl/>
        </w:rPr>
        <w:t>“</w:t>
      </w:r>
      <w:r>
        <w:rPr>
          <w:rFonts w:hint="cs"/>
          <w:sz w:val="17"/>
          <w:szCs w:val="26"/>
          <w:rtl/>
        </w:rPr>
        <w:t xml:space="preserve"> القانوني في الطبعة السادسة منه (لعام 1990) مصطلح </w:t>
      </w:r>
      <w:r>
        <w:rPr>
          <w:rFonts w:hint="eastAsia"/>
          <w:sz w:val="17"/>
          <w:szCs w:val="26"/>
          <w:rtl/>
        </w:rPr>
        <w:t>”المرأة ذات الشخصية القا</w:t>
      </w:r>
      <w:r>
        <w:rPr>
          <w:rFonts w:hint="cs"/>
          <w:sz w:val="17"/>
          <w:szCs w:val="26"/>
          <w:rtl/>
        </w:rPr>
        <w:t xml:space="preserve">نونية </w:t>
      </w:r>
      <w:r>
        <w:rPr>
          <w:sz w:val="17"/>
          <w:szCs w:val="26"/>
        </w:rPr>
        <w:t>Feme sole</w:t>
      </w:r>
      <w:r>
        <w:rPr>
          <w:rFonts w:hint="eastAsia"/>
          <w:sz w:val="17"/>
          <w:szCs w:val="26"/>
          <w:rtl/>
        </w:rPr>
        <w:t>“ أن</w:t>
      </w:r>
      <w:r>
        <w:rPr>
          <w:rFonts w:hint="cs"/>
          <w:sz w:val="17"/>
          <w:szCs w:val="26"/>
          <w:rtl/>
        </w:rPr>
        <w:t>ها</w:t>
      </w:r>
      <w:r>
        <w:rPr>
          <w:rFonts w:hint="eastAsia"/>
          <w:sz w:val="17"/>
          <w:szCs w:val="26"/>
          <w:rtl/>
        </w:rPr>
        <w:t xml:space="preserve"> المرأة المستقلة وأمثالها</w:t>
      </w:r>
      <w:r>
        <w:rPr>
          <w:rFonts w:hint="cs"/>
          <w:sz w:val="17"/>
          <w:szCs w:val="26"/>
          <w:rtl/>
        </w:rPr>
        <w:t>،</w:t>
      </w:r>
      <w:r>
        <w:rPr>
          <w:rFonts w:hint="eastAsia"/>
          <w:sz w:val="17"/>
          <w:szCs w:val="26"/>
          <w:rtl/>
        </w:rPr>
        <w:t xml:space="preserve"> بمن فيهن المتزوجات اللائي انحلت عقدة نكاحهن نتيجة الوف</w:t>
      </w:r>
      <w:r>
        <w:rPr>
          <w:rFonts w:hint="cs"/>
          <w:sz w:val="17"/>
          <w:szCs w:val="26"/>
          <w:rtl/>
        </w:rPr>
        <w:t>اة أو الطلاق، واللواتي انفصلن قانونا عن أزواجهن، بالنسبة لغالبية الأغراض</w:t>
      </w:r>
      <w:r>
        <w:rPr>
          <w:rFonts w:hint="eastAsia"/>
          <w:sz w:val="17"/>
          <w:szCs w:val="26"/>
          <w:rtl/>
        </w:rPr>
        <w:t>“.</w:t>
      </w:r>
    </w:p>
    <w:p w:rsidR="00484A02" w:rsidRDefault="00484A02" w:rsidP="00484A02">
      <w:pPr>
        <w:pStyle w:val="SingleTxt"/>
        <w:rPr>
          <w:rFonts w:hint="cs"/>
          <w:rtl/>
        </w:rPr>
      </w:pPr>
      <w:r>
        <w:rPr>
          <w:rFonts w:hint="cs"/>
          <w:rtl/>
        </w:rPr>
        <w:t>363 -</w:t>
      </w:r>
      <w:r>
        <w:rPr>
          <w:rFonts w:hint="cs"/>
          <w:rtl/>
        </w:rPr>
        <w:tab/>
        <w:t xml:space="preserve">وفيما يتعلق بإثبات الوصايا، يجوز تعيين امرأة بصفة منفذ للوصية ولا يوجد قانون يمنع ذلك التعيين. وأصدرت المحاكم العليا في ماليزيا أحكاما بصحة الوصايا، وأصدرت خطابات تفويض بإدارتها لأي أشخاص يتمتعون بذلك الحق بموجب الوصية بغض النظر عن نوع الجنس. وفي هذا الصدد، يمكن تعيين المرأة بصفة مدير لأي تركة أو منفذ لأي وصية في جميع الأحوال. </w:t>
      </w:r>
    </w:p>
    <w:p w:rsidR="00484A02" w:rsidRDefault="00484A02" w:rsidP="00484A02">
      <w:pPr>
        <w:pStyle w:val="SingleTxt"/>
        <w:rPr>
          <w:rFonts w:hint="cs"/>
          <w:rtl/>
        </w:rPr>
      </w:pPr>
      <w:r>
        <w:rPr>
          <w:rFonts w:hint="cs"/>
          <w:rtl/>
        </w:rPr>
        <w:t>364 -</w:t>
      </w:r>
      <w:r>
        <w:rPr>
          <w:rFonts w:hint="cs"/>
          <w:rtl/>
        </w:rPr>
        <w:tab/>
        <w:t>وفي مجال إدارة الممتلكات، يعترف القانون الماليزي بحق الرجل والمرأة على السواء بحيازة ملكية مستقلة حتى وإن كانا متزوجين. وفي حال حيازة تلك الملكية خلال مدة بقاء الزوجية يعترف القانون من ثمَّ بحق المرأة في المطالبة بتلك الأصول الزوجية. وبناء عليه، يحق للزوجة في حال انحلال الزواج أن تطالب بنسبة مئوية معينة من الملكية المكتسبة بصورة مشتركة إضافة إلى حقها في المطالبة بملكيتها الزوجية.</w:t>
      </w:r>
    </w:p>
    <w:p w:rsidR="00484A02" w:rsidRDefault="00484A02" w:rsidP="00484A02">
      <w:pPr>
        <w:pStyle w:val="SingleTxt"/>
        <w:rPr>
          <w:rFonts w:hint="cs"/>
          <w:rtl/>
        </w:rPr>
      </w:pPr>
      <w:r>
        <w:rPr>
          <w:rFonts w:hint="cs"/>
          <w:rtl/>
        </w:rPr>
        <w:t>365 -</w:t>
      </w:r>
      <w:r>
        <w:rPr>
          <w:rFonts w:hint="cs"/>
          <w:rtl/>
        </w:rPr>
        <w:tab/>
        <w:t>وفيما ماليزيا، يحق للمرأة المتزوجة أن تطالب بحماية ممتلكاتها من زوجها بل وبالتعويض عن تلك الممتلكات.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الإجراءات القانونية</w:t>
      </w:r>
    </w:p>
    <w:p w:rsidR="00484A02" w:rsidRDefault="00484A02" w:rsidP="00484A02">
      <w:pPr>
        <w:pStyle w:val="SingleTxt"/>
        <w:rPr>
          <w:rFonts w:hint="cs"/>
          <w:rtl/>
        </w:rPr>
      </w:pPr>
      <w:r>
        <w:rPr>
          <w:rFonts w:hint="cs"/>
          <w:rtl/>
        </w:rPr>
        <w:t>366 -</w:t>
      </w:r>
      <w:r>
        <w:rPr>
          <w:rFonts w:hint="cs"/>
          <w:rtl/>
        </w:rPr>
        <w:tab/>
        <w:t>يعامل النظام القضائي في ماليزيا الرجال والنساء معاملة متساوية. ويتمتع الرجل والمرأة على حد سواء بإمكانية وصول متساوية إلى النظام القضائي. ويستطيع أي شخص، بغض النظر عن نوع جنسه، أن يمثل كشاهد في المحكمة وأن يدلي بالشهادة أمامها ما دام متمتعا بقواه العقلية ومدركا لمضمون الأسئلة التي توجه إليه. وتعامل شهادة المرأة والرجل معاملة متساوية ويستند جواز قبولها إلى مصداقية الشاهد وأهمية الشهادة لا إلى جنس الشاهد.</w:t>
      </w:r>
    </w:p>
    <w:p w:rsidR="00484A02" w:rsidRDefault="00484A02" w:rsidP="00484A02">
      <w:pPr>
        <w:pStyle w:val="SingleTxt"/>
        <w:rPr>
          <w:rFonts w:hint="cs"/>
          <w:rtl/>
        </w:rPr>
      </w:pPr>
      <w:r>
        <w:rPr>
          <w:rFonts w:hint="cs"/>
          <w:rtl/>
        </w:rPr>
        <w:t>367 -</w:t>
      </w:r>
      <w:r>
        <w:rPr>
          <w:rFonts w:hint="cs"/>
          <w:rtl/>
        </w:rPr>
        <w:tab/>
        <w:t>ومن أجل رفع أي دعوى قانونية، يستطيع الرجل والمرأة إقامة دعوى ضد الغير وبإمكان الغير رفع دعوى على أي منهما رجلا أو امرأة. ويحق للمرأة كذلك التماس جميع وسائل الانتصاف القانونية والمطالبة بالتعويضات التي ينص عليها القانون من جميع النواحي. وليس هناك فرق بين رجل وامرأة من ناحية أحكام التعويضات الممنوحة في ظروف متماثلة.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مهنة المحاماة</w:t>
      </w:r>
    </w:p>
    <w:p w:rsidR="00484A02" w:rsidRDefault="00484A02" w:rsidP="00484A02">
      <w:pPr>
        <w:pStyle w:val="SingleTxt"/>
        <w:rPr>
          <w:rFonts w:hint="cs"/>
          <w:rtl/>
        </w:rPr>
      </w:pPr>
      <w:r>
        <w:rPr>
          <w:rFonts w:hint="cs"/>
          <w:rtl/>
        </w:rPr>
        <w:t>368 -</w:t>
      </w:r>
      <w:r>
        <w:rPr>
          <w:rFonts w:hint="cs"/>
          <w:rtl/>
        </w:rPr>
        <w:tab/>
        <w:t>ينظم قانون مزاولة مهنة المحاماة لعام 1976 (القانون رقم 166) في ماليزيا شروط قبول أي شخص للمرافعة أمام المحاكم، وينص قانون المحامين في ولاية ساراواك وقانون المحامين في ولاية صباح على إجراءات انضمام شخص مؤهل إلى عضوية نقابة المحامين في كل من الملايو وصباح وساراواك.</w:t>
      </w:r>
    </w:p>
    <w:p w:rsidR="00484A02" w:rsidRDefault="00484A02" w:rsidP="00484A02">
      <w:pPr>
        <w:pStyle w:val="SingleTxt"/>
        <w:rPr>
          <w:rFonts w:hint="cs"/>
          <w:rtl/>
        </w:rPr>
      </w:pPr>
      <w:r>
        <w:rPr>
          <w:rFonts w:hint="cs"/>
          <w:rtl/>
        </w:rPr>
        <w:t>369 -</w:t>
      </w:r>
      <w:r>
        <w:rPr>
          <w:rFonts w:hint="cs"/>
          <w:rtl/>
        </w:rPr>
        <w:tab/>
        <w:t>وفي شبه جزيرة الملايو، يعرّف الشخص المؤهل (بمقتضى الاختصاص القضائي للمحكمة العليا في ملايو) أنه الشخص الذي اجتاز الامتحانات النهائية للحصول على درجة بكالوريوس في القانون من جامعة الملايو، أو جامعة الملايو في سنغافورة، أو جامعة سنغافورة، أو الجامعة الوطنية في سنغافورة، أو كان مقبولا في نقابة المحامين في انكلترا بصفة محامي مرافعات أو حائزا على أي مؤهلات أخرى نشرها المجلس في شكل إخطار في جريدة رسمية وتكون كافية لاعتبار الشخص مؤهلا لأغراض هذا القانون. وفي هذه الحالة، إذا استوفت المرأة الشروط المذكورة أعلاه فسوف تعتبر شخصا مؤهلا وتقبل بصفة محام عام أو محامي إجراءات. ويوجد حاليا 189 3 محامية تزاول المهنة في ماليزيا الغربية</w:t>
      </w:r>
      <w:r w:rsidRPr="001B3684">
        <w:rPr>
          <w:rFonts w:hint="cs"/>
          <w:vertAlign w:val="superscript"/>
          <w:rtl/>
        </w:rPr>
        <w:t>(8)</w:t>
      </w:r>
      <w:r>
        <w:rPr>
          <w:rFonts w:hint="cs"/>
          <w:rtl/>
        </w:rPr>
        <w:t xml:space="preserve"> </w:t>
      </w:r>
    </w:p>
    <w:p w:rsidR="00484A02" w:rsidRDefault="00484A02" w:rsidP="00484A02">
      <w:pPr>
        <w:pStyle w:val="SingleTxt"/>
        <w:rPr>
          <w:rFonts w:hint="cs"/>
          <w:rtl/>
        </w:rPr>
      </w:pPr>
      <w:r>
        <w:rPr>
          <w:rFonts w:hint="cs"/>
          <w:rtl/>
        </w:rPr>
        <w:t>370 -</w:t>
      </w:r>
      <w:r>
        <w:rPr>
          <w:rFonts w:hint="cs"/>
          <w:rtl/>
        </w:rPr>
        <w:tab/>
        <w:t xml:space="preserve"> وفيما يتعلق بالجهاز القضائي، يوجد حاليا خمس مفوضات قضائيات مقارنة بـ 16 مفوضا قضائيا وثلاث قاضيات في المحكمة العليا مقارنة بـ 36 قاضيا. ويوجد في المحكمة الاتحادية قاضيتان مقابل ستة قضاة.</w:t>
      </w:r>
    </w:p>
    <w:p w:rsidR="00484A02" w:rsidRDefault="00484A02" w:rsidP="00484A02">
      <w:pPr>
        <w:pStyle w:val="SingleTxt"/>
        <w:rPr>
          <w:rFonts w:hint="cs"/>
          <w:rtl/>
        </w:rPr>
      </w:pPr>
      <w:r>
        <w:rPr>
          <w:rFonts w:hint="cs"/>
          <w:rtl/>
        </w:rPr>
        <w:t>371 -</w:t>
      </w:r>
      <w:r>
        <w:rPr>
          <w:rFonts w:hint="cs"/>
          <w:rtl/>
        </w:rPr>
        <w:tab/>
        <w:t>وفي إطار الخدمة القانونية، تشغل المرأة بعض المناصب الرفيعة فيها. والمحامية العامة الحالية هي ثاني امرأة تعين في ذلك المنصب الرفيع.</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حصول المرأة على تمثيل قانوني</w:t>
      </w:r>
    </w:p>
    <w:p w:rsidR="00484A02" w:rsidRDefault="00484A02" w:rsidP="00484A02">
      <w:pPr>
        <w:pStyle w:val="SingleTxt"/>
        <w:rPr>
          <w:rFonts w:hint="cs"/>
          <w:rtl/>
        </w:rPr>
      </w:pPr>
      <w:r>
        <w:rPr>
          <w:rFonts w:hint="cs"/>
          <w:rtl/>
        </w:rPr>
        <w:t>372 -</w:t>
      </w:r>
      <w:r>
        <w:rPr>
          <w:rFonts w:hint="cs"/>
          <w:rtl/>
        </w:rPr>
        <w:tab/>
        <w:t>تتمتع المرأة، على قدم  المساواة مع الرجل، بإمكانية الحصول على تمثيل قانوني. وتتمتع المرأة التي تملك القدرة على الاستعانة بخدمات محام للدفاع عنها بحرية اختيار محاميها. أما بالنسبة للمرأة غير القادرة على تحمل التكاليف، فقد أنشأت الحكومة، تحت إشراف إدارة رئيس الوزراء، مكتب المعونة القانونية الماليزي لتقديم المعونة القانونية لأي شخص مقيم موجود في ماليزيا أو تيسير حصوله عليها بغض النظر عن نوع جنسه. وتشير بيانات مكتب المعونة القانونية أن 70 في المائة من زبائنه من النساء والمجال الرئيسي لعمله يتمحور حول المسائل الزوجية.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مسائل الموطن</w:t>
      </w:r>
    </w:p>
    <w:p w:rsidR="00484A02" w:rsidRPr="001B3684" w:rsidRDefault="00484A02" w:rsidP="00484A02">
      <w:pPr>
        <w:framePr w:w="9792" w:h="1388" w:hSpace="180" w:wrap="around" w:vAnchor="page" w:hAnchor="page" w:x="1200" w:y="13083"/>
        <w:spacing w:line="240" w:lineRule="auto"/>
        <w:jc w:val="lowKashida"/>
        <w:rPr>
          <w:szCs w:val="10"/>
          <w:rtl/>
        </w:rPr>
      </w:pPr>
    </w:p>
    <w:p w:rsidR="00484A02" w:rsidRPr="001B3684" w:rsidRDefault="00484A02" w:rsidP="00484A02">
      <w:pPr>
        <w:framePr w:w="9792" w:h="1388" w:hSpace="180" w:wrap="around" w:vAnchor="page" w:hAnchor="page" w:x="1200" w:y="13083"/>
        <w:spacing w:line="240" w:lineRule="auto"/>
        <w:jc w:val="lowKashida"/>
        <w:rPr>
          <w:szCs w:val="6"/>
          <w:rtl/>
        </w:rPr>
      </w:pPr>
    </w:p>
    <w:p w:rsidR="00484A02" w:rsidRPr="00757A5B" w:rsidRDefault="00484A02" w:rsidP="00484A02">
      <w:pPr>
        <w:pStyle w:val="SingleTxt"/>
        <w:framePr w:w="9792" w:h="1388" w:hSpace="180" w:wrap="around" w:vAnchor="page" w:hAnchor="page" w:x="1200" w:y="13083"/>
        <w:spacing w:line="280" w:lineRule="exact"/>
        <w:ind w:left="1264" w:right="1264"/>
        <w:rPr>
          <w:rFonts w:hint="cs"/>
          <w:sz w:val="26"/>
          <w:szCs w:val="26"/>
        </w:rPr>
      </w:pPr>
      <w:r w:rsidRPr="001B3684">
        <w:rPr>
          <w:noProof/>
          <w:w w:val="100"/>
        </w:rPr>
        <w:pict>
          <v:line id="_x0000_s2133" style="position:absolute;left:0;text-align:left;z-index:61" from="379.5pt,-1pt" to="451.5pt,-1pt"/>
        </w:pict>
      </w:r>
      <w:r w:rsidRPr="001B3684">
        <w:rPr>
          <w:rFonts w:hint="cs"/>
          <w:rtl/>
        </w:rPr>
        <w:tab/>
      </w:r>
      <w:r w:rsidRPr="00757A5B">
        <w:rPr>
          <w:rFonts w:hint="cs"/>
          <w:sz w:val="26"/>
          <w:szCs w:val="26"/>
          <w:rtl/>
        </w:rPr>
        <w:t>(8)</w:t>
      </w:r>
      <w:r w:rsidRPr="00757A5B">
        <w:rPr>
          <w:rFonts w:hint="cs"/>
          <w:sz w:val="26"/>
          <w:szCs w:val="26"/>
          <w:rtl/>
        </w:rPr>
        <w:tab/>
        <w:t xml:space="preserve">تم تحصيل البيانات عن طريق مجلس نقابة المحامين الماليزيين، وهي موقوفة بتاريخ 24 </w:t>
      </w:r>
      <w:r w:rsidRPr="00757A5B">
        <w:rPr>
          <w:sz w:val="26"/>
          <w:szCs w:val="26"/>
          <w:rtl/>
        </w:rPr>
        <w:t xml:space="preserve">آذار/مارس </w:t>
      </w:r>
      <w:r w:rsidRPr="00757A5B">
        <w:rPr>
          <w:rFonts w:hint="cs"/>
          <w:sz w:val="26"/>
          <w:szCs w:val="26"/>
          <w:rtl/>
        </w:rPr>
        <w:t>1999.</w:t>
      </w:r>
    </w:p>
    <w:p w:rsidR="00484A02" w:rsidRDefault="00484A02" w:rsidP="00484A02">
      <w:pPr>
        <w:pStyle w:val="SingleTxt"/>
        <w:spacing w:line="380" w:lineRule="exact"/>
        <w:ind w:left="1264" w:right="1264"/>
        <w:rPr>
          <w:rFonts w:hint="cs"/>
          <w:rtl/>
        </w:rPr>
      </w:pPr>
      <w:r>
        <w:rPr>
          <w:rFonts w:hint="cs"/>
          <w:rtl/>
        </w:rPr>
        <w:t>373 -</w:t>
      </w:r>
      <w:r>
        <w:rPr>
          <w:rFonts w:hint="cs"/>
          <w:rtl/>
        </w:rPr>
        <w:tab/>
        <w:t xml:space="preserve">المبادئ المتعلقة بمسائل الموطن في ماليزيا مستمدة من القانون العام النافذ في انكلترا. فقد نصت المادة 3 (1) من القانون المدني لعام 1956 (القانون رقم 67) أنه في حال عدم وجود أي قانون مطبق في ماليزيا، يطبق القانون العام وقواعد الإنصاف بالصيغة التي تنفذ في انكلترا رهنا بالأعراف والمعتقدات المحلية. وبموجب هذه المادة، تطبق المحاكم في ماليزيا الغربية أو أي جزء منها القانون العام النافذ في انكلترا وقواعد الإنصاف التي كانت مطبقة أو نافذة في انكلترا بتاريخ 7 </w:t>
      </w:r>
      <w:r>
        <w:rPr>
          <w:rtl/>
        </w:rPr>
        <w:t xml:space="preserve">نيسان/أبريل </w:t>
      </w:r>
      <w:r>
        <w:rPr>
          <w:rFonts w:hint="cs"/>
          <w:rtl/>
        </w:rPr>
        <w:t xml:space="preserve">1956، وتطبق ولاية صباح القانون العام النافذ في انكلترا وقواعد الإنصاف التي كانت مطبقة أو نافذة في انكلترا في 1 </w:t>
      </w:r>
      <w:r>
        <w:rPr>
          <w:rtl/>
        </w:rPr>
        <w:t xml:space="preserve">كانون الأول/ديسمبر </w:t>
      </w:r>
      <w:r>
        <w:rPr>
          <w:rFonts w:hint="cs"/>
          <w:rtl/>
        </w:rPr>
        <w:t xml:space="preserve">1949، وتطبق ولاية ساراواك القانون العام النافذ في انكلترا وقواعد الإنصاف التي كانت مطبقة أو نافذة في انكلترا في 12 </w:t>
      </w:r>
      <w:r>
        <w:rPr>
          <w:rtl/>
        </w:rPr>
        <w:t xml:space="preserve">كانون الأول/ديسمبر </w:t>
      </w:r>
      <w:r>
        <w:rPr>
          <w:rFonts w:hint="cs"/>
          <w:rtl/>
        </w:rPr>
        <w:t>1949. والمبادئ المتعلقة بالموطن هي عبارة عن مجموعة من المبادئ المقررة لإخضاع الفرد لسلطان قضائي معين.</w:t>
      </w:r>
    </w:p>
    <w:p w:rsidR="00484A02" w:rsidRDefault="00484A02" w:rsidP="00484A02">
      <w:pPr>
        <w:pStyle w:val="SingleTxt"/>
        <w:rPr>
          <w:rFonts w:hint="cs"/>
          <w:rtl/>
        </w:rPr>
      </w:pPr>
      <w:r>
        <w:rPr>
          <w:rFonts w:hint="cs"/>
          <w:rtl/>
        </w:rPr>
        <w:t>374 -</w:t>
      </w:r>
      <w:r>
        <w:rPr>
          <w:rFonts w:hint="cs"/>
          <w:rtl/>
        </w:rPr>
        <w:tab/>
        <w:t>لم يتضمن قانون إصلاح قوانين الزواج والطلاق لعام 1976 (القانون رقم 164) ولا قانون التفسير لعام 1976 (القانون رقم 388) تعريفا قانونيا لمعنى كلمة الموطن؛ ولهذا فإن المبادئ المبينة في قانون الدعاوى الانكليزي تكون قابلة للتطبيق. وتوجد في هذا السياق ثلاث فئات من الموطن هي: الموطن الأصلي، والموطن المختار، وموطن الزوجية. ويكون لكل شخص موطن أصلي منوط به حتى تحديد موطن مختار له. وإذا ما أراد شخص تغيير موطنه الأصلي إلى موطن مختار عليه اتخاذ بعض الخطوات الإيجابية في ذلك الاتجاه من أجل إظهار نيته على التغيير.</w:t>
      </w:r>
    </w:p>
    <w:p w:rsidR="00484A02" w:rsidRDefault="00484A02" w:rsidP="00484A02">
      <w:pPr>
        <w:pStyle w:val="SingleTxt"/>
        <w:rPr>
          <w:rFonts w:hint="cs"/>
          <w:rtl/>
        </w:rPr>
      </w:pPr>
      <w:r>
        <w:rPr>
          <w:rFonts w:hint="cs"/>
          <w:rtl/>
        </w:rPr>
        <w:t>375 -</w:t>
      </w:r>
      <w:r>
        <w:rPr>
          <w:rFonts w:hint="cs"/>
          <w:rtl/>
        </w:rPr>
        <w:tab/>
        <w:t>وينطبق موطن الزوجية على المرأة المتزوجة وعلى أطفال تلك الرابطة الزوجية. وعملا بقانون الدعاوى الانكليزي، تكتسب المرأة المتزوجة في ماليزيا موطن زوجها لدى الزواج منه. ويكتسب الطفل الشرعي موطن والده ويكتسب الطفل غير الشرعي موطن أمه. وينقطع موطن الزوجية عن المرأة المتزوجة فور انحلال الزواج وينطبق عليها من جديد الموطن الأصلي.</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حرية التنقل والإقامة</w:t>
      </w:r>
    </w:p>
    <w:p w:rsidR="00484A02" w:rsidRDefault="00484A02" w:rsidP="00484A02">
      <w:pPr>
        <w:pStyle w:val="SingleTxt"/>
        <w:rPr>
          <w:rFonts w:hint="cs"/>
          <w:rtl/>
        </w:rPr>
      </w:pPr>
      <w:r>
        <w:rPr>
          <w:rFonts w:hint="cs"/>
          <w:rtl/>
        </w:rPr>
        <w:t>376 -</w:t>
      </w:r>
      <w:r>
        <w:rPr>
          <w:rFonts w:hint="cs"/>
          <w:rtl/>
        </w:rPr>
        <w:tab/>
        <w:t>تنص المادة 9 (2) من الدستور الاتحادي على حق كل مواطن في الانتقال بحرية في سائر أنحاء الاتحاد وفي الإقامة في أي جزء منه.</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مسائل جنائية أخرى</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الاعتقال</w:t>
      </w:r>
    </w:p>
    <w:p w:rsidR="00484A02" w:rsidRPr="001D0C4D" w:rsidRDefault="00484A02" w:rsidP="00484A02">
      <w:pPr>
        <w:framePr w:w="9792" w:h="432" w:hSpace="180" w:wrap="around" w:vAnchor="page" w:hAnchor="page" w:x="1200" w:y="13263"/>
        <w:spacing w:line="240" w:lineRule="auto"/>
        <w:jc w:val="lowKashida"/>
        <w:rPr>
          <w:szCs w:val="10"/>
          <w:rtl/>
        </w:rPr>
      </w:pPr>
    </w:p>
    <w:p w:rsidR="00484A02" w:rsidRPr="001D0C4D" w:rsidRDefault="00484A02" w:rsidP="00484A02">
      <w:pPr>
        <w:framePr w:w="9792" w:h="432" w:hSpace="180" w:wrap="around" w:vAnchor="page" w:hAnchor="page" w:x="1200" w:y="13263"/>
        <w:spacing w:line="240" w:lineRule="auto"/>
        <w:jc w:val="lowKashida"/>
        <w:rPr>
          <w:szCs w:val="6"/>
          <w:rtl/>
        </w:rPr>
      </w:pPr>
    </w:p>
    <w:p w:rsidR="00484A02" w:rsidRPr="001D0C4D" w:rsidRDefault="00484A02" w:rsidP="00484A02">
      <w:pPr>
        <w:framePr w:w="9792" w:h="432" w:hSpace="180" w:wrap="around" w:vAnchor="page" w:hAnchor="page" w:x="1200" w:y="13263"/>
        <w:tabs>
          <w:tab w:val="right" w:pos="1195"/>
          <w:tab w:val="left" w:pos="1267"/>
        </w:tabs>
        <w:spacing w:line="300" w:lineRule="exact"/>
        <w:ind w:left="1267" w:right="1267" w:hanging="547"/>
        <w:rPr>
          <w:rFonts w:hint="cs"/>
          <w:sz w:val="17"/>
          <w:szCs w:val="26"/>
        </w:rPr>
      </w:pPr>
      <w:r>
        <w:rPr>
          <w:noProof/>
          <w:w w:val="100"/>
        </w:rPr>
        <w:pict>
          <v:line id="_x0000_s2134" style="position:absolute;left:0;text-align:left;z-index:62" from="379.5pt,-1pt" to="451.5pt,-1pt"/>
        </w:pict>
      </w:r>
      <w:r>
        <w:rPr>
          <w:rFonts w:hint="cs"/>
          <w:sz w:val="17"/>
          <w:szCs w:val="26"/>
          <w:rtl/>
        </w:rPr>
        <w:tab/>
        <w:t>(9)</w:t>
      </w:r>
      <w:r>
        <w:rPr>
          <w:rFonts w:hint="cs"/>
          <w:sz w:val="17"/>
          <w:szCs w:val="26"/>
          <w:rtl/>
        </w:rPr>
        <w:tab/>
        <w:t>المادة 19 من قانون الإجراءات الجنائية.</w:t>
      </w:r>
    </w:p>
    <w:p w:rsidR="00484A02" w:rsidRDefault="00484A02" w:rsidP="00484A02">
      <w:pPr>
        <w:pStyle w:val="SingleTxt"/>
        <w:rPr>
          <w:rFonts w:hint="cs"/>
          <w:rtl/>
        </w:rPr>
      </w:pPr>
      <w:r>
        <w:rPr>
          <w:rFonts w:hint="cs"/>
          <w:rtl/>
        </w:rPr>
        <w:t>377 -</w:t>
      </w:r>
      <w:r>
        <w:rPr>
          <w:rFonts w:hint="cs"/>
          <w:rtl/>
        </w:rPr>
        <w:tab/>
        <w:t xml:space="preserve">تضع الإجراءات الجنائية في ماليزيا في اعتبارها حماية عفّة ورفاه المرأة. فعلى سبيل المثال، ينص قانون الإجراءات الجنائية على ما يلي: </w:t>
      </w:r>
      <w:r>
        <w:rPr>
          <w:rFonts w:hint="eastAsia"/>
          <w:rtl/>
        </w:rPr>
        <w:t>”إذا استدعت الضرورة تفتيش امرأة فإن التفتيش يجري من قبل امرأة أخرى مع التقيد الصارم بقواعد الحشمة</w:t>
      </w:r>
      <w:r>
        <w:rPr>
          <w:rFonts w:hint="cs"/>
          <w:rtl/>
        </w:rPr>
        <w:t>“</w:t>
      </w:r>
      <w:r w:rsidRPr="001D0C4D">
        <w:rPr>
          <w:rFonts w:hint="cs"/>
          <w:vertAlign w:val="superscript"/>
          <w:rtl/>
        </w:rPr>
        <w:t>(9)</w:t>
      </w:r>
      <w:r>
        <w:rPr>
          <w:rFonts w:hint="cs"/>
          <w:rtl/>
        </w:rPr>
        <w:t>. وعلاوة على ذلك، ينص قانون الإجراءات الجنائية كذلك على حق المحكمة، حسب تقديرها، في الإفراج بكفالة عن امرأة متهمة بارتكاب جريمةٍ عقوبتها الإعدام أو السجن مدى الحياة.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إصدار الأحكام</w:t>
      </w:r>
    </w:p>
    <w:p w:rsidR="00484A02" w:rsidRDefault="00484A02" w:rsidP="00484A02">
      <w:pPr>
        <w:pStyle w:val="SingleTxt"/>
        <w:rPr>
          <w:rFonts w:hint="cs"/>
          <w:rtl/>
        </w:rPr>
      </w:pPr>
      <w:r>
        <w:rPr>
          <w:rFonts w:hint="cs"/>
          <w:rtl/>
        </w:rPr>
        <w:t>378 -</w:t>
      </w:r>
      <w:r>
        <w:rPr>
          <w:rFonts w:hint="cs"/>
          <w:rtl/>
        </w:rPr>
        <w:tab/>
        <w:t>فيما يتعلق بإصدار الأحكام، هناك حالتان تُعامل المرأة فيهما معاملة مختلفة عن معاملة الرجل هما: ’1‘ لا تنفذ عقوبة الجلد بحق امرأة؛ ’2‘ تخفف عقوبة الإعدام إلى عقوبة السجن مدى الحياة إذا كانت المرأة المدانة بارتكاب جريمة يعاقب عليها بعقوبة الإعدام في حالة حمل. وفيما عدا هاتين الحالتين تصدر الأحكام بحق المرأة والرجل بصورة متماثلة في ظروف متشابهة.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الدفاع الاستثنائية</w:t>
      </w:r>
    </w:p>
    <w:p w:rsidR="00484A02" w:rsidRDefault="00484A02" w:rsidP="00484A02">
      <w:pPr>
        <w:pStyle w:val="SingleTxt"/>
        <w:rPr>
          <w:rFonts w:hint="cs"/>
          <w:rtl/>
        </w:rPr>
      </w:pPr>
      <w:r>
        <w:rPr>
          <w:rFonts w:hint="cs"/>
          <w:rtl/>
        </w:rPr>
        <w:t>379 -</w:t>
      </w:r>
      <w:r>
        <w:rPr>
          <w:rFonts w:hint="cs"/>
          <w:rtl/>
        </w:rPr>
        <w:tab/>
        <w:t xml:space="preserve">لا توجد مفاهيم قانونية، مثل حالات الدفاع الاستثنائية، تطبق على المرأة على وجه الحصر. وتتاح للمرأة والرجل على حد سواء حالات الدفاع العام بمقتضى القانون الجنائي العام مثل وجود غلط في الوقائع أو حالة سكر أو دفاع خاص. </w:t>
      </w:r>
    </w:p>
    <w:p w:rsidR="00484A02" w:rsidRPr="00CC25B5" w:rsidRDefault="00484A02" w:rsidP="00484A02">
      <w:pPr>
        <w:pStyle w:val="SingleTxt"/>
        <w:spacing w:after="0" w:line="120" w:lineRule="exact"/>
        <w:rPr>
          <w:rFonts w:hint="cs"/>
          <w:sz w:val="10"/>
          <w:rtl/>
        </w:rPr>
      </w:pP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المادة 16</w:t>
      </w:r>
    </w:p>
    <w:p w:rsidR="00484A02" w:rsidRDefault="00484A02" w:rsidP="00484A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الزواج وقانون الأسرة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84A02" w:rsidRDefault="00484A02" w:rsidP="00484A02">
      <w:pPr>
        <w:pStyle w:val="SingleTxt"/>
        <w:rPr>
          <w:rFonts w:hint="cs"/>
          <w:rtl/>
        </w:rPr>
      </w:pPr>
      <w:r>
        <w:rPr>
          <w:rFonts w:hint="cs"/>
          <w:rtl/>
        </w:rPr>
        <w:t>380 -</w:t>
      </w:r>
      <w:r>
        <w:rPr>
          <w:rFonts w:hint="cs"/>
          <w:rtl/>
        </w:rPr>
        <w:tab/>
        <w:t xml:space="preserve">تنظم مسائل قانون الأسرة في ماليزيا مجموعة من القوانين المدنية والقوانين الإسلامية (الشريعة الإسلامية) والقوانين العرفية (العادات). ويستند مفهوم مساواة المرأة في ماليزيا إلى المعتقدات الثقافية والتقليدية لمختلف مجموعاتها العرقية بتأثير من القيم الدينية. ولهذا، هناك مجال ضئيل للتفاوض أو للخروج عن القواعد أو الممارسات المعتادة. وفي غالبية الممارسات الثقافية للمجموعات العرقية في ماليزيا يشمل مفهوم الأسرة أيضا الأسرة الموسعة لكل من الزوج والزوجة، وهذا يؤثر بالتالي على استقلالية الأسرة وقدرتها على صنع القرار، ولا سيما القرارات المتصلة بمسائل المرأة وحق الزوجة. فعلى سبيل المثال، من المتوقع من الزوجة في جميع الثقافات السائدة في ماليزيا أن تطيع زوجها، بما في ذلك أسرة زوجها وأن تتصرف بحسب رغباتهم. </w:t>
      </w:r>
    </w:p>
    <w:p w:rsidR="00484A02" w:rsidRDefault="00484A02" w:rsidP="00484A02">
      <w:pPr>
        <w:pStyle w:val="SingleTxt"/>
        <w:rPr>
          <w:rFonts w:hint="cs"/>
          <w:rtl/>
        </w:rPr>
      </w:pPr>
      <w:r>
        <w:rPr>
          <w:rFonts w:hint="cs"/>
          <w:rtl/>
        </w:rPr>
        <w:t>381 -</w:t>
      </w:r>
      <w:r>
        <w:rPr>
          <w:rFonts w:hint="cs"/>
          <w:rtl/>
        </w:rPr>
        <w:tab/>
        <w:t>وفي هذا الفصل، سوف تُناقش مسائل قانون الأسرة الإسلامي وغير الإسلامي جنبا إلى جنب من أجل تبيان مختلف الأحكام القانونية والممارسات المطبقة في هذا المجال.</w:t>
      </w:r>
    </w:p>
    <w:p w:rsidR="00484A02" w:rsidRDefault="00484A02" w:rsidP="00484A02">
      <w:pPr>
        <w:pStyle w:val="SingleTxt"/>
        <w:rPr>
          <w:rFonts w:hint="cs"/>
          <w:rtl/>
        </w:rPr>
      </w:pPr>
      <w:r>
        <w:rPr>
          <w:rFonts w:hint="cs"/>
          <w:rtl/>
        </w:rPr>
        <w:t>382 -</w:t>
      </w:r>
      <w:r>
        <w:rPr>
          <w:rFonts w:hint="cs"/>
          <w:rtl/>
        </w:rPr>
        <w:tab/>
        <w:t>بمقتضى الدستور الاتحادي، يقع الإسلام ضمن نطاق سلطة الولاية، وبالتالي فإن سلطة سن التشريعات ذات الصلة بالإسلام ورفاه المسلمين تقع ضمن صلاحية الولاية. ولهذا، فإن لكل ولاية مجموعتها الخاصة من القوانين الإسلامية ونظامها الخاص من المحاكم الإسلامية.</w:t>
      </w:r>
    </w:p>
    <w:p w:rsidR="00484A02" w:rsidRDefault="00484A02" w:rsidP="00484A02">
      <w:pPr>
        <w:pStyle w:val="SingleTxt"/>
        <w:rPr>
          <w:rFonts w:hint="cs"/>
          <w:rtl/>
        </w:rPr>
      </w:pPr>
      <w:r>
        <w:rPr>
          <w:rFonts w:hint="cs"/>
          <w:rtl/>
        </w:rPr>
        <w:t>383 -</w:t>
      </w:r>
      <w:r>
        <w:rPr>
          <w:rFonts w:hint="cs"/>
          <w:rtl/>
        </w:rPr>
        <w:tab/>
        <w:t>فيما يتعلق بقانون الأسرة الخاص بالمسلمين، فإن المبدأ الأساسي الذي يستند إليه يكاد يكون هو نفسه في سائر الولايات الداخلة في الاتحاد، فيما عدا بعض الاختلافات الطفيفة في الصياغة والممارسات والتنفيذ. ولهذا، سوف يشار إلى قانون الأسرة الإسلامي (الأقاليم الاتحادية) لعام 1984 على وجه التحديد في هذا التقرير كلما وردت إشارة فيه إلى تلك الأحكام القانونية إضافة إلى مقارنتها، عند الاقتضاء، بالقوانين الأخرى التي سنتها سلطات الولايات.</w:t>
      </w:r>
    </w:p>
    <w:p w:rsidR="00484A02" w:rsidRDefault="00484A02" w:rsidP="00484A02">
      <w:pPr>
        <w:pStyle w:val="SingleTxt"/>
        <w:rPr>
          <w:rFonts w:hint="cs"/>
          <w:rtl/>
        </w:rPr>
      </w:pPr>
      <w:r>
        <w:rPr>
          <w:rFonts w:hint="cs"/>
          <w:rtl/>
        </w:rPr>
        <w:t>384 -</w:t>
      </w:r>
      <w:r>
        <w:rPr>
          <w:rFonts w:hint="cs"/>
          <w:rtl/>
        </w:rPr>
        <w:tab/>
        <w:t xml:space="preserve">وفيما يتعلق بغير المسلمين، يطبق عليهم قانون إصلاح قوانين الزواج والطلاق لعام 1976. وقد سُنّ هذا القانون بناء على اقتراح من لجنة ملكية أنشئت في عام 1970 لاستعراض القوانين الناظمة لأحكام زواج وطلاق غير المسلمين في ماليزيا واقتراح إدخال إصلاحات عليها. وبناء عليه، وصف قانون الإصلاح القانوني بأنه: </w:t>
      </w:r>
    </w:p>
    <w:p w:rsidR="00484A02" w:rsidRDefault="00484A02" w:rsidP="00484A02">
      <w:pPr>
        <w:pStyle w:val="SingleTxt"/>
        <w:ind w:left="1930" w:hanging="663"/>
        <w:rPr>
          <w:rFonts w:hint="cs"/>
          <w:rtl/>
        </w:rPr>
      </w:pPr>
      <w:r>
        <w:rPr>
          <w:rFonts w:hint="cs"/>
          <w:rtl/>
        </w:rPr>
        <w:tab/>
      </w:r>
      <w:r>
        <w:rPr>
          <w:rFonts w:hint="cs"/>
          <w:rtl/>
        </w:rPr>
        <w:tab/>
      </w:r>
      <w:r>
        <w:rPr>
          <w:rFonts w:hint="eastAsia"/>
          <w:rtl/>
        </w:rPr>
        <w:t xml:space="preserve">”تشريع يرمي </w:t>
      </w:r>
      <w:r>
        <w:rPr>
          <w:rFonts w:hint="cs"/>
          <w:rtl/>
        </w:rPr>
        <w:t>إلى</w:t>
      </w:r>
      <w:r>
        <w:rPr>
          <w:rFonts w:hint="eastAsia"/>
          <w:rtl/>
        </w:rPr>
        <w:t xml:space="preserve"> </w:t>
      </w:r>
      <w:r>
        <w:rPr>
          <w:rFonts w:hint="cs"/>
          <w:rtl/>
        </w:rPr>
        <w:t>وضع قانون موحد لمسائل الزواج والطلاق والمسائل المتصلة بها بغية تطبيقه على غير المسلمين كافة المقيمين في ماليزيا وعلى جميع مواطني ماليزيا  المقيمين في الخارج أو من يتخذون في ماليزيا موطنا دائما لهم</w:t>
      </w:r>
      <w:r>
        <w:rPr>
          <w:rFonts w:hint="eastAsia"/>
          <w:rtl/>
        </w:rPr>
        <w:t>“</w:t>
      </w:r>
    </w:p>
    <w:p w:rsidR="00484A02" w:rsidRPr="00C404DD" w:rsidRDefault="00484A02" w:rsidP="00484A02">
      <w:pPr>
        <w:framePr w:w="9792" w:h="432" w:hSpace="180" w:wrap="around" w:vAnchor="page" w:hAnchor="page" w:x="1200" w:y="13443"/>
        <w:spacing w:line="240" w:lineRule="auto"/>
        <w:jc w:val="lowKashida"/>
        <w:rPr>
          <w:szCs w:val="10"/>
          <w:rtl/>
        </w:rPr>
      </w:pPr>
    </w:p>
    <w:p w:rsidR="00484A02" w:rsidRPr="00C404DD" w:rsidRDefault="00484A02" w:rsidP="00484A02">
      <w:pPr>
        <w:framePr w:w="9792" w:h="432" w:hSpace="180" w:wrap="around" w:vAnchor="page" w:hAnchor="page" w:x="1200" w:y="13443"/>
        <w:spacing w:line="240" w:lineRule="auto"/>
        <w:jc w:val="lowKashida"/>
        <w:rPr>
          <w:szCs w:val="6"/>
          <w:rtl/>
        </w:rPr>
      </w:pPr>
    </w:p>
    <w:p w:rsidR="00484A02" w:rsidRPr="00C404DD" w:rsidRDefault="00484A02" w:rsidP="00484A02">
      <w:pPr>
        <w:framePr w:w="9792" w:h="432" w:hSpace="180" w:wrap="around" w:vAnchor="page" w:hAnchor="page" w:x="1200" w:y="13443"/>
        <w:tabs>
          <w:tab w:val="right" w:pos="1195"/>
          <w:tab w:val="left" w:pos="1267"/>
        </w:tabs>
        <w:spacing w:line="300" w:lineRule="exact"/>
        <w:ind w:left="1267" w:right="1267" w:hanging="547"/>
        <w:rPr>
          <w:rFonts w:hint="cs"/>
          <w:sz w:val="17"/>
          <w:szCs w:val="26"/>
        </w:rPr>
      </w:pPr>
      <w:r>
        <w:rPr>
          <w:noProof/>
          <w:w w:val="100"/>
        </w:rPr>
        <w:pict>
          <v:line id="_x0000_s2135" style="position:absolute;left:0;text-align:left;z-index:63" from="379.5pt,-1pt" to="451.5pt,-1pt"/>
        </w:pict>
      </w:r>
      <w:r>
        <w:rPr>
          <w:rFonts w:hint="cs"/>
          <w:sz w:val="17"/>
          <w:szCs w:val="26"/>
          <w:rtl/>
        </w:rPr>
        <w:tab/>
        <w:t>(10)</w:t>
      </w:r>
      <w:r>
        <w:rPr>
          <w:rFonts w:hint="cs"/>
          <w:sz w:val="17"/>
          <w:szCs w:val="26"/>
          <w:rtl/>
        </w:rPr>
        <w:tab/>
        <w:t xml:space="preserve">أحمد إبراهيم، 1998، </w:t>
      </w:r>
      <w:r>
        <w:rPr>
          <w:rFonts w:hint="eastAsia"/>
          <w:sz w:val="17"/>
          <w:szCs w:val="26"/>
          <w:rtl/>
        </w:rPr>
        <w:t>”</w:t>
      </w:r>
      <w:r>
        <w:rPr>
          <w:rFonts w:hint="cs"/>
          <w:sz w:val="17"/>
          <w:szCs w:val="26"/>
          <w:rtl/>
        </w:rPr>
        <w:t>قانون الأسرة في ماليزيا وسنغافورة</w:t>
      </w:r>
      <w:r>
        <w:rPr>
          <w:rFonts w:hint="eastAsia"/>
          <w:sz w:val="17"/>
          <w:szCs w:val="26"/>
          <w:rtl/>
        </w:rPr>
        <w:t>“</w:t>
      </w:r>
      <w:r>
        <w:rPr>
          <w:rFonts w:hint="cs"/>
          <w:sz w:val="17"/>
          <w:szCs w:val="26"/>
          <w:rtl/>
        </w:rPr>
        <w:t>، الطبعة الثالثة، يومية القوانين الماليزية.</w:t>
      </w:r>
    </w:p>
    <w:p w:rsidR="00484A02" w:rsidRDefault="00484A02" w:rsidP="00484A02">
      <w:pPr>
        <w:pStyle w:val="SingleTxt"/>
        <w:rPr>
          <w:rFonts w:hint="cs"/>
          <w:rtl/>
        </w:rPr>
      </w:pPr>
      <w:r>
        <w:rPr>
          <w:rFonts w:hint="cs"/>
          <w:rtl/>
        </w:rPr>
        <w:t>385 -</w:t>
      </w:r>
      <w:r>
        <w:rPr>
          <w:rFonts w:hint="cs"/>
          <w:rtl/>
        </w:rPr>
        <w:tab/>
        <w:t>وقد استدعت الضرورة سن هذا القانون ليحل محل قوانين الأحوال الشخصية المتناثرة التي كانت نافذة قبل سن قانون إصلاح قوانين الزواج والطلاق. والميزة الرئيسية لهذه الإصلاحات تكمن بالتأكيد بإزالة الشكوك التي تحوم حول الوضع القانوني الحقيقي للنساء المتخذات أخدان اللائي يعشن مع أقرانهن الرجال في ظروف قد تشكل حالة زواج قانونية أو غير قانونية إلى أن تبت المحاكم في المسألة، وتكمن كذلك بتوضيح الوضع القانوني للمسائل التي تهمهن</w:t>
      </w:r>
      <w:r w:rsidRPr="00C404DD">
        <w:rPr>
          <w:rFonts w:hint="cs"/>
          <w:vertAlign w:val="superscript"/>
          <w:rtl/>
        </w:rPr>
        <w:t>(10)</w:t>
      </w:r>
      <w:r>
        <w:rPr>
          <w:rFonts w:hint="cs"/>
          <w:rtl/>
        </w:rPr>
        <w:t>.</w:t>
      </w:r>
    </w:p>
    <w:p w:rsidR="00484A02" w:rsidRDefault="00484A02" w:rsidP="00484A02">
      <w:pPr>
        <w:pStyle w:val="SingleTxt"/>
        <w:rPr>
          <w:rFonts w:hint="cs"/>
          <w:rtl/>
        </w:rPr>
      </w:pPr>
      <w:r>
        <w:rPr>
          <w:rFonts w:hint="cs"/>
          <w:rtl/>
        </w:rPr>
        <w:t>386 -</w:t>
      </w:r>
      <w:r>
        <w:rPr>
          <w:rFonts w:hint="cs"/>
          <w:rtl/>
        </w:rPr>
        <w:tab/>
        <w:t xml:space="preserve">وبعد دخول قانون إصلاح قوانين الزواج والطلاق حيز النفاذ في عام 1982، ساد قدر أكبر من اليقين حيال القوانين المتعلقة بحالات زواج وطلاق غير المسلمين. وبموجب هذا القانون الجديد، لا يعترف رسميا بعقود الزواج إلا إذا كانت مسجلة بموجب قانون إصلاح قوانين الزواج والطلاق. بيد أن عقود الزواج المعقودة رسميا بموجب أي قانون أو دين أو عُرف أو عادة قبل دخول القانون المذكور حيز النفاذ (1 </w:t>
      </w:r>
      <w:r>
        <w:rPr>
          <w:rtl/>
        </w:rPr>
        <w:t xml:space="preserve">آذار/مارس </w:t>
      </w:r>
      <w:r>
        <w:rPr>
          <w:rFonts w:hint="cs"/>
          <w:rtl/>
        </w:rPr>
        <w:t>1982) ما زالت تعتبر صحيحة ويتعين تسجيلها بموجب هذا القانون.</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الخطبة</w:t>
      </w:r>
    </w:p>
    <w:p w:rsidR="00484A02" w:rsidRDefault="00484A02" w:rsidP="00484A02">
      <w:pPr>
        <w:pStyle w:val="SingleTxt"/>
        <w:rPr>
          <w:rFonts w:hint="cs"/>
          <w:rtl/>
        </w:rPr>
      </w:pPr>
      <w:r>
        <w:rPr>
          <w:rFonts w:hint="cs"/>
          <w:rtl/>
        </w:rPr>
        <w:t>387 -</w:t>
      </w:r>
      <w:r>
        <w:rPr>
          <w:rFonts w:hint="cs"/>
          <w:rtl/>
        </w:rPr>
        <w:tab/>
        <w:t>بالنسبة لغير المسلمين، لا توجد نصوص قانونية بشأن الخطبة وتعامل حالات العدول عن الوعد بالزواج بمقتضى أحكام قانون العقود. ويعتبر العدول عن الوعد بموجب القوانين النافذة في ماليزيا سببا صالحا لرفع دعوى أمام القضاء، الأمر الذي يحمي المرأة بصورة غير مباشرة من الوعود الفارغة التي يتعهد بها الرجل أمامها.</w:t>
      </w:r>
    </w:p>
    <w:p w:rsidR="00484A02" w:rsidRDefault="00484A02" w:rsidP="00484A02">
      <w:pPr>
        <w:pStyle w:val="SingleTxt"/>
        <w:rPr>
          <w:rFonts w:hint="cs"/>
          <w:rtl/>
        </w:rPr>
      </w:pPr>
      <w:r>
        <w:rPr>
          <w:rFonts w:hint="cs"/>
          <w:rtl/>
        </w:rPr>
        <w:t>388 -</w:t>
      </w:r>
      <w:r>
        <w:rPr>
          <w:rFonts w:hint="cs"/>
          <w:rtl/>
        </w:rPr>
        <w:tab/>
        <w:t>وبالنسبة للمسلمين، ينظم مسائل الخطبة قانون الأسرة الإسلامي النافذ في الولايات الداخلة في الاتحاد. وينص قانون الأسرة الإسلامي في المادة 15 منه،  على سبيل المثال، على ما يلي:</w:t>
      </w:r>
    </w:p>
    <w:p w:rsidR="00484A02" w:rsidRDefault="00484A02" w:rsidP="00484A02">
      <w:pPr>
        <w:pStyle w:val="SingleTxt"/>
        <w:ind w:left="1930" w:hanging="663"/>
        <w:rPr>
          <w:rFonts w:hint="cs"/>
          <w:rtl/>
        </w:rPr>
      </w:pPr>
      <w:r>
        <w:rPr>
          <w:rFonts w:hint="cs"/>
          <w:rtl/>
        </w:rPr>
        <w:tab/>
      </w:r>
      <w:r>
        <w:rPr>
          <w:rFonts w:hint="cs"/>
          <w:rtl/>
        </w:rPr>
        <w:tab/>
      </w:r>
      <w:r>
        <w:rPr>
          <w:rFonts w:hint="eastAsia"/>
          <w:rtl/>
        </w:rPr>
        <w:t>”إذا دخل أي شخص في خطبة وفقا للأحكام الشرعية</w:t>
      </w:r>
      <w:r>
        <w:rPr>
          <w:rFonts w:hint="cs"/>
          <w:rtl/>
        </w:rPr>
        <w:t xml:space="preserve"> </w:t>
      </w:r>
      <w:r w:rsidRPr="00BC69D4">
        <w:rPr>
          <w:rFonts w:hint="cs"/>
          <w:vertAlign w:val="superscript"/>
          <w:rtl/>
        </w:rPr>
        <w:t>(11)</w:t>
      </w:r>
      <w:r>
        <w:rPr>
          <w:rFonts w:hint="cs"/>
          <w:rtl/>
        </w:rPr>
        <w:t>، سواء كان ذلك شفويا أو كتابيا أو كان بالأصالة أو بالوكالة وعدل فيما بعد عن زواج الطرف الآخر دونما سبب قانوني. يتوجب على الطرف الذي عدل عن الوعد، في حال كون الطرف الآخر راغبا في إتمام الزواج، أن يعيد هدايا الخطبة، إن كان هناك هدايا، أو ثمن المثل وأن يعيد مثل المال الذي أنفق بحسن نية من قبل الطرف الآخر أو من أجله للتحضير للزواج، ويجوز تحصيل المثل برفع دعوى أمام القضاء</w:t>
      </w:r>
      <w:r>
        <w:rPr>
          <w:rFonts w:hint="eastAsia"/>
          <w:rtl/>
        </w:rPr>
        <w:t>“</w:t>
      </w:r>
      <w:r>
        <w:rPr>
          <w:rFonts w:hint="cs"/>
          <w:rtl/>
        </w:rPr>
        <w:t>.</w:t>
      </w:r>
    </w:p>
    <w:p w:rsidR="00484A02" w:rsidRDefault="00484A02" w:rsidP="00484A02">
      <w:pPr>
        <w:pStyle w:val="SingleTxt"/>
        <w:rPr>
          <w:rFonts w:hint="cs"/>
          <w:rtl/>
        </w:rPr>
      </w:pPr>
      <w:r>
        <w:rPr>
          <w:rFonts w:hint="cs"/>
          <w:rtl/>
        </w:rPr>
        <w:t>389 -</w:t>
      </w:r>
      <w:r>
        <w:rPr>
          <w:rFonts w:hint="cs"/>
          <w:rtl/>
        </w:rPr>
        <w:tab/>
        <w:t>وبذلك يتضح من هذا النص أن من حق أي من الطرفين أن يرفع دعوى بسبب العدول عن الوعد بالزواج.</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في مسائل الزواج</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رضا الطرفين الحر</w:t>
      </w:r>
    </w:p>
    <w:p w:rsidR="00484A02" w:rsidRDefault="00484A02" w:rsidP="00484A02">
      <w:pPr>
        <w:pStyle w:val="SingleTxt"/>
        <w:rPr>
          <w:rFonts w:hint="cs"/>
          <w:rtl/>
        </w:rPr>
      </w:pPr>
      <w:r>
        <w:rPr>
          <w:rFonts w:hint="cs"/>
          <w:rtl/>
        </w:rPr>
        <w:t>390 -</w:t>
      </w:r>
      <w:r>
        <w:rPr>
          <w:rFonts w:hint="cs"/>
          <w:rtl/>
        </w:rPr>
        <w:tab/>
        <w:t>تتمتع المرأة بحق مساو للرجل في اختيار زوجها. وبموجب المادة 22 (6) من قانون إصلاح قوانين الزواج والطلاق، يجب أن تتكون لدى مسجل الزواج قبل إبرام عقد الزواج رسميا قناعة بأن كلا الطرفين راض بالزواج بإرادته الحرة. ويعتبر جريمة قيام شخص باستخدام القوة أو التهديد بها لإجبار شخص آخر على الزواج ضد إرادته أو لمنع شخص آخر بلغ الحادية والعشرين من العمر من إبرام عقد زواج صحيح. ويعتبر عدم صحة الرضا كذلك سببا لفسخ الزواج.</w:t>
      </w:r>
    </w:p>
    <w:p w:rsidR="00484A02" w:rsidRDefault="00484A02" w:rsidP="00484A02">
      <w:pPr>
        <w:pStyle w:val="SingleTxt"/>
        <w:rPr>
          <w:rFonts w:hint="cs"/>
          <w:rtl/>
        </w:rPr>
      </w:pPr>
      <w:r>
        <w:rPr>
          <w:rFonts w:hint="cs"/>
          <w:rtl/>
        </w:rPr>
        <w:t>391 -</w:t>
      </w:r>
      <w:r>
        <w:rPr>
          <w:rFonts w:hint="cs"/>
          <w:rtl/>
        </w:rPr>
        <w:tab/>
        <w:t>ويتمتع المسلمون في ماليزيا بنفس المبادئ. إذ تنص المادة 13 من قانون الأسرة الإسلامي على أن الزواج لا يعترف به ولا يسجل بموجب هذا القانون ما لم يعرب الطرفان كلاهما عن رضاهما بالزواج بحرية وأن يوافق الولي أيضا على الزواج (ولي المرأة لأغراض الزواج) أو يوافق القاضي الشرعي على الزواج في حال عدم وجود الولي.</w:t>
      </w:r>
    </w:p>
    <w:p w:rsidR="00484A02" w:rsidRPr="00BC69D4" w:rsidRDefault="00484A02" w:rsidP="00484A02">
      <w:pPr>
        <w:framePr w:w="9792" w:h="432" w:hSpace="180" w:wrap="around" w:vAnchor="page" w:hAnchor="page" w:x="1200" w:y="13803"/>
        <w:spacing w:line="240" w:lineRule="auto"/>
        <w:jc w:val="lowKashida"/>
        <w:rPr>
          <w:szCs w:val="10"/>
          <w:rtl/>
        </w:rPr>
      </w:pPr>
    </w:p>
    <w:p w:rsidR="00484A02" w:rsidRPr="00BC69D4" w:rsidRDefault="00484A02" w:rsidP="00484A02">
      <w:pPr>
        <w:framePr w:w="9792" w:h="432" w:hSpace="180" w:wrap="around" w:vAnchor="page" w:hAnchor="page" w:x="1200" w:y="13803"/>
        <w:spacing w:line="240" w:lineRule="auto"/>
        <w:jc w:val="lowKashida"/>
        <w:rPr>
          <w:szCs w:val="6"/>
          <w:rtl/>
        </w:rPr>
      </w:pPr>
    </w:p>
    <w:p w:rsidR="00484A02" w:rsidRPr="00BC69D4" w:rsidRDefault="00484A02" w:rsidP="00484A02">
      <w:pPr>
        <w:framePr w:w="9792" w:h="432" w:hSpace="180" w:wrap="around" w:vAnchor="page" w:hAnchor="page" w:x="1200" w:y="13803"/>
        <w:tabs>
          <w:tab w:val="right" w:pos="1195"/>
          <w:tab w:val="left" w:pos="1267"/>
        </w:tabs>
        <w:spacing w:line="300" w:lineRule="exact"/>
        <w:ind w:left="1267" w:right="1267" w:hanging="547"/>
        <w:rPr>
          <w:rFonts w:hint="cs"/>
          <w:sz w:val="17"/>
          <w:szCs w:val="26"/>
        </w:rPr>
      </w:pPr>
      <w:r>
        <w:rPr>
          <w:noProof/>
          <w:w w:val="100"/>
        </w:rPr>
        <w:pict>
          <v:line id="_x0000_s2136" style="position:absolute;left:0;text-align:left;z-index:64" from="379.5pt,-1pt" to="451.5pt,-1pt"/>
        </w:pict>
      </w:r>
      <w:r>
        <w:rPr>
          <w:rFonts w:hint="cs"/>
          <w:sz w:val="17"/>
          <w:szCs w:val="26"/>
          <w:rtl/>
        </w:rPr>
        <w:tab/>
        <w:t>(11)</w:t>
      </w:r>
      <w:r>
        <w:rPr>
          <w:rFonts w:hint="cs"/>
          <w:sz w:val="17"/>
          <w:szCs w:val="26"/>
          <w:rtl/>
        </w:rPr>
        <w:tab/>
        <w:t>القانون الإسلامي وفقا لأي مذهب إسلامي معترف به.</w:t>
      </w:r>
    </w:p>
    <w:p w:rsidR="00484A02" w:rsidRDefault="00484A02" w:rsidP="00484A02">
      <w:pPr>
        <w:pStyle w:val="SingleTxt"/>
        <w:rPr>
          <w:rFonts w:hint="cs"/>
          <w:rtl/>
        </w:rPr>
      </w:pPr>
      <w:r>
        <w:rPr>
          <w:rFonts w:hint="cs"/>
          <w:rtl/>
        </w:rPr>
        <w:t>392 -</w:t>
      </w:r>
      <w:r>
        <w:rPr>
          <w:rFonts w:hint="cs"/>
          <w:rtl/>
        </w:rPr>
        <w:tab/>
        <w:t>ويعتبر جريمة استخدام القوة أو التهديد باستخدامها لإجبار امرأة على الزواج ضد إرادتها أو لمنعها من إبرام عقد زواج صحيح حالما تبلغ السادسة عشرة من العمر، وعقوبة هذه الجريمة هي الغرامة أو الحبس. وهذا النص يمنح المرأة بكل وضوح حرية اختيار زوجها. ويعتبر الزواج القسري في المجتمع الماليزي ممارسة غير مقبولة. ومن وجهة النظر الإسلامية، يجب أن يكون حق المرأة في الزواج محميا من أجل ضمان العدل في الزواج المعتزم.</w:t>
      </w:r>
    </w:p>
    <w:p w:rsidR="00484A02" w:rsidRDefault="00484A02" w:rsidP="00484A02">
      <w:pPr>
        <w:pStyle w:val="SingleTxt"/>
        <w:rPr>
          <w:rFonts w:hint="cs"/>
          <w:rtl/>
        </w:rPr>
      </w:pPr>
      <w:r>
        <w:rPr>
          <w:rFonts w:hint="cs"/>
          <w:rtl/>
        </w:rPr>
        <w:t>393 -</w:t>
      </w:r>
      <w:r>
        <w:rPr>
          <w:rFonts w:hint="cs"/>
          <w:rtl/>
        </w:rPr>
        <w:tab/>
        <w:t>وعلاوة على ذلك، منحت المرأة المسلمة الحق في اختيار زوج كفء لها، والمبرر المنطقي لاشتراط الكفاءة هو كفالة الانسجام والملاءمة بين الطرفين وتجنب نشوب مشاكل فيما بعد في الزواج المعتزم. وينطوي شرط الكفاءة على مسائل من قبيل الأخلاق والتعليم والدين والعرق والمكانة الاجتماعية. وبناء عليه، إذا أكرهت امرأة على الزواج من شخص أدنى منها كفاءة على يد وليها المباشر (أبوها أو جدها لأب) يحق لها رفض الزواج أو طلب فسخه.</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معاملات الزواج</w:t>
      </w:r>
    </w:p>
    <w:p w:rsidR="00484A02" w:rsidRDefault="00484A02" w:rsidP="00484A02">
      <w:pPr>
        <w:pStyle w:val="SingleTxt"/>
        <w:rPr>
          <w:rFonts w:hint="cs"/>
          <w:rtl/>
        </w:rPr>
      </w:pPr>
      <w:r>
        <w:rPr>
          <w:rFonts w:hint="cs"/>
          <w:rtl/>
        </w:rPr>
        <w:t>394 -</w:t>
      </w:r>
      <w:r>
        <w:rPr>
          <w:rFonts w:hint="cs"/>
          <w:rtl/>
        </w:rPr>
        <w:tab/>
        <w:t>يعقد الزواج رسميا بين غير المسلمين، بموجب أحكام قانون إصلاح قوانين الزواج والطلاق، من قبل مسجل وفي مكتبه، أو في مكان آخر غير مكتب المسجل مأذون له بذلك بموجب ترخيص صالح صادر عن رئيس الوزراء، أو بإقامة احتفال ديني أو أعراف أو عادات من قبل رجل دين أو كاهن أو قسيس في أي كنيسة أو معبد معين من قبل الوزير المختص ليقوم بمهام مسجل الزواج المعاون.</w:t>
      </w:r>
    </w:p>
    <w:p w:rsidR="00484A02" w:rsidRDefault="00484A02" w:rsidP="00484A02">
      <w:pPr>
        <w:pStyle w:val="SingleTxt"/>
        <w:rPr>
          <w:rFonts w:hint="cs"/>
          <w:rtl/>
        </w:rPr>
      </w:pPr>
      <w:r>
        <w:rPr>
          <w:rFonts w:hint="cs"/>
          <w:rtl/>
        </w:rPr>
        <w:t>395 -</w:t>
      </w:r>
      <w:r>
        <w:rPr>
          <w:rFonts w:hint="cs"/>
          <w:rtl/>
        </w:rPr>
        <w:tab/>
        <w:t>وبغية تثبيت الزواج المدني المعقود في مكتب مسجل في مكان آخر تثبيتا رسميا، يتوجب على كل من طرفي عقد الزواج المزمع أن يقدم شخصيا إخطارا موقعا منه في الاستمارة المحددة إلى مسجل الزواج في المقاطعة التي أقام فيها ذلك الطرف لفترة سبعة أيام سابقة مباشرة لتقديم الإخطار (المادة 14 من قانون إصلاح قوانين الزواج والطلاق). ويقوم المسجل بإعلان الإخطار في مكان بارز في لوحة الإعلانات في مكتبه. ويبقى الإخطار منشورا إلى أن يمنح المسجل شهادته على الزواج بعد 21 يوما من تاريخ الإعلان.</w:t>
      </w:r>
    </w:p>
    <w:p w:rsidR="00484A02" w:rsidRDefault="00484A02" w:rsidP="00484A02">
      <w:pPr>
        <w:pStyle w:val="SingleTxt"/>
        <w:rPr>
          <w:rFonts w:hint="cs"/>
          <w:rtl/>
        </w:rPr>
      </w:pPr>
      <w:r>
        <w:rPr>
          <w:rFonts w:hint="cs"/>
          <w:rtl/>
        </w:rPr>
        <w:t>396 -</w:t>
      </w:r>
      <w:r>
        <w:rPr>
          <w:rFonts w:hint="cs"/>
          <w:rtl/>
        </w:rPr>
        <w:tab/>
        <w:t>وبغية تثبيت الزواج الذي يتم من خلال إقامة احتفال ديني أو أعراف أو عادات، يجب أن يقدم إلى مسجل الزواج المعاون إعلان قانوني يستوفي الشرائط التالية:</w:t>
      </w:r>
    </w:p>
    <w:p w:rsidR="00484A02" w:rsidRDefault="00484A02" w:rsidP="00484A02">
      <w:pPr>
        <w:pStyle w:val="SingleTxt"/>
        <w:rPr>
          <w:rFonts w:hint="cs"/>
          <w:rtl/>
        </w:rPr>
      </w:pPr>
      <w:r>
        <w:rPr>
          <w:rFonts w:hint="cs"/>
          <w:rtl/>
        </w:rPr>
        <w:tab/>
        <w:t>(أ)</w:t>
      </w:r>
      <w:r>
        <w:rPr>
          <w:rFonts w:hint="cs"/>
          <w:rtl/>
        </w:rPr>
        <w:tab/>
        <w:t>أن كلا من الطرفين يبلغ من العمر 21 عاما أو أكثر، وإذا لم تكن الحال كذلك أن يكون أيهما أرملا؛ وإذا كان أحد الطرفين قاصرا ولم يتزوج من قبل وكان عمر الخطيبة لا يقل عن ستة عشر عاما أن يكون الشخص المعني قد أعرب عن رضاه بالزواج كتابيا أو تكون المحكمة قد تصرفت أو أذنت بالزواج؛</w:t>
      </w:r>
    </w:p>
    <w:p w:rsidR="00484A02" w:rsidRDefault="00484A02" w:rsidP="00484A02">
      <w:pPr>
        <w:pStyle w:val="SingleTxt"/>
        <w:rPr>
          <w:rFonts w:hint="cs"/>
          <w:rtl/>
        </w:rPr>
      </w:pPr>
      <w:r>
        <w:rPr>
          <w:rFonts w:hint="cs"/>
          <w:rtl/>
        </w:rPr>
        <w:tab/>
        <w:t>(ب)</w:t>
      </w:r>
      <w:r>
        <w:rPr>
          <w:rFonts w:hint="cs"/>
          <w:rtl/>
        </w:rPr>
        <w:tab/>
        <w:t>أنه لا يوجد مانع قانوني يمنع من هذا الزواج؛</w:t>
      </w:r>
    </w:p>
    <w:p w:rsidR="00484A02" w:rsidRDefault="00484A02" w:rsidP="00484A02">
      <w:pPr>
        <w:pStyle w:val="SingleTxt"/>
        <w:rPr>
          <w:rFonts w:hint="cs"/>
          <w:rtl/>
        </w:rPr>
      </w:pPr>
      <w:r>
        <w:rPr>
          <w:rFonts w:hint="cs"/>
          <w:rtl/>
        </w:rPr>
        <w:tab/>
        <w:t>(ج)</w:t>
      </w:r>
      <w:r>
        <w:rPr>
          <w:rFonts w:hint="cs"/>
          <w:rtl/>
        </w:rPr>
        <w:tab/>
        <w:t>أن طرفي الزواج المعتزم كليهما غير متزوج؛</w:t>
      </w:r>
    </w:p>
    <w:p w:rsidR="00484A02" w:rsidRDefault="00484A02" w:rsidP="00484A02">
      <w:pPr>
        <w:pStyle w:val="SingleTxt"/>
        <w:rPr>
          <w:rFonts w:hint="cs"/>
          <w:rtl/>
        </w:rPr>
      </w:pPr>
      <w:r>
        <w:rPr>
          <w:rFonts w:hint="cs"/>
          <w:rtl/>
        </w:rPr>
        <w:tab/>
        <w:t>(د)</w:t>
      </w:r>
      <w:r>
        <w:rPr>
          <w:rFonts w:hint="cs"/>
          <w:rtl/>
        </w:rPr>
        <w:tab/>
        <w:t>إذا كان الزواج زواجا مسيحيا، يجب التأكد من التقيد بأحكام القانون الكنسي للطائفة الدينية التي ينتمي إليها كل من الزوجين، أو من إعفائهما منها بصورة قانونية.</w:t>
      </w:r>
    </w:p>
    <w:p w:rsidR="00484A02" w:rsidRDefault="00484A02" w:rsidP="00484A02">
      <w:pPr>
        <w:pStyle w:val="SingleTxt"/>
        <w:rPr>
          <w:rFonts w:hint="eastAsia"/>
          <w:rtl/>
        </w:rPr>
      </w:pPr>
      <w:r>
        <w:rPr>
          <w:rFonts w:hint="cs"/>
          <w:rtl/>
        </w:rPr>
        <w:t>397 -</w:t>
      </w:r>
      <w:r>
        <w:rPr>
          <w:rFonts w:hint="cs"/>
          <w:rtl/>
        </w:rPr>
        <w:tab/>
        <w:t xml:space="preserve">وفيما يتعلق بالمسلمين، تنص المادة 16 من قانون الأسرة الإسلامي على ما يلي </w:t>
      </w:r>
      <w:r>
        <w:rPr>
          <w:rFonts w:hint="eastAsia"/>
          <w:rtl/>
        </w:rPr>
        <w:t>”</w:t>
      </w:r>
      <w:r>
        <w:rPr>
          <w:rFonts w:hint="cs"/>
          <w:rtl/>
        </w:rPr>
        <w:t>عندما تكون هناك رغبة في تثبيت الزواج بصورة رسمية في إقليم اتحادي، يقدم كل من طرفي الزواج المعتزم طلبا للإذن بالزواج في الاستمارة المحددة لهذا الغرض إلى المسجل في المنطقة (مسجد القرية) التي تقيم فيها الخطيبة</w:t>
      </w:r>
      <w:r>
        <w:rPr>
          <w:rFonts w:hint="eastAsia"/>
          <w:rtl/>
        </w:rPr>
        <w:t>“.</w:t>
      </w:r>
    </w:p>
    <w:p w:rsidR="00484A02" w:rsidRDefault="00484A02" w:rsidP="00484A02">
      <w:pPr>
        <w:pStyle w:val="SingleTxt"/>
        <w:rPr>
          <w:rFonts w:hint="cs"/>
          <w:rtl/>
        </w:rPr>
      </w:pPr>
      <w:r>
        <w:rPr>
          <w:rFonts w:hint="cs"/>
          <w:rtl/>
        </w:rPr>
        <w:t>398 -</w:t>
      </w:r>
      <w:r>
        <w:rPr>
          <w:rFonts w:hint="cs"/>
          <w:rtl/>
        </w:rPr>
        <w:tab/>
        <w:t>ويجب على الخاطب أن يقدم في الاستمارة المحددة تفاصيل كاملة عن وضعه ومهنته ومرتبه مشفوعة بإقرار من رب العمل الذي يعمل لديه بصحتها. ويضمن القانون الحماية للمرأة من الزواج برجل يعطي فكرة خاطئة عن نفسه، حيث تنص المادة 38 من قانون الأسرة الإسلامي على أن أي شخص يقدم عن عمد تصريحا أو إفادة كاذبة من أجل تيسير إتمام الزواج يعتبر مذنبا بارتكاب جريمة ويعاقب بدفع غرامة لا يتجاوز مقدارها 000 1 رينغيت أو بالسجن لمدة لا تتجاوز ستة أشهر أو بالعقوبتين معا.</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السن في الزواج الأول</w:t>
      </w:r>
    </w:p>
    <w:p w:rsidR="00484A02" w:rsidRDefault="00484A02" w:rsidP="00484A02">
      <w:pPr>
        <w:pStyle w:val="SingleTxt"/>
        <w:rPr>
          <w:rFonts w:hint="cs"/>
          <w:rtl/>
        </w:rPr>
      </w:pPr>
      <w:r>
        <w:rPr>
          <w:rFonts w:hint="cs"/>
          <w:rtl/>
        </w:rPr>
        <w:t>399 -</w:t>
      </w:r>
      <w:r>
        <w:rPr>
          <w:rFonts w:hint="cs"/>
          <w:rtl/>
        </w:rPr>
        <w:tab/>
        <w:t>سن الأهلية القانونية هي 18 عاما للذكر والأنثى على حد سواء بموجب القانون العام (الذي ينطبق على المسلمين وغير المسلمين على حد سواء. غير أن هذا القانون يخضع لأي قانون خاص يحدد السن القانونية الواجبة في حالات محددة، ومنها على سبيل المثال أهلية الشخص للتصرف في مسائل الزواج والطلاق والتبني والدِّين وما إلى ذلك.</w:t>
      </w:r>
    </w:p>
    <w:p w:rsidR="00484A02" w:rsidRDefault="00484A02" w:rsidP="00484A02">
      <w:pPr>
        <w:pStyle w:val="SingleTxt"/>
        <w:rPr>
          <w:rFonts w:hint="cs"/>
          <w:rtl/>
        </w:rPr>
      </w:pPr>
      <w:r>
        <w:rPr>
          <w:rFonts w:hint="cs"/>
          <w:rtl/>
        </w:rPr>
        <w:t>400 -</w:t>
      </w:r>
      <w:r>
        <w:rPr>
          <w:rFonts w:hint="cs"/>
          <w:rtl/>
        </w:rPr>
        <w:tab/>
        <w:t>والسن الدنيا للزواج، بموجب قانون إصلاح قوانين الزواج والطلاق هي 18 عاما. بيد أنه يجوز للفتاة التي بلغت 16 عاما من العمر أن تتزوج إذا حصلت على إذن مسبق من رئيس الوزراء في الولاية المعنية. ويجوز لرئيس الوزراء أن يصدر ترخيصا لهذا الغرض بموجب قانون إصلاح قوانين الزواج والطلاق.</w:t>
      </w:r>
    </w:p>
    <w:p w:rsidR="00484A02" w:rsidRDefault="00484A02" w:rsidP="00484A02">
      <w:pPr>
        <w:pStyle w:val="SingleTxt"/>
        <w:rPr>
          <w:rFonts w:hint="cs"/>
          <w:rtl/>
        </w:rPr>
      </w:pPr>
      <w:r>
        <w:rPr>
          <w:rFonts w:hint="cs"/>
          <w:rtl/>
        </w:rPr>
        <w:t>401 -</w:t>
      </w:r>
      <w:r>
        <w:rPr>
          <w:rFonts w:hint="cs"/>
          <w:rtl/>
        </w:rPr>
        <w:tab/>
        <w:t xml:space="preserve">وبالنسبة للمسلمين، يعتبر الذكور والإناث كلاهما ملزمين أيضا بالحد الأدنى لسن الزواج. حيث تنص المادة 8 من قانون الأسرة الإسلامي على ما يلي </w:t>
      </w:r>
      <w:r>
        <w:rPr>
          <w:rFonts w:hint="eastAsia"/>
          <w:rtl/>
        </w:rPr>
        <w:t xml:space="preserve">”لا يجوز تثبيت أو تسجيل أي زواج بمقتضى هذا القانون إذا كان سن الرجل يقل عن 18 عاما أو كان عمر المرأة يقل عن 16 عاما إلا إذا منح القاضي الشرعي </w:t>
      </w:r>
      <w:r>
        <w:rPr>
          <w:rFonts w:hint="cs"/>
          <w:rtl/>
        </w:rPr>
        <w:t xml:space="preserve">إذنا </w:t>
      </w:r>
      <w:r>
        <w:rPr>
          <w:rFonts w:hint="eastAsia"/>
          <w:rtl/>
        </w:rPr>
        <w:t>كتابيا بذلك في ظروف معينة</w:t>
      </w:r>
      <w:r>
        <w:rPr>
          <w:rFonts w:hint="cs"/>
          <w:rtl/>
        </w:rPr>
        <w:t>“.</w:t>
      </w:r>
    </w:p>
    <w:p w:rsidR="00484A02" w:rsidRDefault="00484A02" w:rsidP="00484A02">
      <w:pPr>
        <w:pStyle w:val="SingleTxt"/>
        <w:rPr>
          <w:rFonts w:hint="cs"/>
          <w:rtl/>
        </w:rPr>
      </w:pPr>
      <w:r>
        <w:rPr>
          <w:rFonts w:hint="cs"/>
          <w:rtl/>
        </w:rPr>
        <w:t>402 -</w:t>
      </w:r>
      <w:r>
        <w:rPr>
          <w:rFonts w:hint="cs"/>
          <w:rtl/>
        </w:rPr>
        <w:tab/>
        <w:t>وفيما يتعلق بالمادة 16-1 (أ) والفقرة 2، تعلن حكومة ماليزيا أن أهلية الزواج بمقتضى قانون الشريعة الإسلامية وقوانين ماليزيا تكتمل في الفتاة بتمام السادسة عشرة من عمرها وفي الفتى بتمام الثامنة عشرة من عمره.</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تعدد الزوجات</w:t>
      </w:r>
    </w:p>
    <w:p w:rsidR="00484A02" w:rsidRDefault="00484A02" w:rsidP="00484A02">
      <w:pPr>
        <w:pStyle w:val="SingleTxt"/>
        <w:rPr>
          <w:rFonts w:hint="cs"/>
          <w:rtl/>
        </w:rPr>
      </w:pPr>
      <w:r>
        <w:rPr>
          <w:rFonts w:hint="cs"/>
          <w:rtl/>
        </w:rPr>
        <w:t>403 -</w:t>
      </w:r>
      <w:r>
        <w:rPr>
          <w:rFonts w:hint="cs"/>
          <w:rtl/>
        </w:rPr>
        <w:tab/>
        <w:t>يحظر قانون إصلاح قوانين الزواج والطلاق تعدد الزوجات لكنه يعترف بجميع الزيجات المتعددة التي عقدت رسميا قبل دخوله حيز النفاذ. ويتجاوز حظر تعدد الزوجات هذا نطاق الزيجات التي عقدت بموجب قانون إصلاح قوانين الزواج والطلاق ليشمل الزواج بأي شخص في ظل أي قانون أو دين أو عرف أو عادة سواء عقد الزواج الثاني أو الزيجات اللاحقة في ماليزيا أو خارج ماليزيا. بيد أن الرجال المسلمين لا يتأثرون بهذا الحظر باعتبار أن تعدد الزوجات مرخص به بموجب القوانين الإسلامية النافذة في البلد.</w:t>
      </w:r>
    </w:p>
    <w:p w:rsidR="00484A02" w:rsidRPr="007A78D2" w:rsidRDefault="00484A02" w:rsidP="00484A02">
      <w:pPr>
        <w:framePr w:w="9792" w:h="432" w:hSpace="180" w:wrap="around" w:vAnchor="page" w:hAnchor="page" w:x="1200" w:y="13263"/>
        <w:spacing w:line="240" w:lineRule="auto"/>
        <w:jc w:val="lowKashida"/>
        <w:rPr>
          <w:szCs w:val="10"/>
          <w:rtl/>
        </w:rPr>
      </w:pPr>
    </w:p>
    <w:p w:rsidR="00484A02" w:rsidRPr="007A78D2" w:rsidRDefault="00484A02" w:rsidP="00484A02">
      <w:pPr>
        <w:framePr w:w="9792" w:h="432" w:hSpace="180" w:wrap="around" w:vAnchor="page" w:hAnchor="page" w:x="1200" w:y="13263"/>
        <w:spacing w:line="240" w:lineRule="auto"/>
        <w:jc w:val="lowKashida"/>
        <w:rPr>
          <w:szCs w:val="6"/>
          <w:rtl/>
        </w:rPr>
      </w:pPr>
    </w:p>
    <w:p w:rsidR="00484A02" w:rsidRDefault="00484A02" w:rsidP="00484A02">
      <w:pPr>
        <w:framePr w:w="9792" w:h="432" w:hSpace="180" w:wrap="around" w:vAnchor="page" w:hAnchor="page" w:x="1200" w:y="13263"/>
        <w:tabs>
          <w:tab w:val="right" w:pos="1195"/>
          <w:tab w:val="left" w:pos="1267"/>
        </w:tabs>
        <w:spacing w:line="300" w:lineRule="exact"/>
        <w:ind w:left="1267" w:right="1267" w:hanging="547"/>
        <w:rPr>
          <w:rFonts w:hint="cs"/>
          <w:sz w:val="17"/>
          <w:szCs w:val="26"/>
          <w:rtl/>
        </w:rPr>
      </w:pPr>
      <w:r>
        <w:rPr>
          <w:noProof/>
          <w:w w:val="100"/>
        </w:rPr>
        <w:pict>
          <v:line id="_x0000_s2137" style="position:absolute;left:0;text-align:left;z-index:65" from="379.5pt,-1pt" to="451.5pt,-1pt"/>
        </w:pict>
      </w:r>
      <w:r>
        <w:rPr>
          <w:rFonts w:hint="cs"/>
          <w:sz w:val="17"/>
          <w:szCs w:val="26"/>
          <w:rtl/>
        </w:rPr>
        <w:tab/>
        <w:t>(12)</w:t>
      </w:r>
      <w:r>
        <w:rPr>
          <w:rFonts w:hint="cs"/>
          <w:sz w:val="17"/>
          <w:szCs w:val="26"/>
          <w:rtl/>
        </w:rPr>
        <w:tab/>
        <w:t>المادة 6 (1).</w:t>
      </w:r>
    </w:p>
    <w:p w:rsidR="00484A02" w:rsidRPr="007A78D2" w:rsidRDefault="00484A02" w:rsidP="00484A02">
      <w:pPr>
        <w:framePr w:w="9792" w:h="432" w:hSpace="180" w:wrap="around" w:vAnchor="page" w:hAnchor="page" w:x="1200" w:y="13263"/>
        <w:tabs>
          <w:tab w:val="right" w:pos="1195"/>
          <w:tab w:val="left" w:pos="1267"/>
        </w:tabs>
        <w:spacing w:line="300" w:lineRule="exact"/>
        <w:ind w:left="1267" w:right="1267" w:hanging="547"/>
        <w:rPr>
          <w:rFonts w:hint="cs"/>
          <w:sz w:val="17"/>
          <w:szCs w:val="26"/>
        </w:rPr>
      </w:pPr>
      <w:r>
        <w:rPr>
          <w:rFonts w:hint="cs"/>
          <w:sz w:val="17"/>
          <w:szCs w:val="26"/>
          <w:rtl/>
        </w:rPr>
        <w:tab/>
        <w:t>(13)</w:t>
      </w:r>
      <w:r>
        <w:rPr>
          <w:rFonts w:hint="cs"/>
          <w:sz w:val="17"/>
          <w:szCs w:val="26"/>
          <w:rtl/>
        </w:rPr>
        <w:tab/>
        <w:t>المادة 6 (3).</w:t>
      </w:r>
    </w:p>
    <w:p w:rsidR="00484A02" w:rsidRDefault="00484A02" w:rsidP="00484A02">
      <w:pPr>
        <w:pStyle w:val="SingleTxt"/>
        <w:rPr>
          <w:rFonts w:hint="cs"/>
          <w:rtl/>
        </w:rPr>
      </w:pPr>
      <w:r>
        <w:rPr>
          <w:rFonts w:hint="cs"/>
          <w:rtl/>
        </w:rPr>
        <w:t>404 -</w:t>
      </w:r>
      <w:r>
        <w:rPr>
          <w:rFonts w:hint="cs"/>
          <w:rtl/>
        </w:rPr>
        <w:tab/>
        <w:t>وبموجب قانون إصلاح قوانين الزواج والطلاق، إذا عقد أي شخص متزوج قانونا، خلال قيام زوجيته، عقد قران مع امرأة أخرى، تحت أي قانون أو دين أو عرف أو عادة فإن هذه المرأة لا تتمتع بأي حق في التركة أو الميراث فيما لو مات عنها ولم يترك وصية</w:t>
      </w:r>
      <w:r w:rsidRPr="007A78D2">
        <w:rPr>
          <w:rFonts w:hint="cs"/>
          <w:vertAlign w:val="superscript"/>
          <w:rtl/>
        </w:rPr>
        <w:t>(12)</w:t>
      </w:r>
      <w:r>
        <w:rPr>
          <w:rFonts w:hint="cs"/>
          <w:rtl/>
        </w:rPr>
        <w:t>. ومع ذلك، ليس هناك ما يؤثر على مسؤوليته بدفع نفقتها التي يتوجب عليه دفعها لها بموجب قانون إصلاح قوانين الزواج والطلاق أو أي قانون وضعي آخر</w:t>
      </w:r>
      <w:r w:rsidRPr="00212F5E">
        <w:rPr>
          <w:rFonts w:hint="cs"/>
          <w:vertAlign w:val="superscript"/>
          <w:rtl/>
        </w:rPr>
        <w:t>(13)</w:t>
      </w:r>
      <w:r>
        <w:rPr>
          <w:rFonts w:hint="cs"/>
          <w:rtl/>
        </w:rPr>
        <w:t>. وهذا الحكم يرمي بصورة غير مباشرة إلى حماية المرأة المتزوجة سرا وفقا للأعراف الصينية، وحماية أطفالهما. وعلى الرغم من أن المرأة التي تقدم على هذا الفعل لا تعتبر قانونا زوجة الرجل فإن أطفالهما يستحقون النفقة بالرغم من كونهم أولادا غير شرعيين بنظر القانون.</w:t>
      </w:r>
    </w:p>
    <w:p w:rsidR="00484A02" w:rsidRDefault="00484A02" w:rsidP="00484A02">
      <w:pPr>
        <w:pStyle w:val="SingleTxt"/>
        <w:rPr>
          <w:rFonts w:hint="cs"/>
          <w:rtl/>
        </w:rPr>
      </w:pPr>
      <w:r>
        <w:rPr>
          <w:rFonts w:hint="cs"/>
          <w:rtl/>
        </w:rPr>
        <w:t>405 -</w:t>
      </w:r>
      <w:r>
        <w:rPr>
          <w:rFonts w:hint="cs"/>
          <w:rtl/>
        </w:rPr>
        <w:tab/>
        <w:t>وعلى الرغم من أن تعدد الزوجات مرخص به للمسلمين، فقد بدأت الحكومة بتطبيق قوانين وإجراءات من أجل الحد من ممارسات تعدد الزوجات. والسبب الرئيسي الذي دعا إلى تطبيق تلك القوانين والإجراءات هو كفالة معاملة جميع الزوجات معاملة متساوية في حالات تعدد الزوجات. ولهذا، فإن الحق في ممارسة تعدد الزوجات لا يجوز ممارسته إلا بإذن من المحكمة. ولا تمنح المحكمة الإذن إلا إذا تكونت لديها قناعة أن الزواج المقترح عادل وضروري آخذة في الاعتبار وجود ظروف مثل العقم والعجز الجسدي وعدم القدرة الجسدية على ممارسة العلاقات الزوجية والقيام عن عمد بتجنب تنفيذ أمر بإعادة الحقوق الزوجية أو إصابة الزوجة الحالية أو الزوجات الحاليات بجنون.</w:t>
      </w:r>
    </w:p>
    <w:p w:rsidR="00484A02" w:rsidRDefault="00484A02" w:rsidP="00484A02">
      <w:pPr>
        <w:pStyle w:val="SingleTxt"/>
        <w:rPr>
          <w:rFonts w:hint="cs"/>
          <w:rtl/>
        </w:rPr>
      </w:pPr>
      <w:r>
        <w:rPr>
          <w:rFonts w:hint="cs"/>
          <w:rtl/>
        </w:rPr>
        <w:t>406 -</w:t>
      </w:r>
      <w:r>
        <w:rPr>
          <w:rFonts w:hint="cs"/>
          <w:rtl/>
        </w:rPr>
        <w:tab/>
        <w:t>ويجب أن تتكون لدى المحكمة كذلك قناعة بأن الرجل قادر على إعالة جميع زوجاته وعياله وقادر كذلك على معاملتهن معاملة متساوية وأن الزواج المعتزم لن يحدث ضررا للزوجة الحالية أو الزوجات الحاليات.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حقوق المرأة في الزواج</w:t>
      </w:r>
    </w:p>
    <w:p w:rsidR="00484A02" w:rsidRDefault="00484A02" w:rsidP="00484A02">
      <w:pPr>
        <w:pStyle w:val="SingleTxt"/>
        <w:rPr>
          <w:rFonts w:hint="cs"/>
          <w:rtl/>
        </w:rPr>
      </w:pPr>
      <w:r>
        <w:rPr>
          <w:rFonts w:hint="cs"/>
          <w:rtl/>
        </w:rPr>
        <w:t>407 -</w:t>
      </w:r>
      <w:r>
        <w:rPr>
          <w:rFonts w:hint="cs"/>
          <w:rtl/>
        </w:rPr>
        <w:tab/>
        <w:t>يمنح النظامان القانونيان المدني والإسلامي كلاهما حقوقا معينة للزوجات، يرد أدناه وصف لأهمها:</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الحق في المهر</w:t>
      </w:r>
    </w:p>
    <w:p w:rsidR="00484A02" w:rsidRDefault="00484A02" w:rsidP="00484A02">
      <w:pPr>
        <w:pStyle w:val="SingleTxt"/>
        <w:rPr>
          <w:rFonts w:hint="cs"/>
          <w:rtl/>
        </w:rPr>
      </w:pPr>
      <w:r>
        <w:rPr>
          <w:rFonts w:hint="cs"/>
          <w:rtl/>
        </w:rPr>
        <w:t>408 -</w:t>
      </w:r>
      <w:r>
        <w:rPr>
          <w:rFonts w:hint="cs"/>
          <w:rtl/>
        </w:rPr>
        <w:tab/>
        <w:t xml:space="preserve">ينطبق هذا الحق على المسلمين. ويعرف هذا الحق باللغة العربية باسم المهر وهو عبارة عن دفعة إلزامية تدفع عند الزواج ويجب على الزوج، بموجب القانون الإسلامي، دفع المهر إلى الزوجة عند إثبات عقد الزواج رسميا. ويمكن أن يكون المهر في شكل مال أو ممتلكات. </w:t>
      </w:r>
    </w:p>
    <w:p w:rsidR="00484A02" w:rsidRDefault="00484A02" w:rsidP="00484A02">
      <w:pPr>
        <w:pStyle w:val="SingleTxt"/>
        <w:rPr>
          <w:rFonts w:hint="cs"/>
          <w:rtl/>
        </w:rPr>
      </w:pPr>
      <w:r>
        <w:rPr>
          <w:rFonts w:hint="cs"/>
          <w:rtl/>
        </w:rPr>
        <w:t>409 -</w:t>
      </w:r>
      <w:r>
        <w:rPr>
          <w:rFonts w:hint="cs"/>
          <w:rtl/>
        </w:rPr>
        <w:tab/>
        <w:t>ويجب دفع المهر للزوجة بالذات لا لوالدها. وإذا لم يتفق الطرفان على مقدار المهر يؤخذ بالمبلغ المحدد في القانون المعمول به في الولاية. ولتمييز المهر عن الدفعات النقدية الأخرى، يجب أن تعرب الزوجة عن موافقتها عليه وإلا فإن الأشياء المقدمة إليها تعتبر بحكم الهدية لا المهر. وينص قانون الأسرة الإسلامي على وجوب تسجيل مقدار المهر في صك الزواج حتى تتمكن الزوجة من المطالبة به في حال انحلال الزواج.</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الحق في النفقة</w:t>
      </w:r>
    </w:p>
    <w:p w:rsidR="00484A02" w:rsidRDefault="00484A02" w:rsidP="00484A02">
      <w:pPr>
        <w:pStyle w:val="SingleTxt"/>
        <w:rPr>
          <w:rFonts w:hint="cs"/>
          <w:rtl/>
        </w:rPr>
      </w:pPr>
      <w:r>
        <w:rPr>
          <w:rFonts w:hint="cs"/>
          <w:rtl/>
        </w:rPr>
        <w:t>410 -</w:t>
      </w:r>
      <w:r>
        <w:rPr>
          <w:rFonts w:hint="cs"/>
          <w:rtl/>
        </w:rPr>
        <w:tab/>
        <w:t>الزوج ملزم قانونا بدفع نفقة إلى زوجته بموجب القانونين المدني والإسلامي. ولا</w:t>
      </w:r>
      <w:r>
        <w:rPr>
          <w:rFonts w:hint="eastAsia"/>
          <w:rtl/>
        </w:rPr>
        <w:t> </w:t>
      </w:r>
      <w:r>
        <w:rPr>
          <w:rFonts w:hint="cs"/>
          <w:rtl/>
        </w:rPr>
        <w:t>تلزم المرأة المتزوجة، وإن كانت ذات مال، بالإنفاق على الأسرة المعيشة ولئن كان العديد من المتزوجات يفعلن ذلك من مالهن الخاص.</w:t>
      </w:r>
    </w:p>
    <w:p w:rsidR="00484A02" w:rsidRDefault="00484A02" w:rsidP="00484A02">
      <w:pPr>
        <w:pStyle w:val="SingleTxt"/>
        <w:rPr>
          <w:rFonts w:hint="cs"/>
          <w:rtl/>
        </w:rPr>
      </w:pPr>
      <w:r>
        <w:rPr>
          <w:rFonts w:hint="cs"/>
          <w:rtl/>
        </w:rPr>
        <w:t>411 -</w:t>
      </w:r>
      <w:r>
        <w:rPr>
          <w:rFonts w:hint="cs"/>
          <w:rtl/>
        </w:rPr>
        <w:tab/>
        <w:t>وبموجب قانون إصلاح قوانين الزواج والطلاق، تتمتع المحكمة بسلطة توجيه أمر إلى الرجل بدفع نفقة إلى زوجته الحالية أو زوجته السابقة (المادة 77 (1)) وأن تأمره كذلك بدفع نفقة ولده (المادة 93 (1)). وتتمتع المحكمة كذلك بسلطة توفير بعض المال أو الحيلولة دون إتلافه لإحباط المطالبة بالنفقة.</w:t>
      </w:r>
    </w:p>
    <w:p w:rsidR="00484A02" w:rsidRDefault="00484A02" w:rsidP="00484A02">
      <w:pPr>
        <w:pStyle w:val="SingleTxt"/>
        <w:rPr>
          <w:rFonts w:hint="cs"/>
          <w:rtl/>
        </w:rPr>
      </w:pPr>
      <w:r>
        <w:rPr>
          <w:rFonts w:hint="cs"/>
          <w:rtl/>
        </w:rPr>
        <w:t>412 -</w:t>
      </w:r>
      <w:r>
        <w:rPr>
          <w:rFonts w:hint="cs"/>
          <w:rtl/>
        </w:rPr>
        <w:tab/>
        <w:t>وينص قانون الأسرة الإسلامي على أن من واجب الزوج دفع نفقة إلى زوجته خلال قيام الزوجية. وبإمكان المحكمة أن تأمر الزوج بدفع نفقة إلى زوجته طبقا للقانون الإسلامي. وبموجب قانون الأسرة الإسلامي، تحدد المحكمة مقدار النفقة الواجب دفعها إلى الزوجة آخذة في الاعتبار حالة الزوجة المادية واحتياجاتها. وينقضي أمر النفقة بوفاة الشخص المفروضة بحقه أو وفاة الشخص الصادر الأمر من أجله، أيهما أقرب أجلا.</w:t>
      </w:r>
    </w:p>
    <w:p w:rsidR="00484A02" w:rsidRDefault="00484A02" w:rsidP="00484A02">
      <w:pPr>
        <w:pStyle w:val="SingleTxt"/>
        <w:rPr>
          <w:rFonts w:hint="cs"/>
          <w:rtl/>
        </w:rPr>
      </w:pPr>
      <w:r>
        <w:rPr>
          <w:rFonts w:hint="cs"/>
          <w:rtl/>
        </w:rPr>
        <w:t>413 -</w:t>
      </w:r>
      <w:r>
        <w:rPr>
          <w:rFonts w:hint="cs"/>
          <w:rtl/>
        </w:rPr>
        <w:tab/>
        <w:t>وينص القانون كذلك على نفقة مؤقتة للمرأة التي طلقت وتركت بلا نفقة. وبالإضافة إلى ذلك، يحق للمطلقة البقاء في مسكن الزوجية ما دام الزوج غير قادر على توفير مكان إقامة آخر مناسب لها، إلا في حالات معينة مثل تزوج المرأة من رجل آخر أو انقضاء فترة الولاية على الأولاد أو أدينت المرأة بإتيان الفاحشة.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حق الزوجة في الاحتفاظ باسمها</w:t>
      </w:r>
    </w:p>
    <w:p w:rsidR="00484A02" w:rsidRDefault="00484A02" w:rsidP="00484A02">
      <w:pPr>
        <w:pStyle w:val="SingleTxt"/>
        <w:rPr>
          <w:rFonts w:hint="cs"/>
          <w:rtl/>
        </w:rPr>
      </w:pPr>
      <w:r>
        <w:rPr>
          <w:rFonts w:hint="cs"/>
          <w:rtl/>
        </w:rPr>
        <w:t xml:space="preserve">414 </w:t>
      </w:r>
      <w:r>
        <w:rPr>
          <w:rtl/>
        </w:rPr>
        <w:t>–</w:t>
      </w:r>
      <w:r>
        <w:rPr>
          <w:rFonts w:hint="cs"/>
          <w:rtl/>
        </w:rPr>
        <w:t>تحتفظ المرأة في ماليزيا بصفة عامة باسمها بعد زواجها. وعلى الرغم من الأعراف السائدة في بعض المجموعات العرقية بتبني الزوجة اسم أسرة زوجها بعد الزواج فليس هناك اشتراط قانوني يلزم الزوجة القيام بذلك.</w:t>
      </w:r>
    </w:p>
    <w:p w:rsidR="00484A02" w:rsidRDefault="00484A02" w:rsidP="00484A02">
      <w:pPr>
        <w:pStyle w:val="SingleTxt"/>
        <w:rPr>
          <w:rFonts w:hint="cs"/>
          <w:rtl/>
        </w:rPr>
      </w:pPr>
      <w:r>
        <w:rPr>
          <w:rFonts w:hint="cs"/>
          <w:rtl/>
        </w:rPr>
        <w:t>415 -</w:t>
      </w:r>
      <w:r>
        <w:rPr>
          <w:rFonts w:hint="cs"/>
          <w:rtl/>
        </w:rPr>
        <w:tab/>
        <w:t>وقد قدمت حكومة ماليزيا، من ناحية أخرى، تحفظا على المادة 16-1 (ز) المتعلقة بتساوي نفس الحقوق الشخصية للزوج والزوجة، لكونها لا تتفق مع المبدأ الوارد في القانون الإسلامي.</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اختصاص النظر في القضايا الزوجية</w:t>
      </w:r>
    </w:p>
    <w:p w:rsidR="00484A02" w:rsidRDefault="00484A02" w:rsidP="00484A02">
      <w:pPr>
        <w:pStyle w:val="SingleTxt"/>
        <w:rPr>
          <w:rFonts w:hint="cs"/>
          <w:rtl/>
        </w:rPr>
      </w:pPr>
      <w:r>
        <w:rPr>
          <w:rFonts w:hint="cs"/>
          <w:rtl/>
        </w:rPr>
        <w:t>416 -</w:t>
      </w:r>
      <w:r>
        <w:rPr>
          <w:rFonts w:hint="cs"/>
          <w:rtl/>
        </w:rPr>
        <w:tab/>
        <w:t>تتمتع المحكمة المدنية باختصاص إصدار قرار بالطلاق في الحالات التالية:</w:t>
      </w:r>
    </w:p>
    <w:p w:rsidR="00484A02" w:rsidRDefault="00484A02" w:rsidP="00484A02">
      <w:pPr>
        <w:pStyle w:val="SingleTxt"/>
        <w:rPr>
          <w:rFonts w:hint="cs"/>
          <w:rtl/>
        </w:rPr>
      </w:pPr>
      <w:r>
        <w:rPr>
          <w:rFonts w:hint="cs"/>
          <w:rtl/>
        </w:rPr>
        <w:tab/>
        <w:t>(أ)</w:t>
      </w:r>
      <w:r>
        <w:rPr>
          <w:rFonts w:hint="cs"/>
          <w:rtl/>
        </w:rPr>
        <w:tab/>
        <w:t>إذا كان الزواج مسجلا أو بحكم المسجل بموجب قانون إصلاح قوانين الزواج والطلاق؛</w:t>
      </w:r>
    </w:p>
    <w:p w:rsidR="00484A02" w:rsidRDefault="00484A02" w:rsidP="00484A02">
      <w:pPr>
        <w:pStyle w:val="SingleTxt"/>
        <w:rPr>
          <w:rFonts w:hint="cs"/>
          <w:rtl/>
        </w:rPr>
      </w:pPr>
      <w:r>
        <w:rPr>
          <w:rFonts w:hint="cs"/>
          <w:rtl/>
        </w:rPr>
        <w:tab/>
        <w:t>(ب)</w:t>
      </w:r>
      <w:r>
        <w:rPr>
          <w:rFonts w:hint="cs"/>
          <w:rtl/>
        </w:rPr>
        <w:tab/>
        <w:t>إذا كان عقد الزواج قد أجري بموجب قانون ينص على ذلك أو عند اشتراط الزوجة عدم الزواج عليها؛</w:t>
      </w:r>
    </w:p>
    <w:p w:rsidR="00484A02" w:rsidRDefault="00484A02" w:rsidP="00484A02">
      <w:pPr>
        <w:pStyle w:val="SingleTxt"/>
        <w:rPr>
          <w:rFonts w:hint="cs"/>
          <w:rtl/>
        </w:rPr>
      </w:pPr>
      <w:r>
        <w:rPr>
          <w:rFonts w:hint="cs"/>
          <w:rtl/>
        </w:rPr>
        <w:tab/>
        <w:t>(ج)</w:t>
      </w:r>
      <w:r>
        <w:rPr>
          <w:rFonts w:hint="cs"/>
          <w:rtl/>
        </w:rPr>
        <w:tab/>
        <w:t>إذا كان موطن الزوج والزوجة في ماليزيا عند تقديم الطلب.</w:t>
      </w:r>
    </w:p>
    <w:p w:rsidR="00484A02" w:rsidRDefault="00484A02" w:rsidP="00484A02">
      <w:pPr>
        <w:pStyle w:val="SingleTxt"/>
        <w:rPr>
          <w:rFonts w:hint="cs"/>
          <w:rtl/>
        </w:rPr>
      </w:pPr>
      <w:r>
        <w:rPr>
          <w:rFonts w:hint="cs"/>
          <w:rtl/>
        </w:rPr>
        <w:t>417 -</w:t>
      </w:r>
      <w:r>
        <w:rPr>
          <w:rFonts w:hint="cs"/>
          <w:rtl/>
        </w:rPr>
        <w:tab/>
        <w:t xml:space="preserve">ولا يتضمن قانون إصلاح قوانين الزواج والطلاق تعريفا لمصطلحي </w:t>
      </w:r>
      <w:r>
        <w:rPr>
          <w:rFonts w:hint="eastAsia"/>
          <w:rtl/>
        </w:rPr>
        <w:t>”الموطن</w:t>
      </w:r>
      <w:r>
        <w:rPr>
          <w:rFonts w:hint="cs"/>
          <w:rtl/>
        </w:rPr>
        <w:t xml:space="preserve">“ و </w:t>
      </w:r>
      <w:r>
        <w:rPr>
          <w:rFonts w:hint="eastAsia"/>
          <w:rtl/>
        </w:rPr>
        <w:t>”المقيم</w:t>
      </w:r>
      <w:r>
        <w:rPr>
          <w:rFonts w:hint="cs"/>
          <w:rtl/>
        </w:rPr>
        <w:t>“. ولا يوجد كذلك تشريع محدد أو نص قانوني يحكم المفهومين، ولهذا تطبق المبادئ المقررة في قانون الدعاوى الانكليزي، كما هي مذكورة في الفقرة 15-7 من المادة 15. وينص الجزء السادس من قانون إصلاح قوانين الزواج والطلاق على أن المحكمة، في جميع الدعاوى والإجراءات، تقوم بإنصاف المدعي على أساس المبادئ المماثلة إلى أكبر حد ممكن، حسب رأي المحكمة، للمبادئ التي تستند إليها المحكمة العليا في انكلترا في تقرير ما ينشده المدعي في دعواه الزوجية من إنصاف.</w:t>
      </w:r>
    </w:p>
    <w:p w:rsidR="00484A02" w:rsidRDefault="00484A02" w:rsidP="00484A02">
      <w:pPr>
        <w:pStyle w:val="SingleTxt"/>
        <w:rPr>
          <w:rFonts w:hint="cs"/>
          <w:rtl/>
        </w:rPr>
      </w:pPr>
      <w:r>
        <w:rPr>
          <w:rFonts w:hint="cs"/>
          <w:rtl/>
        </w:rPr>
        <w:t>418 -</w:t>
      </w:r>
      <w:r>
        <w:rPr>
          <w:rFonts w:hint="cs"/>
          <w:rtl/>
        </w:rPr>
        <w:tab/>
        <w:t>وتنص المادة 49 (1) من قانون إصلاح قوانين الزواج والطلاق كذلك أن المحكمة تتمتع باختصاص النظر في الدعوى التي ترفعها الزوجة ضد زوجها وإن كان غير مقيم في ماليزيا أو لم يتخذ فيها موطنا له، وذلك في الأحوال التالية:</w:t>
      </w:r>
    </w:p>
    <w:p w:rsidR="00484A02" w:rsidRDefault="00484A02" w:rsidP="00484A02">
      <w:pPr>
        <w:pStyle w:val="SingleTxt"/>
        <w:rPr>
          <w:rFonts w:hint="cs"/>
          <w:rtl/>
        </w:rPr>
      </w:pPr>
      <w:r>
        <w:rPr>
          <w:rFonts w:hint="cs"/>
          <w:rtl/>
        </w:rPr>
        <w:tab/>
        <w:t>(أ)</w:t>
      </w:r>
      <w:r>
        <w:rPr>
          <w:rFonts w:hint="cs"/>
          <w:rtl/>
        </w:rPr>
        <w:tab/>
        <w:t>إذا كان الزوج قد هجر زوجته؛</w:t>
      </w:r>
    </w:p>
    <w:p w:rsidR="00484A02" w:rsidRDefault="00484A02" w:rsidP="00484A02">
      <w:pPr>
        <w:pStyle w:val="SingleTxt"/>
        <w:rPr>
          <w:rFonts w:hint="cs"/>
          <w:rtl/>
        </w:rPr>
      </w:pPr>
      <w:r>
        <w:rPr>
          <w:rFonts w:hint="cs"/>
          <w:rtl/>
        </w:rPr>
        <w:tab/>
        <w:t>(ب)</w:t>
      </w:r>
      <w:r>
        <w:rPr>
          <w:rFonts w:hint="cs"/>
          <w:rtl/>
        </w:rPr>
        <w:tab/>
        <w:t>إذا كان الزوج قد أُبعد من ماليزيا بمقتضى أي قانون ذي صلة بإبعاد الأشخاص نافذ آنذاك وكان الزوج قبل الهَجْر أو الإبعاد متخذا من ماليزيا موطنا له؛</w:t>
      </w:r>
    </w:p>
    <w:p w:rsidR="00484A02" w:rsidRDefault="00484A02" w:rsidP="00484A02">
      <w:pPr>
        <w:pStyle w:val="SingleTxt"/>
        <w:rPr>
          <w:rFonts w:hint="cs"/>
          <w:rtl/>
        </w:rPr>
      </w:pPr>
      <w:r>
        <w:rPr>
          <w:rFonts w:hint="cs"/>
          <w:rtl/>
        </w:rPr>
        <w:tab/>
        <w:t>(ج)</w:t>
      </w:r>
      <w:r>
        <w:rPr>
          <w:rFonts w:hint="cs"/>
          <w:rtl/>
        </w:rPr>
        <w:tab/>
        <w:t>إذا كانت الزوجة مقيمة في ماليزيا وكانت مقيمة بصورة اعتيادية في ماليزيا لمدة سنتين قبل رفع الدعوى مباشرة.</w:t>
      </w:r>
    </w:p>
    <w:p w:rsidR="00484A02" w:rsidRDefault="00484A02" w:rsidP="00484A02">
      <w:pPr>
        <w:pStyle w:val="SingleTxt"/>
        <w:rPr>
          <w:rFonts w:hint="cs"/>
          <w:rtl/>
        </w:rPr>
      </w:pPr>
      <w:r>
        <w:rPr>
          <w:rFonts w:hint="cs"/>
          <w:rtl/>
        </w:rPr>
        <w:t>419 -</w:t>
      </w:r>
      <w:r>
        <w:rPr>
          <w:rFonts w:hint="cs"/>
          <w:rtl/>
        </w:rPr>
        <w:tab/>
        <w:t>وتستطيع المحكمة الشرعية، بموجب إجراءات تنفيذ قانون الأسرة الإسلامي المعمول به في جميع الولايات أن تصدر أمرا بخصوص الطلاق تأذن فيه للزوج بإيقاع الطلاق (حل رابطة الزوجية). ويجوز للمرأة أيضا أن تقدم إلى المحكمة طلبا بالفسخ أو المخالعة أو التطليق، ومحصلتها جميعا حل عقدة الزواج. ويجوز للمحكمة بعد الاستماع للطلب أن تأمر الزوج بإيقاع الطلاق.</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الطلاق</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طلاق غير المسلمين</w:t>
      </w:r>
    </w:p>
    <w:p w:rsidR="00484A02" w:rsidRDefault="00484A02" w:rsidP="00484A02">
      <w:pPr>
        <w:pStyle w:val="SingleTxt"/>
        <w:rPr>
          <w:rFonts w:hint="cs"/>
          <w:rtl/>
        </w:rPr>
      </w:pPr>
      <w:r>
        <w:rPr>
          <w:rFonts w:hint="cs"/>
          <w:rtl/>
        </w:rPr>
        <w:t>420 -</w:t>
      </w:r>
      <w:r>
        <w:rPr>
          <w:rFonts w:hint="cs"/>
          <w:rtl/>
        </w:rPr>
        <w:tab/>
        <w:t>يشترط قانون إصلاح قوانين الزواج والطلاق تسجيل جميع حالات الطلاق. ولا</w:t>
      </w:r>
      <w:r>
        <w:rPr>
          <w:rFonts w:hint="eastAsia"/>
          <w:rtl/>
        </w:rPr>
        <w:t> </w:t>
      </w:r>
      <w:r>
        <w:rPr>
          <w:rFonts w:hint="cs"/>
          <w:rtl/>
        </w:rPr>
        <w:t>يوجد، بصفة عامة، تمييز ضد المرأة في مختلف مراحل عملية الطلاق.</w:t>
      </w:r>
    </w:p>
    <w:p w:rsidR="00484A02" w:rsidRDefault="00484A02" w:rsidP="00484A02">
      <w:pPr>
        <w:pStyle w:val="SingleTxt"/>
        <w:rPr>
          <w:rFonts w:hint="cs"/>
          <w:rtl/>
        </w:rPr>
      </w:pPr>
      <w:r>
        <w:rPr>
          <w:rFonts w:hint="cs"/>
          <w:rtl/>
        </w:rPr>
        <w:t>421 -</w:t>
      </w:r>
      <w:r>
        <w:rPr>
          <w:rFonts w:hint="cs"/>
          <w:rtl/>
        </w:rPr>
        <w:tab/>
        <w:t>وينص قانون إصلاح قوانين الزواج والطلاق على حق الزوجين بطلب الطلاق وتحديد شروطه بالرضا المتبادل. وفي مثل تلك الحالات، يجوز للمحكمة أن تصدر حكما بالطلاق بعد أن يتأكد لديها أنه تم تخصيص مبلغ ملائم للزوجة والأطفال. ولا يتدخل القضاة عادة في حالات الطلاق التي تتم بالرضا المتبادل إلا إذا بدا لهم أن المبلغ المخصص لنفقة الأطفال غير كاف.</w:t>
      </w:r>
    </w:p>
    <w:p w:rsidR="00484A02" w:rsidRDefault="00484A02" w:rsidP="00484A02">
      <w:pPr>
        <w:pStyle w:val="SingleTxt"/>
        <w:rPr>
          <w:rFonts w:hint="cs"/>
          <w:rtl/>
        </w:rPr>
      </w:pPr>
      <w:r>
        <w:rPr>
          <w:rFonts w:hint="cs"/>
          <w:rtl/>
        </w:rPr>
        <w:t>422 -</w:t>
      </w:r>
      <w:r>
        <w:rPr>
          <w:rFonts w:hint="cs"/>
          <w:rtl/>
        </w:rPr>
        <w:tab/>
        <w:t>ويمكن الحصول على الطلاق أيضا على أساس أن رابطة الزوجية قد انحلت إلى درجة يتعذر إصلاحها. وتتقبل المحاكم عموما الدعاوى القائلة أن رابطة الزوجية قد انحلت في إحدى الحالات التالية:</w:t>
      </w:r>
    </w:p>
    <w:p w:rsidR="00484A02" w:rsidRDefault="00484A02" w:rsidP="00484A02">
      <w:pPr>
        <w:pStyle w:val="SingleTxt"/>
        <w:rPr>
          <w:rFonts w:hint="cs"/>
          <w:rtl/>
        </w:rPr>
      </w:pPr>
      <w:r>
        <w:rPr>
          <w:rFonts w:hint="cs"/>
          <w:rtl/>
        </w:rPr>
        <w:tab/>
        <w:t>(أ)</w:t>
      </w:r>
      <w:r>
        <w:rPr>
          <w:rFonts w:hint="cs"/>
          <w:rtl/>
        </w:rPr>
        <w:tab/>
        <w:t>إذا كان المدعى عليه قد ارتكب الزنا ووجد المدعي أنه غير قادر على العيش معه/معها؛</w:t>
      </w:r>
    </w:p>
    <w:p w:rsidR="00484A02" w:rsidRDefault="00484A02" w:rsidP="00484A02">
      <w:pPr>
        <w:pStyle w:val="SingleTxt"/>
        <w:rPr>
          <w:rFonts w:hint="cs"/>
          <w:rtl/>
        </w:rPr>
      </w:pPr>
      <w:r>
        <w:rPr>
          <w:rFonts w:hint="cs"/>
          <w:rtl/>
        </w:rPr>
        <w:tab/>
        <w:t>(ب)</w:t>
      </w:r>
      <w:r>
        <w:rPr>
          <w:rFonts w:hint="cs"/>
          <w:rtl/>
        </w:rPr>
        <w:tab/>
        <w:t>إذا كان المدعى عليه قد تصرف على نحو لا يُتوقع فيه من المدعي منطقيا أن يعيش معه/معها؛</w:t>
      </w:r>
    </w:p>
    <w:p w:rsidR="00484A02" w:rsidRDefault="00484A02" w:rsidP="00484A02">
      <w:pPr>
        <w:pStyle w:val="SingleTxt"/>
        <w:rPr>
          <w:rFonts w:hint="cs"/>
          <w:rtl/>
        </w:rPr>
      </w:pPr>
      <w:r>
        <w:rPr>
          <w:rFonts w:hint="cs"/>
          <w:rtl/>
        </w:rPr>
        <w:tab/>
        <w:t>(ج)</w:t>
      </w:r>
      <w:r>
        <w:rPr>
          <w:rFonts w:hint="cs"/>
          <w:rtl/>
        </w:rPr>
        <w:tab/>
        <w:t>إذا كان المدعى عليه قد هجر المدعي لفترة مستمرة لا تقل عن سنتين قبل تقديم الدعوى مباشرة؛</w:t>
      </w:r>
    </w:p>
    <w:p w:rsidR="00484A02" w:rsidRDefault="00484A02" w:rsidP="00484A02">
      <w:pPr>
        <w:pStyle w:val="SingleTxt"/>
        <w:rPr>
          <w:rFonts w:hint="cs"/>
          <w:rtl/>
        </w:rPr>
      </w:pPr>
      <w:r>
        <w:rPr>
          <w:rFonts w:hint="cs"/>
          <w:rtl/>
        </w:rPr>
        <w:tab/>
        <w:t>(د)</w:t>
      </w:r>
      <w:r>
        <w:rPr>
          <w:rFonts w:hint="cs"/>
          <w:rtl/>
        </w:rPr>
        <w:tab/>
        <w:t>إذا كان الزوجان قد عاشا بعيدين عن بعضهما لفترة مستمرة لا تقل عن سنتين قبل رفع الدعوى مباشرة.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الطلاق عند المسلمين</w:t>
      </w:r>
    </w:p>
    <w:p w:rsidR="00484A02" w:rsidRDefault="00484A02" w:rsidP="00484A02">
      <w:pPr>
        <w:pStyle w:val="SingleTxt"/>
        <w:rPr>
          <w:rFonts w:hint="cs"/>
          <w:rtl/>
        </w:rPr>
      </w:pPr>
      <w:r>
        <w:rPr>
          <w:rFonts w:hint="cs"/>
          <w:rtl/>
        </w:rPr>
        <w:t>423 -</w:t>
      </w:r>
      <w:r>
        <w:rPr>
          <w:rFonts w:hint="cs"/>
          <w:rtl/>
        </w:rPr>
        <w:tab/>
        <w:t>يجب إيقاع الطلاق بين المسلمين في ماليزيا في المحكمة. وتنص المادة 47 من قانون الأسرة الإسلامي أنه ينبغي للطرف العازم على الطلاق أن يقدم إلى المحكمة الشرعية طلبا للإذن بالطلاق. ويعتبر إيقاع الطلاق خارج المحكمة جريمة بموجب قانون الأسرة الإسلامي.</w:t>
      </w:r>
    </w:p>
    <w:p w:rsidR="00484A02" w:rsidRDefault="00484A02" w:rsidP="00484A02">
      <w:pPr>
        <w:pStyle w:val="SingleTxt"/>
        <w:rPr>
          <w:rFonts w:hint="cs"/>
          <w:rtl/>
        </w:rPr>
      </w:pPr>
      <w:r>
        <w:rPr>
          <w:rFonts w:hint="cs"/>
          <w:rtl/>
        </w:rPr>
        <w:t>424 -</w:t>
      </w:r>
      <w:r>
        <w:rPr>
          <w:rFonts w:hint="cs"/>
          <w:rtl/>
        </w:rPr>
        <w:tab/>
        <w:t>ومع ذلك، إذا وقع الطلاق خارج المحكمة يجوز للطرفين إحالة المسألة إلى المحكمة لإثبات إنهاء الزواج. ويجوز للزوجة المسلمة في ماليزيا تطليق زوجها على أساس وعد محدد قطعه الزوج على نفسه عقب تثبيت الزواج رسميا؛ أو على أساس عدم الإنفاق على الزوجة؛ أو على أساس غياب الزوج لمدة تزيد على أربعة أشهر؛ أو على أساس العنف ضد الزوجة.</w:t>
      </w:r>
    </w:p>
    <w:p w:rsidR="00484A02" w:rsidRDefault="00484A02" w:rsidP="00484A02">
      <w:pPr>
        <w:pStyle w:val="SingleTxt"/>
        <w:rPr>
          <w:rFonts w:hint="cs"/>
          <w:rtl/>
        </w:rPr>
      </w:pPr>
      <w:r>
        <w:rPr>
          <w:rFonts w:hint="cs"/>
          <w:rtl/>
        </w:rPr>
        <w:t>425 -</w:t>
      </w:r>
      <w:r>
        <w:rPr>
          <w:rFonts w:hint="cs"/>
          <w:rtl/>
        </w:rPr>
        <w:tab/>
        <w:t>ويجوز للمرأة أيضا تقديم طلب إلى المحكمة لإجراء الفسخ أو الخلع المفضيين عمليا إلى انحلال الزواج. ويجوز للمحكمة بعد الاستماع للطلب أن تأمر الزوج بإيقاع الطلاق.</w:t>
      </w:r>
    </w:p>
    <w:p w:rsidR="00484A02" w:rsidRDefault="00484A02" w:rsidP="00484A02">
      <w:pPr>
        <w:pStyle w:val="SingleTxt"/>
        <w:rPr>
          <w:rFonts w:hint="cs"/>
          <w:rtl/>
        </w:rPr>
      </w:pPr>
      <w:r>
        <w:rPr>
          <w:rFonts w:hint="cs"/>
          <w:rtl/>
        </w:rPr>
        <w:t>426 -</w:t>
      </w:r>
      <w:r>
        <w:rPr>
          <w:rFonts w:hint="cs"/>
          <w:rtl/>
        </w:rPr>
        <w:tab/>
        <w:t>إذا كان الزوج يرغب في استئناف العلاقة الزوجية مع زوجته المطلقة منه طلاقا غير بائن (حق الرجوع) فيجب عليه، بمقتضى قانون الأسرة الإسلامي، معاشرتها من جديد بالرضا المتبادل ودون استخدام القوة.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مسائل إضافية ذات صلة بالطلاق</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غير المسلمين</w:t>
      </w:r>
    </w:p>
    <w:p w:rsidR="00484A02" w:rsidRDefault="00484A02" w:rsidP="00484A02">
      <w:pPr>
        <w:pStyle w:val="SingleTxt"/>
        <w:rPr>
          <w:rFonts w:hint="cs"/>
          <w:rtl/>
        </w:rPr>
      </w:pPr>
      <w:r>
        <w:rPr>
          <w:rFonts w:hint="cs"/>
          <w:rtl/>
        </w:rPr>
        <w:t>النفقة</w:t>
      </w:r>
    </w:p>
    <w:p w:rsidR="00484A02" w:rsidRDefault="00484A02" w:rsidP="00484A02">
      <w:pPr>
        <w:pStyle w:val="SingleTxt"/>
        <w:rPr>
          <w:rFonts w:hint="cs"/>
          <w:rtl/>
        </w:rPr>
      </w:pPr>
      <w:r>
        <w:rPr>
          <w:rFonts w:hint="cs"/>
          <w:rtl/>
        </w:rPr>
        <w:t>427 -</w:t>
      </w:r>
      <w:r>
        <w:rPr>
          <w:rFonts w:hint="cs"/>
          <w:rtl/>
        </w:rPr>
        <w:tab/>
        <w:t>يجيز قانون إصلاح قوانين الزواج والطلاق للمحكمة أن تأمر الزوج بدفع نفقة لزوجته الحالية أو زوجته السابقة خلال النظر في دعوى زوجية، وعند إصدار أمر بإيقاع الطلاق أو التفريق القانوني بينهما أو بعد أي منهما، أو إذا وُجدت، بعد إصدار قرار من المحكمة باعتبارها متوفية، أنها ما زالت على قيد الحياة.</w:t>
      </w:r>
    </w:p>
    <w:p w:rsidR="00484A02" w:rsidRDefault="00484A02" w:rsidP="00484A02">
      <w:pPr>
        <w:pStyle w:val="SingleTxt"/>
        <w:rPr>
          <w:rFonts w:hint="cs"/>
          <w:rtl/>
        </w:rPr>
      </w:pPr>
      <w:r>
        <w:rPr>
          <w:rFonts w:hint="cs"/>
          <w:rtl/>
        </w:rPr>
        <w:t>428 -</w:t>
      </w:r>
      <w:r>
        <w:rPr>
          <w:rFonts w:hint="cs"/>
          <w:rtl/>
        </w:rPr>
        <w:tab/>
        <w:t>وتتمتع المحكمة بصلاحية أن تأمر الزوجة بالمقابل بدفع نفقة لزوجها الحالي أو زوجها السابق في حالات محدودة جدا كأن يفقد قدرته على كسب الرزق، كليا أو جزئيا، بسبب ضرر عقلي أو بدني أو بسبب اعتلال صحته وتوفرت لدى المحكمة قناعة أن هناك أسبابا معقولة لأن تأمر الزوجة بالإنفاق على زوجها.</w:t>
      </w:r>
    </w:p>
    <w:p w:rsidR="00484A02" w:rsidRDefault="00484A02" w:rsidP="00484A02">
      <w:pPr>
        <w:pStyle w:val="SingleTxt"/>
        <w:rPr>
          <w:rFonts w:hint="cs"/>
          <w:rtl/>
        </w:rPr>
      </w:pPr>
      <w:r>
        <w:rPr>
          <w:rFonts w:hint="cs"/>
          <w:rtl/>
        </w:rPr>
        <w:t>وعند تقدير المحكمة لمقدار النفقة التي يتوجب على الزوج دفعها لزوجته الحالية أو لزوجته السابقة، أو يتوجب على الزوجة دفعها لزوجها الحالي أو لزوجها السابق، تستند بالدرجة الأولى إلى الحالة المادية للطرفين واحتياجاتهما بغض النظر عن نسبة الدفع من دخل الزوج أو الزوجة حسب مقتضى الحال. ودرجة المسؤولية التي يتحملها كل من الطرفين عن انحلال الزوجية، حسب تقدير المحكمة، تؤثر في قرارها نوعا ما (المادة 78).</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الأصول الزوجية</w:t>
      </w:r>
    </w:p>
    <w:p w:rsidR="00484A02" w:rsidRDefault="00484A02" w:rsidP="00484A02">
      <w:pPr>
        <w:pStyle w:val="SingleTxt"/>
        <w:rPr>
          <w:rFonts w:hint="cs"/>
          <w:rtl/>
        </w:rPr>
      </w:pPr>
      <w:r>
        <w:rPr>
          <w:rFonts w:hint="cs"/>
          <w:rtl/>
        </w:rPr>
        <w:t>429 -</w:t>
      </w:r>
      <w:r>
        <w:rPr>
          <w:rFonts w:hint="cs"/>
          <w:rtl/>
        </w:rPr>
        <w:tab/>
        <w:t>عند انحلال الزواج، يحق لكلا الطرفين، على قدم المساواة، المطالبة بتقسيم الأصول الزوجية (أي الأصول التي اكتسبها أحد الطرفين بجهده الفردي أو كلاهما بجهدهما المشترك) أو المطالبة بعائدات بيع أي من تلك الأصول. وإذا كان أحد طرفي الزواج اكتسب الأصول بمفرده فتأخذ المحكمة في اعتبارها، في جملة أمور، مدى مساهمة الطرف الآخر برعاية الأسرة. وتعطى كذلك أهمية كبيرة لاحتياجات الأطفال القاصرين.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أعمال المضايقة</w:t>
      </w:r>
    </w:p>
    <w:p w:rsidR="00484A02" w:rsidRDefault="00484A02" w:rsidP="00484A02">
      <w:pPr>
        <w:pStyle w:val="SingleTxt"/>
        <w:rPr>
          <w:rFonts w:hint="cs"/>
          <w:rtl/>
        </w:rPr>
      </w:pPr>
      <w:r>
        <w:rPr>
          <w:rFonts w:hint="cs"/>
          <w:rtl/>
        </w:rPr>
        <w:t>430 -</w:t>
      </w:r>
      <w:r>
        <w:rPr>
          <w:rFonts w:hint="cs"/>
          <w:rtl/>
        </w:rPr>
        <w:tab/>
        <w:t>خلال نظر المحكمة في الدعاوى الزوجية أو عند إصدارها أمرا بإيقاع الطلاق أو التفريق القضائي أو فسخ عقد الزواج تملك سلطة إصدار أمر لأي شخص بالامتناع عن فرض نفسه بالقوة على زوجته الحالية أو زوجته السابقة وبالامتناع كذلك عن إتيان أي عمل من أعمال المضايقة. وهذا مفيد للمرأة بوجه خاص لأنها غالبا ما تقع ضحية لأعمال المضايقة. ويعاقب الشخص الذي لا يمتثل لهذا الأمر بالسجن.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المسلمون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النفقة</w:t>
      </w:r>
    </w:p>
    <w:p w:rsidR="00484A02" w:rsidRDefault="00484A02" w:rsidP="00484A02">
      <w:pPr>
        <w:pStyle w:val="SingleTxt"/>
        <w:rPr>
          <w:rFonts w:hint="cs"/>
          <w:rtl/>
        </w:rPr>
      </w:pPr>
      <w:r>
        <w:rPr>
          <w:rFonts w:hint="cs"/>
          <w:rtl/>
        </w:rPr>
        <w:t>431 -</w:t>
      </w:r>
      <w:r>
        <w:rPr>
          <w:rFonts w:hint="cs"/>
          <w:rtl/>
        </w:rPr>
        <w:tab/>
        <w:t>يحق للمرأة المسلمة المطلقة الحصول قانونا على نفقة معقولة من زوجها. ويحق لها  كذلك الحصول على نفقة من زوجها خلال فترة العدة (أي الفترة التي يستطيع فيها الزوج أن يراجع زوجته وأن يستأنف معها العلاقة الزوجية، وهي تقارب ثلاثة أشهر).</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المتعة</w:t>
      </w:r>
    </w:p>
    <w:p w:rsidR="00484A02" w:rsidRDefault="00484A02" w:rsidP="00484A02">
      <w:pPr>
        <w:pStyle w:val="SingleTxt"/>
        <w:rPr>
          <w:rFonts w:hint="cs"/>
          <w:rtl/>
        </w:rPr>
      </w:pPr>
      <w:r>
        <w:rPr>
          <w:rFonts w:hint="cs"/>
          <w:rtl/>
        </w:rPr>
        <w:t>432 -</w:t>
      </w:r>
      <w:r>
        <w:rPr>
          <w:rFonts w:hint="cs"/>
          <w:rtl/>
        </w:rPr>
        <w:tab/>
        <w:t xml:space="preserve">ينص قانون الأسرة الإسلامي على ما يلي: </w:t>
      </w:r>
      <w:r>
        <w:rPr>
          <w:rFonts w:hint="eastAsia"/>
          <w:rtl/>
        </w:rPr>
        <w:t xml:space="preserve">”بالإضافة </w:t>
      </w:r>
      <w:r>
        <w:rPr>
          <w:rFonts w:hint="cs"/>
          <w:rtl/>
        </w:rPr>
        <w:t>إلى</w:t>
      </w:r>
      <w:r>
        <w:rPr>
          <w:rFonts w:hint="eastAsia"/>
          <w:rtl/>
        </w:rPr>
        <w:t xml:space="preserve"> </w:t>
      </w:r>
      <w:r>
        <w:rPr>
          <w:rFonts w:hint="cs"/>
          <w:rtl/>
        </w:rPr>
        <w:t>حقها في المطالبة بالنفقة، يحق للمرأة التي طلقها زوجها دون مسوغ مشروع أن تطالب، من خلال المحكمة، بالمتعة ويجوز للمحكمة، بعد الاستماع للطرفين وبعد أن تتكون لديها قناعة بأن المرأة قد طُلّقت دون مسوغ مشروع، أن تأمر الزوج بدفع مبلغ منصف وعادل بحسب القانون الإسلامي (المادة 56).</w:t>
      </w:r>
    </w:p>
    <w:p w:rsidR="00484A02" w:rsidRDefault="00484A02" w:rsidP="00484A02">
      <w:pPr>
        <w:pStyle w:val="SingleTxt"/>
        <w:rPr>
          <w:rFonts w:hint="cs"/>
          <w:rtl/>
        </w:rPr>
      </w:pPr>
      <w:r>
        <w:rPr>
          <w:rFonts w:hint="cs"/>
          <w:rtl/>
        </w:rPr>
        <w:t>433 -</w:t>
      </w:r>
      <w:r>
        <w:rPr>
          <w:rFonts w:hint="cs"/>
          <w:rtl/>
        </w:rPr>
        <w:tab/>
        <w:t>وتُدفع المتعة من قبل الزوج لترضية الزوجة ولإزالة أي مظهر من مظاهر الاتهام أو العار التي قد تنشأ عن الطلاق. كما تمكنها من مواجهة الصعوبات المالية الناشئة عن الانفصال عن زوجها.</w:t>
      </w:r>
    </w:p>
    <w:p w:rsidR="00484A02" w:rsidRDefault="00484A02" w:rsidP="00484A02">
      <w:pPr>
        <w:pStyle w:val="SingleTxt"/>
        <w:rPr>
          <w:rFonts w:hint="cs"/>
          <w:rtl/>
        </w:rPr>
      </w:pPr>
      <w:r>
        <w:rPr>
          <w:rFonts w:hint="cs"/>
          <w:rtl/>
        </w:rPr>
        <w:t>434 -</w:t>
      </w:r>
      <w:r>
        <w:rPr>
          <w:rFonts w:hint="cs"/>
          <w:rtl/>
        </w:rPr>
        <w:tab/>
        <w:t>ويتفق الطرفان عادة على مقدار المتعة ولكن إذا تعذر التوصل إلى اتفاق فيحدد القاضي مقدار المتعة. وعند قيامه بذلك، يأخذ القاضي في الاعتبار الحالة المالية للزوجة وظروفها فضلا عن الوضع المالي والاجتماعي للأسرة.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الأموال المشتركة (</w:t>
      </w:r>
      <w:r w:rsidRPr="005B58B9">
        <w:rPr>
          <w:b w:val="0"/>
          <w:bCs w:val="0"/>
        </w:rPr>
        <w:t>Harta Sepencarian</w:t>
      </w:r>
      <w:r>
        <w:rPr>
          <w:rFonts w:hint="cs"/>
          <w:rtl/>
        </w:rPr>
        <w:t>)</w:t>
      </w:r>
    </w:p>
    <w:p w:rsidR="00484A02" w:rsidRDefault="00484A02" w:rsidP="00484A02">
      <w:pPr>
        <w:pStyle w:val="SingleTxt"/>
        <w:rPr>
          <w:rFonts w:hint="cs"/>
          <w:rtl/>
        </w:rPr>
      </w:pPr>
      <w:r>
        <w:rPr>
          <w:rFonts w:hint="cs"/>
          <w:rtl/>
        </w:rPr>
        <w:t>435 -</w:t>
      </w:r>
      <w:r>
        <w:rPr>
          <w:rFonts w:hint="cs"/>
          <w:rtl/>
        </w:rPr>
        <w:tab/>
        <w:t>يقصد بعبارة الأموال المشتركة (</w:t>
      </w:r>
      <w:r w:rsidRPr="005B58B9">
        <w:t>Harta Sepencarian</w:t>
      </w:r>
      <w:r>
        <w:rPr>
          <w:rFonts w:hint="cs"/>
          <w:b/>
          <w:bCs/>
          <w:rtl/>
        </w:rPr>
        <w:t>)</w:t>
      </w:r>
      <w:r w:rsidRPr="005B58B9">
        <w:rPr>
          <w:rFonts w:hint="cs"/>
          <w:rtl/>
        </w:rPr>
        <w:t xml:space="preserve"> الأموال </w:t>
      </w:r>
      <w:r>
        <w:rPr>
          <w:rFonts w:hint="cs"/>
          <w:rtl/>
        </w:rPr>
        <w:t>التي يشترك فيها الزوجان أو تؤول إليهما معا في أثناء الزوجية. وهذا التشريع المتعلق بتوزيع الملكية بين المسلمين في ماليزيا متأثر بشدة بالأعراف الماليزية. وفي هذه الحال يتم إثبات مساهمة المرأة التي تقدمها نقدا أو عينيا كأساس لمطالبتها في الملكية التي آلت إليها مع الزوج.</w:t>
      </w:r>
    </w:p>
    <w:p w:rsidR="00484A02" w:rsidRDefault="00484A02" w:rsidP="00484A02">
      <w:pPr>
        <w:pStyle w:val="SingleTxt"/>
        <w:rPr>
          <w:rFonts w:hint="cs"/>
          <w:rtl/>
        </w:rPr>
      </w:pPr>
      <w:r>
        <w:rPr>
          <w:rFonts w:hint="cs"/>
          <w:rtl/>
        </w:rPr>
        <w:t>436 -</w:t>
      </w:r>
      <w:r>
        <w:rPr>
          <w:rFonts w:hint="cs"/>
          <w:rtl/>
        </w:rPr>
        <w:tab/>
        <w:t>وفي حال الطلاق أو وفاة الزوج، تستطيع الزوجة المطالبة بثلث قيمة الأرض المكتسبة في أثناء الزوجية. وتجدر الإشارة إلى أن حق الزوجة المطلقة في المطالبة بحصتها في الأرض لا يتأثر حتى إذا ثبت أنها طلقت بسبب ارتكاب الزنا. ويجوز للمحكمة أن تزيد حصة الزوجة المطلقة من الأرض إلى النصف تبعا لطبيعة العمل الذي قامت به بخصوص الممتلكات.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الميراث</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غير المسلمين</w:t>
      </w:r>
    </w:p>
    <w:p w:rsidR="00484A02" w:rsidRDefault="00484A02" w:rsidP="00484A02">
      <w:pPr>
        <w:pStyle w:val="SingleTxt"/>
        <w:rPr>
          <w:rFonts w:hint="cs"/>
          <w:rtl/>
        </w:rPr>
      </w:pPr>
      <w:r>
        <w:rPr>
          <w:rFonts w:hint="cs"/>
          <w:rtl/>
        </w:rPr>
        <w:t>437 -</w:t>
      </w:r>
      <w:r>
        <w:rPr>
          <w:rFonts w:hint="cs"/>
          <w:rtl/>
        </w:rPr>
        <w:tab/>
        <w:t>ينظم قانون الميراث لعام 1971 (أموال الأسرة) وقانون التوزيع لعام 1958 بصورة أساسية مسائل الميراث لغير المسلمين. وفي السابق، كان قانون التوزيع لعام 1958 يقضي بأن يأخذ الزوج في حال وفاة زوجته دون وصية جميع ممتلكاتها سواء أنجبت أطفالا من زواجها معه أم لا. ومن ناحية أخرى، إذا توفي الزوج دون أن يترك وصية، يحق لزوجته الحصول فقط على ثلث تركته إن كان لهما ولد ونصف تركته إن لم يكن لهما ولد. وفي عام 1997، عدل هذا القانون بحيث لم يعد هناك الآن أي تمييز على أساس نوع الجنس في هذه المسألة.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المسلمون</w:t>
      </w:r>
    </w:p>
    <w:p w:rsidR="00484A02" w:rsidRDefault="00484A02" w:rsidP="00484A02">
      <w:pPr>
        <w:pStyle w:val="SingleTxt"/>
        <w:rPr>
          <w:rFonts w:hint="cs"/>
          <w:rtl/>
        </w:rPr>
      </w:pPr>
      <w:r>
        <w:rPr>
          <w:rFonts w:hint="cs"/>
          <w:rtl/>
        </w:rPr>
        <w:t>438 -</w:t>
      </w:r>
      <w:r>
        <w:rPr>
          <w:rFonts w:hint="cs"/>
          <w:rtl/>
        </w:rPr>
        <w:tab/>
        <w:t>يرمي النظام الإسلامي للخلافة والميراث إلى توزيع التركة على نطاق واسع. فإذا كان للمتوفى والدان وزوجة وذرية فهم يرثون جميعا منه بأنصبة مختلفة من الميراث، والقاعدة العامة هي أن للذكر مثل حظ الأنثيين إذا كانوا بنفس الدرجة من القرابة. والمبرر المنطقي لهذا التوزيع هو أن الرجل ملزم بالإنفاق على أسرته في حين لا تلزم المرأة بالإنفاق.</w:t>
      </w:r>
    </w:p>
    <w:p w:rsidR="00484A02" w:rsidRDefault="00484A02" w:rsidP="00484A02">
      <w:pPr>
        <w:pStyle w:val="SingleTxt"/>
        <w:rPr>
          <w:rFonts w:hint="cs"/>
          <w:rtl/>
        </w:rPr>
      </w:pPr>
      <w:r>
        <w:rPr>
          <w:rFonts w:hint="cs"/>
          <w:rtl/>
        </w:rPr>
        <w:t>439 -</w:t>
      </w:r>
      <w:r>
        <w:rPr>
          <w:rFonts w:hint="cs"/>
          <w:rtl/>
        </w:rPr>
        <w:tab/>
        <w:t>والمبدأ العام للقانون الإسلامي بشأن الوصية هو أن التصرف بالوصية لا يجوز أن يتجاوز مقدار ثلث تركة المتوفى من أجل ضمان توزيع الممتلكات بصورة منصفة على جميع أفراد الأسرة.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ملكية الممتلكات</w:t>
      </w:r>
    </w:p>
    <w:p w:rsidR="00484A02" w:rsidRDefault="00484A02" w:rsidP="00484A02">
      <w:pPr>
        <w:pStyle w:val="SingleTxt"/>
        <w:rPr>
          <w:rFonts w:hint="cs"/>
          <w:rtl/>
        </w:rPr>
      </w:pPr>
      <w:r>
        <w:rPr>
          <w:rFonts w:hint="cs"/>
          <w:rtl/>
        </w:rPr>
        <w:t>440 -</w:t>
      </w:r>
      <w:r>
        <w:rPr>
          <w:rFonts w:hint="cs"/>
          <w:rtl/>
        </w:rPr>
        <w:tab/>
        <w:t>تتمتع المرأة في ماليزيا بنفس الحقوق التي يتمتع بها الرجل في امتلاك الممتلكات وحيازتها وإدارتها والتصرف بها وهذا الحق لا يتغير عند الزواج. ويشترط في التصرف بالممتلكات، بالنسبة للرجل والمرأة على السواء، موافقة الزوج أو الزوجة إذا كان له أو لها حصة أو مصلحة في الممتلكات.</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الحضانة</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غير المسلمين</w:t>
      </w:r>
    </w:p>
    <w:p w:rsidR="00484A02" w:rsidRDefault="00484A02" w:rsidP="00484A02">
      <w:pPr>
        <w:pStyle w:val="SingleTxt"/>
        <w:rPr>
          <w:rFonts w:hint="cs"/>
          <w:rtl/>
        </w:rPr>
      </w:pPr>
      <w:r>
        <w:rPr>
          <w:rFonts w:hint="cs"/>
          <w:rtl/>
        </w:rPr>
        <w:t>441 -</w:t>
      </w:r>
      <w:r>
        <w:rPr>
          <w:rFonts w:hint="cs"/>
          <w:rtl/>
        </w:rPr>
        <w:tab/>
        <w:t xml:space="preserve">كانت الولاية من قبل للأب فقط على شخص الرضيع وممتلكاته بموجب قانون الولاية على الأطفال الرضع لعام 1961. ويمكن أن تصبح الأم الولي القانوني للرضيع في حال وفاة والده فقط؛ وحتى في هذه الحالة بإمكان المحكمة أن تعين شخصا آخر بصفة ولي للرضيع لوحده أو بالاشتراك مع الأم إذا تكونت قناعة لدى المحكمة أن في ذلك مصلحة أفضل لرعاية الطفل. وقد عُدّل قانون الولاية على الأطفال الرضع لعام 1961 بموجب القانون رقم </w:t>
      </w:r>
      <w:r>
        <w:t>(A-1066)</w:t>
      </w:r>
      <w:r>
        <w:rPr>
          <w:rFonts w:hint="cs"/>
          <w:rtl/>
        </w:rPr>
        <w:t xml:space="preserve"> الذي دخل حيز النفاذ في 1 </w:t>
      </w:r>
      <w:r>
        <w:rPr>
          <w:rtl/>
        </w:rPr>
        <w:t xml:space="preserve">تشرين الأول/أكتوبر </w:t>
      </w:r>
      <w:r>
        <w:rPr>
          <w:rFonts w:hint="cs"/>
          <w:rtl/>
        </w:rPr>
        <w:t>1999 حيث بات يعترف قانونا بالحقوق الوالدية للأمهات.</w:t>
      </w:r>
    </w:p>
    <w:p w:rsidR="00484A02" w:rsidRDefault="00484A02" w:rsidP="00484A02">
      <w:pPr>
        <w:pStyle w:val="SingleTxt"/>
        <w:rPr>
          <w:rFonts w:hint="cs"/>
          <w:rtl/>
        </w:rPr>
      </w:pPr>
      <w:r>
        <w:rPr>
          <w:rFonts w:hint="cs"/>
          <w:rtl/>
        </w:rPr>
        <w:t>442 -</w:t>
      </w:r>
      <w:r>
        <w:rPr>
          <w:rFonts w:hint="cs"/>
          <w:rtl/>
        </w:rPr>
        <w:tab/>
        <w:t>وأدخل قانون إصلاح قوانين الزواج والطلاق أيضا تحسينات في هذا المجال، حيث باتت المرأة تتمتع بحق مساو للرجل في الحضانة على الأطفال. وتتمتع المحكمة بموجب القانون المذكور، خلال نظرها في أي دعوى تتعلق بطلاق أو تفريق قانوني أو فسخ، أن تضع الطفل في أي وقت في حضانة أي من والديه أو تضعه في حالات استثنائية تبرر ذلك، في حضانة قريب له أو جمعية للرعاية. والواقع أن القانون يذكر بشكل محدد أن هناك افتراضا قابلا للجدل مفاده أن من مصلحة الطفل الذي يقل عمره عن سبع سنوات أن يوضع في حضانة أمه ولكن ينبغي للمحكمة عندما تقرر ما إذا كان ذلك الافتراض ينطبق على وقائع قضية ما أن تضع في اعتبارها عدم استصواب إزعاج حياة الطفل بسبب تغير الحضانة. فمصلحة الطفل تعلو على أي شيء آخر.</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المسلمون</w:t>
      </w:r>
    </w:p>
    <w:p w:rsidR="00484A02" w:rsidRDefault="00484A02" w:rsidP="00484A02">
      <w:pPr>
        <w:pStyle w:val="SingleTxt"/>
        <w:rPr>
          <w:rFonts w:hint="cs"/>
          <w:rtl/>
        </w:rPr>
      </w:pPr>
      <w:r>
        <w:rPr>
          <w:rFonts w:hint="cs"/>
          <w:rtl/>
        </w:rPr>
        <w:t>443 -</w:t>
      </w:r>
      <w:r>
        <w:rPr>
          <w:rFonts w:hint="cs"/>
          <w:rtl/>
        </w:rPr>
        <w:tab/>
        <w:t>يعتبر القانون الإسلامي الأم أفضل شخص مؤهل لحضانة الطفل حتى بلوغه السابعة من العمر. وتظل حضانة الطفل غير الشرعي محصورة بالأم وأقربائها. ويجوز للأب كذلك أن يتقدم بطلب إلى المحكمة الشرعية من أجل منحه الحضانة على أطفاله وللمحكمة أن تأخذ في اعتبارها، بصفة عامة، مصلحة الطفل في المقام الأول قبل اتخاذ قرار بشأن مسألة الحضانة.</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نفقة وإعالة الأطفال</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غير المسلمين</w:t>
      </w:r>
    </w:p>
    <w:p w:rsidR="00484A02" w:rsidRDefault="00484A02" w:rsidP="00484A02">
      <w:pPr>
        <w:pStyle w:val="SingleTxt"/>
        <w:rPr>
          <w:rFonts w:hint="cs"/>
          <w:rtl/>
        </w:rPr>
      </w:pPr>
      <w:r>
        <w:rPr>
          <w:rFonts w:hint="cs"/>
          <w:rtl/>
        </w:rPr>
        <w:t>444 -</w:t>
      </w:r>
      <w:r>
        <w:rPr>
          <w:rFonts w:hint="cs"/>
          <w:rtl/>
        </w:rPr>
        <w:tab/>
        <w:t>يجب على الرجل، بموجب قانون إصلاح قوانين الزواج والطلاق دفع نفقة أطفاله خلال قيام الزوجية أو بعد انحلال الزواج:</w:t>
      </w:r>
    </w:p>
    <w:p w:rsidR="00484A02" w:rsidRDefault="00484A02" w:rsidP="00484A02">
      <w:pPr>
        <w:pStyle w:val="SingleTxt"/>
        <w:rPr>
          <w:rFonts w:hint="cs"/>
          <w:rtl/>
        </w:rPr>
      </w:pPr>
      <w:r>
        <w:rPr>
          <w:rFonts w:hint="cs"/>
          <w:rtl/>
        </w:rPr>
        <w:tab/>
        <w:t>(أ)</w:t>
      </w:r>
      <w:r>
        <w:rPr>
          <w:rFonts w:hint="cs"/>
          <w:rtl/>
        </w:rPr>
        <w:tab/>
        <w:t>إذا كان قد رفض أو أهمل دفع نفقة معقولة للطفل؛</w:t>
      </w:r>
    </w:p>
    <w:p w:rsidR="00484A02" w:rsidRDefault="00484A02" w:rsidP="00484A02">
      <w:pPr>
        <w:pStyle w:val="SingleTxt"/>
        <w:rPr>
          <w:rFonts w:hint="cs"/>
          <w:rtl/>
        </w:rPr>
      </w:pPr>
      <w:r>
        <w:rPr>
          <w:rFonts w:hint="cs"/>
          <w:rtl/>
        </w:rPr>
        <w:tab/>
        <w:t>(ب)</w:t>
      </w:r>
      <w:r>
        <w:rPr>
          <w:rFonts w:hint="cs"/>
          <w:rtl/>
        </w:rPr>
        <w:tab/>
        <w:t>إذا كان قد هجر زوجته وظل أطفاله تحت رعايتها؛</w:t>
      </w:r>
    </w:p>
    <w:p w:rsidR="00484A02" w:rsidRDefault="00484A02" w:rsidP="00484A02">
      <w:pPr>
        <w:pStyle w:val="SingleTxt"/>
        <w:rPr>
          <w:rFonts w:hint="cs"/>
          <w:rtl/>
        </w:rPr>
      </w:pPr>
      <w:r>
        <w:rPr>
          <w:rFonts w:hint="cs"/>
          <w:rtl/>
        </w:rPr>
        <w:tab/>
        <w:t>(ج)</w:t>
      </w:r>
      <w:r>
        <w:rPr>
          <w:rFonts w:hint="cs"/>
          <w:rtl/>
        </w:rPr>
        <w:tab/>
        <w:t>طيلة سير الدعوى الزوجية وإلى حين البت بها؛</w:t>
      </w:r>
    </w:p>
    <w:p w:rsidR="00484A02" w:rsidRDefault="00484A02" w:rsidP="00484A02">
      <w:pPr>
        <w:pStyle w:val="SingleTxt"/>
        <w:rPr>
          <w:rFonts w:hint="cs"/>
          <w:rtl/>
        </w:rPr>
      </w:pPr>
      <w:r>
        <w:rPr>
          <w:rFonts w:hint="cs"/>
          <w:rtl/>
        </w:rPr>
        <w:tab/>
        <w:t>(د)</w:t>
      </w:r>
      <w:r>
        <w:rPr>
          <w:rFonts w:hint="cs"/>
          <w:rtl/>
        </w:rPr>
        <w:tab/>
        <w:t>خلال أو بعد إصدار أمر بوضع الطفل تحت حضانة أي شخص آخر.</w:t>
      </w:r>
    </w:p>
    <w:p w:rsidR="00484A02" w:rsidRDefault="00484A02" w:rsidP="00484A02">
      <w:pPr>
        <w:pStyle w:val="SingleTxt"/>
        <w:rPr>
          <w:rFonts w:hint="cs"/>
          <w:rtl/>
        </w:rPr>
      </w:pPr>
      <w:r>
        <w:rPr>
          <w:rFonts w:hint="cs"/>
          <w:rtl/>
        </w:rPr>
        <w:t>445 -</w:t>
      </w:r>
      <w:r>
        <w:rPr>
          <w:rFonts w:hint="cs"/>
          <w:rtl/>
        </w:rPr>
        <w:tab/>
        <w:t>ولا تُلزم المرأة بدفع نفقة للطفل أو المساهمة فيها إلا إذا وجدت المحكمة سببا معقولا لذلك في ضوء حالتها المادية.</w:t>
      </w:r>
    </w:p>
    <w:p w:rsidR="00484A02" w:rsidRDefault="00484A02" w:rsidP="00484A02">
      <w:pPr>
        <w:pStyle w:val="SingleTxt"/>
        <w:rPr>
          <w:rFonts w:hint="cs"/>
          <w:rtl/>
        </w:rPr>
      </w:pPr>
      <w:r>
        <w:rPr>
          <w:rFonts w:hint="cs"/>
          <w:rtl/>
        </w:rPr>
        <w:t>446 -</w:t>
      </w:r>
      <w:r>
        <w:rPr>
          <w:rFonts w:hint="cs"/>
          <w:rtl/>
        </w:rPr>
        <w:tab/>
        <w:t>وقد سنت تشريعات خاصة لإنفاذ أوامر النفقة. بل بإمكان المحكمة أن توقع حجزا على المال بناء على طلب يقدمه الشخص الذي صدر أمر النفقة لصالحه أو يقدمه وليه بالنيابة عنه.</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المسلمون</w:t>
      </w:r>
    </w:p>
    <w:p w:rsidR="00484A02" w:rsidRDefault="00484A02" w:rsidP="00484A02">
      <w:pPr>
        <w:pStyle w:val="SingleTxt"/>
        <w:rPr>
          <w:rFonts w:hint="cs"/>
          <w:rtl/>
        </w:rPr>
      </w:pPr>
      <w:r>
        <w:rPr>
          <w:rFonts w:hint="cs"/>
          <w:rtl/>
        </w:rPr>
        <w:t>447 -</w:t>
      </w:r>
      <w:r>
        <w:rPr>
          <w:rFonts w:hint="cs"/>
          <w:rtl/>
        </w:rPr>
        <w:tab/>
        <w:t>يجب على الرجل، بموجب الشريعة الإسلامية، أن يدفع نفقة لأطفاله خلال قيام الزوجية أو بعد انحلالها بصرف النظر عما إذا كان الطفل:</w:t>
      </w:r>
    </w:p>
    <w:p w:rsidR="00484A02" w:rsidRDefault="00484A02" w:rsidP="00484A02">
      <w:pPr>
        <w:pStyle w:val="SingleTxt"/>
        <w:rPr>
          <w:rFonts w:hint="cs"/>
          <w:rtl/>
        </w:rPr>
      </w:pPr>
      <w:r>
        <w:rPr>
          <w:rFonts w:hint="cs"/>
          <w:rtl/>
        </w:rPr>
        <w:tab/>
        <w:t>(أ)</w:t>
      </w:r>
      <w:r>
        <w:rPr>
          <w:rFonts w:hint="cs"/>
          <w:rtl/>
        </w:rPr>
        <w:tab/>
        <w:t>في حضانته؛</w:t>
      </w:r>
    </w:p>
    <w:p w:rsidR="00484A02" w:rsidRDefault="00484A02" w:rsidP="00484A02">
      <w:pPr>
        <w:pStyle w:val="SingleTxt"/>
        <w:rPr>
          <w:rFonts w:hint="cs"/>
          <w:rtl/>
        </w:rPr>
      </w:pPr>
      <w:r>
        <w:rPr>
          <w:rFonts w:hint="cs"/>
          <w:rtl/>
        </w:rPr>
        <w:tab/>
        <w:t>(ب)</w:t>
      </w:r>
      <w:r>
        <w:rPr>
          <w:rFonts w:hint="cs"/>
          <w:rtl/>
        </w:rPr>
        <w:tab/>
        <w:t>في حضانة شخص آخر بمن فيهم الأم وأقرباؤها؛</w:t>
      </w:r>
    </w:p>
    <w:p w:rsidR="00484A02" w:rsidRDefault="00484A02" w:rsidP="00484A02">
      <w:pPr>
        <w:pStyle w:val="SingleTxt"/>
        <w:rPr>
          <w:rFonts w:hint="cs"/>
          <w:rtl/>
        </w:rPr>
      </w:pPr>
      <w:r>
        <w:rPr>
          <w:rFonts w:hint="cs"/>
          <w:rtl/>
        </w:rPr>
        <w:tab/>
        <w:t>(ج)</w:t>
      </w:r>
      <w:r>
        <w:rPr>
          <w:rFonts w:hint="cs"/>
          <w:rtl/>
        </w:rPr>
        <w:tab/>
        <w:t>تحت ولاية شخص آخر.</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الأطفال غير الشرعيين</w:t>
      </w:r>
    </w:p>
    <w:p w:rsidR="00484A02" w:rsidRDefault="00484A02" w:rsidP="00484A02">
      <w:pPr>
        <w:pStyle w:val="SingleTxt"/>
        <w:rPr>
          <w:rFonts w:hint="cs"/>
          <w:rtl/>
        </w:rPr>
      </w:pPr>
      <w:r>
        <w:rPr>
          <w:rFonts w:hint="cs"/>
          <w:rtl/>
        </w:rPr>
        <w:t>448 -</w:t>
      </w:r>
      <w:r>
        <w:rPr>
          <w:rFonts w:hint="cs"/>
          <w:rtl/>
        </w:rPr>
        <w:tab/>
        <w:t>لا تعترف القوانين الماليزية إلا بالحقوق الناشئة عن الزواج. وفي حال عدم وجود أحكام قانونية، تتمتع أم الطفل غير الشرعي بحق حضانة الطفل على أساس القانون العام. غير أن الوالد المعروف لدى الناس بأنه أب للولد غير الشرعي ملزم بالإنفاق على ولده غير الشرعي بموجب القانون وهذا الحق قابل للإنفاذ.</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الزوجية غير النظامية</w:t>
      </w:r>
    </w:p>
    <w:p w:rsidR="00484A02" w:rsidRDefault="00484A02" w:rsidP="00484A02">
      <w:pPr>
        <w:pStyle w:val="SingleTxt"/>
        <w:rPr>
          <w:rFonts w:hint="cs"/>
          <w:rtl/>
        </w:rPr>
      </w:pPr>
      <w:r>
        <w:rPr>
          <w:rFonts w:hint="cs"/>
          <w:rtl/>
        </w:rPr>
        <w:t>449 -</w:t>
      </w:r>
      <w:r>
        <w:rPr>
          <w:rFonts w:hint="cs"/>
          <w:rtl/>
        </w:rPr>
        <w:tab/>
        <w:t>لا توجد قوانين محددة تنظم حقوق الأقران الذين يعيشون مع بعضهما بصفة زوج وزوجة دون  عقد زواج نظامي. وتطبق المحاكم الماليزية بالفعل المبادئ الواردة في القانون العام بخصوص الأحكام المتعلقة بتوزيع الممتلكات لدى انفصام العلاقة غير النظامية بين الطرفين. غير أن طلبات الحصول على أحكام من هذا القبيل قليلة ونادرة الحدوث.</w:t>
      </w:r>
    </w:p>
    <w:p w:rsidR="00484A02" w:rsidRDefault="00484A02" w:rsidP="00484A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الحماية من العنف</w:t>
      </w:r>
    </w:p>
    <w:p w:rsidR="00484A02" w:rsidRDefault="00484A02" w:rsidP="00484A02">
      <w:pPr>
        <w:pStyle w:val="SingleTxt"/>
        <w:rPr>
          <w:rFonts w:hint="cs"/>
          <w:rtl/>
        </w:rPr>
      </w:pPr>
      <w:r>
        <w:rPr>
          <w:rFonts w:hint="cs"/>
          <w:rtl/>
        </w:rPr>
        <w:t>450 -</w:t>
      </w:r>
      <w:r>
        <w:rPr>
          <w:rFonts w:hint="cs"/>
          <w:rtl/>
        </w:rPr>
        <w:tab/>
        <w:t>فيما يتعلق بالحماية من العنف تتمتع المرأة (والرجل) بحق اللجوء إلى صكين قانونيين رئيسيين هما:</w:t>
      </w:r>
    </w:p>
    <w:p w:rsidR="00484A02" w:rsidRDefault="00484A02" w:rsidP="00484A02">
      <w:pPr>
        <w:pStyle w:val="SingleTxt"/>
        <w:ind w:left="2592" w:hanging="1325"/>
        <w:rPr>
          <w:rFonts w:hint="cs"/>
          <w:rtl/>
        </w:rPr>
      </w:pPr>
      <w:r>
        <w:rPr>
          <w:rFonts w:hint="cs"/>
          <w:rtl/>
        </w:rPr>
        <w:tab/>
        <w:t>’1‘</w:t>
      </w:r>
      <w:r>
        <w:rPr>
          <w:rFonts w:hint="cs"/>
          <w:rtl/>
        </w:rPr>
        <w:tab/>
        <w:t>مجموعة القوانين المتعلقة بمختلف جرائم العنف مثل الاعتداء والاغتصاب المنصوص عليها في قانون العقوبات؛</w:t>
      </w:r>
    </w:p>
    <w:p w:rsidR="00484A02" w:rsidRDefault="00484A02" w:rsidP="00484A02">
      <w:pPr>
        <w:pStyle w:val="SingleTxt"/>
        <w:ind w:left="2592" w:hanging="1325"/>
        <w:rPr>
          <w:rFonts w:hint="cs"/>
          <w:rtl/>
        </w:rPr>
      </w:pPr>
      <w:r>
        <w:rPr>
          <w:rFonts w:hint="cs"/>
          <w:rtl/>
        </w:rPr>
        <w:tab/>
        <w:t>’2‘</w:t>
      </w:r>
      <w:r>
        <w:rPr>
          <w:rFonts w:hint="cs"/>
          <w:rtl/>
        </w:rPr>
        <w:tab/>
        <w:t>قانون العنف العائلي لعام 1994. وتطبق هذه القوانين على المسلمين وغير المسلمين.</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العقوبات</w:t>
      </w:r>
    </w:p>
    <w:p w:rsidR="00484A02" w:rsidRDefault="00484A02" w:rsidP="00484A02">
      <w:pPr>
        <w:pStyle w:val="SingleTxt"/>
        <w:rPr>
          <w:rFonts w:hint="cs"/>
          <w:rtl/>
        </w:rPr>
      </w:pPr>
      <w:r>
        <w:rPr>
          <w:rFonts w:hint="cs"/>
          <w:rtl/>
        </w:rPr>
        <w:t>451 -</w:t>
      </w:r>
      <w:r>
        <w:rPr>
          <w:rFonts w:hint="cs"/>
          <w:rtl/>
        </w:rPr>
        <w:tab/>
        <w:t>فيما يلي بعض الجرائم التي تخضع، بمقتضى قانون العقوبات، للإجراءات الجنائية:</w:t>
      </w:r>
    </w:p>
    <w:p w:rsidR="00484A02" w:rsidRDefault="00484A02" w:rsidP="00484A02">
      <w:pPr>
        <w:pStyle w:val="SingleTxt"/>
        <w:rPr>
          <w:rFonts w:hint="cs"/>
          <w:rtl/>
        </w:rPr>
      </w:pPr>
      <w:r>
        <w:rPr>
          <w:rFonts w:hint="cs"/>
          <w:rtl/>
        </w:rPr>
        <w:tab/>
        <w:t>(أ)</w:t>
      </w:r>
      <w:r>
        <w:rPr>
          <w:rFonts w:hint="cs"/>
          <w:rtl/>
        </w:rPr>
        <w:tab/>
        <w:t>التسبب عن قصد بأذى أو أذى جسيم؛</w:t>
      </w:r>
    </w:p>
    <w:p w:rsidR="00484A02" w:rsidRDefault="00484A02" w:rsidP="00484A02">
      <w:pPr>
        <w:pStyle w:val="SingleTxt"/>
        <w:rPr>
          <w:rFonts w:hint="cs"/>
          <w:rtl/>
        </w:rPr>
      </w:pPr>
      <w:r>
        <w:rPr>
          <w:rFonts w:hint="cs"/>
          <w:rtl/>
        </w:rPr>
        <w:tab/>
        <w:t>(ب)</w:t>
      </w:r>
      <w:r>
        <w:rPr>
          <w:rFonts w:hint="cs"/>
          <w:rtl/>
        </w:rPr>
        <w:tab/>
        <w:t>التسبب عن قصد بأذى أو أذى جسيم باستخدام أسلحة أو أدوات خطيرة؛</w:t>
      </w:r>
    </w:p>
    <w:p w:rsidR="00484A02" w:rsidRDefault="00484A02" w:rsidP="00484A02">
      <w:pPr>
        <w:pStyle w:val="SingleTxt"/>
        <w:rPr>
          <w:rFonts w:hint="cs"/>
          <w:rtl/>
        </w:rPr>
      </w:pPr>
      <w:r>
        <w:rPr>
          <w:rFonts w:hint="cs"/>
          <w:rtl/>
        </w:rPr>
        <w:tab/>
        <w:t>(ج)</w:t>
      </w:r>
      <w:r>
        <w:rPr>
          <w:rFonts w:hint="cs"/>
          <w:rtl/>
        </w:rPr>
        <w:tab/>
        <w:t>التقييد أو الحبس بصورة غير مشروعة؛</w:t>
      </w:r>
    </w:p>
    <w:p w:rsidR="00484A02" w:rsidRDefault="00484A02" w:rsidP="00484A02">
      <w:pPr>
        <w:pStyle w:val="SingleTxt"/>
        <w:rPr>
          <w:rFonts w:hint="cs"/>
          <w:rtl/>
        </w:rPr>
      </w:pPr>
      <w:r>
        <w:rPr>
          <w:rtl/>
        </w:rPr>
        <w:tab/>
      </w:r>
      <w:r>
        <w:rPr>
          <w:rFonts w:hint="cs"/>
          <w:rtl/>
        </w:rPr>
        <w:t>(د)</w:t>
      </w:r>
      <w:r>
        <w:rPr>
          <w:rFonts w:hint="cs"/>
          <w:rtl/>
        </w:rPr>
        <w:tab/>
        <w:t>الاعتداء أو استخدام القوة الإجرامية إلا في حالة الاستفزاز الجسيم؛</w:t>
      </w:r>
    </w:p>
    <w:p w:rsidR="00484A02" w:rsidRDefault="00484A02" w:rsidP="00484A02">
      <w:pPr>
        <w:pStyle w:val="SingleTxt"/>
        <w:rPr>
          <w:rFonts w:hint="cs"/>
          <w:rtl/>
        </w:rPr>
      </w:pPr>
      <w:r>
        <w:rPr>
          <w:rFonts w:hint="cs"/>
          <w:rtl/>
        </w:rPr>
        <w:tab/>
        <w:t>(هـ)</w:t>
      </w:r>
      <w:r>
        <w:rPr>
          <w:rFonts w:hint="cs"/>
          <w:rtl/>
        </w:rPr>
        <w:tab/>
        <w:t>الاعتداء أو استخدام القوة الإجرامية بقصد انتهاك الحشمة؛</w:t>
      </w:r>
    </w:p>
    <w:p w:rsidR="00484A02" w:rsidRDefault="00484A02" w:rsidP="00484A02">
      <w:pPr>
        <w:pStyle w:val="SingleTxt"/>
        <w:rPr>
          <w:rFonts w:hint="cs"/>
          <w:rtl/>
        </w:rPr>
      </w:pPr>
      <w:r>
        <w:rPr>
          <w:rFonts w:hint="cs"/>
          <w:rtl/>
        </w:rPr>
        <w:tab/>
        <w:t>(و)</w:t>
      </w:r>
      <w:r>
        <w:rPr>
          <w:rFonts w:hint="cs"/>
          <w:rtl/>
        </w:rPr>
        <w:tab/>
        <w:t>خطف أو اختطاف المرأة بقصد إجبارها على الزواج ضد إرادتها أو إكراهها أو استمالتها لممارسة جماع غير مشروع أو لممارسة البغاء؛</w:t>
      </w:r>
    </w:p>
    <w:p w:rsidR="00484A02" w:rsidRDefault="00484A02" w:rsidP="00484A02">
      <w:pPr>
        <w:pStyle w:val="SingleTxt"/>
        <w:rPr>
          <w:rFonts w:hint="cs"/>
          <w:rtl/>
        </w:rPr>
      </w:pPr>
      <w:r>
        <w:rPr>
          <w:rFonts w:hint="cs"/>
          <w:rtl/>
        </w:rPr>
        <w:tab/>
        <w:t>(ز)</w:t>
      </w:r>
      <w:r>
        <w:rPr>
          <w:rFonts w:hint="cs"/>
          <w:rtl/>
        </w:rPr>
        <w:tab/>
        <w:t>الاغتصاب.</w:t>
      </w:r>
    </w:p>
    <w:p w:rsidR="00484A02" w:rsidRDefault="00484A02" w:rsidP="00484A02">
      <w:pPr>
        <w:pStyle w:val="SingleTxt"/>
        <w:rPr>
          <w:rFonts w:hint="cs"/>
          <w:rtl/>
        </w:rPr>
      </w:pPr>
      <w:r>
        <w:rPr>
          <w:rFonts w:hint="cs"/>
          <w:rtl/>
        </w:rPr>
        <w:t>452 -</w:t>
      </w:r>
      <w:r>
        <w:rPr>
          <w:rFonts w:hint="cs"/>
          <w:rtl/>
        </w:rPr>
        <w:tab/>
        <w:t xml:space="preserve">يتخطى التعريف القانوني للاغتصاب نطاق ممارسة الجماع الجنسي مع امرأة ضد إرادتها أو دون موافقتها ليشمل الحالات التي أعربت فيها عن موافقتها نتيجة للاحتيال أو خوفا من الأذى أو الموت؛ أو عندما لا تكون المرأة قادرة على فهم طبيعة إعطاء موافقتها والنتائج المترتبة على ذلك في حينه (كأن تكون مثلا متخلفة عقليا أو تحت تأثير المخدرات). وتعتبر ممارسة الجماع الجنسي مع فتاة دون سن السادسة عشرة من العمر، حتى وإن كان ذلك بموافقتها، جريمة اغتصاب أيضا بحسب التعريف القانوني لها (يشار إليها عادة بعبارة </w:t>
      </w:r>
      <w:r>
        <w:rPr>
          <w:rFonts w:hint="eastAsia"/>
          <w:rtl/>
        </w:rPr>
        <w:t>”اغتصاب</w:t>
      </w:r>
      <w:r>
        <w:rPr>
          <w:rFonts w:hint="cs"/>
          <w:rtl/>
        </w:rPr>
        <w:t xml:space="preserve"> القُصّر</w:t>
      </w:r>
      <w:r>
        <w:rPr>
          <w:rFonts w:hint="eastAsia"/>
          <w:rtl/>
        </w:rPr>
        <w:t>“)</w:t>
      </w:r>
      <w:r>
        <w:rPr>
          <w:rFonts w:hint="cs"/>
          <w:rtl/>
        </w:rPr>
        <w:t>.</w:t>
      </w:r>
    </w:p>
    <w:p w:rsidR="00484A02" w:rsidRDefault="00484A02" w:rsidP="00484A02">
      <w:pPr>
        <w:pStyle w:val="SingleTxt"/>
        <w:rPr>
          <w:rFonts w:hint="cs"/>
          <w:rtl/>
        </w:rPr>
      </w:pPr>
      <w:r>
        <w:rPr>
          <w:rFonts w:hint="cs"/>
          <w:rtl/>
        </w:rPr>
        <w:t>453 -</w:t>
      </w:r>
      <w:r>
        <w:rPr>
          <w:rFonts w:hint="cs"/>
          <w:rtl/>
        </w:rPr>
        <w:tab/>
        <w:t>وينص القانون كذلك على أن جماع الزوج لزوجته جنسيا لا يعتبر اغتصابا ولا يوجد في ماليزيا نص يتعلق باغتصاب الزوجة. ومع ذلك هنالك ثلاث حالات يمكن أن توجه فيها تهمة الاغتصاب إلى الرجل الذي مارس الجنس مع زوجته وهي:</w:t>
      </w:r>
    </w:p>
    <w:p w:rsidR="00484A02" w:rsidRDefault="00484A02" w:rsidP="00484A02">
      <w:pPr>
        <w:pStyle w:val="SingleTxt"/>
        <w:ind w:left="2592" w:hanging="1325"/>
        <w:rPr>
          <w:rFonts w:hint="cs"/>
          <w:rtl/>
        </w:rPr>
      </w:pPr>
      <w:r>
        <w:rPr>
          <w:rFonts w:hint="cs"/>
          <w:rtl/>
        </w:rPr>
        <w:tab/>
        <w:t>’1‘</w:t>
      </w:r>
      <w:r>
        <w:rPr>
          <w:rFonts w:hint="cs"/>
          <w:rtl/>
        </w:rPr>
        <w:tab/>
        <w:t>إذا كانت الزوجة تعيش بعيدا عن زوجها بموجب قرار من المحكمة بالتفريق القانوني بينهما أو بموجب قرار قطعي بحل الرابطة الزوجية بينهما؛</w:t>
      </w:r>
    </w:p>
    <w:p w:rsidR="00484A02" w:rsidRDefault="00484A02" w:rsidP="00484A02">
      <w:pPr>
        <w:pStyle w:val="SingleTxt"/>
        <w:ind w:left="2592" w:hanging="1325"/>
        <w:rPr>
          <w:rFonts w:hint="cs"/>
          <w:rtl/>
        </w:rPr>
      </w:pPr>
      <w:r>
        <w:rPr>
          <w:rFonts w:hint="cs"/>
          <w:rtl/>
        </w:rPr>
        <w:tab/>
        <w:t>’2‘</w:t>
      </w:r>
      <w:r>
        <w:rPr>
          <w:rFonts w:hint="cs"/>
          <w:rtl/>
        </w:rPr>
        <w:tab/>
        <w:t>إذا كانت الزوجة قد حصلت على أمر يقضي بمنع زوجها من ممارسة الجماع الجنسي معها؛</w:t>
      </w:r>
    </w:p>
    <w:p w:rsidR="00484A02" w:rsidRDefault="00484A02" w:rsidP="00484A02">
      <w:pPr>
        <w:pStyle w:val="SingleTxt"/>
        <w:ind w:left="2592" w:hanging="1325"/>
        <w:rPr>
          <w:rFonts w:hint="cs"/>
          <w:rtl/>
        </w:rPr>
      </w:pPr>
      <w:r>
        <w:rPr>
          <w:rFonts w:hint="cs"/>
          <w:rtl/>
        </w:rPr>
        <w:tab/>
        <w:t>’3‘</w:t>
      </w:r>
      <w:r>
        <w:rPr>
          <w:rFonts w:hint="cs"/>
          <w:rtl/>
        </w:rPr>
        <w:tab/>
        <w:t>إذا كانت الزوجة امرأة مسلمة تعيش بصورة منفصلة عن زوجها خلال فترة العدة التي تقارب ثلاثة أشهر.</w:t>
      </w:r>
    </w:p>
    <w:p w:rsidR="00484A02" w:rsidRDefault="00484A02" w:rsidP="00484A02">
      <w:pPr>
        <w:pStyle w:val="SingleTxt"/>
        <w:rPr>
          <w:rFonts w:hint="cs"/>
          <w:rtl/>
        </w:rPr>
      </w:pPr>
      <w:r>
        <w:rPr>
          <w:rFonts w:hint="cs"/>
          <w:rtl/>
        </w:rPr>
        <w:t>454 -</w:t>
      </w:r>
      <w:r>
        <w:rPr>
          <w:rFonts w:hint="cs"/>
          <w:rtl/>
        </w:rPr>
        <w:tab/>
        <w:t>وفي عام 1986، أنشأت الشرطة الماليزية وحدة خاصة بالجرائم الجنسية لمعالجة جريمة الاغتصاب وغيرها من الجرائم الجنسية. وفي عام 1989، رُفعت العقوبات القانونية على جريمة الاغتصاب بحيث أصبح الشخص الذي يدان بهذه الجريمة يعاقب بعقوبة السجن لمدة لا تقل عن خمس سنوات ولا تزيد عن 20 عاما ويكون كذلك تحت طائلة عقوبة الجلد.</w:t>
      </w:r>
    </w:p>
    <w:p w:rsidR="00484A02" w:rsidRDefault="00484A02" w:rsidP="00484A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قانون العنف العائلي لعام 1994</w:t>
      </w:r>
    </w:p>
    <w:p w:rsidR="00484A02" w:rsidRDefault="00484A02" w:rsidP="00484A02">
      <w:pPr>
        <w:pStyle w:val="SingleTxt"/>
        <w:rPr>
          <w:rFonts w:hint="cs"/>
          <w:rtl/>
        </w:rPr>
      </w:pPr>
      <w:r>
        <w:rPr>
          <w:rFonts w:hint="cs"/>
          <w:rtl/>
        </w:rPr>
        <w:t>455 -</w:t>
      </w:r>
      <w:r>
        <w:rPr>
          <w:rFonts w:hint="cs"/>
          <w:rtl/>
        </w:rPr>
        <w:tab/>
        <w:t xml:space="preserve">يهدف قانون العنف العائلي لعام 1994 إلى توفير الحماية لضحايا العنف في المنازل بانتظار التحقيقات أو غيرها من الإجراءات الجنائية المعروضة أمام المحاكم. وقد سُنّ القانون في 24 </w:t>
      </w:r>
      <w:r>
        <w:rPr>
          <w:rtl/>
        </w:rPr>
        <w:t xml:space="preserve">حزيران/يونيه </w:t>
      </w:r>
      <w:r>
        <w:rPr>
          <w:rFonts w:hint="cs"/>
          <w:rtl/>
        </w:rPr>
        <w:t xml:space="preserve">1994 ونشر في الجريدة الرسمية في 7 </w:t>
      </w:r>
      <w:r>
        <w:rPr>
          <w:rtl/>
        </w:rPr>
        <w:t>تموز/يوليه</w:t>
      </w:r>
      <w:r>
        <w:rPr>
          <w:rFonts w:hint="cs"/>
          <w:rtl/>
        </w:rPr>
        <w:t xml:space="preserve"> 1994. وكان العديد من الناس يترقبون منذ أمد طويل صدور هذا القانون، ولا سيما الزوجات اللائي يتعرضن للضرب والمنظمات النسائية غير الحكومية التي قامت بحملات على مدى عدد من السنين لإصدار قانون لحماية النساء اللائي يتعرضن للأذى أو الضرب.</w:t>
      </w:r>
    </w:p>
    <w:p w:rsidR="00484A02" w:rsidRDefault="00484A02" w:rsidP="00484A02">
      <w:pPr>
        <w:pStyle w:val="SingleTxt"/>
        <w:rPr>
          <w:rFonts w:hint="cs"/>
          <w:rtl/>
        </w:rPr>
      </w:pPr>
      <w:r>
        <w:rPr>
          <w:rFonts w:hint="cs"/>
          <w:rtl/>
        </w:rPr>
        <w:t>456 -</w:t>
      </w:r>
      <w:r>
        <w:rPr>
          <w:rFonts w:hint="cs"/>
          <w:rtl/>
        </w:rPr>
        <w:tab/>
        <w:t>وعلى الرغم من أن المرأة هي التي استفادت أكثر من غيرها من قانون العنف العائلي فإن القانون لا يحمي النساء أو الزوجات فقط. فهو يشمل حماية أيا من الزوجين الحاليين أو السابقين والأطفال وكبار السن العاجزين وأي فرد آخر من أفراد الأسرة يتعرض للعنف في إطار العائلة. ويتضمن القانون أحكاما عديدة بشأن أوامر الحماية التي يمكن أن تصدرها المحاكم. وفي جملة تلك الأحكام ما يلي:</w:t>
      </w:r>
    </w:p>
    <w:p w:rsidR="00484A02" w:rsidRDefault="00484A02" w:rsidP="00484A02">
      <w:pPr>
        <w:pStyle w:val="SingleTxt"/>
        <w:rPr>
          <w:rFonts w:hint="cs"/>
          <w:rtl/>
        </w:rPr>
      </w:pPr>
      <w:r>
        <w:rPr>
          <w:rFonts w:hint="cs"/>
          <w:rtl/>
        </w:rPr>
        <w:tab/>
        <w:t>(أ)</w:t>
      </w:r>
      <w:r>
        <w:rPr>
          <w:rFonts w:hint="cs"/>
          <w:rtl/>
        </w:rPr>
        <w:tab/>
        <w:t>إصدار أمر حماية مؤقت في انتظار التحقيقات الجارية بشأن أي جريمة عنف عائلي مزعومة، يحظر على الشخص الذي صدر الأمر بحقه استخدام العنف العائلي ضد زوج أو طفل أو عاجز مسن أو أي فرد آخر من أفراد الأسرة؛</w:t>
      </w:r>
    </w:p>
    <w:p w:rsidR="00484A02" w:rsidRDefault="00484A02" w:rsidP="00484A02">
      <w:pPr>
        <w:pStyle w:val="SingleTxt"/>
        <w:rPr>
          <w:rFonts w:hint="cs"/>
          <w:rtl/>
        </w:rPr>
      </w:pPr>
      <w:r>
        <w:rPr>
          <w:rFonts w:hint="cs"/>
          <w:rtl/>
        </w:rPr>
        <w:tab/>
        <w:t>(ب)</w:t>
      </w:r>
      <w:r>
        <w:rPr>
          <w:rFonts w:hint="cs"/>
          <w:rtl/>
        </w:rPr>
        <w:tab/>
        <w:t>إصدار أمر حماية يحظر على الشخص الذي صدر الأمر بحقه استخدام العنف العائلي ضد زوج أو طفل أو مسن عاجز أو أي فرد آخر من أفراد الأسرة خلال سير الدعوى المعروضة أمام المحكمة والتي تنطوي على شكوى من العنف العائلي؛</w:t>
      </w:r>
    </w:p>
    <w:p w:rsidR="00484A02" w:rsidRDefault="00484A02" w:rsidP="00484A02">
      <w:pPr>
        <w:pStyle w:val="SingleTxt"/>
        <w:rPr>
          <w:rFonts w:hint="cs"/>
          <w:rtl/>
        </w:rPr>
      </w:pPr>
      <w:r>
        <w:rPr>
          <w:rFonts w:hint="cs"/>
          <w:rtl/>
        </w:rPr>
        <w:tab/>
        <w:t>(ج)</w:t>
      </w:r>
      <w:r>
        <w:rPr>
          <w:rFonts w:hint="cs"/>
          <w:rtl/>
        </w:rPr>
        <w:tab/>
        <w:t>إلحاق أوامر إضافية بأمر الحماية تشمل:</w:t>
      </w:r>
    </w:p>
    <w:p w:rsidR="00484A02" w:rsidRDefault="00484A02" w:rsidP="00484A02">
      <w:pPr>
        <w:pStyle w:val="SingleTxt"/>
        <w:ind w:left="2592" w:hanging="1325"/>
        <w:rPr>
          <w:rFonts w:hint="cs"/>
          <w:rtl/>
        </w:rPr>
      </w:pPr>
      <w:r>
        <w:rPr>
          <w:rFonts w:hint="cs"/>
          <w:rtl/>
        </w:rPr>
        <w:tab/>
        <w:t>’1‘</w:t>
      </w:r>
      <w:r>
        <w:rPr>
          <w:rFonts w:hint="cs"/>
          <w:rtl/>
        </w:rPr>
        <w:tab/>
        <w:t>منح الشخص المحمي الحق في أن يشغل لوحده المنزل المشترك وذلك بحرمان الشخص الذي صدر الأمر بحقه من إشغاله؛</w:t>
      </w:r>
    </w:p>
    <w:p w:rsidR="00484A02" w:rsidRDefault="00484A02" w:rsidP="00484A02">
      <w:pPr>
        <w:pStyle w:val="SingleTxt"/>
        <w:ind w:left="2592" w:hanging="1325"/>
        <w:rPr>
          <w:rFonts w:hint="cs"/>
          <w:rtl/>
        </w:rPr>
      </w:pPr>
      <w:r>
        <w:rPr>
          <w:rFonts w:hint="cs"/>
          <w:rtl/>
        </w:rPr>
        <w:tab/>
        <w:t>’2‘</w:t>
      </w:r>
      <w:r>
        <w:rPr>
          <w:rFonts w:hint="cs"/>
          <w:rtl/>
        </w:rPr>
        <w:tab/>
        <w:t>حظر أو تقييد الشخص الذي صدر الأمر بحقه من دخوله مكان إقامة الشخص المحمي أو المدرسة أو المعهد وما سواه؛</w:t>
      </w:r>
    </w:p>
    <w:p w:rsidR="00484A02" w:rsidRDefault="00484A02" w:rsidP="00484A02">
      <w:pPr>
        <w:pStyle w:val="SingleTxt"/>
        <w:ind w:left="2592" w:hanging="1325"/>
        <w:rPr>
          <w:rFonts w:hint="cs"/>
          <w:rtl/>
        </w:rPr>
      </w:pPr>
      <w:r>
        <w:rPr>
          <w:rFonts w:hint="cs"/>
          <w:rtl/>
        </w:rPr>
        <w:tab/>
        <w:t>’3‘</w:t>
      </w:r>
      <w:r>
        <w:rPr>
          <w:rFonts w:hint="cs"/>
          <w:rtl/>
        </w:rPr>
        <w:tab/>
        <w:t>إلزام الشخص الذي صدر الأمر بحقه بالسماح للشخص المحمي بالدخول إلى مكان إقامته بصحبة مأمور تنفيذ بغرض جمع الأشياء العائدة للشخص المحمي؛</w:t>
      </w:r>
    </w:p>
    <w:p w:rsidR="00484A02" w:rsidRDefault="00484A02" w:rsidP="00484A02">
      <w:pPr>
        <w:pStyle w:val="SingleTxt"/>
        <w:ind w:left="2592" w:hanging="1325"/>
        <w:rPr>
          <w:rFonts w:hint="cs"/>
          <w:rtl/>
        </w:rPr>
      </w:pPr>
      <w:r>
        <w:rPr>
          <w:rFonts w:hint="cs"/>
          <w:rtl/>
        </w:rPr>
        <w:tab/>
        <w:t>’4‘</w:t>
      </w:r>
      <w:r>
        <w:rPr>
          <w:rFonts w:hint="cs"/>
          <w:rtl/>
        </w:rPr>
        <w:tab/>
        <w:t>عدم إجراء أي اتصالات مكتوبة أو هاتفية مع الشخص المحمي؛ والسماح للشخص المحمي بمواصلة استخدام السيارة التي كان يستخدمها من قبل بصورة اعتيادية.</w:t>
      </w:r>
    </w:p>
    <w:p w:rsidR="00484A02" w:rsidRDefault="00484A02" w:rsidP="00484A02">
      <w:pPr>
        <w:pStyle w:val="SingleTxt"/>
        <w:rPr>
          <w:rFonts w:hint="cs"/>
          <w:rtl/>
        </w:rPr>
      </w:pPr>
      <w:r>
        <w:rPr>
          <w:rFonts w:hint="cs"/>
          <w:rtl/>
        </w:rPr>
        <w:t>457 -</w:t>
      </w:r>
      <w:r>
        <w:rPr>
          <w:rFonts w:hint="cs"/>
          <w:rtl/>
        </w:rPr>
        <w:tab/>
        <w:t>بالإضافة إلى إصدار أوامر الحماية، يجوز للمحكمة كذلك أن تأمر الطرفين المعنيين بمراجعة الهيئات التي تقدم المشورة وعلاج إعادة التأهيل والطب النفسي ومشورة المصالحة. وينص القانون كذلك على إمكانية التماس أمر الحماية خلال أي دعوى جنائية تكون قد صدرت فيها، بموجب قانون العقوبات، لائحة اتهام بحق المتهم بارتكاب جريمة عنف عائلي وذلك كشرط للإفراج عن المتهم بكفالة أو لتسوية الدعوى ودياً.</w:t>
      </w:r>
    </w:p>
    <w:p w:rsidR="00484A02" w:rsidRDefault="00484A02" w:rsidP="00484A02">
      <w:pPr>
        <w:pStyle w:val="SingleTxt"/>
        <w:rPr>
          <w:rFonts w:hint="cs"/>
          <w:rtl/>
        </w:rPr>
      </w:pPr>
      <w:r>
        <w:rPr>
          <w:rFonts w:hint="cs"/>
          <w:rtl/>
        </w:rPr>
        <w:t>458 -</w:t>
      </w:r>
      <w:r>
        <w:rPr>
          <w:rFonts w:hint="cs"/>
          <w:rtl/>
        </w:rPr>
        <w:tab/>
        <w:t>ويحق للزوجات المسلمات اللائي يتعرضن للأذى في ظل الزوجية أن يطلبن الطلاق. وكبديل عن ذلك، بإمكان الزوجة أن تقدم طلبا إلى المحكمة الشرعية لإصدار أمر تقييدي ضد زوجها. وتفوض المادة 107 (1) من قانون الأسرة الإسلامي المحكمة بأن تأمر أي شخص بالامتناع عن إتيان أعمال المضايقة في أثناء النظر في الدعوى الزوجية أو عند إصدار أمر الطلاق أو الفسخ أو بعدهما. ومن أجل الحصول على أمر من هذا النوع، يتوجب على مقدم الطلب عادة أن يثبت حدوث مضايقة في الماضي وكون الزوجة في حالة خطرة وضرورة صدور أمر بحمايتها.</w:t>
      </w:r>
    </w:p>
    <w:p w:rsidR="000B13ED" w:rsidRDefault="00484A02" w:rsidP="00484A02">
      <w:pPr>
        <w:pStyle w:val="SingleTxt"/>
        <w:rPr>
          <w:rFonts w:hint="cs"/>
          <w:rtl/>
        </w:rPr>
      </w:pPr>
      <w:r>
        <w:rPr>
          <w:rFonts w:hint="cs"/>
          <w:rtl/>
        </w:rPr>
        <w:t>459 -</w:t>
      </w:r>
      <w:r>
        <w:rPr>
          <w:rFonts w:hint="cs"/>
          <w:rtl/>
        </w:rPr>
        <w:tab/>
        <w:t xml:space="preserve">ويعتبر جريمة أيضا بموجب قانون الأسرة الإسلامي أن يعامل الزوج زوجته معاملة سيئة من النواحي العقلية أو العاطفية أو البدنية. وينص قانون الأسرة الإسلامي على أن أي شخص يسيء معاملة زوجته يكون قد ارتكب جريمة ويعاقب عليها بغرامة لا تزيد عن 000 1 رينغيت أو </w:t>
      </w:r>
      <w:bookmarkStart w:id="1" w:name="TmpSave"/>
      <w:bookmarkEnd w:id="1"/>
      <w:r>
        <w:rPr>
          <w:rFonts w:hint="cs"/>
          <w:rtl/>
        </w:rPr>
        <w:t>بالسجن لمدة لا تتجاوز ستة أشهر أو العقوبتين معا.</w:t>
      </w:r>
    </w:p>
    <w:p w:rsidR="00A31377" w:rsidRPr="00983C27" w:rsidRDefault="00983C27" w:rsidP="00983C27">
      <w:pPr>
        <w:pStyle w:val="SingleTxt"/>
        <w:spacing w:after="0" w:line="240" w:lineRule="auto"/>
      </w:pPr>
      <w:r>
        <w:rPr>
          <w:noProof/>
          <w:w w:val="100"/>
          <w:lang w:eastAsia="en-US"/>
        </w:rPr>
        <w:pict>
          <v:line id="_x0000_s2138" style="position:absolute;left:0;text-align:left;z-index:66" from="206.6pt,24pt" to="278.6pt,24pt" strokeweight=".25pt">
            <w10:wrap anchorx="page"/>
          </v:line>
        </w:pict>
      </w:r>
    </w:p>
    <w:sectPr w:rsidR="00A31377" w:rsidRPr="00983C27" w:rsidSect="009A2AD0">
      <w:headerReference w:type="even" r:id="rId31"/>
      <w:headerReference w:type="default" r:id="rId32"/>
      <w:footerReference w:type="even" r:id="rId33"/>
      <w:footerReference w:type="default" r:id="rId34"/>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4-23T18:00:00Z" w:initials="Start">
    <w:p w:rsidR="00B416F5" w:rsidRDefault="00B416F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NO&gt;&gt;N0430978A&lt;&lt;ODS JOB NO</w:t>
      </w:r>
      <w:r>
        <w:rPr>
          <w:rtl/>
        </w:rPr>
        <w:t>&gt;&gt;</w:t>
      </w:r>
    </w:p>
    <w:p w:rsidR="00B416F5" w:rsidRDefault="00B416F5">
      <w:pPr>
        <w:pStyle w:val="CommentText"/>
        <w:rPr>
          <w:rtl/>
        </w:rPr>
      </w:pPr>
      <w:r>
        <w:rPr>
          <w:rtl/>
        </w:rPr>
        <w:t>&lt;&lt;</w:t>
      </w:r>
      <w:r>
        <w:t>ODS DOC SYMBOL1&gt;&gt;CEDAW/C/MYS/1-2&lt;&lt;ODS DOC SYMBOL1</w:t>
      </w:r>
      <w:r>
        <w:rPr>
          <w:rtl/>
        </w:rPr>
        <w:t>&gt;&gt;</w:t>
      </w:r>
    </w:p>
    <w:p w:rsidR="00B416F5" w:rsidRDefault="00B416F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2B1F">
      <w:pPr>
        <w:spacing w:line="240" w:lineRule="auto"/>
      </w:pPr>
      <w:r>
        <w:separator/>
      </w:r>
    </w:p>
  </w:endnote>
  <w:endnote w:type="continuationSeparator" w:id="0">
    <w:p w:rsidR="00000000" w:rsidRDefault="00DE2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6F5">
      <w:tblPrEx>
        <w:tblCellMar>
          <w:top w:w="0" w:type="dxa"/>
          <w:bottom w:w="0" w:type="dxa"/>
        </w:tblCellMar>
      </w:tblPrEx>
      <w:tc>
        <w:tcPr>
          <w:tcW w:w="5033" w:type="dxa"/>
          <w:shd w:val="clear" w:color="auto" w:fill="auto"/>
        </w:tcPr>
        <w:p w:rsidR="00B416F5" w:rsidRPr="0052425F" w:rsidRDefault="00B416F5" w:rsidP="0052425F">
          <w:pPr>
            <w:pStyle w:val="Footer"/>
            <w:jc w:val="right"/>
            <w:rPr>
              <w:w w:val="103"/>
            </w:rPr>
          </w:pPr>
          <w:r>
            <w:rPr>
              <w:w w:val="103"/>
            </w:rPr>
            <w:fldChar w:fldCharType="begin"/>
          </w:r>
          <w:r>
            <w:rPr>
              <w:w w:val="103"/>
            </w:rPr>
            <w:instrText xml:space="preserve"> PAGE  \* MERGEFORMAT </w:instrText>
          </w:r>
          <w:r>
            <w:rPr>
              <w:w w:val="103"/>
            </w:rPr>
            <w:fldChar w:fldCharType="separate"/>
          </w:r>
          <w:r w:rsidR="00EC112E">
            <w:rPr>
              <w:w w:val="103"/>
            </w:rPr>
            <w:t>18</w:t>
          </w:r>
          <w:r>
            <w:rPr>
              <w:w w:val="103"/>
            </w:rPr>
            <w:fldChar w:fldCharType="end"/>
          </w:r>
        </w:p>
      </w:tc>
      <w:tc>
        <w:tcPr>
          <w:tcW w:w="5033" w:type="dxa"/>
          <w:shd w:val="clear" w:color="auto" w:fill="auto"/>
        </w:tcPr>
        <w:p w:rsidR="00B416F5" w:rsidRPr="0052425F" w:rsidRDefault="00B416F5" w:rsidP="0052425F">
          <w:pPr>
            <w:pStyle w:val="Footer"/>
            <w:rPr>
              <w:b w:val="0"/>
              <w:w w:val="103"/>
            </w:rPr>
          </w:pPr>
          <w:r>
            <w:rPr>
              <w:b w:val="0"/>
              <w:w w:val="103"/>
            </w:rPr>
            <w:t>04-30978</w:t>
          </w:r>
        </w:p>
      </w:tc>
    </w:tr>
  </w:tbl>
  <w:p w:rsidR="00B416F5" w:rsidRPr="0052425F" w:rsidRDefault="00B416F5" w:rsidP="005242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6F5">
      <w:tblPrEx>
        <w:tblCellMar>
          <w:top w:w="0" w:type="dxa"/>
          <w:bottom w:w="0" w:type="dxa"/>
        </w:tblCellMar>
      </w:tblPrEx>
      <w:tc>
        <w:tcPr>
          <w:tcW w:w="5033" w:type="dxa"/>
          <w:shd w:val="clear" w:color="auto" w:fill="auto"/>
        </w:tcPr>
        <w:p w:rsidR="00B416F5" w:rsidRPr="0052425F" w:rsidRDefault="00B416F5" w:rsidP="0052425F">
          <w:pPr>
            <w:pStyle w:val="Footer"/>
            <w:jc w:val="right"/>
            <w:rPr>
              <w:b w:val="0"/>
              <w:w w:val="103"/>
            </w:rPr>
          </w:pPr>
          <w:r>
            <w:rPr>
              <w:b w:val="0"/>
              <w:w w:val="103"/>
            </w:rPr>
            <w:t>04-30978</w:t>
          </w:r>
        </w:p>
      </w:tc>
      <w:tc>
        <w:tcPr>
          <w:tcW w:w="5033" w:type="dxa"/>
          <w:shd w:val="clear" w:color="auto" w:fill="auto"/>
        </w:tcPr>
        <w:p w:rsidR="00B416F5" w:rsidRPr="0052425F" w:rsidRDefault="00B416F5" w:rsidP="0052425F">
          <w:pPr>
            <w:pStyle w:val="Footer"/>
            <w:rPr>
              <w:w w:val="103"/>
            </w:rPr>
          </w:pPr>
          <w:r>
            <w:rPr>
              <w:w w:val="103"/>
            </w:rPr>
            <w:fldChar w:fldCharType="begin"/>
          </w:r>
          <w:r>
            <w:rPr>
              <w:w w:val="103"/>
            </w:rPr>
            <w:instrText xml:space="preserve"> PAGE  \* MERGEFORMAT </w:instrText>
          </w:r>
          <w:r>
            <w:rPr>
              <w:w w:val="103"/>
            </w:rPr>
            <w:fldChar w:fldCharType="separate"/>
          </w:r>
          <w:r w:rsidR="00EC112E">
            <w:rPr>
              <w:w w:val="103"/>
            </w:rPr>
            <w:t>17</w:t>
          </w:r>
          <w:r>
            <w:rPr>
              <w:w w:val="103"/>
            </w:rPr>
            <w:fldChar w:fldCharType="end"/>
          </w:r>
        </w:p>
      </w:tc>
    </w:tr>
  </w:tbl>
  <w:p w:rsidR="00B416F5" w:rsidRPr="0052425F" w:rsidRDefault="00B416F5" w:rsidP="005242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Default="00B416F5">
    <w:pPr>
      <w:pStyle w:val="Footer"/>
    </w:pPr>
  </w:p>
  <w:p w:rsidR="00B416F5" w:rsidRPr="005578C2" w:rsidRDefault="00B416F5" w:rsidP="00F37AED">
    <w:pPr>
      <w:pStyle w:val="Footer"/>
      <w:jc w:val="right"/>
      <w:rPr>
        <w:rFonts w:eastAsia="Times New Roman" w:cs="Times New Roman"/>
        <w:b w:val="0"/>
        <w:w w:val="103"/>
        <w:sz w:val="20"/>
      </w:rPr>
    </w:pPr>
    <w:r w:rsidRPr="005578C2">
      <w:rPr>
        <w:rFonts w:eastAsia="Times New Roman" w:cs="Times New Roman"/>
        <w:b w:val="0"/>
        <w:w w:val="103"/>
        <w:sz w:val="20"/>
      </w:rPr>
      <w:t>2</w:t>
    </w:r>
    <w:r w:rsidR="00F37AED" w:rsidRPr="005578C2">
      <w:rPr>
        <w:rFonts w:eastAsia="Times New Roman" w:cs="Times New Roman"/>
        <w:b w:val="0"/>
        <w:w w:val="103"/>
        <w:sz w:val="20"/>
      </w:rPr>
      <w:t>6</w:t>
    </w:r>
    <w:r w:rsidRPr="005578C2">
      <w:rPr>
        <w:rFonts w:eastAsia="Times New Roman" w:cs="Times New Roman"/>
        <w:b w:val="0"/>
        <w:w w:val="103"/>
        <w:sz w:val="20"/>
      </w:rPr>
      <w:t>0</w:t>
    </w:r>
    <w:r w:rsidR="00F37AED" w:rsidRPr="005578C2">
      <w:rPr>
        <w:rFonts w:eastAsia="Times New Roman" w:cs="Times New Roman"/>
        <w:b w:val="0"/>
        <w:w w:val="103"/>
        <w:sz w:val="20"/>
      </w:rPr>
      <w:t>5</w:t>
    </w:r>
    <w:r w:rsidRPr="005578C2">
      <w:rPr>
        <w:rFonts w:eastAsia="Times New Roman" w:cs="Times New Roman"/>
        <w:b w:val="0"/>
        <w:w w:val="103"/>
        <w:sz w:val="20"/>
      </w:rPr>
      <w:t>04    2</w:t>
    </w:r>
    <w:r w:rsidR="00F37AED" w:rsidRPr="005578C2">
      <w:rPr>
        <w:rFonts w:eastAsia="Times New Roman" w:cs="Times New Roman"/>
        <w:b w:val="0"/>
        <w:w w:val="103"/>
        <w:sz w:val="20"/>
      </w:rPr>
      <w:t>6</w:t>
    </w:r>
    <w:r w:rsidRPr="005578C2">
      <w:rPr>
        <w:rFonts w:eastAsia="Times New Roman" w:cs="Times New Roman"/>
        <w:b w:val="0"/>
        <w:w w:val="103"/>
        <w:sz w:val="20"/>
      </w:rPr>
      <w:t>0</w:t>
    </w:r>
    <w:r w:rsidR="00F37AED" w:rsidRPr="005578C2">
      <w:rPr>
        <w:rFonts w:eastAsia="Times New Roman" w:cs="Times New Roman"/>
        <w:b w:val="0"/>
        <w:w w:val="103"/>
        <w:sz w:val="20"/>
      </w:rPr>
      <w:t>5</w:t>
    </w:r>
    <w:r w:rsidRPr="005578C2">
      <w:rPr>
        <w:rFonts w:eastAsia="Times New Roman" w:cs="Times New Roman"/>
        <w:b w:val="0"/>
        <w:w w:val="103"/>
        <w:sz w:val="20"/>
      </w:rPr>
      <w:t>04    04-30978 (A)</w:t>
    </w:r>
  </w:p>
  <w:p w:rsidR="00B416F5" w:rsidRPr="005578C2" w:rsidRDefault="00B416F5" w:rsidP="005578C2">
    <w:pPr>
      <w:pStyle w:val="Footer"/>
      <w:spacing w:before="80"/>
      <w:jc w:val="right"/>
      <w:rPr>
        <w:rFonts w:ascii="Barcode 3 of 9 by request" w:eastAsia="Times New Roman" w:hAnsi="Barcode 3 of 9 by request" w:cs="Times New Roman"/>
        <w:b w:val="0"/>
        <w:w w:val="103"/>
        <w:sz w:val="24"/>
      </w:rPr>
    </w:pPr>
    <w:r w:rsidRPr="005578C2">
      <w:rPr>
        <w:rFonts w:ascii="Barcode 3 of 9 by request" w:eastAsia="Times New Roman" w:hAnsi="Barcode 3 of 9 by request" w:cs="Times New Roman"/>
        <w:b w:val="0"/>
        <w:w w:val="103"/>
        <w:sz w:val="24"/>
      </w:rPr>
      <w:t>*0430978*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6F5">
      <w:tblPrEx>
        <w:tblCellMar>
          <w:top w:w="0" w:type="dxa"/>
          <w:bottom w:w="0" w:type="dxa"/>
        </w:tblCellMar>
      </w:tblPrEx>
      <w:tc>
        <w:tcPr>
          <w:tcW w:w="5033" w:type="dxa"/>
          <w:shd w:val="clear" w:color="auto" w:fill="auto"/>
        </w:tcPr>
        <w:p w:rsidR="00B416F5" w:rsidRPr="009744B6" w:rsidRDefault="00B416F5" w:rsidP="00C43389">
          <w:pPr>
            <w:pStyle w:val="Footer"/>
            <w:jc w:val="right"/>
            <w:rPr>
              <w:b w:val="0"/>
              <w:bCs w:val="0"/>
              <w:w w:val="103"/>
            </w:rPr>
          </w:pPr>
          <w:r w:rsidRPr="009744B6">
            <w:rPr>
              <w:b w:val="0"/>
              <w:bCs w:val="0"/>
              <w:w w:val="103"/>
            </w:rPr>
            <w:fldChar w:fldCharType="begin"/>
          </w:r>
          <w:r w:rsidRPr="009744B6">
            <w:rPr>
              <w:b w:val="0"/>
              <w:bCs w:val="0"/>
              <w:w w:val="103"/>
            </w:rPr>
            <w:instrText xml:space="preserve"> PAGE  \* MERGEFORMAT </w:instrText>
          </w:r>
          <w:r w:rsidRPr="009744B6">
            <w:rPr>
              <w:b w:val="0"/>
              <w:bCs w:val="0"/>
              <w:w w:val="103"/>
            </w:rPr>
            <w:fldChar w:fldCharType="separate"/>
          </w:r>
          <w:r w:rsidR="00EC112E">
            <w:rPr>
              <w:b w:val="0"/>
              <w:bCs w:val="0"/>
              <w:w w:val="103"/>
            </w:rPr>
            <w:t>50</w:t>
          </w:r>
          <w:r w:rsidRPr="009744B6">
            <w:rPr>
              <w:b w:val="0"/>
              <w:bCs w:val="0"/>
              <w:w w:val="103"/>
            </w:rPr>
            <w:fldChar w:fldCharType="end"/>
          </w:r>
        </w:p>
      </w:tc>
      <w:tc>
        <w:tcPr>
          <w:tcW w:w="5033" w:type="dxa"/>
          <w:shd w:val="clear" w:color="auto" w:fill="auto"/>
        </w:tcPr>
        <w:p w:rsidR="00B416F5" w:rsidRDefault="00B416F5" w:rsidP="00C43389">
          <w:pPr>
            <w:pStyle w:val="Footer"/>
          </w:pPr>
          <w:r>
            <w:rPr>
              <w:b w:val="0"/>
              <w:bCs w:val="0"/>
              <w:w w:val="103"/>
            </w:rPr>
            <w:t>04-30978</w:t>
          </w:r>
        </w:p>
      </w:tc>
    </w:tr>
  </w:tbl>
  <w:p w:rsidR="00B416F5" w:rsidRPr="00A41AB1" w:rsidRDefault="00B416F5" w:rsidP="00C4338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6F5">
      <w:tblPrEx>
        <w:tblCellMar>
          <w:top w:w="0" w:type="dxa"/>
          <w:bottom w:w="0" w:type="dxa"/>
        </w:tblCellMar>
      </w:tblPrEx>
      <w:tc>
        <w:tcPr>
          <w:tcW w:w="5033" w:type="dxa"/>
          <w:shd w:val="clear" w:color="auto" w:fill="auto"/>
        </w:tcPr>
        <w:p w:rsidR="00B416F5" w:rsidRPr="009744B6" w:rsidRDefault="00B416F5" w:rsidP="009744B6">
          <w:pPr>
            <w:pStyle w:val="Footer"/>
            <w:jc w:val="right"/>
            <w:rPr>
              <w:b w:val="0"/>
              <w:bCs w:val="0"/>
              <w:w w:val="103"/>
            </w:rPr>
          </w:pPr>
          <w:r>
            <w:rPr>
              <w:b w:val="0"/>
              <w:bCs w:val="0"/>
              <w:w w:val="103"/>
            </w:rPr>
            <w:t>04-30978</w:t>
          </w:r>
        </w:p>
      </w:tc>
      <w:tc>
        <w:tcPr>
          <w:tcW w:w="5033" w:type="dxa"/>
          <w:shd w:val="clear" w:color="auto" w:fill="auto"/>
        </w:tcPr>
        <w:p w:rsidR="00B416F5" w:rsidRPr="009744B6" w:rsidRDefault="00B416F5" w:rsidP="00C43389">
          <w:pPr>
            <w:pStyle w:val="Footer"/>
            <w:rPr>
              <w:b w:val="0"/>
              <w:bCs w:val="0"/>
              <w:w w:val="103"/>
            </w:rPr>
          </w:pPr>
          <w:r w:rsidRPr="009744B6">
            <w:rPr>
              <w:b w:val="0"/>
              <w:bCs w:val="0"/>
              <w:w w:val="103"/>
            </w:rPr>
            <w:fldChar w:fldCharType="begin"/>
          </w:r>
          <w:r w:rsidRPr="009744B6">
            <w:rPr>
              <w:b w:val="0"/>
              <w:bCs w:val="0"/>
              <w:w w:val="103"/>
            </w:rPr>
            <w:instrText xml:space="preserve"> PAGE  \* MERGEFORMAT </w:instrText>
          </w:r>
          <w:r w:rsidRPr="009744B6">
            <w:rPr>
              <w:b w:val="0"/>
              <w:bCs w:val="0"/>
              <w:w w:val="103"/>
            </w:rPr>
            <w:fldChar w:fldCharType="separate"/>
          </w:r>
          <w:r w:rsidR="00EC112E">
            <w:rPr>
              <w:b w:val="0"/>
              <w:bCs w:val="0"/>
              <w:w w:val="103"/>
            </w:rPr>
            <w:t>49</w:t>
          </w:r>
          <w:r w:rsidRPr="009744B6">
            <w:rPr>
              <w:b w:val="0"/>
              <w:bCs w:val="0"/>
              <w:w w:val="103"/>
            </w:rPr>
            <w:fldChar w:fldCharType="end"/>
          </w:r>
        </w:p>
      </w:tc>
    </w:tr>
  </w:tbl>
  <w:p w:rsidR="00B416F5" w:rsidRPr="00A41AB1" w:rsidRDefault="00B416F5" w:rsidP="00C4338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1818D9" w:rsidRDefault="00B416F5" w:rsidP="00C4338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1818D9" w:rsidRDefault="00B416F5" w:rsidP="0029727B">
    <w:pPr>
      <w:pStyle w:val="Footer"/>
      <w:tabs>
        <w:tab w:val="clear" w:pos="4320"/>
        <w:tab w:val="clear" w:pos="8640"/>
        <w:tab w:val="right" w:pos="9579"/>
      </w:tabs>
    </w:pPr>
    <w:r>
      <w:rPr>
        <w:rStyle w:val="PageNumber"/>
      </w:rPr>
      <w:fldChar w:fldCharType="begin"/>
    </w:r>
    <w:r>
      <w:rPr>
        <w:rStyle w:val="PageNumber"/>
      </w:rPr>
      <w:instrText xml:space="preserve"> PAGE </w:instrText>
    </w:r>
    <w:r>
      <w:rPr>
        <w:rStyle w:val="PageNumber"/>
      </w:rPr>
      <w:fldChar w:fldCharType="separate"/>
    </w:r>
    <w:r w:rsidR="00EC112E">
      <w:rPr>
        <w:rStyle w:val="PageNumber"/>
      </w:rPr>
      <w:t>95</w:t>
    </w:r>
    <w:r>
      <w:rPr>
        <w:rStyle w:val="PageNumber"/>
      </w:rPr>
      <w:fldChar w:fldCharType="end"/>
    </w:r>
    <w:r>
      <w:tab/>
    </w:r>
    <w:r>
      <w:rPr>
        <w:b w:val="0"/>
        <w:bCs w:val="0"/>
        <w:w w:val="103"/>
      </w:rPr>
      <w:t>04-30978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1818D9" w:rsidRDefault="00B416F5" w:rsidP="00A67DAF">
    <w:pPr>
      <w:pStyle w:val="Footer"/>
      <w:tabs>
        <w:tab w:val="clear" w:pos="4320"/>
        <w:tab w:val="clear" w:pos="8640"/>
        <w:tab w:val="right" w:pos="9682"/>
      </w:tabs>
    </w:pPr>
    <w:r>
      <w:rPr>
        <w:b w:val="0"/>
        <w:bCs w:val="0"/>
        <w:w w:val="103"/>
      </w:rPr>
      <w:t>04-30978</w:t>
    </w:r>
    <w:r>
      <w:tab/>
    </w:r>
    <w:r>
      <w:rPr>
        <w:rStyle w:val="PageNumber"/>
      </w:rPr>
      <w:fldChar w:fldCharType="begin"/>
    </w:r>
    <w:r>
      <w:rPr>
        <w:rStyle w:val="PageNumber"/>
      </w:rPr>
      <w:instrText xml:space="preserve"> PAGE </w:instrText>
    </w:r>
    <w:r>
      <w:rPr>
        <w:rStyle w:val="PageNumber"/>
      </w:rPr>
      <w:fldChar w:fldCharType="separate"/>
    </w:r>
    <w:r w:rsidR="00EC112E">
      <w:rPr>
        <w:rStyle w:val="PageNumber"/>
      </w:rPr>
      <w:t>94</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6B0A1A" w:rsidRDefault="006B0A1A" w:rsidP="006B0A1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6B0A1A" w:rsidRDefault="006B0A1A" w:rsidP="006B0A1A">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1818D9" w:rsidRDefault="006B0A1A" w:rsidP="00A67DAF">
    <w:pPr>
      <w:pStyle w:val="Footer"/>
      <w:tabs>
        <w:tab w:val="clear" w:pos="4320"/>
        <w:tab w:val="clear" w:pos="8640"/>
        <w:tab w:val="right" w:pos="9682"/>
      </w:tabs>
    </w:pPr>
    <w:r>
      <w:rPr>
        <w:b w:val="0"/>
        <w:bCs w:val="0"/>
        <w:w w:val="103"/>
      </w:rPr>
      <w:t>04-30978</w:t>
    </w:r>
    <w:r>
      <w:tab/>
    </w:r>
    <w:r>
      <w:rPr>
        <w:rStyle w:val="PageNumber"/>
      </w:rPr>
      <w:fldChar w:fldCharType="begin"/>
    </w:r>
    <w:r>
      <w:rPr>
        <w:rStyle w:val="PageNumber"/>
      </w:rPr>
      <w:instrText xml:space="preserve"> PAGE </w:instrText>
    </w:r>
    <w:r>
      <w:rPr>
        <w:rStyle w:val="PageNumber"/>
      </w:rPr>
      <w:fldChar w:fldCharType="separate"/>
    </w:r>
    <w:r w:rsidR="00EC112E">
      <w:rPr>
        <w:rStyle w:val="PageNumber"/>
      </w:rPr>
      <w:t>166</w:t>
    </w:r>
    <w:r>
      <w:rPr>
        <w:rStyle w:val="PageNumbe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1818D9" w:rsidRDefault="006B0A1A" w:rsidP="0029727B">
    <w:pPr>
      <w:pStyle w:val="Footer"/>
      <w:tabs>
        <w:tab w:val="clear" w:pos="4320"/>
        <w:tab w:val="clear" w:pos="8640"/>
        <w:tab w:val="right" w:pos="9579"/>
      </w:tabs>
    </w:pPr>
    <w:r>
      <w:rPr>
        <w:rStyle w:val="PageNumber"/>
      </w:rPr>
      <w:fldChar w:fldCharType="begin"/>
    </w:r>
    <w:r>
      <w:rPr>
        <w:rStyle w:val="PageNumber"/>
      </w:rPr>
      <w:instrText xml:space="preserve"> PAGE </w:instrText>
    </w:r>
    <w:r>
      <w:rPr>
        <w:rStyle w:val="PageNumber"/>
      </w:rPr>
      <w:fldChar w:fldCharType="separate"/>
    </w:r>
    <w:r w:rsidR="00EC112E">
      <w:rPr>
        <w:rStyle w:val="PageNumber"/>
      </w:rPr>
      <w:t>167</w:t>
    </w:r>
    <w:r>
      <w:rPr>
        <w:rStyle w:val="PageNumber"/>
      </w:rPr>
      <w:fldChar w:fldCharType="end"/>
    </w:r>
    <w:r>
      <w:tab/>
    </w:r>
    <w:r>
      <w:rPr>
        <w:b w:val="0"/>
        <w:bCs w:val="0"/>
        <w:w w:val="103"/>
      </w:rPr>
      <w:t>04-30978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2CB" w:rsidRPr="009A2AD0" w:rsidRDefault="00B852CB" w:rsidP="009A2AD0">
      <w:pPr>
        <w:pStyle w:val="Footer"/>
        <w:bidi/>
        <w:spacing w:after="80"/>
        <w:ind w:left="792"/>
        <w:rPr>
          <w:sz w:val="16"/>
        </w:rPr>
      </w:pPr>
      <w:r w:rsidRPr="009A2AD0">
        <w:rPr>
          <w:sz w:val="16"/>
          <w:rtl/>
        </w:rPr>
        <w:t>__________</w:t>
      </w:r>
    </w:p>
  </w:footnote>
  <w:footnote w:type="continuationSeparator" w:id="0">
    <w:p w:rsidR="00B852CB" w:rsidRPr="009A2AD0" w:rsidRDefault="00B852CB" w:rsidP="009A2AD0">
      <w:pPr>
        <w:pStyle w:val="Footer"/>
        <w:spacing w:after="80"/>
        <w:ind w:left="792"/>
        <w:rPr>
          <w:sz w:val="16"/>
        </w:rPr>
      </w:pPr>
      <w:r w:rsidRPr="009A2AD0">
        <w:rPr>
          <w:sz w:val="16"/>
        </w:rPr>
        <w:t>__________</w:t>
      </w:r>
    </w:p>
  </w:footnote>
  <w:footnote w:id="1">
    <w:p w:rsidR="00B416F5" w:rsidRPr="00855C60" w:rsidRDefault="00B416F5" w:rsidP="001A768F">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855C60">
        <w:rPr>
          <w:spacing w:val="-5"/>
          <w:w w:val="103"/>
          <w:rtl/>
        </w:rPr>
        <w:t>(</w:t>
      </w:r>
      <w:r>
        <w:rPr>
          <w:rStyle w:val="FootnoteReference"/>
          <w:rFonts w:hint="cs"/>
          <w:w w:val="103"/>
          <w:vertAlign w:val="baseline"/>
          <w:rtl/>
        </w:rPr>
        <w:t>1</w:t>
      </w:r>
      <w:r w:rsidRPr="00855C60">
        <w:rPr>
          <w:spacing w:val="-5"/>
          <w:w w:val="103"/>
          <w:rtl/>
        </w:rPr>
        <w:t>)</w:t>
      </w:r>
      <w:r w:rsidRPr="00855C60">
        <w:rPr>
          <w:spacing w:val="-5"/>
          <w:w w:val="103"/>
          <w:rtl/>
        </w:rPr>
        <w:tab/>
      </w:r>
      <w:r>
        <w:rPr>
          <w:spacing w:val="-5"/>
          <w:w w:val="103"/>
        </w:rPr>
        <w:t>WU MIN AUN</w:t>
      </w:r>
      <w:r>
        <w:rPr>
          <w:rFonts w:hint="cs"/>
          <w:spacing w:val="-5"/>
          <w:w w:val="103"/>
          <w:rtl/>
        </w:rPr>
        <w:t xml:space="preserve">، </w:t>
      </w:r>
      <w:r>
        <w:rPr>
          <w:rFonts w:hint="eastAsia"/>
          <w:spacing w:val="-5"/>
          <w:w w:val="103"/>
          <w:rtl/>
        </w:rPr>
        <w:t>”</w:t>
      </w:r>
      <w:r>
        <w:rPr>
          <w:rFonts w:hint="cs"/>
          <w:spacing w:val="-5"/>
          <w:w w:val="103"/>
          <w:rtl/>
        </w:rPr>
        <w:t>النظام القانوني الماليزي</w:t>
      </w:r>
      <w:r>
        <w:rPr>
          <w:rFonts w:hint="eastAsia"/>
          <w:spacing w:val="-5"/>
          <w:w w:val="103"/>
          <w:rtl/>
        </w:rPr>
        <w:t>“</w:t>
      </w:r>
      <w:r>
        <w:rPr>
          <w:rFonts w:hint="cs"/>
          <w:spacing w:val="-5"/>
          <w:w w:val="103"/>
          <w:rtl/>
        </w:rPr>
        <w:t>؛ نشرت الطبعة الأولى منه في عام 1990. ومقتطفات التاريخ السياسي الماليزي الواردة فيما بعد مقتبسة من نفس المرجع (مع بعض التعديلات).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52425F" w:rsidRDefault="00B416F5" w:rsidP="0052425F">
    <w:pPr>
      <w:pStyle w:val="Header"/>
    </w:pPr>
    <w:r>
      <w:rPr>
        <w:w w:val="100"/>
        <w:lang w:eastAsia="zh-CN"/>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416F5">
                  <w:tblPrEx>
                    <w:tblCellMar>
                      <w:top w:w="0" w:type="dxa"/>
                      <w:bottom w:w="0" w:type="dxa"/>
                    </w:tblCellMar>
                  </w:tblPrEx>
                  <w:trPr>
                    <w:trHeight w:hRule="exact" w:val="864"/>
                    <w:jc w:val="center"/>
                  </w:trPr>
                  <w:tc>
                    <w:tcPr>
                      <w:tcW w:w="4932" w:type="dxa"/>
                      <w:shd w:val="clear" w:color="auto" w:fill="auto"/>
                      <w:vAlign w:val="bottom"/>
                    </w:tcPr>
                    <w:p w:rsidR="00B416F5" w:rsidRDefault="00B416F5" w:rsidP="0052425F">
                      <w:pPr>
                        <w:pStyle w:val="Header"/>
                        <w:bidi/>
                        <w:rPr>
                          <w:rtl/>
                        </w:rPr>
                      </w:pPr>
                    </w:p>
                  </w:tc>
                  <w:tc>
                    <w:tcPr>
                      <w:tcW w:w="4933" w:type="dxa"/>
                      <w:shd w:val="clear" w:color="auto" w:fill="auto"/>
                      <w:vAlign w:val="bottom"/>
                    </w:tcPr>
                    <w:p w:rsidR="00B416F5" w:rsidRPr="0052425F" w:rsidRDefault="00B416F5" w:rsidP="0052425F">
                      <w:pPr>
                        <w:pStyle w:val="Header"/>
                        <w:bidi/>
                        <w:spacing w:after="80"/>
                        <w:rPr>
                          <w:w w:val="103"/>
                          <w:rtl/>
                        </w:rPr>
                      </w:pPr>
                      <w:r>
                        <w:rPr>
                          <w:w w:val="103"/>
                        </w:rPr>
                        <w:t>CEDAW/C/MYS/1-2</w:t>
                      </w:r>
                    </w:p>
                  </w:tc>
                </w:tr>
              </w:tbl>
              <w:p w:rsidR="00B416F5" w:rsidRDefault="00B416F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52425F" w:rsidRDefault="00B416F5" w:rsidP="0052425F">
    <w:pPr>
      <w:pStyle w:val="Header"/>
    </w:pPr>
    <w:r>
      <w:rPr>
        <w:w w:val="100"/>
        <w:lang w:eastAsia="zh-CN"/>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416F5">
                  <w:tblPrEx>
                    <w:tblCellMar>
                      <w:top w:w="0" w:type="dxa"/>
                      <w:bottom w:w="0" w:type="dxa"/>
                    </w:tblCellMar>
                  </w:tblPrEx>
                  <w:trPr>
                    <w:trHeight w:hRule="exact" w:val="864"/>
                    <w:jc w:val="center"/>
                  </w:trPr>
                  <w:tc>
                    <w:tcPr>
                      <w:tcW w:w="4932" w:type="dxa"/>
                      <w:shd w:val="clear" w:color="auto" w:fill="auto"/>
                      <w:vAlign w:val="bottom"/>
                    </w:tcPr>
                    <w:p w:rsidR="00B416F5" w:rsidRPr="0052425F" w:rsidRDefault="00B416F5" w:rsidP="0052425F">
                      <w:pPr>
                        <w:pStyle w:val="Header"/>
                        <w:bidi/>
                        <w:spacing w:after="80"/>
                        <w:jc w:val="right"/>
                        <w:rPr>
                          <w:w w:val="103"/>
                          <w:rtl/>
                        </w:rPr>
                      </w:pPr>
                      <w:r>
                        <w:rPr>
                          <w:w w:val="103"/>
                        </w:rPr>
                        <w:t>CEDAW/C/MYS/1-2</w:t>
                      </w:r>
                    </w:p>
                  </w:tc>
                  <w:tc>
                    <w:tcPr>
                      <w:tcW w:w="4933" w:type="dxa"/>
                      <w:shd w:val="clear" w:color="auto" w:fill="auto"/>
                      <w:vAlign w:val="bottom"/>
                    </w:tcPr>
                    <w:p w:rsidR="00B416F5" w:rsidRDefault="00B416F5" w:rsidP="0052425F">
                      <w:pPr>
                        <w:pStyle w:val="Header"/>
                        <w:bidi/>
                        <w:rPr>
                          <w:rtl/>
                        </w:rPr>
                      </w:pPr>
                    </w:p>
                  </w:tc>
                </w:tr>
              </w:tbl>
              <w:p w:rsidR="00B416F5" w:rsidRDefault="00B416F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416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416F5" w:rsidRDefault="00B416F5" w:rsidP="0052425F">
          <w:pPr>
            <w:pStyle w:val="Header"/>
            <w:spacing w:after="120"/>
          </w:pPr>
        </w:p>
      </w:tc>
      <w:tc>
        <w:tcPr>
          <w:tcW w:w="1786" w:type="dxa"/>
          <w:tcBorders>
            <w:bottom w:val="single" w:sz="4" w:space="0" w:color="auto"/>
          </w:tcBorders>
          <w:shd w:val="clear" w:color="auto" w:fill="auto"/>
          <w:vAlign w:val="bottom"/>
        </w:tcPr>
        <w:p w:rsidR="00B416F5" w:rsidRPr="0052425F" w:rsidRDefault="00B416F5" w:rsidP="0052425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416F5" w:rsidRDefault="00B416F5" w:rsidP="0052425F">
          <w:pPr>
            <w:pStyle w:val="Header"/>
            <w:spacing w:after="120"/>
          </w:pPr>
        </w:p>
      </w:tc>
      <w:tc>
        <w:tcPr>
          <w:tcW w:w="6523" w:type="dxa"/>
          <w:gridSpan w:val="3"/>
          <w:tcBorders>
            <w:bottom w:val="single" w:sz="4" w:space="0" w:color="auto"/>
          </w:tcBorders>
          <w:shd w:val="clear" w:color="auto" w:fill="auto"/>
          <w:vAlign w:val="bottom"/>
        </w:tcPr>
        <w:p w:rsidR="00B416F5" w:rsidRPr="0052425F" w:rsidRDefault="00B416F5" w:rsidP="0052425F">
          <w:pPr>
            <w:spacing w:line="380" w:lineRule="exact"/>
            <w:jc w:val="right"/>
          </w:pPr>
          <w:r>
            <w:rPr>
              <w:sz w:val="40"/>
            </w:rPr>
            <w:t>CEDAW</w:t>
          </w:r>
          <w:r>
            <w:t>/C/MYS/1-2</w:t>
          </w:r>
        </w:p>
      </w:tc>
    </w:tr>
    <w:tr w:rsidR="00B416F5" w:rsidRPr="0052425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416F5" w:rsidRPr="0052425F" w:rsidRDefault="00B416F5" w:rsidP="0052425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B416F5" w:rsidRPr="0052425F" w:rsidRDefault="00B416F5" w:rsidP="0052425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416F5" w:rsidRPr="0052425F" w:rsidRDefault="00B416F5" w:rsidP="0052425F">
          <w:pPr>
            <w:pStyle w:val="Header"/>
            <w:spacing w:before="109"/>
          </w:pPr>
        </w:p>
      </w:tc>
      <w:tc>
        <w:tcPr>
          <w:tcW w:w="3100" w:type="dxa"/>
          <w:gridSpan w:val="2"/>
          <w:tcBorders>
            <w:top w:val="single" w:sz="4" w:space="0" w:color="auto"/>
            <w:bottom w:val="single" w:sz="12" w:space="0" w:color="auto"/>
          </w:tcBorders>
          <w:shd w:val="clear" w:color="auto" w:fill="auto"/>
        </w:tcPr>
        <w:p w:rsidR="00B416F5" w:rsidRDefault="00B416F5" w:rsidP="0052425F">
          <w:pPr>
            <w:bidi w:val="0"/>
            <w:spacing w:before="240" w:line="240" w:lineRule="exact"/>
          </w:pPr>
          <w:r>
            <w:t>Distr</w:t>
          </w:r>
          <w:r>
            <w:rPr>
              <w:rtl/>
            </w:rPr>
            <w:t xml:space="preserve"> :.</w:t>
          </w:r>
          <w:r>
            <w:t>General</w:t>
          </w:r>
        </w:p>
        <w:p w:rsidR="00B416F5" w:rsidRDefault="00B416F5" w:rsidP="00F42962">
          <w:pPr>
            <w:bidi w:val="0"/>
            <w:spacing w:line="240" w:lineRule="exact"/>
            <w:jc w:val="left"/>
          </w:pPr>
          <w:smartTag w:uri="urn:schemas-microsoft-com:office:smarttags" w:element="date">
            <w:smartTagPr>
              <w:attr w:name="Year" w:val="2004"/>
              <w:attr w:name="Day" w:val="12"/>
              <w:attr w:name="Month" w:val="4"/>
            </w:smartTagPr>
            <w:r>
              <w:t>12 April</w:t>
            </w:r>
            <w:r>
              <w:rPr>
                <w:rFonts w:hint="cs"/>
                <w:rtl/>
              </w:rPr>
              <w:t xml:space="preserve"> </w:t>
            </w:r>
            <w:r>
              <w:t>2004</w:t>
            </w:r>
          </w:smartTag>
        </w:p>
        <w:p w:rsidR="00B416F5" w:rsidRDefault="00B416F5" w:rsidP="0052425F">
          <w:pPr>
            <w:bidi w:val="0"/>
            <w:spacing w:line="240" w:lineRule="exact"/>
            <w:jc w:val="left"/>
          </w:pPr>
          <w:r>
            <w:t>Arabic</w:t>
          </w:r>
        </w:p>
        <w:p w:rsidR="00B416F5" w:rsidRPr="0052425F" w:rsidRDefault="00B416F5" w:rsidP="0052425F">
          <w:pPr>
            <w:bidi w:val="0"/>
            <w:spacing w:line="240" w:lineRule="exact"/>
            <w:jc w:val="left"/>
          </w:pPr>
          <w:r>
            <w:t>Original: English</w:t>
          </w:r>
        </w:p>
      </w:tc>
    </w:tr>
  </w:tbl>
  <w:p w:rsidR="00B416F5" w:rsidRPr="0052425F" w:rsidRDefault="00B416F5" w:rsidP="0052425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A41AB1" w:rsidRDefault="00B416F5" w:rsidP="00C43389">
    <w:pPr>
      <w:pStyle w:val="Header"/>
    </w:pPr>
    <w:r>
      <w:rPr>
        <w:w w:val="100"/>
        <w:lang w:eastAsia="zh-CN"/>
      </w:rPr>
      <w:pict>
        <v:shapetype id="_x0000_t202" coordsize="21600,21600" o:spt="202" path="m,l,21600r21600,l21600,xe">
          <v:stroke joinstyle="miter"/>
          <v:path gradientshapeok="t" o:connecttype="rect"/>
        </v:shapetype>
        <v:shape id="_x0000_s1028" type="#_x0000_t202" style="position:absolute;margin-left:0;margin-top:0;width:492.5pt;height:50.4pt;z-index:4;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416F5" w:rsidRPr="009744B6">
                  <w:tblPrEx>
                    <w:tblCellMar>
                      <w:top w:w="0" w:type="dxa"/>
                      <w:bottom w:w="0" w:type="dxa"/>
                    </w:tblCellMar>
                  </w:tblPrEx>
                  <w:trPr>
                    <w:trHeight w:hRule="exact" w:val="864"/>
                    <w:jc w:val="center"/>
                  </w:trPr>
                  <w:tc>
                    <w:tcPr>
                      <w:tcW w:w="4932" w:type="dxa"/>
                      <w:shd w:val="clear" w:color="auto" w:fill="auto"/>
                      <w:vAlign w:val="bottom"/>
                    </w:tcPr>
                    <w:p w:rsidR="00B416F5" w:rsidRDefault="00B416F5" w:rsidP="00C43389">
                      <w:pPr>
                        <w:pStyle w:val="Header"/>
                        <w:spacing w:after="80"/>
                        <w:rPr>
                          <w:rtl/>
                        </w:rPr>
                      </w:pPr>
                    </w:p>
                  </w:tc>
                  <w:tc>
                    <w:tcPr>
                      <w:tcW w:w="4933" w:type="dxa"/>
                      <w:shd w:val="clear" w:color="auto" w:fill="auto"/>
                      <w:vAlign w:val="bottom"/>
                    </w:tcPr>
                    <w:p w:rsidR="00B416F5" w:rsidRPr="009744B6" w:rsidRDefault="00B416F5" w:rsidP="00C43389">
                      <w:pPr>
                        <w:pStyle w:val="Header"/>
                        <w:bidi/>
                        <w:spacing w:after="80"/>
                        <w:rPr>
                          <w:b w:val="0"/>
                          <w:bCs w:val="0"/>
                          <w:rtl/>
                        </w:rPr>
                      </w:pPr>
                      <w:r w:rsidRPr="009744B6">
                        <w:rPr>
                          <w:b w:val="0"/>
                          <w:bCs w:val="0"/>
                          <w:w w:val="103"/>
                        </w:rPr>
                        <w:t>CEDAW/C/MYS/1-2</w:t>
                      </w:r>
                    </w:p>
                  </w:tc>
                </w:tr>
              </w:tbl>
              <w:p w:rsidR="00B416F5" w:rsidRDefault="00B416F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A41AB1" w:rsidRDefault="00B416F5" w:rsidP="009744B6">
    <w:pPr>
      <w:pStyle w:val="Header"/>
    </w:pPr>
    <w:r>
      <w:rPr>
        <w:w w:val="100"/>
        <w:lang w:eastAsia="zh-CN"/>
      </w:rPr>
      <w:pict>
        <v:shapetype id="_x0000_t202" coordsize="21600,21600" o:spt="202" path="m,l,21600r21600,l21600,xe">
          <v:stroke joinstyle="miter"/>
          <v:path gradientshapeok="t" o:connecttype="rect"/>
        </v:shapetype>
        <v:shape id="_x0000_s1027" type="#_x0000_t202" style="position:absolute;margin-left:0;margin-top:0;width:492.5pt;height:50.4pt;z-index:3;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416F5">
                  <w:tblPrEx>
                    <w:tblCellMar>
                      <w:top w:w="0" w:type="dxa"/>
                      <w:bottom w:w="0" w:type="dxa"/>
                    </w:tblCellMar>
                  </w:tblPrEx>
                  <w:trPr>
                    <w:trHeight w:hRule="exact" w:val="864"/>
                    <w:jc w:val="center"/>
                  </w:trPr>
                  <w:tc>
                    <w:tcPr>
                      <w:tcW w:w="4932" w:type="dxa"/>
                      <w:shd w:val="clear" w:color="auto" w:fill="auto"/>
                      <w:vAlign w:val="bottom"/>
                    </w:tcPr>
                    <w:p w:rsidR="00B416F5" w:rsidRPr="009744B6" w:rsidRDefault="00B416F5" w:rsidP="00C43389">
                      <w:pPr>
                        <w:pStyle w:val="Header"/>
                        <w:spacing w:after="80"/>
                        <w:rPr>
                          <w:b w:val="0"/>
                          <w:bCs w:val="0"/>
                          <w:rtl/>
                        </w:rPr>
                      </w:pPr>
                      <w:r w:rsidRPr="009744B6">
                        <w:rPr>
                          <w:b w:val="0"/>
                          <w:bCs w:val="0"/>
                          <w:w w:val="103"/>
                        </w:rPr>
                        <w:t>CEDAW/C/MYS/1-2</w:t>
                      </w:r>
                    </w:p>
                  </w:tc>
                  <w:tc>
                    <w:tcPr>
                      <w:tcW w:w="4933" w:type="dxa"/>
                      <w:shd w:val="clear" w:color="auto" w:fill="auto"/>
                      <w:vAlign w:val="bottom"/>
                    </w:tcPr>
                    <w:p w:rsidR="00B416F5" w:rsidRDefault="00B416F5" w:rsidP="00C43389">
                      <w:pPr>
                        <w:pStyle w:val="Header"/>
                        <w:bidi/>
                        <w:spacing w:after="80"/>
                        <w:rPr>
                          <w:rtl/>
                        </w:rPr>
                      </w:pPr>
                    </w:p>
                  </w:tc>
                </w:tr>
              </w:tbl>
              <w:p w:rsidR="00B416F5" w:rsidRDefault="00B416F5"/>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Pr="001818D9" w:rsidRDefault="00B416F5" w:rsidP="00C43389">
    <w:pPr>
      <w:pStyle w:val="Header"/>
    </w:pPr>
    <w:r>
      <w:rPr>
        <w:w w:val="100"/>
        <w:lang w:eastAsia="zh-CN"/>
      </w:rPr>
      <w:pict>
        <v:shapetype id="_x0000_t202" coordsize="21600,21600" o:spt="202" path="m,l,21600r21600,l21600,xe">
          <v:stroke joinstyle="miter"/>
          <v:path gradientshapeok="t" o:connecttype="rect"/>
        </v:shapetype>
        <v:shape id="_x0000_s1032" type="#_x0000_t202" style="position:absolute;margin-left:619.2pt;margin-top:28.8pt;width:21.6pt;height:492.5pt;z-index:6;mso-wrap-style:tight;mso-position-horizontal-relative:margin" stroked="f">
          <v:textbox style="mso-next-textbox:#_x0000_s1032" inset="0,0,0,0">
            <w:txbxContent>
              <w:tbl>
                <w:tblPr>
                  <w:tblStyle w:val="PageNumber"/>
                  <w:bidiVisual/>
                  <w:tblW w:w="432" w:type="dxa"/>
                  <w:jc w:val="center"/>
                  <w:tblCellMar>
                    <w:left w:w="0" w:type="dxa"/>
                    <w:right w:w="0" w:type="dxa"/>
                  </w:tblCellMar>
                  <w:tblLook w:val="01E0" w:firstRow="1" w:lastRow="1" w:firstColumn="1" w:lastColumn="1" w:noHBand="0" w:noVBand="0"/>
                </w:tblPr>
                <w:tblGrid>
                  <w:gridCol w:w="432"/>
                </w:tblGrid>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EC112E">
                        <w:rPr>
                          <w:b/>
                          <w:noProof/>
                          <w:sz w:val="17"/>
                        </w:rPr>
                        <w:t>52</w:t>
                      </w:r>
                      <w:r>
                        <w:rPr>
                          <w:b/>
                          <w:sz w:val="17"/>
                        </w:rPr>
                        <w:fldChar w:fldCharType="end"/>
                      </w:r>
                    </w:p>
                  </w:tc>
                </w:tr>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left"/>
                        <w:rPr>
                          <w:sz w:val="17"/>
                          <w:rtl/>
                        </w:rPr>
                      </w:pPr>
                      <w:r>
                        <w:rPr>
                          <w:sz w:val="17"/>
                        </w:rPr>
                        <w:t>04-30978</w:t>
                      </w:r>
                    </w:p>
                  </w:tc>
                </w:tr>
              </w:tbl>
              <w:p w:rsidR="00B416F5" w:rsidRDefault="00B416F5"/>
            </w:txbxContent>
          </v:textbox>
        </v:shape>
      </w:pict>
    </w:r>
    <w:r>
      <w:rPr>
        <w:w w:val="100"/>
        <w:lang w:eastAsia="zh-CN"/>
      </w:rPr>
      <w:pict>
        <v:shape id="_x0000_s1031" type="#_x0000_t202" style="position:absolute;margin-left:-1in;margin-top:28.8pt;width:50.4pt;height:492.5pt;z-index:5;mso-wrap-style:tight;mso-position-horizontal-relative:margin" stroked="f">
          <v:textbox style="mso-next-textbox:#_x0000_s1031" inset="0,0,0,0">
            <w:txbxContent>
              <w:tbl>
                <w:tblPr>
                  <w:tblStyle w:val="PageNumber"/>
                  <w:bidiVisual/>
                  <w:tblW w:w="864" w:type="dxa"/>
                  <w:jc w:val="center"/>
                  <w:tblBorders>
                    <w:left w:val="single" w:sz="2" w:space="0" w:color="auto"/>
                  </w:tblBorders>
                  <w:tblCellMar>
                    <w:left w:w="58" w:type="dxa"/>
                    <w:right w:w="58" w:type="dxa"/>
                  </w:tblCellMar>
                  <w:tblLook w:val="01E0" w:firstRow="1" w:lastRow="1" w:firstColumn="1" w:lastColumn="1" w:noHBand="0" w:noVBand="0"/>
                </w:tblPr>
                <w:tblGrid>
                  <w:gridCol w:w="864"/>
                </w:tblGrid>
                <w:tr w:rsidR="00B416F5" w:rsidRPr="001818D9">
                  <w:trPr>
                    <w:cantSplit/>
                    <w:trHeight w:val="4925"/>
                    <w:jc w:val="center"/>
                  </w:trPr>
                  <w:tc>
                    <w:tcPr>
                      <w:tcW w:w="1023" w:type="dxa"/>
                      <w:shd w:val="clear" w:color="auto" w:fill="auto"/>
                      <w:textDirection w:val="btLr"/>
                      <w:vAlign w:val="bottom"/>
                    </w:tcPr>
                    <w:p w:rsidR="00B416F5" w:rsidRPr="001818D9" w:rsidRDefault="00B416F5" w:rsidP="00C43389">
                      <w:pPr>
                        <w:bidi w:val="0"/>
                        <w:spacing w:line="240" w:lineRule="auto"/>
                        <w:ind w:left="14" w:right="14"/>
                        <w:jc w:val="right"/>
                        <w:rPr>
                          <w:b/>
                          <w:bCs/>
                          <w:sz w:val="17"/>
                          <w:szCs w:val="26"/>
                          <w:rtl/>
                        </w:rPr>
                      </w:pPr>
                      <w:r w:rsidRPr="009744B6">
                        <w:rPr>
                          <w:b/>
                          <w:bCs/>
                        </w:rPr>
                        <w:t>C</w:t>
                      </w:r>
                      <w:r w:rsidRPr="009744B6">
                        <w:rPr>
                          <w:b/>
                          <w:bCs/>
                        </w:rPr>
                        <w:t>E</w:t>
                      </w:r>
                      <w:r w:rsidRPr="009744B6">
                        <w:rPr>
                          <w:b/>
                          <w:bCs/>
                        </w:rPr>
                        <w:t>DAW/C/MYS/1-2</w:t>
                      </w:r>
                    </w:p>
                  </w:tc>
                </w:tr>
                <w:tr w:rsidR="00B416F5" w:rsidRPr="001818D9">
                  <w:trPr>
                    <w:cantSplit/>
                    <w:trHeight w:val="4925"/>
                    <w:jc w:val="center"/>
                  </w:trPr>
                  <w:tc>
                    <w:tcPr>
                      <w:tcW w:w="1023" w:type="dxa"/>
                      <w:shd w:val="clear" w:color="auto" w:fill="auto"/>
                      <w:textDirection w:val="btLr"/>
                      <w:vAlign w:val="bottom"/>
                    </w:tcPr>
                    <w:p w:rsidR="00B416F5" w:rsidRPr="001818D9" w:rsidRDefault="00B416F5" w:rsidP="00C43389">
                      <w:pPr>
                        <w:bidi w:val="0"/>
                        <w:spacing w:line="240" w:lineRule="auto"/>
                        <w:ind w:left="14" w:right="14"/>
                        <w:jc w:val="right"/>
                        <w:rPr>
                          <w:b/>
                          <w:bCs/>
                          <w:sz w:val="17"/>
                          <w:szCs w:val="26"/>
                          <w:rtl/>
                        </w:rPr>
                      </w:pPr>
                    </w:p>
                  </w:tc>
                </w:tr>
              </w:tbl>
              <w:p w:rsidR="00B416F5" w:rsidRDefault="00B416F5"/>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Default="00B416F5" w:rsidP="00C43389">
    <w:pPr>
      <w:pStyle w:val="Header"/>
    </w:pPr>
  </w:p>
  <w:p w:rsidR="00B416F5" w:rsidRDefault="00B416F5" w:rsidP="00C43389">
    <w:pPr>
      <w:pStyle w:val="Header"/>
    </w:pPr>
  </w:p>
  <w:p w:rsidR="00B416F5" w:rsidRDefault="00B416F5" w:rsidP="0004748B">
    <w:pPr>
      <w:pStyle w:val="Header"/>
      <w:pBdr>
        <w:bottom w:val="single" w:sz="4" w:space="1" w:color="auto"/>
      </w:pBdr>
    </w:pPr>
    <w:r w:rsidRPr="009744B6">
      <w:rPr>
        <w:b w:val="0"/>
        <w:bCs w:val="0"/>
      </w:rPr>
      <w:t>C</w:t>
    </w:r>
    <w:r w:rsidRPr="009744B6">
      <w:rPr>
        <w:b w:val="0"/>
        <w:bCs w:val="0"/>
      </w:rPr>
      <w:t>E</w:t>
    </w:r>
    <w:r w:rsidRPr="009744B6">
      <w:rPr>
        <w:b w:val="0"/>
        <w:bCs w:val="0"/>
      </w:rPr>
      <w:t>DAW/C/MYS/1-2</w:t>
    </w:r>
    <w:r>
      <w:pict>
        <v:shapetype id="_x0000_t202" coordsize="21600,21600" o:spt="202" path="m,l,21600r21600,l21600,xe">
          <v:stroke joinstyle="miter"/>
          <v:path gradientshapeok="t" o:connecttype="rect"/>
        </v:shapetype>
        <v:shape id="_x0000_s1039" type="#_x0000_t202" style="position:absolute;margin-left:631.2pt;margin-top:11.5pt;width:21.6pt;height:492.5pt;z-index:8;mso-wrap-style:tight;mso-position-horizontal-relative:margin;mso-position-vertical-relative:text" stroked="f">
          <v:textbox style="mso-next-textbox:#_x0000_s1039" inset="0,0,0,0">
            <w:txbxContent>
              <w:tbl>
                <w:tblPr>
                  <w:tblStyle w:val="PageNumber"/>
                  <w:bidiVisual/>
                  <w:tblW w:w="432" w:type="dxa"/>
                  <w:jc w:val="center"/>
                  <w:tblCellMar>
                    <w:left w:w="0" w:type="dxa"/>
                    <w:right w:w="0" w:type="dxa"/>
                  </w:tblCellMar>
                  <w:tblLook w:val="01E0" w:firstRow="1" w:lastRow="1" w:firstColumn="1" w:lastColumn="1" w:noHBand="0" w:noVBand="0"/>
                </w:tblPr>
                <w:tblGrid>
                  <w:gridCol w:w="432"/>
                </w:tblGrid>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right"/>
                        <w:rPr>
                          <w:b/>
                          <w:sz w:val="17"/>
                          <w:rtl/>
                        </w:rPr>
                      </w:pPr>
                      <w:r>
                        <w:rPr>
                          <w:sz w:val="17"/>
                        </w:rPr>
                        <w:t>04-30978</w:t>
                      </w:r>
                    </w:p>
                  </w:tc>
                </w:tr>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left"/>
                        <w:rPr>
                          <w:sz w:val="17"/>
                          <w:rtl/>
                        </w:rPr>
                      </w:pPr>
                      <w:r>
                        <w:rPr>
                          <w:rStyle w:val="PageNumber"/>
                          <w:b/>
                          <w:bCs/>
                          <w:noProof/>
                          <w:w w:val="100"/>
                          <w:kern w:val="0"/>
                          <w:sz w:val="17"/>
                          <w:szCs w:val="25"/>
                          <w:lang w:eastAsia="en-US"/>
                        </w:rPr>
                        <w:fldChar w:fldCharType="begin"/>
                      </w:r>
                      <w:r>
                        <w:rPr>
                          <w:rStyle w:val="PageNumber"/>
                          <w:b/>
                          <w:bCs/>
                          <w:noProof/>
                          <w:w w:val="100"/>
                          <w:kern w:val="0"/>
                          <w:sz w:val="17"/>
                          <w:szCs w:val="25"/>
                          <w:lang w:eastAsia="en-US"/>
                        </w:rPr>
                        <w:instrText xml:space="preserve"> PAGE </w:instrText>
                      </w:r>
                      <w:r>
                        <w:rPr>
                          <w:rStyle w:val="PageNumber"/>
                          <w:b/>
                          <w:bCs/>
                          <w:noProof/>
                          <w:w w:val="100"/>
                          <w:kern w:val="0"/>
                          <w:sz w:val="17"/>
                          <w:szCs w:val="25"/>
                          <w:lang w:eastAsia="en-US"/>
                        </w:rPr>
                        <w:fldChar w:fldCharType="separate"/>
                      </w:r>
                      <w:r w:rsidR="00EC112E">
                        <w:rPr>
                          <w:rStyle w:val="PageNumber"/>
                          <w:b/>
                          <w:bCs/>
                          <w:noProof/>
                          <w:w w:val="100"/>
                          <w:kern w:val="0"/>
                          <w:sz w:val="17"/>
                          <w:szCs w:val="25"/>
                          <w:lang w:eastAsia="en-US"/>
                        </w:rPr>
                        <w:t>95</w:t>
                      </w:r>
                      <w:r>
                        <w:rPr>
                          <w:rStyle w:val="PageNumber"/>
                          <w:b/>
                          <w:bCs/>
                          <w:noProof/>
                          <w:w w:val="100"/>
                          <w:kern w:val="0"/>
                          <w:sz w:val="17"/>
                          <w:szCs w:val="25"/>
                          <w:lang w:eastAsia="en-US"/>
                        </w:rPr>
                        <w:fldChar w:fldCharType="end"/>
                      </w:r>
                    </w:p>
                  </w:tc>
                </w:tr>
              </w:tbl>
              <w:p w:rsidR="00B416F5" w:rsidRDefault="00B416F5" w:rsidP="0029727B"/>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6F5" w:rsidRDefault="00B416F5" w:rsidP="00C43389">
    <w:pPr>
      <w:pStyle w:val="Header"/>
    </w:pPr>
  </w:p>
  <w:p w:rsidR="00B416F5" w:rsidRDefault="00B416F5" w:rsidP="00C43389">
    <w:pPr>
      <w:pStyle w:val="Header"/>
    </w:pPr>
  </w:p>
  <w:p w:rsidR="00B416F5" w:rsidRDefault="00B416F5" w:rsidP="00C43389">
    <w:pPr>
      <w:pStyle w:val="Header"/>
    </w:pPr>
  </w:p>
  <w:p w:rsidR="00B416F5" w:rsidRDefault="00B416F5" w:rsidP="00C43389">
    <w:pPr>
      <w:pStyle w:val="Header"/>
    </w:pPr>
  </w:p>
  <w:p w:rsidR="00B416F5" w:rsidRPr="001818D9" w:rsidRDefault="00B416F5" w:rsidP="0010008E">
    <w:pPr>
      <w:pStyle w:val="Header"/>
      <w:pBdr>
        <w:bottom w:val="single" w:sz="4" w:space="1" w:color="auto"/>
      </w:pBdr>
      <w:jc w:val="right"/>
    </w:pPr>
    <w:r w:rsidRPr="009744B6">
      <w:rPr>
        <w:b w:val="0"/>
        <w:bCs w:val="0"/>
        <w:w w:val="103"/>
      </w:rPr>
      <w:t>CEDAW/C/MYS/1-2</w:t>
    </w:r>
    <w:r>
      <w:rPr>
        <w:w w:val="100"/>
        <w:lang w:eastAsia="zh-CN"/>
      </w:rPr>
      <w:pict>
        <v:shapetype id="_x0000_t202" coordsize="21600,21600" o:spt="202" path="m,l,21600r21600,l21600,xe">
          <v:stroke joinstyle="miter"/>
          <v:path gradientshapeok="t" o:connecttype="rect"/>
        </v:shapetype>
        <v:shape id="_x0000_s1034" type="#_x0000_t202" style="position:absolute;left:0;text-align:left;margin-left:619.2pt;margin-top:28.8pt;width:21.6pt;height:492.5pt;z-index:7;mso-wrap-style:tight;mso-position-horizontal-relative:margin;mso-position-vertical-relative:text" stroked="f">
          <v:textbox style="mso-next-textbox:#_x0000_s1034" inset="0,0,0,0">
            <w:txbxContent>
              <w:tbl>
                <w:tblPr>
                  <w:tblStyle w:val="PageNumber"/>
                  <w:bidiVisual/>
                  <w:tblW w:w="432" w:type="dxa"/>
                  <w:jc w:val="center"/>
                  <w:tblCellMar>
                    <w:left w:w="0" w:type="dxa"/>
                    <w:right w:w="0" w:type="dxa"/>
                  </w:tblCellMar>
                  <w:tblLook w:val="01E0" w:firstRow="1" w:lastRow="1" w:firstColumn="1" w:lastColumn="1" w:noHBand="0" w:noVBand="0"/>
                </w:tblPr>
                <w:tblGrid>
                  <w:gridCol w:w="432"/>
                </w:tblGrid>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EC112E">
                        <w:rPr>
                          <w:b/>
                          <w:noProof/>
                          <w:sz w:val="17"/>
                        </w:rPr>
                        <w:t>94</w:t>
                      </w:r>
                      <w:r>
                        <w:rPr>
                          <w:b/>
                          <w:sz w:val="17"/>
                        </w:rPr>
                        <w:fldChar w:fldCharType="end"/>
                      </w:r>
                    </w:p>
                  </w:tc>
                </w:tr>
                <w:tr w:rsidR="00B416F5" w:rsidRPr="001818D9">
                  <w:trPr>
                    <w:cantSplit/>
                    <w:trHeight w:val="4925"/>
                    <w:jc w:val="center"/>
                  </w:trPr>
                  <w:tc>
                    <w:tcPr>
                      <w:tcW w:w="447" w:type="dxa"/>
                      <w:shd w:val="clear" w:color="auto" w:fill="auto"/>
                      <w:textDirection w:val="btLr"/>
                    </w:tcPr>
                    <w:p w:rsidR="00B416F5" w:rsidRPr="001818D9" w:rsidRDefault="00B416F5" w:rsidP="00C43389">
                      <w:pPr>
                        <w:bidi w:val="0"/>
                        <w:spacing w:line="240" w:lineRule="auto"/>
                        <w:jc w:val="left"/>
                        <w:rPr>
                          <w:sz w:val="17"/>
                          <w:rtl/>
                        </w:rPr>
                      </w:pPr>
                      <w:r>
                        <w:rPr>
                          <w:sz w:val="17"/>
                        </w:rPr>
                        <w:t>04-30978</w:t>
                      </w:r>
                    </w:p>
                  </w:tc>
                </w:tr>
              </w:tbl>
              <w:p w:rsidR="00B416F5" w:rsidRDefault="00B416F5"/>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6B0A1A" w:rsidRDefault="006B0A1A" w:rsidP="006B0A1A">
    <w:pPr>
      <w:pStyle w:val="Header"/>
    </w:pPr>
    <w:r>
      <w:rPr>
        <w:w w:val="100"/>
      </w:rPr>
      <w:pict>
        <v:shapetype id="_x0000_t202" coordsize="21600,21600" o:spt="202" path="m,l,21600r21600,l21600,xe">
          <v:stroke joinstyle="miter"/>
          <v:path gradientshapeok="t" o:connecttype="rect"/>
        </v:shapetype>
        <v:shape id="_x0000_s1045" type="#_x0000_t202" style="position:absolute;margin-left:619.2pt;margin-top:28.8pt;width:21.6pt;height:492.5pt;z-index:12;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6B0A1A" w:rsidRPr="006B0A1A">
                  <w:trPr>
                    <w:cantSplit/>
                    <w:trHeight w:val="4925"/>
                    <w:jc w:val="center"/>
                  </w:trPr>
                  <w:tc>
                    <w:tcPr>
                      <w:tcW w:w="447" w:type="dxa"/>
                      <w:shd w:val="clear" w:color="auto" w:fill="auto"/>
                      <w:textDirection w:val="btLr"/>
                    </w:tcPr>
                    <w:p w:rsidR="006B0A1A" w:rsidRPr="006B0A1A" w:rsidRDefault="006B0A1A" w:rsidP="006B0A1A">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EC112E">
                        <w:rPr>
                          <w:b/>
                          <w:noProof/>
                          <w:sz w:val="17"/>
                        </w:rPr>
                        <w:t>96</w:t>
                      </w:r>
                      <w:r>
                        <w:rPr>
                          <w:b/>
                          <w:sz w:val="17"/>
                        </w:rPr>
                        <w:fldChar w:fldCharType="end"/>
                      </w:r>
                    </w:p>
                  </w:tc>
                </w:tr>
                <w:tr w:rsidR="006B0A1A" w:rsidRPr="006B0A1A">
                  <w:trPr>
                    <w:cantSplit/>
                    <w:trHeight w:val="4925"/>
                    <w:jc w:val="center"/>
                  </w:trPr>
                  <w:tc>
                    <w:tcPr>
                      <w:tcW w:w="447" w:type="dxa"/>
                      <w:shd w:val="clear" w:color="auto" w:fill="auto"/>
                      <w:textDirection w:val="btLr"/>
                    </w:tcPr>
                    <w:p w:rsidR="006B0A1A" w:rsidRPr="006B0A1A" w:rsidRDefault="006B0A1A" w:rsidP="006B0A1A">
                      <w:pPr>
                        <w:bidi w:val="0"/>
                        <w:spacing w:line="240" w:lineRule="auto"/>
                        <w:jc w:val="left"/>
                        <w:rPr>
                          <w:sz w:val="17"/>
                          <w:rtl/>
                        </w:rPr>
                      </w:pPr>
                      <w:r>
                        <w:rPr>
                          <w:sz w:val="17"/>
                        </w:rPr>
                        <w:t>04-a0978A</w:t>
                      </w:r>
                    </w:p>
                  </w:tc>
                </w:tr>
              </w:tbl>
              <w:p w:rsidR="006B0A1A" w:rsidRDefault="006B0A1A"/>
            </w:txbxContent>
          </v:textbox>
          <w10:wrap anchorx="page"/>
        </v:shape>
      </w:pict>
    </w:r>
    <w:r>
      <w:rPr>
        <w:w w:val="100"/>
      </w:rPr>
      <w:pict>
        <v:shape id="_x0000_s1044" type="#_x0000_t202" style="position:absolute;margin-left:-1in;margin-top:28.8pt;width:50.4pt;height:492.5pt;z-index:11;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6B0A1A" w:rsidRPr="006B0A1A">
                  <w:trPr>
                    <w:cantSplit/>
                    <w:trHeight w:val="4925"/>
                    <w:jc w:val="center"/>
                  </w:trPr>
                  <w:tc>
                    <w:tcPr>
                      <w:tcW w:w="1023" w:type="dxa"/>
                      <w:shd w:val="clear" w:color="auto" w:fill="auto"/>
                      <w:textDirection w:val="btLr"/>
                      <w:vAlign w:val="bottom"/>
                    </w:tcPr>
                    <w:p w:rsidR="006B0A1A" w:rsidRPr="006B0A1A" w:rsidRDefault="006B0A1A" w:rsidP="006B0A1A">
                      <w:pPr>
                        <w:bidi w:val="0"/>
                        <w:spacing w:line="240" w:lineRule="auto"/>
                        <w:ind w:left="14" w:right="14"/>
                        <w:jc w:val="right"/>
                        <w:rPr>
                          <w:rFonts w:hint="cs"/>
                          <w:b/>
                          <w:bCs/>
                          <w:sz w:val="17"/>
                          <w:szCs w:val="26"/>
                          <w:rtl/>
                        </w:rPr>
                      </w:pPr>
                      <w:r w:rsidRPr="006B0A1A">
                        <w:rPr>
                          <w:b/>
                          <w:bCs/>
                          <w:sz w:val="17"/>
                          <w:szCs w:val="26"/>
                        </w:rPr>
                        <w:t>CEDAW/C/MYS/1-2</w:t>
                      </w:r>
                    </w:p>
                  </w:tc>
                </w:tr>
                <w:tr w:rsidR="006B0A1A" w:rsidRPr="006B0A1A">
                  <w:trPr>
                    <w:cantSplit/>
                    <w:trHeight w:val="4925"/>
                    <w:jc w:val="center"/>
                  </w:trPr>
                  <w:tc>
                    <w:tcPr>
                      <w:tcW w:w="1023" w:type="dxa"/>
                      <w:shd w:val="clear" w:color="auto" w:fill="auto"/>
                      <w:textDirection w:val="btLr"/>
                      <w:vAlign w:val="bottom"/>
                    </w:tcPr>
                    <w:p w:rsidR="006B0A1A" w:rsidRPr="006B0A1A" w:rsidRDefault="006B0A1A" w:rsidP="006B0A1A">
                      <w:pPr>
                        <w:bidi w:val="0"/>
                        <w:spacing w:line="240" w:lineRule="auto"/>
                        <w:ind w:left="14" w:right="14"/>
                        <w:jc w:val="right"/>
                        <w:rPr>
                          <w:b/>
                          <w:bCs/>
                          <w:sz w:val="17"/>
                          <w:szCs w:val="26"/>
                          <w:rtl/>
                        </w:rPr>
                      </w:pPr>
                    </w:p>
                  </w:tc>
                </w:tr>
              </w:tbl>
              <w:p w:rsidR="006B0A1A" w:rsidRDefault="006B0A1A"/>
            </w:txbxContent>
          </v:textbox>
          <w10:wrap anchorx="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Pr="006B0A1A" w:rsidRDefault="006B0A1A" w:rsidP="006B0A1A">
    <w:pPr>
      <w:pStyle w:val="Header"/>
    </w:pPr>
    <w:r>
      <w:rPr>
        <w:w w:val="100"/>
      </w:rPr>
      <w:pict>
        <v:shapetype id="_x0000_t202" coordsize="21600,21600" o:spt="202" path="m,l,21600r21600,l21600,xe">
          <v:stroke joinstyle="miter"/>
          <v:path gradientshapeok="t" o:connecttype="rect"/>
        </v:shapetype>
        <v:shape id="_x0000_s1047" type="#_x0000_t202" style="position:absolute;margin-left:619.2pt;margin-top:28.8pt;width:21.6pt;height:492.5pt;z-index:14;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6B0A1A" w:rsidRPr="006B0A1A">
                  <w:trPr>
                    <w:cantSplit/>
                    <w:trHeight w:val="4925"/>
                    <w:jc w:val="center"/>
                  </w:trPr>
                  <w:tc>
                    <w:tcPr>
                      <w:tcW w:w="447" w:type="dxa"/>
                      <w:shd w:val="clear" w:color="auto" w:fill="auto"/>
                      <w:textDirection w:val="btLr"/>
                    </w:tcPr>
                    <w:p w:rsidR="006B0A1A" w:rsidRPr="006B0A1A" w:rsidRDefault="006B0A1A" w:rsidP="006B0A1A">
                      <w:pPr>
                        <w:bidi w:val="0"/>
                        <w:spacing w:line="240" w:lineRule="auto"/>
                        <w:jc w:val="right"/>
                        <w:rPr>
                          <w:sz w:val="17"/>
                          <w:rtl/>
                        </w:rPr>
                      </w:pPr>
                      <w:r>
                        <w:rPr>
                          <w:sz w:val="17"/>
                        </w:rPr>
                        <w:t>04-a0978A</w:t>
                      </w:r>
                    </w:p>
                  </w:tc>
                </w:tr>
                <w:tr w:rsidR="006B0A1A" w:rsidRPr="006B0A1A">
                  <w:trPr>
                    <w:cantSplit/>
                    <w:trHeight w:val="4925"/>
                    <w:jc w:val="center"/>
                  </w:trPr>
                  <w:tc>
                    <w:tcPr>
                      <w:tcW w:w="447" w:type="dxa"/>
                      <w:shd w:val="clear" w:color="auto" w:fill="auto"/>
                      <w:textDirection w:val="btLr"/>
                    </w:tcPr>
                    <w:p w:rsidR="006B0A1A" w:rsidRPr="006B0A1A" w:rsidRDefault="006B0A1A" w:rsidP="006B0A1A">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Pr>
                          <w:b/>
                          <w:noProof/>
                          <w:sz w:val="17"/>
                        </w:rPr>
                        <w:t>97</w:t>
                      </w:r>
                      <w:r>
                        <w:rPr>
                          <w:b/>
                          <w:sz w:val="17"/>
                        </w:rPr>
                        <w:fldChar w:fldCharType="end"/>
                      </w:r>
                    </w:p>
                  </w:tc>
                </w:tr>
              </w:tbl>
              <w:p w:rsidR="006B0A1A" w:rsidRDefault="006B0A1A"/>
            </w:txbxContent>
          </v:textbox>
          <w10:wrap anchorx="page"/>
        </v:shape>
      </w:pict>
    </w:r>
    <w:r>
      <w:rPr>
        <w:w w:val="100"/>
      </w:rPr>
      <w:pict>
        <v:shape id="_x0000_s1046" type="#_x0000_t202" style="position:absolute;margin-left:-1in;margin-top:28.8pt;width:50.4pt;height:492.5pt;z-index:13;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6B0A1A" w:rsidRPr="006B0A1A">
                  <w:trPr>
                    <w:cantSplit/>
                    <w:trHeight w:val="4925"/>
                    <w:jc w:val="center"/>
                  </w:trPr>
                  <w:tc>
                    <w:tcPr>
                      <w:tcW w:w="1023" w:type="dxa"/>
                      <w:shd w:val="clear" w:color="auto" w:fill="auto"/>
                      <w:textDirection w:val="btLr"/>
                      <w:vAlign w:val="bottom"/>
                    </w:tcPr>
                    <w:p w:rsidR="006B0A1A" w:rsidRPr="006B0A1A" w:rsidRDefault="006B0A1A" w:rsidP="006B0A1A">
                      <w:pPr>
                        <w:bidi w:val="0"/>
                        <w:spacing w:line="240" w:lineRule="auto"/>
                        <w:ind w:left="14" w:right="14"/>
                        <w:jc w:val="left"/>
                        <w:rPr>
                          <w:b/>
                          <w:bCs/>
                          <w:sz w:val="17"/>
                          <w:szCs w:val="26"/>
                          <w:rtl/>
                        </w:rPr>
                      </w:pPr>
                    </w:p>
                  </w:tc>
                </w:tr>
                <w:tr w:rsidR="006B0A1A" w:rsidRPr="006B0A1A">
                  <w:trPr>
                    <w:cantSplit/>
                    <w:trHeight w:val="4925"/>
                    <w:jc w:val="center"/>
                  </w:trPr>
                  <w:tc>
                    <w:tcPr>
                      <w:tcW w:w="1023" w:type="dxa"/>
                      <w:shd w:val="clear" w:color="auto" w:fill="auto"/>
                      <w:textDirection w:val="btLr"/>
                      <w:vAlign w:val="bottom"/>
                    </w:tcPr>
                    <w:p w:rsidR="006B0A1A" w:rsidRPr="006B0A1A" w:rsidRDefault="006B0A1A" w:rsidP="006B0A1A">
                      <w:pPr>
                        <w:bidi w:val="0"/>
                        <w:spacing w:line="240" w:lineRule="auto"/>
                        <w:ind w:left="14" w:right="14"/>
                        <w:jc w:val="left"/>
                        <w:rPr>
                          <w:b/>
                          <w:bCs/>
                          <w:sz w:val="17"/>
                          <w:szCs w:val="26"/>
                          <w:rtl/>
                        </w:rPr>
                      </w:pPr>
                      <w:r w:rsidRPr="006B0A1A">
                        <w:rPr>
                          <w:b/>
                          <w:bCs/>
                          <w:sz w:val="17"/>
                          <w:szCs w:val="26"/>
                        </w:rPr>
                        <w:t>CEDAW/C/MYS/1-2</w:t>
                      </w:r>
                    </w:p>
                  </w:tc>
                </w:tr>
              </w:tbl>
              <w:p w:rsidR="006B0A1A" w:rsidRDefault="006B0A1A"/>
            </w:txbxContent>
          </v:textbox>
          <w10:wrap anchorx="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Default="006B0A1A" w:rsidP="00C43389">
    <w:pPr>
      <w:pStyle w:val="Header"/>
    </w:pPr>
  </w:p>
  <w:p w:rsidR="006B0A1A" w:rsidRDefault="006B0A1A" w:rsidP="00C43389">
    <w:pPr>
      <w:pStyle w:val="Header"/>
    </w:pPr>
  </w:p>
  <w:p w:rsidR="006B0A1A" w:rsidRDefault="006B0A1A" w:rsidP="00C43389">
    <w:pPr>
      <w:pStyle w:val="Header"/>
    </w:pPr>
  </w:p>
  <w:p w:rsidR="006B0A1A" w:rsidRDefault="006B0A1A" w:rsidP="00C43389">
    <w:pPr>
      <w:pStyle w:val="Header"/>
    </w:pPr>
  </w:p>
  <w:p w:rsidR="006B0A1A" w:rsidRPr="001818D9" w:rsidRDefault="006B0A1A" w:rsidP="0010008E">
    <w:pPr>
      <w:pStyle w:val="Header"/>
      <w:pBdr>
        <w:bottom w:val="single" w:sz="4" w:space="1" w:color="auto"/>
      </w:pBdr>
      <w:jc w:val="right"/>
    </w:pPr>
    <w:r w:rsidRPr="009744B6">
      <w:rPr>
        <w:b w:val="0"/>
        <w:bCs w:val="0"/>
        <w:w w:val="103"/>
      </w:rPr>
      <w:t>CEDAW/C/MYS/1-2</w:t>
    </w:r>
    <w:r>
      <w:rPr>
        <w:w w:val="100"/>
        <w:lang w:eastAsia="zh-CN"/>
      </w:rPr>
      <w:pict>
        <v:shapetype id="_x0000_t202" coordsize="21600,21600" o:spt="202" path="m,l,21600r21600,l21600,xe">
          <v:stroke joinstyle="miter"/>
          <v:path gradientshapeok="t" o:connecttype="rect"/>
        </v:shapetype>
        <v:shape id="_x0000_s1042" type="#_x0000_t202" style="position:absolute;left:0;text-align:left;margin-left:619.2pt;margin-top:28.8pt;width:21.6pt;height:492.5pt;z-index:9;mso-wrap-style:tight;mso-position-horizontal-relative:margin;mso-position-vertical-relative:text" stroked="f">
          <v:textbox style="mso-next-textbox:#_x0000_s1042" inset="0,0,0,0">
            <w:txbxContent>
              <w:tbl>
                <w:tblPr>
                  <w:tblStyle w:val="PageNumber"/>
                  <w:bidiVisual/>
                  <w:tblW w:w="432" w:type="dxa"/>
                  <w:jc w:val="center"/>
                  <w:tblCellMar>
                    <w:left w:w="0" w:type="dxa"/>
                    <w:right w:w="0" w:type="dxa"/>
                  </w:tblCellMar>
                  <w:tblLook w:val="01E0" w:firstRow="1" w:lastRow="1" w:firstColumn="1" w:lastColumn="1" w:noHBand="0" w:noVBand="0"/>
                </w:tblPr>
                <w:tblGrid>
                  <w:gridCol w:w="432"/>
                </w:tblGrid>
                <w:tr w:rsidR="006B0A1A" w:rsidRPr="001818D9">
                  <w:trPr>
                    <w:cantSplit/>
                    <w:trHeight w:val="4925"/>
                    <w:jc w:val="center"/>
                  </w:trPr>
                  <w:tc>
                    <w:tcPr>
                      <w:tcW w:w="447" w:type="dxa"/>
                      <w:shd w:val="clear" w:color="auto" w:fill="auto"/>
                      <w:textDirection w:val="btLr"/>
                    </w:tcPr>
                    <w:p w:rsidR="006B0A1A" w:rsidRPr="001818D9" w:rsidRDefault="006B0A1A" w:rsidP="00C43389">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EC112E">
                        <w:rPr>
                          <w:b/>
                          <w:noProof/>
                          <w:sz w:val="17"/>
                        </w:rPr>
                        <w:t>166</w:t>
                      </w:r>
                      <w:r>
                        <w:rPr>
                          <w:b/>
                          <w:sz w:val="17"/>
                        </w:rPr>
                        <w:fldChar w:fldCharType="end"/>
                      </w:r>
                    </w:p>
                  </w:tc>
                </w:tr>
                <w:tr w:rsidR="006B0A1A" w:rsidRPr="001818D9">
                  <w:trPr>
                    <w:cantSplit/>
                    <w:trHeight w:val="4925"/>
                    <w:jc w:val="center"/>
                  </w:trPr>
                  <w:tc>
                    <w:tcPr>
                      <w:tcW w:w="447" w:type="dxa"/>
                      <w:shd w:val="clear" w:color="auto" w:fill="auto"/>
                      <w:textDirection w:val="btLr"/>
                    </w:tcPr>
                    <w:p w:rsidR="006B0A1A" w:rsidRPr="001818D9" w:rsidRDefault="006B0A1A" w:rsidP="00C43389">
                      <w:pPr>
                        <w:bidi w:val="0"/>
                        <w:spacing w:line="240" w:lineRule="auto"/>
                        <w:jc w:val="left"/>
                        <w:rPr>
                          <w:sz w:val="17"/>
                          <w:rtl/>
                        </w:rPr>
                      </w:pPr>
                      <w:r>
                        <w:rPr>
                          <w:sz w:val="17"/>
                        </w:rPr>
                        <w:t>04-30978</w:t>
                      </w:r>
                    </w:p>
                  </w:tc>
                </w:tr>
              </w:tbl>
              <w:p w:rsidR="006B0A1A" w:rsidRDefault="006B0A1A"/>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A1A" w:rsidRDefault="006B0A1A" w:rsidP="00C43389">
    <w:pPr>
      <w:pStyle w:val="Header"/>
    </w:pPr>
  </w:p>
  <w:p w:rsidR="006B0A1A" w:rsidRDefault="006B0A1A" w:rsidP="00C43389">
    <w:pPr>
      <w:pStyle w:val="Header"/>
    </w:pPr>
  </w:p>
  <w:p w:rsidR="006B0A1A" w:rsidRDefault="006B0A1A" w:rsidP="0004748B">
    <w:pPr>
      <w:pStyle w:val="Header"/>
      <w:pBdr>
        <w:bottom w:val="single" w:sz="4" w:space="1" w:color="auto"/>
      </w:pBdr>
    </w:pPr>
    <w:r w:rsidRPr="009744B6">
      <w:rPr>
        <w:b w:val="0"/>
        <w:bCs w:val="0"/>
      </w:rPr>
      <w:t>C</w:t>
    </w:r>
    <w:r w:rsidRPr="009744B6">
      <w:rPr>
        <w:b w:val="0"/>
        <w:bCs w:val="0"/>
      </w:rPr>
      <w:t>E</w:t>
    </w:r>
    <w:r w:rsidRPr="009744B6">
      <w:rPr>
        <w:b w:val="0"/>
        <w:bCs w:val="0"/>
      </w:rPr>
      <w:t>DAW/C/MYS/1-2</w:t>
    </w:r>
    <w:r>
      <w:pict>
        <v:shapetype id="_x0000_t202" coordsize="21600,21600" o:spt="202" path="m,l,21600r21600,l21600,xe">
          <v:stroke joinstyle="miter"/>
          <v:path gradientshapeok="t" o:connecttype="rect"/>
        </v:shapetype>
        <v:shape id="_x0000_s1043" type="#_x0000_t202" style="position:absolute;margin-left:631.2pt;margin-top:11.5pt;width:21.6pt;height:492.5pt;z-index:10;mso-wrap-style:tight;mso-position-horizontal-relative:margin;mso-position-vertical-relative:text" stroked="f">
          <v:textbox style="mso-next-textbox:#_x0000_s1043" inset="0,0,0,0">
            <w:txbxContent>
              <w:tbl>
                <w:tblPr>
                  <w:tblStyle w:val="PageNumber"/>
                  <w:bidiVisual/>
                  <w:tblW w:w="432" w:type="dxa"/>
                  <w:jc w:val="center"/>
                  <w:tblCellMar>
                    <w:left w:w="0" w:type="dxa"/>
                    <w:right w:w="0" w:type="dxa"/>
                  </w:tblCellMar>
                  <w:tblLook w:val="01E0" w:firstRow="1" w:lastRow="1" w:firstColumn="1" w:lastColumn="1" w:noHBand="0" w:noVBand="0"/>
                </w:tblPr>
                <w:tblGrid>
                  <w:gridCol w:w="432"/>
                </w:tblGrid>
                <w:tr w:rsidR="006B0A1A" w:rsidRPr="001818D9">
                  <w:trPr>
                    <w:cantSplit/>
                    <w:trHeight w:val="4925"/>
                    <w:jc w:val="center"/>
                  </w:trPr>
                  <w:tc>
                    <w:tcPr>
                      <w:tcW w:w="447" w:type="dxa"/>
                      <w:shd w:val="clear" w:color="auto" w:fill="auto"/>
                      <w:textDirection w:val="btLr"/>
                    </w:tcPr>
                    <w:p w:rsidR="006B0A1A" w:rsidRPr="001818D9" w:rsidRDefault="006B0A1A" w:rsidP="00C43389">
                      <w:pPr>
                        <w:bidi w:val="0"/>
                        <w:spacing w:line="240" w:lineRule="auto"/>
                        <w:jc w:val="right"/>
                        <w:rPr>
                          <w:b/>
                          <w:sz w:val="17"/>
                          <w:rtl/>
                        </w:rPr>
                      </w:pPr>
                      <w:r>
                        <w:rPr>
                          <w:sz w:val="17"/>
                        </w:rPr>
                        <w:t>04-30978</w:t>
                      </w:r>
                    </w:p>
                  </w:tc>
                </w:tr>
                <w:tr w:rsidR="006B0A1A" w:rsidRPr="001818D9">
                  <w:trPr>
                    <w:cantSplit/>
                    <w:trHeight w:val="4925"/>
                    <w:jc w:val="center"/>
                  </w:trPr>
                  <w:tc>
                    <w:tcPr>
                      <w:tcW w:w="447" w:type="dxa"/>
                      <w:shd w:val="clear" w:color="auto" w:fill="auto"/>
                      <w:textDirection w:val="btLr"/>
                    </w:tcPr>
                    <w:p w:rsidR="006B0A1A" w:rsidRPr="001818D9" w:rsidRDefault="006B0A1A" w:rsidP="00C43389">
                      <w:pPr>
                        <w:bidi w:val="0"/>
                        <w:spacing w:line="240" w:lineRule="auto"/>
                        <w:jc w:val="left"/>
                        <w:rPr>
                          <w:sz w:val="17"/>
                          <w:rtl/>
                        </w:rPr>
                      </w:pPr>
                      <w:r>
                        <w:rPr>
                          <w:rStyle w:val="PageNumber"/>
                          <w:b/>
                          <w:bCs/>
                          <w:noProof/>
                          <w:w w:val="100"/>
                          <w:kern w:val="0"/>
                          <w:sz w:val="17"/>
                          <w:szCs w:val="25"/>
                          <w:lang w:eastAsia="en-US"/>
                        </w:rPr>
                        <w:fldChar w:fldCharType="begin"/>
                      </w:r>
                      <w:r>
                        <w:rPr>
                          <w:rStyle w:val="PageNumber"/>
                          <w:b/>
                          <w:bCs/>
                          <w:noProof/>
                          <w:w w:val="100"/>
                          <w:kern w:val="0"/>
                          <w:sz w:val="17"/>
                          <w:szCs w:val="25"/>
                          <w:lang w:eastAsia="en-US"/>
                        </w:rPr>
                        <w:instrText xml:space="preserve"> PAGE </w:instrText>
                      </w:r>
                      <w:r>
                        <w:rPr>
                          <w:rStyle w:val="PageNumber"/>
                          <w:b/>
                          <w:bCs/>
                          <w:noProof/>
                          <w:w w:val="100"/>
                          <w:kern w:val="0"/>
                          <w:sz w:val="17"/>
                          <w:szCs w:val="25"/>
                          <w:lang w:eastAsia="en-US"/>
                        </w:rPr>
                        <w:fldChar w:fldCharType="separate"/>
                      </w:r>
                      <w:r w:rsidR="00EC112E">
                        <w:rPr>
                          <w:rStyle w:val="PageNumber"/>
                          <w:b/>
                          <w:bCs/>
                          <w:noProof/>
                          <w:w w:val="100"/>
                          <w:kern w:val="0"/>
                          <w:sz w:val="17"/>
                          <w:szCs w:val="25"/>
                          <w:lang w:eastAsia="en-US"/>
                        </w:rPr>
                        <w:t>167</w:t>
                      </w:r>
                      <w:r>
                        <w:rPr>
                          <w:rStyle w:val="PageNumber"/>
                          <w:b/>
                          <w:bCs/>
                          <w:noProof/>
                          <w:w w:val="100"/>
                          <w:kern w:val="0"/>
                          <w:sz w:val="17"/>
                          <w:szCs w:val="25"/>
                          <w:lang w:eastAsia="en-US"/>
                        </w:rPr>
                        <w:fldChar w:fldCharType="end"/>
                      </w:r>
                    </w:p>
                  </w:tc>
                </w:tr>
              </w:tbl>
              <w:p w:rsidR="006B0A1A" w:rsidRDefault="006B0A1A" w:rsidP="0029727B"/>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4/2004 06:004 م"/>
    <w:docVar w:name="DocCategory" w:val="Doc"/>
    <w:docVar w:name="DocType" w:val="Final"/>
    <w:docVar w:name="JobNo" w:val="0430978A"/>
    <w:docVar w:name="OandT" w:val=" "/>
    <w:docVar w:name="Symbol1" w:val="CEDAW/C/MYS/1-2"/>
    <w:docVar w:name="Symbol2" w:val="-"/>
  </w:docVars>
  <w:rsids>
    <w:rsidRoot w:val="00CD3849"/>
    <w:rsid w:val="00007E21"/>
    <w:rsid w:val="00042425"/>
    <w:rsid w:val="0004748B"/>
    <w:rsid w:val="00056E53"/>
    <w:rsid w:val="000778AE"/>
    <w:rsid w:val="0008419B"/>
    <w:rsid w:val="000867E5"/>
    <w:rsid w:val="00087310"/>
    <w:rsid w:val="0009732C"/>
    <w:rsid w:val="000A5EE4"/>
    <w:rsid w:val="000B13ED"/>
    <w:rsid w:val="000D2CEC"/>
    <w:rsid w:val="000E4F66"/>
    <w:rsid w:val="000F6286"/>
    <w:rsid w:val="0010008E"/>
    <w:rsid w:val="00101EE8"/>
    <w:rsid w:val="001401C0"/>
    <w:rsid w:val="0014328E"/>
    <w:rsid w:val="00145B0B"/>
    <w:rsid w:val="00151109"/>
    <w:rsid w:val="00155503"/>
    <w:rsid w:val="001624D1"/>
    <w:rsid w:val="0016295A"/>
    <w:rsid w:val="0016615A"/>
    <w:rsid w:val="0016686F"/>
    <w:rsid w:val="00173D36"/>
    <w:rsid w:val="00187870"/>
    <w:rsid w:val="00193E4B"/>
    <w:rsid w:val="001976DD"/>
    <w:rsid w:val="001A768F"/>
    <w:rsid w:val="001B2605"/>
    <w:rsid w:val="001B2F0F"/>
    <w:rsid w:val="001B5228"/>
    <w:rsid w:val="001C09CA"/>
    <w:rsid w:val="001C2C3E"/>
    <w:rsid w:val="001D04AD"/>
    <w:rsid w:val="001D10FA"/>
    <w:rsid w:val="001D54DE"/>
    <w:rsid w:val="001E6753"/>
    <w:rsid w:val="00201B54"/>
    <w:rsid w:val="00204CFE"/>
    <w:rsid w:val="00212869"/>
    <w:rsid w:val="00215D2A"/>
    <w:rsid w:val="00217B35"/>
    <w:rsid w:val="00227BC8"/>
    <w:rsid w:val="00266F59"/>
    <w:rsid w:val="002676DB"/>
    <w:rsid w:val="00272B6C"/>
    <w:rsid w:val="002833BD"/>
    <w:rsid w:val="002853E7"/>
    <w:rsid w:val="00287A64"/>
    <w:rsid w:val="00290F2F"/>
    <w:rsid w:val="002937DA"/>
    <w:rsid w:val="0029727B"/>
    <w:rsid w:val="002C2AF2"/>
    <w:rsid w:val="002C4E1B"/>
    <w:rsid w:val="002C6E44"/>
    <w:rsid w:val="002D27EA"/>
    <w:rsid w:val="002D79BD"/>
    <w:rsid w:val="00300264"/>
    <w:rsid w:val="00312162"/>
    <w:rsid w:val="00332167"/>
    <w:rsid w:val="003501D5"/>
    <w:rsid w:val="003535F9"/>
    <w:rsid w:val="0035381B"/>
    <w:rsid w:val="00371AC4"/>
    <w:rsid w:val="00373027"/>
    <w:rsid w:val="00375A49"/>
    <w:rsid w:val="00394B9D"/>
    <w:rsid w:val="003A44F5"/>
    <w:rsid w:val="003A65ED"/>
    <w:rsid w:val="003A6FEC"/>
    <w:rsid w:val="003A7A8C"/>
    <w:rsid w:val="003B5BDF"/>
    <w:rsid w:val="003C4FDD"/>
    <w:rsid w:val="003D4612"/>
    <w:rsid w:val="003D5ECD"/>
    <w:rsid w:val="003D6CF5"/>
    <w:rsid w:val="003F4B8C"/>
    <w:rsid w:val="00401BDF"/>
    <w:rsid w:val="00411BBD"/>
    <w:rsid w:val="00412A9C"/>
    <w:rsid w:val="00415922"/>
    <w:rsid w:val="0042757D"/>
    <w:rsid w:val="00437C14"/>
    <w:rsid w:val="00441559"/>
    <w:rsid w:val="00442907"/>
    <w:rsid w:val="00445EAA"/>
    <w:rsid w:val="00453069"/>
    <w:rsid w:val="0048325C"/>
    <w:rsid w:val="00484A02"/>
    <w:rsid w:val="00494EE2"/>
    <w:rsid w:val="00496E83"/>
    <w:rsid w:val="004A2188"/>
    <w:rsid w:val="004B0AE0"/>
    <w:rsid w:val="004B14A0"/>
    <w:rsid w:val="004E5EDB"/>
    <w:rsid w:val="004F1402"/>
    <w:rsid w:val="004F6563"/>
    <w:rsid w:val="00502F63"/>
    <w:rsid w:val="0050659B"/>
    <w:rsid w:val="005147DB"/>
    <w:rsid w:val="00514C69"/>
    <w:rsid w:val="0052425F"/>
    <w:rsid w:val="00524A2E"/>
    <w:rsid w:val="005279DE"/>
    <w:rsid w:val="00534772"/>
    <w:rsid w:val="00537FCD"/>
    <w:rsid w:val="00545F76"/>
    <w:rsid w:val="00556882"/>
    <w:rsid w:val="005578C2"/>
    <w:rsid w:val="00561E43"/>
    <w:rsid w:val="005775B5"/>
    <w:rsid w:val="005838F5"/>
    <w:rsid w:val="0059193F"/>
    <w:rsid w:val="00591B45"/>
    <w:rsid w:val="0059340C"/>
    <w:rsid w:val="0059683E"/>
    <w:rsid w:val="005A7C8D"/>
    <w:rsid w:val="005D2EDF"/>
    <w:rsid w:val="005D6A66"/>
    <w:rsid w:val="005E382D"/>
    <w:rsid w:val="00605212"/>
    <w:rsid w:val="006218A3"/>
    <w:rsid w:val="00626984"/>
    <w:rsid w:val="00641A30"/>
    <w:rsid w:val="006546A2"/>
    <w:rsid w:val="00663F64"/>
    <w:rsid w:val="00696B7A"/>
    <w:rsid w:val="006A584A"/>
    <w:rsid w:val="006B0A1A"/>
    <w:rsid w:val="006C38EE"/>
    <w:rsid w:val="006C6843"/>
    <w:rsid w:val="006D530C"/>
    <w:rsid w:val="006D6A74"/>
    <w:rsid w:val="006E221F"/>
    <w:rsid w:val="00714C24"/>
    <w:rsid w:val="0071531E"/>
    <w:rsid w:val="0071645B"/>
    <w:rsid w:val="00716E9D"/>
    <w:rsid w:val="007202A0"/>
    <w:rsid w:val="00721376"/>
    <w:rsid w:val="007309BE"/>
    <w:rsid w:val="00730FA5"/>
    <w:rsid w:val="0073227A"/>
    <w:rsid w:val="00733A97"/>
    <w:rsid w:val="00734F8F"/>
    <w:rsid w:val="0073789C"/>
    <w:rsid w:val="007402D8"/>
    <w:rsid w:val="007476AF"/>
    <w:rsid w:val="00747B9E"/>
    <w:rsid w:val="007525FA"/>
    <w:rsid w:val="00756B6A"/>
    <w:rsid w:val="00761681"/>
    <w:rsid w:val="00774FF0"/>
    <w:rsid w:val="007825F3"/>
    <w:rsid w:val="00796267"/>
    <w:rsid w:val="0079753A"/>
    <w:rsid w:val="007A6DD9"/>
    <w:rsid w:val="007C2B35"/>
    <w:rsid w:val="007C4740"/>
    <w:rsid w:val="007E36C4"/>
    <w:rsid w:val="007E381B"/>
    <w:rsid w:val="007F51F1"/>
    <w:rsid w:val="00801359"/>
    <w:rsid w:val="00807715"/>
    <w:rsid w:val="00811E2C"/>
    <w:rsid w:val="0081284F"/>
    <w:rsid w:val="00814843"/>
    <w:rsid w:val="00824999"/>
    <w:rsid w:val="00830E32"/>
    <w:rsid w:val="00855C60"/>
    <w:rsid w:val="00860B97"/>
    <w:rsid w:val="00872AEB"/>
    <w:rsid w:val="00873AF9"/>
    <w:rsid w:val="008743A7"/>
    <w:rsid w:val="00880AAE"/>
    <w:rsid w:val="008A3065"/>
    <w:rsid w:val="008A3EFF"/>
    <w:rsid w:val="008A4117"/>
    <w:rsid w:val="008D1C04"/>
    <w:rsid w:val="008D67CC"/>
    <w:rsid w:val="008D6F39"/>
    <w:rsid w:val="008F04A0"/>
    <w:rsid w:val="008F64A7"/>
    <w:rsid w:val="008F6919"/>
    <w:rsid w:val="0090012B"/>
    <w:rsid w:val="00911789"/>
    <w:rsid w:val="00950EA3"/>
    <w:rsid w:val="00955676"/>
    <w:rsid w:val="009744B6"/>
    <w:rsid w:val="00974675"/>
    <w:rsid w:val="009829B7"/>
    <w:rsid w:val="00983C27"/>
    <w:rsid w:val="009915BC"/>
    <w:rsid w:val="009927C0"/>
    <w:rsid w:val="00993370"/>
    <w:rsid w:val="009A2AD0"/>
    <w:rsid w:val="009A3BF6"/>
    <w:rsid w:val="009B11A3"/>
    <w:rsid w:val="009C15F4"/>
    <w:rsid w:val="009C2F90"/>
    <w:rsid w:val="009D62A3"/>
    <w:rsid w:val="009E0675"/>
    <w:rsid w:val="009E2A1F"/>
    <w:rsid w:val="00A30097"/>
    <w:rsid w:val="00A31377"/>
    <w:rsid w:val="00A32062"/>
    <w:rsid w:val="00A662D1"/>
    <w:rsid w:val="00A67DAF"/>
    <w:rsid w:val="00A71AE5"/>
    <w:rsid w:val="00A71FC6"/>
    <w:rsid w:val="00A90899"/>
    <w:rsid w:val="00A91559"/>
    <w:rsid w:val="00AB673A"/>
    <w:rsid w:val="00AC002C"/>
    <w:rsid w:val="00AC18E2"/>
    <w:rsid w:val="00AC1D30"/>
    <w:rsid w:val="00AC4922"/>
    <w:rsid w:val="00AC6CDD"/>
    <w:rsid w:val="00AD38D0"/>
    <w:rsid w:val="00AD58BA"/>
    <w:rsid w:val="00AD6298"/>
    <w:rsid w:val="00AF1A53"/>
    <w:rsid w:val="00AF207C"/>
    <w:rsid w:val="00AF7AC7"/>
    <w:rsid w:val="00B05ADC"/>
    <w:rsid w:val="00B3154E"/>
    <w:rsid w:val="00B370FD"/>
    <w:rsid w:val="00B416F5"/>
    <w:rsid w:val="00B43E85"/>
    <w:rsid w:val="00B50A9C"/>
    <w:rsid w:val="00B524E5"/>
    <w:rsid w:val="00B54DB4"/>
    <w:rsid w:val="00B61E91"/>
    <w:rsid w:val="00B62EFF"/>
    <w:rsid w:val="00B84EA3"/>
    <w:rsid w:val="00B852CB"/>
    <w:rsid w:val="00B95560"/>
    <w:rsid w:val="00B97045"/>
    <w:rsid w:val="00BA56C6"/>
    <w:rsid w:val="00BA7FAB"/>
    <w:rsid w:val="00BB3A78"/>
    <w:rsid w:val="00BB415E"/>
    <w:rsid w:val="00BB62B8"/>
    <w:rsid w:val="00BC2F4C"/>
    <w:rsid w:val="00BC4A05"/>
    <w:rsid w:val="00BC7F82"/>
    <w:rsid w:val="00BD2713"/>
    <w:rsid w:val="00BD4428"/>
    <w:rsid w:val="00BF0B15"/>
    <w:rsid w:val="00C013DD"/>
    <w:rsid w:val="00C12CBB"/>
    <w:rsid w:val="00C1336A"/>
    <w:rsid w:val="00C25A2D"/>
    <w:rsid w:val="00C260F8"/>
    <w:rsid w:val="00C36675"/>
    <w:rsid w:val="00C43389"/>
    <w:rsid w:val="00C449C6"/>
    <w:rsid w:val="00C47646"/>
    <w:rsid w:val="00C526D1"/>
    <w:rsid w:val="00C52B51"/>
    <w:rsid w:val="00C564B0"/>
    <w:rsid w:val="00C62BA8"/>
    <w:rsid w:val="00C74C10"/>
    <w:rsid w:val="00C814A5"/>
    <w:rsid w:val="00C96573"/>
    <w:rsid w:val="00CA285F"/>
    <w:rsid w:val="00CA35C2"/>
    <w:rsid w:val="00CA41A2"/>
    <w:rsid w:val="00CB05C6"/>
    <w:rsid w:val="00CC1A5F"/>
    <w:rsid w:val="00CC348A"/>
    <w:rsid w:val="00CD0BB8"/>
    <w:rsid w:val="00CD3849"/>
    <w:rsid w:val="00CE7817"/>
    <w:rsid w:val="00CF2EA1"/>
    <w:rsid w:val="00CF5041"/>
    <w:rsid w:val="00CF7384"/>
    <w:rsid w:val="00D021BA"/>
    <w:rsid w:val="00D04B8E"/>
    <w:rsid w:val="00D05661"/>
    <w:rsid w:val="00D162DD"/>
    <w:rsid w:val="00D2343D"/>
    <w:rsid w:val="00D30EAE"/>
    <w:rsid w:val="00D318F1"/>
    <w:rsid w:val="00D400B5"/>
    <w:rsid w:val="00D40B0E"/>
    <w:rsid w:val="00D41942"/>
    <w:rsid w:val="00D425E5"/>
    <w:rsid w:val="00D4496C"/>
    <w:rsid w:val="00D46073"/>
    <w:rsid w:val="00D54E08"/>
    <w:rsid w:val="00D64B3D"/>
    <w:rsid w:val="00D81A14"/>
    <w:rsid w:val="00D90777"/>
    <w:rsid w:val="00D969BE"/>
    <w:rsid w:val="00DA0E07"/>
    <w:rsid w:val="00DA0F98"/>
    <w:rsid w:val="00DA66B7"/>
    <w:rsid w:val="00DA66C1"/>
    <w:rsid w:val="00DB0865"/>
    <w:rsid w:val="00DC79D9"/>
    <w:rsid w:val="00DD60BC"/>
    <w:rsid w:val="00DD7754"/>
    <w:rsid w:val="00DE2B1F"/>
    <w:rsid w:val="00DE5433"/>
    <w:rsid w:val="00DE7062"/>
    <w:rsid w:val="00DF19C7"/>
    <w:rsid w:val="00DF5F38"/>
    <w:rsid w:val="00DF7C3C"/>
    <w:rsid w:val="00E03453"/>
    <w:rsid w:val="00E10E6E"/>
    <w:rsid w:val="00E16698"/>
    <w:rsid w:val="00E23336"/>
    <w:rsid w:val="00E255CA"/>
    <w:rsid w:val="00E32B52"/>
    <w:rsid w:val="00E47EB8"/>
    <w:rsid w:val="00E7232B"/>
    <w:rsid w:val="00E81651"/>
    <w:rsid w:val="00E90D27"/>
    <w:rsid w:val="00E9114A"/>
    <w:rsid w:val="00EA489C"/>
    <w:rsid w:val="00EB0CA7"/>
    <w:rsid w:val="00EB4992"/>
    <w:rsid w:val="00EC112E"/>
    <w:rsid w:val="00EC3643"/>
    <w:rsid w:val="00EC65E9"/>
    <w:rsid w:val="00ED0D2B"/>
    <w:rsid w:val="00EF2128"/>
    <w:rsid w:val="00EF2E52"/>
    <w:rsid w:val="00F21685"/>
    <w:rsid w:val="00F31F01"/>
    <w:rsid w:val="00F32E4A"/>
    <w:rsid w:val="00F33784"/>
    <w:rsid w:val="00F36D8C"/>
    <w:rsid w:val="00F36E18"/>
    <w:rsid w:val="00F37AED"/>
    <w:rsid w:val="00F41E11"/>
    <w:rsid w:val="00F42962"/>
    <w:rsid w:val="00F443B7"/>
    <w:rsid w:val="00F50427"/>
    <w:rsid w:val="00F5724D"/>
    <w:rsid w:val="00F74F97"/>
    <w:rsid w:val="00F77BAB"/>
    <w:rsid w:val="00F83864"/>
    <w:rsid w:val="00F87B02"/>
    <w:rsid w:val="00F91D4D"/>
    <w:rsid w:val="00F93545"/>
    <w:rsid w:val="00FA2FE4"/>
    <w:rsid w:val="00FB4836"/>
    <w:rsid w:val="00FB4E06"/>
    <w:rsid w:val="00FC2F8B"/>
    <w:rsid w:val="00FC3483"/>
    <w:rsid w:val="00FC4D68"/>
    <w:rsid w:val="00FC6182"/>
    <w:rsid w:val="00FD235C"/>
    <w:rsid w:val="00FD2ADA"/>
    <w:rsid w:val="00FD5BF2"/>
    <w:rsid w:val="00FF2D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425F"/>
    <w:rPr>
      <w:szCs w:val="20"/>
    </w:rPr>
  </w:style>
  <w:style w:type="paragraph" w:styleId="CommentSubject">
    <w:name w:val="annotation subject"/>
    <w:basedOn w:val="CommentText"/>
    <w:next w:val="CommentText"/>
    <w:semiHidden/>
    <w:rsid w:val="0052425F"/>
    <w:rPr>
      <w:b/>
      <w:bCs/>
    </w:rPr>
  </w:style>
  <w:style w:type="character" w:styleId="PageNumber">
    <w:name w:val="page number"/>
    <w:basedOn w:val="DefaultParagraphFont"/>
    <w:rsid w:val="00AF207C"/>
  </w:style>
  <w:style w:type="table" w:styleId="TableGrid">
    <w:name w:val="Table Grid"/>
    <w:basedOn w:val="TableNormal"/>
    <w:rsid w:val="006B0A1A"/>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10.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footer" Target="footer12.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footer" Target="footer9.xml"/><Relationship Id="rId33" Type="http://schemas.openxmlformats.org/officeDocument/2006/relationships/footer" Target="footer11.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image" Target="media/image3.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header" Target="header12.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footer" Target="footer6.xml"/><Relationship Id="rId31" Type="http://schemas.openxmlformats.org/officeDocument/2006/relationships/header" Target="header1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image" Target="media/image2.emf"/><Relationship Id="rId30" Type="http://schemas.openxmlformats.org/officeDocument/2006/relationships/oleObject" Target="embeddings/oleObject2.bin"/><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39789</Words>
  <Characters>226800</Characters>
  <Application>Microsoft Office Word</Application>
  <DocSecurity>4</DocSecurity>
  <Lines>1890</Lines>
  <Paragraphs>532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266057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 ALI</dc:creator>
  <cp:keywords/>
  <dc:description/>
  <cp:lastModifiedBy>Edrits</cp:lastModifiedBy>
  <cp:revision>2</cp:revision>
  <cp:lastPrinted>2004-05-26T14:45:00Z</cp:lastPrinted>
  <dcterms:created xsi:type="dcterms:W3CDTF">2004-05-26T16:31:00Z</dcterms:created>
  <dcterms:modified xsi:type="dcterms:W3CDTF">2004-05-26T16:31:00Z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CEDAW/C/MYS/1-2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0430978A</vt:lpwstr>
  </property>
</Properties>
</file>