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63C5B">
        <w:trPr>
          <w:trHeight w:val="851"/>
        </w:trPr>
        <w:tc>
          <w:tcPr>
            <w:tcW w:w="1259" w:type="dxa"/>
            <w:tcBorders>
              <w:top w:val="nil"/>
              <w:left w:val="nil"/>
              <w:bottom w:val="single" w:sz="4" w:space="0" w:color="auto"/>
              <w:right w:val="nil"/>
            </w:tcBorders>
          </w:tcPr>
          <w:p w:rsidR="00446DE4" w:rsidRPr="00F63C5B" w:rsidRDefault="00446DE4" w:rsidP="00F225CB">
            <w:pPr>
              <w:tabs>
                <w:tab w:val="right" w:pos="850"/>
                <w:tab w:val="left" w:pos="1134"/>
                <w:tab w:val="right" w:leader="dot" w:pos="8504"/>
              </w:tabs>
              <w:spacing w:line="20" w:lineRule="exact"/>
              <w:rPr>
                <w:sz w:val="2"/>
              </w:rPr>
            </w:pPr>
          </w:p>
          <w:p w:rsidR="00F225CB" w:rsidRPr="00F63C5B"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F63C5B" w:rsidRDefault="00B3317B" w:rsidP="0022130F">
            <w:pPr>
              <w:spacing w:after="80" w:line="300" w:lineRule="exact"/>
              <w:rPr>
                <w:sz w:val="28"/>
                <w:szCs w:val="28"/>
              </w:rPr>
            </w:pPr>
            <w:r w:rsidRPr="00F63C5B">
              <w:rPr>
                <w:sz w:val="28"/>
                <w:szCs w:val="28"/>
              </w:rPr>
              <w:t>United Nations</w:t>
            </w:r>
          </w:p>
        </w:tc>
        <w:tc>
          <w:tcPr>
            <w:tcW w:w="6144" w:type="dxa"/>
            <w:gridSpan w:val="2"/>
            <w:tcBorders>
              <w:top w:val="nil"/>
              <w:left w:val="nil"/>
              <w:bottom w:val="single" w:sz="4" w:space="0" w:color="auto"/>
              <w:right w:val="nil"/>
            </w:tcBorders>
            <w:vAlign w:val="bottom"/>
          </w:tcPr>
          <w:p w:rsidR="00446DE4" w:rsidRPr="00F63C5B" w:rsidRDefault="00EE2A77" w:rsidP="00C37471">
            <w:pPr>
              <w:jc w:val="right"/>
            </w:pPr>
            <w:r w:rsidRPr="00F63C5B">
              <w:rPr>
                <w:sz w:val="40"/>
              </w:rPr>
              <w:t>A</w:t>
            </w:r>
            <w:r w:rsidRPr="00F63C5B">
              <w:t>/HRC/</w:t>
            </w:r>
            <w:r w:rsidR="00C37471">
              <w:t>RES/</w:t>
            </w:r>
            <w:r w:rsidR="00944104" w:rsidRPr="00F63C5B">
              <w:t>3</w:t>
            </w:r>
            <w:r w:rsidR="00317071" w:rsidRPr="00F63C5B">
              <w:t>3</w:t>
            </w:r>
            <w:r w:rsidRPr="00F63C5B">
              <w:t>/</w:t>
            </w:r>
            <w:r w:rsidR="00C37471">
              <w:t>30</w:t>
            </w:r>
          </w:p>
        </w:tc>
      </w:tr>
      <w:tr w:rsidR="003107FA" w:rsidRPr="00F63C5B">
        <w:trPr>
          <w:trHeight w:val="2835"/>
        </w:trPr>
        <w:tc>
          <w:tcPr>
            <w:tcW w:w="1259" w:type="dxa"/>
            <w:tcBorders>
              <w:top w:val="single" w:sz="4" w:space="0" w:color="auto"/>
              <w:left w:val="nil"/>
              <w:bottom w:val="single" w:sz="12" w:space="0" w:color="auto"/>
              <w:right w:val="nil"/>
            </w:tcBorders>
          </w:tcPr>
          <w:p w:rsidR="003107FA" w:rsidRPr="00F63C5B" w:rsidRDefault="004939B3" w:rsidP="00956D9B">
            <w:pPr>
              <w:spacing w:before="120"/>
              <w:jc w:val="center"/>
            </w:pPr>
            <w:r w:rsidRPr="0010079C">
              <w:rPr>
                <w:noProof/>
                <w:lang w:val="en-US" w:eastAsia="zh-CN"/>
              </w:rPr>
              <w:drawing>
                <wp:inline distT="0" distB="0" distL="0" distR="0" wp14:anchorId="05BB2D6F" wp14:editId="78CABEAE">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F63C5B" w:rsidRDefault="00B3317B" w:rsidP="00EF5BDB">
            <w:pPr>
              <w:spacing w:before="120" w:line="420" w:lineRule="exact"/>
              <w:rPr>
                <w:b/>
                <w:sz w:val="40"/>
                <w:szCs w:val="40"/>
              </w:rPr>
            </w:pPr>
            <w:r w:rsidRPr="00F63C5B">
              <w:rPr>
                <w:b/>
                <w:sz w:val="40"/>
                <w:szCs w:val="40"/>
              </w:rPr>
              <w:t>General Assembly</w:t>
            </w:r>
          </w:p>
        </w:tc>
        <w:tc>
          <w:tcPr>
            <w:tcW w:w="2930" w:type="dxa"/>
            <w:tcBorders>
              <w:top w:val="single" w:sz="4" w:space="0" w:color="auto"/>
              <w:left w:val="nil"/>
              <w:bottom w:val="single" w:sz="12" w:space="0" w:color="auto"/>
              <w:right w:val="nil"/>
            </w:tcBorders>
          </w:tcPr>
          <w:p w:rsidR="00EE2A77" w:rsidRPr="00F63C5B" w:rsidRDefault="00EE2A77" w:rsidP="00EE2A77">
            <w:pPr>
              <w:spacing w:before="240" w:line="240" w:lineRule="exact"/>
            </w:pPr>
            <w:r w:rsidRPr="00F63C5B">
              <w:t xml:space="preserve">Distr.: </w:t>
            </w:r>
            <w:r w:rsidR="00C37471">
              <w:t>General</w:t>
            </w:r>
          </w:p>
          <w:p w:rsidR="00EE2A77" w:rsidRPr="00F63C5B" w:rsidRDefault="00331D12" w:rsidP="00EE2A77">
            <w:pPr>
              <w:spacing w:line="240" w:lineRule="exact"/>
            </w:pPr>
            <w:r>
              <w:t>7</w:t>
            </w:r>
            <w:r w:rsidR="00C37471">
              <w:t xml:space="preserve"> October</w:t>
            </w:r>
            <w:r w:rsidR="00D42B42" w:rsidRPr="00F63C5B">
              <w:t xml:space="preserve"> 2016</w:t>
            </w:r>
          </w:p>
          <w:p w:rsidR="006D5F84" w:rsidRPr="00F63C5B" w:rsidRDefault="006D5F84" w:rsidP="00EE2A77">
            <w:pPr>
              <w:spacing w:line="240" w:lineRule="exact"/>
            </w:pPr>
          </w:p>
          <w:p w:rsidR="003107FA" w:rsidRPr="00F63C5B" w:rsidRDefault="00EE2A77" w:rsidP="00EE2A77">
            <w:pPr>
              <w:spacing w:line="240" w:lineRule="exact"/>
            </w:pPr>
            <w:r w:rsidRPr="00F63C5B">
              <w:t>Original: English</w:t>
            </w:r>
          </w:p>
        </w:tc>
      </w:tr>
    </w:tbl>
    <w:p w:rsidR="00EE2A77" w:rsidRPr="00F63C5B" w:rsidRDefault="00EE2A77" w:rsidP="00EE2A77">
      <w:pPr>
        <w:spacing w:before="120"/>
        <w:rPr>
          <w:b/>
          <w:sz w:val="24"/>
          <w:szCs w:val="24"/>
        </w:rPr>
      </w:pPr>
      <w:r w:rsidRPr="00F63C5B">
        <w:rPr>
          <w:b/>
          <w:sz w:val="24"/>
          <w:szCs w:val="24"/>
        </w:rPr>
        <w:t>Human Rights Council</w:t>
      </w:r>
      <w:bookmarkStart w:id="0" w:name="_GoBack"/>
      <w:bookmarkEnd w:id="0"/>
    </w:p>
    <w:p w:rsidR="00EE2A77" w:rsidRPr="00F63C5B" w:rsidRDefault="00944104" w:rsidP="00EE2A77">
      <w:pPr>
        <w:rPr>
          <w:b/>
        </w:rPr>
      </w:pPr>
      <w:r w:rsidRPr="00F63C5B">
        <w:rPr>
          <w:b/>
        </w:rPr>
        <w:t>Thirt</w:t>
      </w:r>
      <w:r w:rsidR="00D42B42" w:rsidRPr="00F63C5B">
        <w:rPr>
          <w:b/>
        </w:rPr>
        <w:t>y-</w:t>
      </w:r>
      <w:r w:rsidR="00317071" w:rsidRPr="00F63C5B">
        <w:rPr>
          <w:b/>
        </w:rPr>
        <w:t>third</w:t>
      </w:r>
      <w:r w:rsidR="00674C17" w:rsidRPr="00F63C5B">
        <w:rPr>
          <w:b/>
        </w:rPr>
        <w:t xml:space="preserve"> </w:t>
      </w:r>
      <w:r w:rsidR="00EE2A77" w:rsidRPr="00F63C5B">
        <w:rPr>
          <w:b/>
        </w:rPr>
        <w:t>session</w:t>
      </w:r>
    </w:p>
    <w:p w:rsidR="00EE2A77" w:rsidRPr="00F63C5B" w:rsidRDefault="00EE2A77" w:rsidP="00EE2A77">
      <w:r w:rsidRPr="00F63C5B">
        <w:t>Agenda item 3</w:t>
      </w:r>
    </w:p>
    <w:p w:rsidR="002F006E" w:rsidRPr="00F63C5B" w:rsidRDefault="00C37471" w:rsidP="00941DBB">
      <w:pPr>
        <w:pStyle w:val="HChG"/>
        <w:ind w:right="0"/>
        <w:jc w:val="center"/>
      </w:pPr>
      <w:r>
        <w:t>R</w:t>
      </w:r>
      <w:r w:rsidR="002F006E" w:rsidRPr="00F63C5B">
        <w:t>esolution</w:t>
      </w:r>
      <w:r>
        <w:t xml:space="preserve"> adopted by the Human Rights Council on 30 September 2016</w:t>
      </w:r>
    </w:p>
    <w:p w:rsidR="00C159A2" w:rsidRPr="0010079C" w:rsidRDefault="00C159A2" w:rsidP="00C159A2">
      <w:pPr>
        <w:pStyle w:val="H1G"/>
        <w:rPr>
          <w:rFonts w:eastAsia="Calibri"/>
        </w:rPr>
      </w:pPr>
      <w:r w:rsidRPr="00F63C5B">
        <w:tab/>
      </w:r>
      <w:r w:rsidRPr="00F63C5B">
        <w:tab/>
      </w:r>
      <w:proofErr w:type="gramStart"/>
      <w:r w:rsidR="00944104" w:rsidRPr="00F63C5B">
        <w:t>3</w:t>
      </w:r>
      <w:r w:rsidR="00317071" w:rsidRPr="00F63C5B">
        <w:t>3</w:t>
      </w:r>
      <w:r w:rsidR="00944104" w:rsidRPr="00F63C5B">
        <w:t>/</w:t>
      </w:r>
      <w:r w:rsidR="00C37471">
        <w:t>30.</w:t>
      </w:r>
      <w:proofErr w:type="gramEnd"/>
      <w:r w:rsidR="00944104" w:rsidRPr="00F63C5B">
        <w:tab/>
      </w:r>
      <w:r w:rsidRPr="0010079C">
        <w:rPr>
          <w:rFonts w:eastAsia="Calibri"/>
        </w:rPr>
        <w:t>Arbitrary detention</w:t>
      </w:r>
    </w:p>
    <w:p w:rsidR="002F006E" w:rsidRPr="00F63C5B" w:rsidRDefault="002F006E" w:rsidP="00402A2C">
      <w:pPr>
        <w:pStyle w:val="SingleTxtG"/>
      </w:pPr>
      <w:r w:rsidRPr="00F63C5B">
        <w:tab/>
      </w:r>
      <w:r w:rsidRPr="00F63C5B">
        <w:rPr>
          <w:i/>
        </w:rPr>
        <w:t>The Human Rights Council</w:t>
      </w:r>
      <w:r w:rsidRPr="00F63C5B">
        <w:t>,</w:t>
      </w:r>
    </w:p>
    <w:p w:rsidR="00C159A2" w:rsidRPr="0010079C" w:rsidRDefault="00C159A2" w:rsidP="00057D19">
      <w:pPr>
        <w:pStyle w:val="SingleTxtG"/>
        <w:ind w:firstLine="567"/>
        <w:rPr>
          <w:rFonts w:eastAsia="Calibri"/>
        </w:rPr>
      </w:pPr>
      <w:r w:rsidRPr="0010079C">
        <w:rPr>
          <w:rFonts w:eastAsia="Calibri"/>
          <w:i/>
        </w:rPr>
        <w:t>Reaffirming</w:t>
      </w:r>
      <w:r w:rsidRPr="0010079C">
        <w:rPr>
          <w:rFonts w:eastAsia="Calibri"/>
        </w:rPr>
        <w:t xml:space="preserve"> articles 3, 9, 10 and 29 </w:t>
      </w:r>
      <w:r w:rsidR="00F63C5B">
        <w:rPr>
          <w:rFonts w:eastAsia="Calibri"/>
        </w:rPr>
        <w:t>and</w:t>
      </w:r>
      <w:r w:rsidRPr="0010079C">
        <w:rPr>
          <w:rFonts w:eastAsia="Calibri"/>
        </w:rPr>
        <w:t xml:space="preserve"> other relevant provisions of the Universal Declaration of Human Rights,</w:t>
      </w:r>
    </w:p>
    <w:p w:rsidR="00C159A2" w:rsidRPr="0010079C" w:rsidRDefault="00C159A2" w:rsidP="00057D19">
      <w:pPr>
        <w:pStyle w:val="SingleTxtG"/>
        <w:ind w:firstLine="567"/>
        <w:rPr>
          <w:rFonts w:eastAsia="Calibri"/>
        </w:rPr>
      </w:pPr>
      <w:r w:rsidRPr="0010079C">
        <w:rPr>
          <w:rFonts w:eastAsia="Calibri"/>
          <w:i/>
        </w:rPr>
        <w:t>Recalling</w:t>
      </w:r>
      <w:r w:rsidRPr="0010079C">
        <w:rPr>
          <w:rFonts w:eastAsia="Calibri"/>
        </w:rPr>
        <w:t xml:space="preserve"> articles 9 to 11 and 14 to 22 of the International Covenant on Civil and Political Rights,</w:t>
      </w:r>
    </w:p>
    <w:p w:rsidR="00C159A2" w:rsidRPr="0010079C" w:rsidRDefault="00C159A2" w:rsidP="00057D19">
      <w:pPr>
        <w:pStyle w:val="SingleTxtG"/>
        <w:ind w:firstLine="567"/>
        <w:rPr>
          <w:rFonts w:eastAsia="Calibri"/>
        </w:rPr>
      </w:pPr>
      <w:r w:rsidRPr="0010079C">
        <w:rPr>
          <w:rFonts w:eastAsia="Calibri"/>
          <w:i/>
        </w:rPr>
        <w:t>Recalling</w:t>
      </w:r>
      <w:r w:rsidRPr="0010079C">
        <w:rPr>
          <w:rFonts w:eastAsia="Calibri"/>
        </w:rPr>
        <w:t xml:space="preserve"> </w:t>
      </w:r>
      <w:r w:rsidRPr="0010079C">
        <w:rPr>
          <w:rFonts w:eastAsia="Calibri"/>
          <w:i/>
        </w:rPr>
        <w:t>also</w:t>
      </w:r>
      <w:r w:rsidRPr="0010079C">
        <w:rPr>
          <w:rFonts w:eastAsia="Calibri"/>
        </w:rPr>
        <w:t xml:space="preserve"> Commission on Human Rights resolutions 1991/42 of 5 March 1991 and 1997/50 of 15 April 1997, and Human Rights Council resolutions 6/4 of 28 September 2007, 10/9 of 26 March 2009, 15/18 of 30 September 2010,</w:t>
      </w:r>
      <w:r w:rsidR="00F63C5B">
        <w:rPr>
          <w:rFonts w:eastAsia="Calibri"/>
        </w:rPr>
        <w:t xml:space="preserve"> </w:t>
      </w:r>
      <w:r w:rsidRPr="0010079C">
        <w:rPr>
          <w:rFonts w:eastAsia="Calibri"/>
        </w:rPr>
        <w:t>20/16 of 6 July 2012 and 24/7 of 26 September 2013,</w:t>
      </w:r>
    </w:p>
    <w:p w:rsidR="00C159A2" w:rsidRPr="0010079C" w:rsidRDefault="00C159A2" w:rsidP="00057D19">
      <w:pPr>
        <w:pStyle w:val="SingleTxtG"/>
        <w:ind w:firstLine="567"/>
        <w:rPr>
          <w:rFonts w:eastAsia="Calibri"/>
        </w:rPr>
      </w:pPr>
      <w:r w:rsidRPr="0010079C">
        <w:rPr>
          <w:rFonts w:eastAsia="Calibri"/>
          <w:i/>
        </w:rPr>
        <w:t>Recalling</w:t>
      </w:r>
      <w:r w:rsidRPr="0010079C">
        <w:rPr>
          <w:rFonts w:eastAsia="Calibri"/>
        </w:rPr>
        <w:t xml:space="preserve"> </w:t>
      </w:r>
      <w:r w:rsidRPr="0010079C">
        <w:rPr>
          <w:rFonts w:eastAsia="Calibri"/>
          <w:i/>
        </w:rPr>
        <w:t>further</w:t>
      </w:r>
      <w:r w:rsidRPr="0010079C">
        <w:rPr>
          <w:rFonts w:eastAsia="Calibri"/>
        </w:rPr>
        <w:t xml:space="preserve"> General Assembly resolution 60/251 of 15 March 2006 on the Human Rights Council,</w:t>
      </w:r>
    </w:p>
    <w:p w:rsidR="00C159A2" w:rsidRPr="0010079C" w:rsidRDefault="00C159A2" w:rsidP="00057D19">
      <w:pPr>
        <w:pStyle w:val="SingleTxtG"/>
        <w:ind w:firstLine="567"/>
        <w:rPr>
          <w:rFonts w:eastAsia="Calibri"/>
        </w:rPr>
      </w:pPr>
      <w:r w:rsidRPr="0010079C">
        <w:rPr>
          <w:rFonts w:eastAsia="Calibri"/>
          <w:i/>
        </w:rPr>
        <w:t>Recalling</w:t>
      </w:r>
      <w:r w:rsidRPr="0010079C">
        <w:rPr>
          <w:rFonts w:eastAsia="Calibri"/>
        </w:rPr>
        <w:t xml:space="preserve"> Human Rights Council resolution</w:t>
      </w:r>
      <w:r w:rsidR="004239D8">
        <w:rPr>
          <w:rFonts w:eastAsia="Calibri"/>
        </w:rPr>
        <w:t>s</w:t>
      </w:r>
      <w:r w:rsidRPr="0010079C">
        <w:rPr>
          <w:rFonts w:eastAsia="Calibri"/>
        </w:rPr>
        <w:t xml:space="preserve"> 5/1</w:t>
      </w:r>
      <w:r w:rsidR="004239D8">
        <w:rPr>
          <w:rFonts w:eastAsia="Calibri"/>
        </w:rPr>
        <w:t>,</w:t>
      </w:r>
      <w:r w:rsidRPr="0010079C">
        <w:rPr>
          <w:rFonts w:eastAsia="Calibri"/>
        </w:rPr>
        <w:t xml:space="preserve"> on institution-building of the Council</w:t>
      </w:r>
      <w:r w:rsidR="004239D8">
        <w:rPr>
          <w:rFonts w:eastAsia="Calibri"/>
        </w:rPr>
        <w:t>,</w:t>
      </w:r>
      <w:r w:rsidRPr="0010079C">
        <w:rPr>
          <w:rFonts w:eastAsia="Calibri"/>
        </w:rPr>
        <w:t xml:space="preserve"> and 5/2</w:t>
      </w:r>
      <w:r w:rsidR="004239D8">
        <w:rPr>
          <w:rFonts w:eastAsia="Calibri"/>
        </w:rPr>
        <w:t>,</w:t>
      </w:r>
      <w:r w:rsidRPr="0010079C">
        <w:rPr>
          <w:rFonts w:eastAsia="Calibri"/>
        </w:rPr>
        <w:t xml:space="preserve"> on the Code of Conduct for </w:t>
      </w:r>
      <w:r w:rsidR="004239D8">
        <w:rPr>
          <w:rFonts w:eastAsia="Calibri"/>
        </w:rPr>
        <w:t>s</w:t>
      </w:r>
      <w:r w:rsidRPr="0010079C">
        <w:rPr>
          <w:rFonts w:eastAsia="Calibri"/>
        </w:rPr>
        <w:t xml:space="preserve">pecial </w:t>
      </w:r>
      <w:r w:rsidR="004239D8">
        <w:rPr>
          <w:rFonts w:eastAsia="Calibri"/>
        </w:rPr>
        <w:t>p</w:t>
      </w:r>
      <w:r w:rsidRPr="0010079C">
        <w:rPr>
          <w:rFonts w:eastAsia="Calibri"/>
        </w:rPr>
        <w:t xml:space="preserve">rocedure </w:t>
      </w:r>
      <w:r w:rsidR="004239D8">
        <w:rPr>
          <w:rFonts w:eastAsia="Calibri"/>
        </w:rPr>
        <w:t>m</w:t>
      </w:r>
      <w:r w:rsidRPr="0010079C">
        <w:rPr>
          <w:rFonts w:eastAsia="Calibri"/>
        </w:rPr>
        <w:t xml:space="preserve">andate </w:t>
      </w:r>
      <w:r w:rsidR="004239D8">
        <w:rPr>
          <w:rFonts w:eastAsia="Calibri"/>
        </w:rPr>
        <w:t>h</w:t>
      </w:r>
      <w:r w:rsidRPr="0010079C">
        <w:rPr>
          <w:rFonts w:eastAsia="Calibri"/>
        </w:rPr>
        <w:t>olders of the Council, of 18 June 2007, and stressing that the mandate holder shall discharge his or her duties in accordance with those resolutions and the annexes thereto,</w:t>
      </w:r>
    </w:p>
    <w:p w:rsidR="00C159A2" w:rsidRPr="0010079C" w:rsidRDefault="00C159A2" w:rsidP="00057D19">
      <w:pPr>
        <w:pStyle w:val="SingleTxtG"/>
        <w:ind w:firstLine="567"/>
        <w:rPr>
          <w:rFonts w:eastAsia="Calibri"/>
        </w:rPr>
      </w:pPr>
      <w:r w:rsidRPr="0010079C">
        <w:rPr>
          <w:rFonts w:eastAsia="Calibri"/>
        </w:rPr>
        <w:t>1.</w:t>
      </w:r>
      <w:r w:rsidR="00057D19" w:rsidRPr="0010079C">
        <w:rPr>
          <w:rFonts w:eastAsia="Calibri"/>
        </w:rPr>
        <w:tab/>
      </w:r>
      <w:r w:rsidRPr="0010079C">
        <w:rPr>
          <w:rFonts w:eastAsia="Calibri"/>
          <w:i/>
        </w:rPr>
        <w:t>Stresses</w:t>
      </w:r>
      <w:r w:rsidRPr="0010079C">
        <w:rPr>
          <w:rFonts w:eastAsia="Calibri"/>
        </w:rPr>
        <w:t xml:space="preserve"> the importance of the work of the Working Group on Arbitrary Detention;</w:t>
      </w:r>
    </w:p>
    <w:p w:rsidR="00C159A2" w:rsidRPr="0010079C" w:rsidRDefault="00057D19" w:rsidP="00057D19">
      <w:pPr>
        <w:pStyle w:val="SingleTxtG"/>
        <w:ind w:firstLine="567"/>
        <w:rPr>
          <w:rFonts w:eastAsia="Calibri"/>
        </w:rPr>
      </w:pPr>
      <w:r w:rsidRPr="0010079C">
        <w:rPr>
          <w:rFonts w:eastAsia="Calibri"/>
        </w:rPr>
        <w:t>2.</w:t>
      </w:r>
      <w:r w:rsidRPr="0010079C">
        <w:rPr>
          <w:rFonts w:eastAsia="Calibri"/>
        </w:rPr>
        <w:tab/>
      </w:r>
      <w:r w:rsidR="00C159A2" w:rsidRPr="0010079C">
        <w:rPr>
          <w:rFonts w:eastAsia="Calibri"/>
          <w:i/>
        </w:rPr>
        <w:t>Takes note</w:t>
      </w:r>
      <w:r w:rsidR="00C159A2" w:rsidRPr="0010079C">
        <w:rPr>
          <w:rFonts w:eastAsia="Calibri"/>
        </w:rPr>
        <w:t xml:space="preserve"> </w:t>
      </w:r>
      <w:r w:rsidR="00C159A2" w:rsidRPr="0010079C">
        <w:rPr>
          <w:rFonts w:eastAsia="Calibri"/>
          <w:i/>
        </w:rPr>
        <w:t>with interest</w:t>
      </w:r>
      <w:r w:rsidR="00C159A2" w:rsidRPr="0010079C">
        <w:rPr>
          <w:rFonts w:eastAsia="Calibri"/>
        </w:rPr>
        <w:t xml:space="preserve"> of the latest reports of the Working Group,</w:t>
      </w:r>
      <w:r w:rsidR="00F12215" w:rsidRPr="00F63C5B">
        <w:rPr>
          <w:rStyle w:val="FootnoteReference"/>
          <w:rFonts w:eastAsia="Calibri"/>
        </w:rPr>
        <w:footnoteReference w:id="2"/>
      </w:r>
      <w:r w:rsidR="00C159A2" w:rsidRPr="0010079C">
        <w:rPr>
          <w:rFonts w:eastAsia="Calibri"/>
        </w:rPr>
        <w:t xml:space="preserve"> including the recommendations contained therein;</w:t>
      </w:r>
    </w:p>
    <w:p w:rsidR="00C159A2" w:rsidRPr="0010079C" w:rsidRDefault="00C159A2" w:rsidP="00057D19">
      <w:pPr>
        <w:pStyle w:val="SingleTxtG"/>
        <w:ind w:firstLine="567"/>
        <w:rPr>
          <w:rFonts w:eastAsia="Calibri"/>
        </w:rPr>
      </w:pPr>
      <w:r w:rsidRPr="0010079C">
        <w:rPr>
          <w:rFonts w:eastAsia="Calibri"/>
        </w:rPr>
        <w:t>3.</w:t>
      </w:r>
      <w:r w:rsidR="00057D19" w:rsidRPr="0010079C">
        <w:rPr>
          <w:rFonts w:eastAsia="Calibri"/>
        </w:rPr>
        <w:tab/>
      </w:r>
      <w:r w:rsidRPr="0010079C">
        <w:rPr>
          <w:rFonts w:eastAsia="Calibri"/>
          <w:i/>
        </w:rPr>
        <w:t>Requests</w:t>
      </w:r>
      <w:r w:rsidRPr="0010079C">
        <w:rPr>
          <w:rFonts w:eastAsia="Calibri"/>
        </w:rPr>
        <w:t xml:space="preserve"> the States concerned to take account of the views of the Working Group and, where necessary, to take appropriate steps to remedy the situation of persons arbitrarily deprived of their liberty, and to inform the Working Group of the steps they have taken;</w:t>
      </w:r>
    </w:p>
    <w:p w:rsidR="00C159A2" w:rsidRPr="0010079C" w:rsidRDefault="00C159A2" w:rsidP="00057D19">
      <w:pPr>
        <w:pStyle w:val="SingleTxtG"/>
        <w:ind w:firstLine="567"/>
        <w:rPr>
          <w:rFonts w:eastAsia="Calibri"/>
        </w:rPr>
      </w:pPr>
      <w:r w:rsidRPr="0010079C">
        <w:rPr>
          <w:rFonts w:eastAsia="Calibri"/>
        </w:rPr>
        <w:lastRenderedPageBreak/>
        <w:t>4.</w:t>
      </w:r>
      <w:r w:rsidR="00057D19" w:rsidRPr="0010079C">
        <w:rPr>
          <w:rFonts w:eastAsia="Calibri"/>
        </w:rPr>
        <w:tab/>
      </w:r>
      <w:r w:rsidR="000216FA">
        <w:rPr>
          <w:rFonts w:eastAsia="Calibri"/>
          <w:i/>
        </w:rPr>
        <w:t>N</w:t>
      </w:r>
      <w:r w:rsidRPr="0010079C">
        <w:rPr>
          <w:rFonts w:eastAsia="Calibri"/>
          <w:i/>
        </w:rPr>
        <w:t>ote</w:t>
      </w:r>
      <w:r w:rsidR="000216FA">
        <w:rPr>
          <w:rFonts w:eastAsia="Calibri"/>
          <w:i/>
        </w:rPr>
        <w:t>s</w:t>
      </w:r>
      <w:r w:rsidRPr="0010079C">
        <w:rPr>
          <w:rFonts w:eastAsia="Calibri"/>
        </w:rPr>
        <w:t xml:space="preserve"> the </w:t>
      </w:r>
      <w:r w:rsidR="000216FA" w:rsidRPr="00F63C5B">
        <w:rPr>
          <w:rFonts w:eastAsia="Calibri"/>
        </w:rPr>
        <w:t xml:space="preserve">efforts </w:t>
      </w:r>
      <w:r w:rsidR="000216FA">
        <w:rPr>
          <w:rFonts w:eastAsia="Calibri"/>
        </w:rPr>
        <w:t xml:space="preserve">of the </w:t>
      </w:r>
      <w:r w:rsidRPr="0010079C">
        <w:rPr>
          <w:rFonts w:eastAsia="Calibri"/>
        </w:rPr>
        <w:t xml:space="preserve">Working Group </w:t>
      </w:r>
      <w:r w:rsidR="000216FA">
        <w:rPr>
          <w:rFonts w:eastAsia="Calibri"/>
        </w:rPr>
        <w:t xml:space="preserve">to </w:t>
      </w:r>
      <w:r w:rsidRPr="0010079C">
        <w:rPr>
          <w:rFonts w:eastAsia="Calibri"/>
        </w:rPr>
        <w:t>elaborat</w:t>
      </w:r>
      <w:r w:rsidR="009757A1">
        <w:rPr>
          <w:rFonts w:eastAsia="Calibri"/>
        </w:rPr>
        <w:t>e</w:t>
      </w:r>
      <w:r w:rsidRPr="0010079C">
        <w:rPr>
          <w:rFonts w:eastAsia="Calibri"/>
        </w:rPr>
        <w:t xml:space="preserve"> basic principles and guidelines on remedies and procedures on the right of anyone deprived of his or her liberty by arrest or detention to bring proceedings before a court</w:t>
      </w:r>
      <w:r w:rsidR="0010085F" w:rsidRPr="0010079C">
        <w:rPr>
          <w:rFonts w:eastAsia="Calibri"/>
        </w:rPr>
        <w:t>;</w:t>
      </w:r>
    </w:p>
    <w:p w:rsidR="00C159A2" w:rsidRPr="0010079C" w:rsidRDefault="00C159A2" w:rsidP="00057D19">
      <w:pPr>
        <w:pStyle w:val="SingleTxtG"/>
        <w:ind w:firstLine="567"/>
        <w:rPr>
          <w:rFonts w:eastAsia="Calibri"/>
        </w:rPr>
      </w:pPr>
      <w:r w:rsidRPr="0010079C">
        <w:rPr>
          <w:rFonts w:eastAsia="Calibri"/>
        </w:rPr>
        <w:t>5.</w:t>
      </w:r>
      <w:r w:rsidR="00057D19" w:rsidRPr="0010079C">
        <w:rPr>
          <w:rFonts w:eastAsia="Calibri"/>
        </w:rPr>
        <w:tab/>
      </w:r>
      <w:r w:rsidRPr="0010079C">
        <w:rPr>
          <w:rFonts w:eastAsia="Calibri"/>
          <w:i/>
        </w:rPr>
        <w:t>Encourages</w:t>
      </w:r>
      <w:r w:rsidRPr="0010079C">
        <w:rPr>
          <w:rFonts w:eastAsia="Calibri"/>
        </w:rPr>
        <w:t xml:space="preserve"> all States:</w:t>
      </w:r>
    </w:p>
    <w:p w:rsidR="00C159A2" w:rsidRPr="0010079C" w:rsidRDefault="00057D19" w:rsidP="00057D19">
      <w:pPr>
        <w:pStyle w:val="SingleTxtG"/>
        <w:ind w:firstLine="567"/>
        <w:rPr>
          <w:rFonts w:eastAsia="Calibri"/>
        </w:rPr>
      </w:pPr>
      <w:r w:rsidRPr="0010079C">
        <w:rPr>
          <w:rFonts w:eastAsia="Calibri"/>
        </w:rPr>
        <w:t>(</w:t>
      </w:r>
      <w:r w:rsidRPr="0010079C">
        <w:rPr>
          <w:rFonts w:eastAsia="Calibri"/>
          <w:i/>
        </w:rPr>
        <w:t>a</w:t>
      </w:r>
      <w:r w:rsidRPr="0010079C">
        <w:rPr>
          <w:rFonts w:eastAsia="Calibri"/>
        </w:rPr>
        <w:t>)</w:t>
      </w:r>
      <w:r w:rsidRPr="0010079C">
        <w:rPr>
          <w:rFonts w:eastAsia="Calibri"/>
        </w:rPr>
        <w:tab/>
      </w:r>
      <w:r w:rsidR="00C159A2" w:rsidRPr="0010079C">
        <w:rPr>
          <w:rFonts w:eastAsia="Calibri"/>
        </w:rPr>
        <w:t>To give due consideration to the opinions and appeals of the Working Group;</w:t>
      </w:r>
    </w:p>
    <w:p w:rsidR="00C159A2" w:rsidRPr="0010079C" w:rsidRDefault="00057D19" w:rsidP="00057D19">
      <w:pPr>
        <w:pStyle w:val="SingleTxtG"/>
        <w:ind w:firstLine="567"/>
        <w:rPr>
          <w:rFonts w:eastAsia="Calibri"/>
        </w:rPr>
      </w:pPr>
      <w:r w:rsidRPr="0010079C">
        <w:rPr>
          <w:rFonts w:eastAsia="Calibri"/>
        </w:rPr>
        <w:t>(</w:t>
      </w:r>
      <w:r w:rsidRPr="0010079C">
        <w:rPr>
          <w:rFonts w:eastAsia="Calibri"/>
          <w:i/>
        </w:rPr>
        <w:t>b</w:t>
      </w:r>
      <w:r w:rsidRPr="0010079C">
        <w:rPr>
          <w:rFonts w:eastAsia="Calibri"/>
        </w:rPr>
        <w:t>)</w:t>
      </w:r>
      <w:r w:rsidRPr="0010079C">
        <w:rPr>
          <w:rFonts w:eastAsia="Calibri"/>
        </w:rPr>
        <w:tab/>
      </w:r>
      <w:r w:rsidR="00C159A2" w:rsidRPr="0010079C">
        <w:rPr>
          <w:rFonts w:eastAsia="Calibri"/>
        </w:rPr>
        <w:t>To take appropriate measures to ensure that their legislation, regulations and practices remain in conformity with relevant international standards and the applicable international legal instruments;</w:t>
      </w:r>
    </w:p>
    <w:p w:rsidR="00C159A2" w:rsidRPr="0010079C" w:rsidRDefault="00057D19" w:rsidP="00057D19">
      <w:pPr>
        <w:pStyle w:val="SingleTxtG"/>
        <w:ind w:firstLine="567"/>
        <w:rPr>
          <w:rFonts w:eastAsia="Calibri"/>
        </w:rPr>
      </w:pPr>
      <w:r w:rsidRPr="0010079C">
        <w:rPr>
          <w:rFonts w:eastAsia="Calibri"/>
        </w:rPr>
        <w:t>(</w:t>
      </w:r>
      <w:r w:rsidRPr="0010079C">
        <w:rPr>
          <w:rFonts w:eastAsia="Calibri"/>
          <w:i/>
        </w:rPr>
        <w:t>c</w:t>
      </w:r>
      <w:r w:rsidRPr="0010079C">
        <w:rPr>
          <w:rFonts w:eastAsia="Calibri"/>
        </w:rPr>
        <w:t>)</w:t>
      </w:r>
      <w:r w:rsidRPr="0010079C">
        <w:rPr>
          <w:rFonts w:eastAsia="Calibri"/>
        </w:rPr>
        <w:tab/>
      </w:r>
      <w:r w:rsidR="00C159A2" w:rsidRPr="0010079C">
        <w:rPr>
          <w:rFonts w:eastAsia="Calibri"/>
        </w:rPr>
        <w:t>To respect and promote the right of anyone arrested or detained on a criminal charge to be brought promptly before a judge or other officer authorized by law to exercise judicial power, and to be entitled to trial within a reasonable time or to release;</w:t>
      </w:r>
    </w:p>
    <w:p w:rsidR="00C159A2" w:rsidRPr="0010079C" w:rsidRDefault="00057D19" w:rsidP="00057D19">
      <w:pPr>
        <w:pStyle w:val="SingleTxtG"/>
        <w:ind w:firstLine="567"/>
        <w:rPr>
          <w:rFonts w:eastAsia="Calibri"/>
        </w:rPr>
      </w:pPr>
      <w:r w:rsidRPr="0010079C">
        <w:rPr>
          <w:rFonts w:eastAsia="Calibri"/>
        </w:rPr>
        <w:t>(</w:t>
      </w:r>
      <w:r w:rsidRPr="0010079C">
        <w:rPr>
          <w:rFonts w:eastAsia="Calibri"/>
          <w:i/>
        </w:rPr>
        <w:t>d</w:t>
      </w:r>
      <w:r w:rsidRPr="0010079C">
        <w:rPr>
          <w:rFonts w:eastAsia="Calibri"/>
        </w:rPr>
        <w:t>)</w:t>
      </w:r>
      <w:r w:rsidRPr="0010079C">
        <w:rPr>
          <w:rFonts w:eastAsia="Calibri"/>
        </w:rPr>
        <w:tab/>
      </w:r>
      <w:r w:rsidR="00C159A2" w:rsidRPr="0010079C">
        <w:rPr>
          <w:rFonts w:eastAsia="Calibri"/>
        </w:rPr>
        <w:t>To respect and promote the right of anyone deprived of his or her liberty by arrest or detention to bring proceedings before court, in order that the court may decide without delay on the lawfulness of his or her detention and order his or her release if the detention is not lawful, in accordance with their international obligations;</w:t>
      </w:r>
    </w:p>
    <w:p w:rsidR="00C159A2" w:rsidRPr="0010079C" w:rsidRDefault="00057D19" w:rsidP="00057D19">
      <w:pPr>
        <w:pStyle w:val="SingleTxtG"/>
        <w:ind w:firstLine="567"/>
        <w:rPr>
          <w:rFonts w:eastAsia="Calibri"/>
        </w:rPr>
      </w:pPr>
      <w:r w:rsidRPr="0010079C">
        <w:rPr>
          <w:rFonts w:eastAsia="Calibri"/>
        </w:rPr>
        <w:t>(</w:t>
      </w:r>
      <w:r w:rsidRPr="0010079C">
        <w:rPr>
          <w:rFonts w:eastAsia="Calibri"/>
          <w:i/>
        </w:rPr>
        <w:t>e</w:t>
      </w:r>
      <w:r w:rsidRPr="0010079C">
        <w:rPr>
          <w:rFonts w:eastAsia="Calibri"/>
        </w:rPr>
        <w:t>)</w:t>
      </w:r>
      <w:r w:rsidRPr="0010079C">
        <w:rPr>
          <w:rFonts w:eastAsia="Calibri"/>
        </w:rPr>
        <w:tab/>
      </w:r>
      <w:r w:rsidR="00C159A2" w:rsidRPr="0010079C">
        <w:rPr>
          <w:rFonts w:eastAsia="Calibri"/>
        </w:rPr>
        <w:t>To ensure that the right referred to in subparagraph (</w:t>
      </w:r>
      <w:r w:rsidR="00C159A2" w:rsidRPr="0010079C">
        <w:rPr>
          <w:rFonts w:eastAsia="Calibri"/>
          <w:i/>
        </w:rPr>
        <w:t>d</w:t>
      </w:r>
      <w:r w:rsidR="00C159A2" w:rsidRPr="0010079C">
        <w:rPr>
          <w:rFonts w:eastAsia="Calibri"/>
        </w:rPr>
        <w:t>) above is equally respected in cases of administrative detention, including administrative detention in relation to public security legislation;</w:t>
      </w:r>
    </w:p>
    <w:p w:rsidR="00C159A2" w:rsidRPr="0010079C" w:rsidRDefault="00057D19" w:rsidP="00057D19">
      <w:pPr>
        <w:pStyle w:val="SingleTxtG"/>
        <w:ind w:firstLine="567"/>
        <w:rPr>
          <w:rFonts w:eastAsia="Calibri"/>
        </w:rPr>
      </w:pPr>
      <w:r w:rsidRPr="0010079C">
        <w:rPr>
          <w:rFonts w:eastAsia="Calibri"/>
        </w:rPr>
        <w:t>(</w:t>
      </w:r>
      <w:r w:rsidRPr="0010079C">
        <w:rPr>
          <w:rFonts w:eastAsia="Calibri"/>
          <w:i/>
        </w:rPr>
        <w:t>f</w:t>
      </w:r>
      <w:r w:rsidRPr="0010079C">
        <w:rPr>
          <w:rFonts w:eastAsia="Calibri"/>
        </w:rPr>
        <w:t>)</w:t>
      </w:r>
      <w:r w:rsidRPr="0010079C">
        <w:rPr>
          <w:rFonts w:eastAsia="Calibri"/>
        </w:rPr>
        <w:tab/>
      </w:r>
      <w:r w:rsidR="00C159A2" w:rsidRPr="0010079C">
        <w:rPr>
          <w:rFonts w:eastAsia="Calibri"/>
        </w:rPr>
        <w:t>To ensure that anyone who is arrested or detained on a criminal charge has adequate time and facilities for the preparation of his or her defen</w:t>
      </w:r>
      <w:r w:rsidR="000216FA">
        <w:rPr>
          <w:rFonts w:eastAsia="Calibri"/>
        </w:rPr>
        <w:t>c</w:t>
      </w:r>
      <w:r w:rsidR="00C159A2" w:rsidRPr="0010079C">
        <w:rPr>
          <w:rFonts w:eastAsia="Calibri"/>
        </w:rPr>
        <w:t>e, including the opportunity to engage and communicate with the counsel of his or her choice;</w:t>
      </w:r>
    </w:p>
    <w:p w:rsidR="00C159A2" w:rsidRPr="0010079C" w:rsidRDefault="00057D19" w:rsidP="00057D19">
      <w:pPr>
        <w:pStyle w:val="SingleTxtG"/>
        <w:ind w:firstLine="567"/>
        <w:rPr>
          <w:rFonts w:eastAsia="Calibri"/>
        </w:rPr>
      </w:pPr>
      <w:r w:rsidRPr="0010079C">
        <w:rPr>
          <w:rFonts w:eastAsia="Calibri"/>
        </w:rPr>
        <w:t>(</w:t>
      </w:r>
      <w:r w:rsidRPr="0010079C">
        <w:rPr>
          <w:rFonts w:eastAsia="Calibri"/>
          <w:i/>
        </w:rPr>
        <w:t>g</w:t>
      </w:r>
      <w:r w:rsidRPr="0010079C">
        <w:rPr>
          <w:rFonts w:eastAsia="Calibri"/>
        </w:rPr>
        <w:t>)</w:t>
      </w:r>
      <w:r w:rsidRPr="0010079C">
        <w:rPr>
          <w:rFonts w:eastAsia="Calibri"/>
        </w:rPr>
        <w:tab/>
      </w:r>
      <w:r w:rsidR="00C159A2" w:rsidRPr="0010079C">
        <w:rPr>
          <w:rFonts w:eastAsia="Calibri"/>
        </w:rPr>
        <w:t>To ensure that the conditions of pretrial detention do not undermine the fairness of the trial;</w:t>
      </w:r>
    </w:p>
    <w:p w:rsidR="00C159A2" w:rsidRPr="0010079C" w:rsidRDefault="00057D19" w:rsidP="00057D19">
      <w:pPr>
        <w:pStyle w:val="SingleTxtG"/>
        <w:ind w:firstLine="567"/>
        <w:rPr>
          <w:rFonts w:eastAsia="Calibri"/>
        </w:rPr>
      </w:pPr>
      <w:r w:rsidRPr="0010079C">
        <w:rPr>
          <w:rFonts w:eastAsia="Calibri"/>
        </w:rPr>
        <w:t>(</w:t>
      </w:r>
      <w:r w:rsidRPr="0010079C">
        <w:rPr>
          <w:rFonts w:eastAsia="Calibri"/>
          <w:i/>
        </w:rPr>
        <w:t>h</w:t>
      </w:r>
      <w:r w:rsidRPr="0010079C">
        <w:rPr>
          <w:rFonts w:eastAsia="Calibri"/>
        </w:rPr>
        <w:t>)</w:t>
      </w:r>
      <w:r w:rsidRPr="0010079C">
        <w:rPr>
          <w:rFonts w:eastAsia="Calibri"/>
        </w:rPr>
        <w:tab/>
      </w:r>
      <w:r w:rsidR="00C159A2" w:rsidRPr="0010079C">
        <w:rPr>
          <w:rFonts w:eastAsia="Calibri"/>
        </w:rPr>
        <w:t>To provide guarantees with respect to any form of detention against unlawful or arbitrary deprivations of liberty;</w:t>
      </w:r>
    </w:p>
    <w:p w:rsidR="00C159A2" w:rsidRPr="0010079C" w:rsidRDefault="008115B3" w:rsidP="00057D19">
      <w:pPr>
        <w:pStyle w:val="SingleTxtG"/>
        <w:ind w:firstLine="567"/>
        <w:rPr>
          <w:rFonts w:eastAsia="Calibri"/>
        </w:rPr>
      </w:pPr>
      <w:r w:rsidRPr="0010079C">
        <w:rPr>
          <w:rFonts w:eastAsia="Calibri"/>
        </w:rPr>
        <w:t>6</w:t>
      </w:r>
      <w:r w:rsidR="00AC3747" w:rsidRPr="0010079C">
        <w:rPr>
          <w:rFonts w:eastAsia="Calibri"/>
        </w:rPr>
        <w:t>.</w:t>
      </w:r>
      <w:r w:rsidR="00057D19" w:rsidRPr="0010079C">
        <w:rPr>
          <w:rFonts w:eastAsia="Calibri"/>
        </w:rPr>
        <w:tab/>
      </w:r>
      <w:r w:rsidR="00C159A2" w:rsidRPr="0010079C">
        <w:rPr>
          <w:rFonts w:eastAsia="Calibri"/>
          <w:i/>
        </w:rPr>
        <w:t>Recognizes</w:t>
      </w:r>
      <w:r w:rsidR="00C159A2" w:rsidRPr="0010079C">
        <w:rPr>
          <w:rFonts w:eastAsia="Calibri"/>
        </w:rPr>
        <w:t xml:space="preserve"> that persons who are unlawfully or arbitrarily deprived of their liberty are vulnerable to extrajudicial killings, torture and other cruel, inhuman or degrading treatment or punishment, </w:t>
      </w:r>
      <w:r w:rsidR="000216FA">
        <w:rPr>
          <w:rFonts w:eastAsia="Calibri"/>
        </w:rPr>
        <w:t>and to</w:t>
      </w:r>
      <w:r w:rsidR="0010085F" w:rsidRPr="0010079C">
        <w:rPr>
          <w:rFonts w:eastAsia="Calibri"/>
        </w:rPr>
        <w:t xml:space="preserve"> other human rights violation</w:t>
      </w:r>
      <w:r w:rsidR="000216FA">
        <w:rPr>
          <w:rFonts w:eastAsia="Calibri"/>
        </w:rPr>
        <w:t>s</w:t>
      </w:r>
      <w:r w:rsidR="0010085F" w:rsidRPr="0010079C">
        <w:rPr>
          <w:rFonts w:eastAsia="Calibri"/>
        </w:rPr>
        <w:t>;</w:t>
      </w:r>
    </w:p>
    <w:p w:rsidR="00C159A2" w:rsidRPr="0010079C" w:rsidRDefault="008115B3" w:rsidP="00057D19">
      <w:pPr>
        <w:pStyle w:val="SingleTxtG"/>
        <w:ind w:firstLine="567"/>
        <w:rPr>
          <w:rFonts w:eastAsia="Calibri"/>
        </w:rPr>
      </w:pPr>
      <w:r w:rsidRPr="0010079C">
        <w:rPr>
          <w:rFonts w:eastAsia="Calibri"/>
        </w:rPr>
        <w:t>7</w:t>
      </w:r>
      <w:r w:rsidR="00C159A2" w:rsidRPr="0010079C">
        <w:rPr>
          <w:rFonts w:eastAsia="Calibri"/>
        </w:rPr>
        <w:t>.</w:t>
      </w:r>
      <w:r w:rsidR="00057D19" w:rsidRPr="0010079C">
        <w:rPr>
          <w:rFonts w:eastAsia="Calibri"/>
        </w:rPr>
        <w:tab/>
      </w:r>
      <w:r w:rsidR="000216FA">
        <w:rPr>
          <w:rFonts w:eastAsia="Calibri"/>
          <w:i/>
        </w:rPr>
        <w:t>E</w:t>
      </w:r>
      <w:r w:rsidR="00C159A2" w:rsidRPr="0010079C">
        <w:rPr>
          <w:rFonts w:eastAsia="Calibri"/>
          <w:i/>
        </w:rPr>
        <w:t>ncourages</w:t>
      </w:r>
      <w:r w:rsidR="00C159A2" w:rsidRPr="0010079C">
        <w:rPr>
          <w:rFonts w:eastAsia="Calibri"/>
        </w:rPr>
        <w:t xml:space="preserve"> all States to cooperate with the Working Group and to give serious consideration to responding favo</w:t>
      </w:r>
      <w:r w:rsidR="000216FA">
        <w:rPr>
          <w:rFonts w:eastAsia="Calibri"/>
        </w:rPr>
        <w:t>u</w:t>
      </w:r>
      <w:r w:rsidR="00C159A2" w:rsidRPr="0010079C">
        <w:rPr>
          <w:rFonts w:eastAsia="Calibri"/>
        </w:rPr>
        <w:t>rably to its requests for visits so that it may carry out its mandate even more effectively;</w:t>
      </w:r>
    </w:p>
    <w:p w:rsidR="00C159A2" w:rsidRPr="0010079C" w:rsidRDefault="008115B3" w:rsidP="00057D19">
      <w:pPr>
        <w:pStyle w:val="SingleTxtG"/>
        <w:ind w:firstLine="567"/>
        <w:rPr>
          <w:rFonts w:eastAsia="Calibri"/>
        </w:rPr>
      </w:pPr>
      <w:r w:rsidRPr="0010079C">
        <w:rPr>
          <w:rFonts w:eastAsia="Calibri"/>
        </w:rPr>
        <w:t>8</w:t>
      </w:r>
      <w:r w:rsidR="00C159A2" w:rsidRPr="0010079C">
        <w:rPr>
          <w:rFonts w:eastAsia="Calibri"/>
        </w:rPr>
        <w:t>.</w:t>
      </w:r>
      <w:r w:rsidR="00057D19" w:rsidRPr="0010079C">
        <w:rPr>
          <w:rFonts w:eastAsia="Calibri"/>
        </w:rPr>
        <w:tab/>
      </w:r>
      <w:r w:rsidR="00C159A2" w:rsidRPr="0010079C">
        <w:rPr>
          <w:rFonts w:eastAsia="Calibri"/>
          <w:i/>
        </w:rPr>
        <w:t>Notes</w:t>
      </w:r>
      <w:r w:rsidR="00C159A2" w:rsidRPr="0010079C">
        <w:rPr>
          <w:rFonts w:eastAsia="Calibri"/>
        </w:rPr>
        <w:t xml:space="preserve"> </w:t>
      </w:r>
      <w:r w:rsidR="00C159A2" w:rsidRPr="0010079C">
        <w:rPr>
          <w:rFonts w:eastAsia="Calibri"/>
          <w:i/>
        </w:rPr>
        <w:t>with concern</w:t>
      </w:r>
      <w:r w:rsidR="00C159A2" w:rsidRPr="0010079C">
        <w:rPr>
          <w:rFonts w:eastAsia="Calibri"/>
        </w:rPr>
        <w:t xml:space="preserve"> that a persistent</w:t>
      </w:r>
      <w:r w:rsidR="009757A1">
        <w:rPr>
          <w:rFonts w:eastAsia="Calibri"/>
        </w:rPr>
        <w:t>ly</w:t>
      </w:r>
      <w:r w:rsidR="00C159A2" w:rsidRPr="0010079C">
        <w:rPr>
          <w:rFonts w:eastAsia="Calibri"/>
        </w:rPr>
        <w:t xml:space="preserve"> large proportion of urgent appeals of the Working Group has been left unanswered, and urges the States concerned to give the necessary attention to the urgent appeals addressed to them by the Working Group on a strictly humanitarian basis and without prejudging its possible final conclusions, </w:t>
      </w:r>
      <w:r w:rsidR="004239D8">
        <w:rPr>
          <w:rFonts w:eastAsia="Calibri"/>
        </w:rPr>
        <w:t>and</w:t>
      </w:r>
      <w:r w:rsidR="00C159A2" w:rsidRPr="0010079C">
        <w:rPr>
          <w:rFonts w:eastAsia="Calibri"/>
        </w:rPr>
        <w:t xml:space="preserve"> to the communication of the same case pursuant to the regular complaint procedure;</w:t>
      </w:r>
    </w:p>
    <w:p w:rsidR="00C159A2" w:rsidRPr="0010079C" w:rsidRDefault="008115B3" w:rsidP="00057D19">
      <w:pPr>
        <w:pStyle w:val="SingleTxtG"/>
        <w:ind w:firstLine="567"/>
        <w:rPr>
          <w:rFonts w:eastAsia="Calibri"/>
        </w:rPr>
      </w:pPr>
      <w:r w:rsidRPr="0010079C">
        <w:rPr>
          <w:rFonts w:eastAsia="Calibri"/>
        </w:rPr>
        <w:t>9</w:t>
      </w:r>
      <w:r w:rsidR="00C159A2" w:rsidRPr="0010079C">
        <w:rPr>
          <w:rFonts w:eastAsia="Calibri"/>
        </w:rPr>
        <w:t>.</w:t>
      </w:r>
      <w:r w:rsidR="00057D19" w:rsidRPr="0010079C">
        <w:rPr>
          <w:rFonts w:eastAsia="Calibri"/>
        </w:rPr>
        <w:tab/>
      </w:r>
      <w:r w:rsidR="00C159A2" w:rsidRPr="0010079C">
        <w:rPr>
          <w:rFonts w:eastAsia="Calibri"/>
          <w:i/>
        </w:rPr>
        <w:t>Encourages</w:t>
      </w:r>
      <w:r w:rsidR="00C159A2" w:rsidRPr="0010079C">
        <w:rPr>
          <w:rFonts w:eastAsia="Calibri"/>
        </w:rPr>
        <w:t xml:space="preserve"> the Working Group to, in accordance with its working methods, continue to provide the State concerned with relevant and detailed information concerning allegations of arbitrary detention in order to facilitate a prompt and substantive response to these communications without prejudice to the need for the State concerned to cooperate with the Working Group;</w:t>
      </w:r>
    </w:p>
    <w:p w:rsidR="00C159A2" w:rsidRPr="0010079C" w:rsidRDefault="008115B3" w:rsidP="00057D19">
      <w:pPr>
        <w:pStyle w:val="SingleTxtG"/>
        <w:ind w:firstLine="567"/>
        <w:rPr>
          <w:rFonts w:eastAsia="Calibri"/>
        </w:rPr>
      </w:pPr>
      <w:r w:rsidRPr="0010079C">
        <w:rPr>
          <w:rFonts w:eastAsia="Calibri"/>
        </w:rPr>
        <w:t>10</w:t>
      </w:r>
      <w:r w:rsidR="00C159A2" w:rsidRPr="0010079C">
        <w:rPr>
          <w:rFonts w:eastAsia="Calibri"/>
        </w:rPr>
        <w:t>.</w:t>
      </w:r>
      <w:r w:rsidR="00057D19" w:rsidRPr="0010079C">
        <w:rPr>
          <w:rFonts w:eastAsia="Calibri"/>
        </w:rPr>
        <w:tab/>
      </w:r>
      <w:r w:rsidR="00C159A2" w:rsidRPr="0010079C">
        <w:rPr>
          <w:rFonts w:eastAsia="Calibri"/>
          <w:i/>
        </w:rPr>
        <w:t>Notes</w:t>
      </w:r>
      <w:r w:rsidR="00C159A2" w:rsidRPr="0010079C">
        <w:rPr>
          <w:rFonts w:eastAsia="Calibri"/>
        </w:rPr>
        <w:t xml:space="preserve"> </w:t>
      </w:r>
      <w:r w:rsidR="00C159A2" w:rsidRPr="0010079C">
        <w:rPr>
          <w:rFonts w:eastAsia="Calibri"/>
          <w:i/>
        </w:rPr>
        <w:t>with deep concern</w:t>
      </w:r>
      <w:r w:rsidR="00C159A2" w:rsidRPr="0010079C">
        <w:rPr>
          <w:rFonts w:eastAsia="Calibri"/>
        </w:rPr>
        <w:t xml:space="preserve"> that the Working Group has received increasing information on reprisals suffered by individuals who were the subject of an urgent appeal or opinion or who applied a recommendation of the Working Group, and calls upon the States concerned to take appropriate measures to prevent such acts and to combat impunity by bringing perpetrators to justice and by providing victims with appropriate remedies;</w:t>
      </w:r>
    </w:p>
    <w:p w:rsidR="00C159A2" w:rsidRPr="0010079C" w:rsidRDefault="00C159A2" w:rsidP="00057D19">
      <w:pPr>
        <w:pStyle w:val="SingleTxtG"/>
        <w:ind w:firstLine="567"/>
        <w:rPr>
          <w:rFonts w:eastAsia="Calibri"/>
        </w:rPr>
      </w:pPr>
      <w:r w:rsidRPr="0010079C">
        <w:rPr>
          <w:rFonts w:eastAsia="Calibri"/>
        </w:rPr>
        <w:lastRenderedPageBreak/>
        <w:t>1</w:t>
      </w:r>
      <w:r w:rsidR="008115B3" w:rsidRPr="0010079C">
        <w:rPr>
          <w:rFonts w:eastAsia="Calibri"/>
        </w:rPr>
        <w:t>1</w:t>
      </w:r>
      <w:r w:rsidR="00057D19" w:rsidRPr="0010079C">
        <w:rPr>
          <w:rFonts w:eastAsia="Calibri"/>
        </w:rPr>
        <w:t>.</w:t>
      </w:r>
      <w:r w:rsidR="00057D19" w:rsidRPr="0010079C">
        <w:rPr>
          <w:rFonts w:eastAsia="Calibri"/>
        </w:rPr>
        <w:tab/>
      </w:r>
      <w:r w:rsidRPr="0010079C">
        <w:rPr>
          <w:rFonts w:eastAsia="Calibri"/>
          <w:i/>
        </w:rPr>
        <w:t>Expresses</w:t>
      </w:r>
      <w:r w:rsidRPr="0010079C">
        <w:rPr>
          <w:rFonts w:eastAsia="Calibri"/>
        </w:rPr>
        <w:t xml:space="preserve"> </w:t>
      </w:r>
      <w:r w:rsidRPr="0010079C">
        <w:rPr>
          <w:rFonts w:eastAsia="Calibri"/>
          <w:i/>
        </w:rPr>
        <w:t>its profound thanks</w:t>
      </w:r>
      <w:r w:rsidRPr="0010079C">
        <w:rPr>
          <w:rFonts w:eastAsia="Calibri"/>
        </w:rPr>
        <w:t xml:space="preserve"> to the States that have extended their cooperation to the Working Group and responded to its requests for information, and invites all States concerned to demonstrate the same spirit of cooperation;</w:t>
      </w:r>
    </w:p>
    <w:p w:rsidR="00C159A2" w:rsidRPr="0010079C" w:rsidRDefault="00C159A2" w:rsidP="00057D19">
      <w:pPr>
        <w:pStyle w:val="SingleTxtG"/>
        <w:ind w:firstLine="567"/>
        <w:rPr>
          <w:rFonts w:eastAsia="Calibri"/>
        </w:rPr>
      </w:pPr>
      <w:r w:rsidRPr="0010079C">
        <w:rPr>
          <w:rFonts w:eastAsia="Calibri"/>
        </w:rPr>
        <w:t>1</w:t>
      </w:r>
      <w:r w:rsidR="008115B3" w:rsidRPr="0010079C">
        <w:rPr>
          <w:rFonts w:eastAsia="Calibri"/>
        </w:rPr>
        <w:t>2</w:t>
      </w:r>
      <w:r w:rsidRPr="0010079C">
        <w:rPr>
          <w:rFonts w:eastAsia="Calibri"/>
        </w:rPr>
        <w:t>.</w:t>
      </w:r>
      <w:r w:rsidR="00057D19" w:rsidRPr="0010079C">
        <w:rPr>
          <w:rFonts w:eastAsia="Calibri"/>
        </w:rPr>
        <w:tab/>
      </w:r>
      <w:r w:rsidRPr="0010079C">
        <w:rPr>
          <w:rFonts w:eastAsia="Calibri"/>
          <w:i/>
        </w:rPr>
        <w:t>Notes</w:t>
      </w:r>
      <w:r w:rsidRPr="0010079C">
        <w:rPr>
          <w:rFonts w:eastAsia="Calibri"/>
        </w:rPr>
        <w:t xml:space="preserve"> </w:t>
      </w:r>
      <w:r w:rsidRPr="0010079C">
        <w:rPr>
          <w:rFonts w:eastAsia="Calibri"/>
          <w:i/>
        </w:rPr>
        <w:t>with satisfaction</w:t>
      </w:r>
      <w:r w:rsidRPr="0010079C">
        <w:rPr>
          <w:rFonts w:eastAsia="Calibri"/>
        </w:rPr>
        <w:t xml:space="preserve"> that the Working Group has been informed of the release of some of the individuals whose situation has been brought to its attention, while deploring the many cases that have not yet been resolved;</w:t>
      </w:r>
    </w:p>
    <w:p w:rsidR="00C159A2" w:rsidRPr="0010079C" w:rsidRDefault="00C159A2" w:rsidP="00057D19">
      <w:pPr>
        <w:pStyle w:val="SingleTxtG"/>
        <w:ind w:firstLine="567"/>
        <w:rPr>
          <w:rFonts w:eastAsia="Calibri"/>
        </w:rPr>
      </w:pPr>
      <w:r w:rsidRPr="0010079C">
        <w:rPr>
          <w:rFonts w:eastAsia="Calibri"/>
        </w:rPr>
        <w:t>1</w:t>
      </w:r>
      <w:r w:rsidR="008115B3" w:rsidRPr="0010079C">
        <w:rPr>
          <w:rFonts w:eastAsia="Calibri"/>
        </w:rPr>
        <w:t>3</w:t>
      </w:r>
      <w:r w:rsidRPr="0010079C">
        <w:rPr>
          <w:rFonts w:eastAsia="Calibri"/>
        </w:rPr>
        <w:t>.</w:t>
      </w:r>
      <w:r w:rsidR="00057D19" w:rsidRPr="0010079C">
        <w:rPr>
          <w:rFonts w:eastAsia="Calibri"/>
        </w:rPr>
        <w:tab/>
      </w:r>
      <w:r w:rsidRPr="0010079C">
        <w:rPr>
          <w:rFonts w:eastAsia="Calibri"/>
          <w:i/>
        </w:rPr>
        <w:t>Decides</w:t>
      </w:r>
      <w:r w:rsidRPr="0010079C">
        <w:rPr>
          <w:rFonts w:eastAsia="Calibri"/>
        </w:rPr>
        <w:t xml:space="preserve"> to extend the mandate of the Working Group for a further period of three years, in accordance with Commission on Human Rights resolutions 1991/42 and 1997/50 and Human Rights Council resolution 6/4;</w:t>
      </w:r>
    </w:p>
    <w:p w:rsidR="00C159A2" w:rsidRPr="0010079C" w:rsidRDefault="00C159A2" w:rsidP="00057D19">
      <w:pPr>
        <w:pStyle w:val="SingleTxtG"/>
        <w:ind w:firstLine="567"/>
        <w:rPr>
          <w:rFonts w:eastAsia="Calibri"/>
        </w:rPr>
      </w:pPr>
      <w:r w:rsidRPr="0010079C">
        <w:rPr>
          <w:rFonts w:eastAsia="Calibri"/>
        </w:rPr>
        <w:t>1</w:t>
      </w:r>
      <w:r w:rsidR="008115B3" w:rsidRPr="0010079C">
        <w:rPr>
          <w:rFonts w:eastAsia="Calibri"/>
        </w:rPr>
        <w:t>4</w:t>
      </w:r>
      <w:r w:rsidRPr="0010079C">
        <w:rPr>
          <w:rFonts w:eastAsia="Calibri"/>
        </w:rPr>
        <w:t>.</w:t>
      </w:r>
      <w:r w:rsidR="00057D19" w:rsidRPr="0010079C">
        <w:rPr>
          <w:rFonts w:eastAsia="Calibri"/>
        </w:rPr>
        <w:tab/>
      </w:r>
      <w:r w:rsidRPr="0010079C">
        <w:rPr>
          <w:rFonts w:eastAsia="Calibri"/>
          <w:i/>
        </w:rPr>
        <w:t>Notes</w:t>
      </w:r>
      <w:r w:rsidRPr="0010079C">
        <w:rPr>
          <w:rFonts w:eastAsia="Calibri"/>
        </w:rPr>
        <w:t xml:space="preserve"> </w:t>
      </w:r>
      <w:r w:rsidRPr="0010079C">
        <w:rPr>
          <w:rFonts w:eastAsia="Calibri"/>
          <w:i/>
        </w:rPr>
        <w:t>with concern</w:t>
      </w:r>
      <w:r w:rsidRPr="0010079C">
        <w:rPr>
          <w:rFonts w:eastAsia="Calibri"/>
        </w:rPr>
        <w:t xml:space="preserve"> that, according to the Working </w:t>
      </w:r>
      <w:r w:rsidR="009757A1">
        <w:rPr>
          <w:rFonts w:eastAsia="Calibri"/>
        </w:rPr>
        <w:t>G</w:t>
      </w:r>
      <w:r w:rsidRPr="0010079C">
        <w:rPr>
          <w:rFonts w:eastAsia="Calibri"/>
        </w:rPr>
        <w:t xml:space="preserve">roup, it has insufficient resources to exercise its mandate effectively, particularly in relation to human resources, </w:t>
      </w:r>
      <w:r w:rsidR="009757A1">
        <w:rPr>
          <w:rFonts w:eastAsia="Calibri"/>
        </w:rPr>
        <w:t>of which</w:t>
      </w:r>
      <w:r w:rsidR="009757A1" w:rsidRPr="0010079C">
        <w:rPr>
          <w:rFonts w:eastAsia="Calibri"/>
        </w:rPr>
        <w:t xml:space="preserve"> </w:t>
      </w:r>
      <w:r w:rsidRPr="0010079C">
        <w:rPr>
          <w:rFonts w:eastAsia="Calibri"/>
        </w:rPr>
        <w:t xml:space="preserve">there is an acute need, and requests the Secretary-General to provide the Working </w:t>
      </w:r>
      <w:r w:rsidR="004239D8">
        <w:rPr>
          <w:rFonts w:eastAsia="Calibri"/>
        </w:rPr>
        <w:t>G</w:t>
      </w:r>
      <w:r w:rsidRPr="0010079C">
        <w:rPr>
          <w:rFonts w:eastAsia="Calibri"/>
        </w:rPr>
        <w:t xml:space="preserve">roup with all </w:t>
      </w:r>
      <w:r w:rsidR="009757A1">
        <w:rPr>
          <w:rFonts w:eastAsia="Calibri"/>
        </w:rPr>
        <w:t xml:space="preserve">the </w:t>
      </w:r>
      <w:r w:rsidRPr="0010079C">
        <w:rPr>
          <w:rFonts w:eastAsia="Calibri"/>
        </w:rPr>
        <w:t xml:space="preserve">assistance </w:t>
      </w:r>
      <w:r w:rsidR="009757A1" w:rsidRPr="00F63C5B">
        <w:rPr>
          <w:rFonts w:eastAsia="Calibri"/>
        </w:rPr>
        <w:t xml:space="preserve">necessary </w:t>
      </w:r>
      <w:r w:rsidRPr="0010079C">
        <w:rPr>
          <w:rFonts w:eastAsia="Calibri"/>
        </w:rPr>
        <w:t>for it to be able to sustainably fulfil its mandate effectively</w:t>
      </w:r>
      <w:r w:rsidRPr="0010079C">
        <w:rPr>
          <w:rFonts w:eastAsia="Calibri"/>
          <w:b/>
          <w:bCs/>
        </w:rPr>
        <w:t>,</w:t>
      </w:r>
      <w:r w:rsidRPr="0010079C">
        <w:rPr>
          <w:rFonts w:eastAsia="Calibri"/>
        </w:rPr>
        <w:t xml:space="preserve"> in particular by putting adequate human and material resources at its disposal, including </w:t>
      </w:r>
      <w:r w:rsidR="009757A1">
        <w:rPr>
          <w:rFonts w:eastAsia="Calibri"/>
        </w:rPr>
        <w:t>with regard to</w:t>
      </w:r>
      <w:r w:rsidRPr="0010079C">
        <w:rPr>
          <w:rFonts w:eastAsia="Calibri"/>
        </w:rPr>
        <w:t xml:space="preserve"> field missions;</w:t>
      </w:r>
    </w:p>
    <w:p w:rsidR="00C159A2" w:rsidRDefault="00C159A2" w:rsidP="00057D19">
      <w:pPr>
        <w:pStyle w:val="SingleTxtG"/>
        <w:ind w:firstLine="567"/>
        <w:rPr>
          <w:rFonts w:eastAsia="Calibri"/>
        </w:rPr>
      </w:pPr>
      <w:r w:rsidRPr="0010079C">
        <w:rPr>
          <w:rFonts w:eastAsia="Calibri"/>
        </w:rPr>
        <w:t>1</w:t>
      </w:r>
      <w:r w:rsidR="008115B3" w:rsidRPr="0010079C">
        <w:rPr>
          <w:rFonts w:eastAsia="Calibri"/>
        </w:rPr>
        <w:t>5</w:t>
      </w:r>
      <w:r w:rsidRPr="0010079C">
        <w:rPr>
          <w:rFonts w:eastAsia="Calibri"/>
        </w:rPr>
        <w:t>.</w:t>
      </w:r>
      <w:r w:rsidR="00057D19" w:rsidRPr="0010079C">
        <w:rPr>
          <w:rFonts w:eastAsia="Calibri"/>
        </w:rPr>
        <w:tab/>
      </w:r>
      <w:r w:rsidRPr="0010079C">
        <w:rPr>
          <w:rFonts w:eastAsia="Calibri"/>
          <w:i/>
        </w:rPr>
        <w:t>Decides</w:t>
      </w:r>
      <w:r w:rsidRPr="0010079C">
        <w:rPr>
          <w:rFonts w:eastAsia="Calibri"/>
        </w:rPr>
        <w:t xml:space="preserve"> to continue its consideration of the question of arbitrary detention in conformity with its programme of work.</w:t>
      </w:r>
    </w:p>
    <w:p w:rsidR="00C37471" w:rsidRDefault="00C37471" w:rsidP="00C37471">
      <w:pPr>
        <w:pStyle w:val="Default"/>
        <w:spacing w:line="240" w:lineRule="exact"/>
        <w:ind w:right="1134"/>
        <w:jc w:val="right"/>
        <w:rPr>
          <w:sz w:val="20"/>
          <w:szCs w:val="20"/>
        </w:rPr>
      </w:pPr>
      <w:r>
        <w:rPr>
          <w:i/>
          <w:iCs/>
          <w:sz w:val="20"/>
          <w:szCs w:val="20"/>
        </w:rPr>
        <w:t>42nd meeting</w:t>
      </w:r>
    </w:p>
    <w:p w:rsidR="00C37471" w:rsidRDefault="00C37471" w:rsidP="00C37471">
      <w:pPr>
        <w:pStyle w:val="Default"/>
        <w:spacing w:after="120"/>
        <w:ind w:right="1134"/>
        <w:jc w:val="right"/>
        <w:rPr>
          <w:sz w:val="20"/>
          <w:szCs w:val="20"/>
        </w:rPr>
      </w:pPr>
      <w:r>
        <w:rPr>
          <w:i/>
          <w:iCs/>
          <w:sz w:val="20"/>
          <w:szCs w:val="20"/>
        </w:rPr>
        <w:t>30 September 2016</w:t>
      </w:r>
    </w:p>
    <w:p w:rsidR="00C37471" w:rsidRPr="00DF2C39" w:rsidRDefault="00C37471" w:rsidP="00C37471">
      <w:pPr>
        <w:pStyle w:val="SingleTxtG"/>
        <w:keepNext/>
        <w:keepLines/>
        <w:rPr>
          <w:rFonts w:eastAsia="SimSun"/>
          <w:lang w:eastAsia="ar-SA"/>
        </w:rPr>
      </w:pPr>
      <w:proofErr w:type="gramStart"/>
      <w:r w:rsidRPr="00DF2C39">
        <w:rPr>
          <w:rFonts w:eastAsia="SimSun"/>
          <w:lang w:eastAsia="ar-SA"/>
        </w:rPr>
        <w:t xml:space="preserve">[Adopted by a recorded vote of </w:t>
      </w:r>
      <w:r w:rsidR="00787EEF">
        <w:rPr>
          <w:rFonts w:eastAsia="SimSun"/>
          <w:lang w:eastAsia="ar-SA"/>
        </w:rPr>
        <w:t>46</w:t>
      </w:r>
      <w:r>
        <w:rPr>
          <w:rFonts w:eastAsia="SimSun"/>
          <w:lang w:eastAsia="ar-SA"/>
        </w:rPr>
        <w:t xml:space="preserve"> </w:t>
      </w:r>
      <w:r w:rsidRPr="00DF2C39">
        <w:rPr>
          <w:rFonts w:eastAsia="SimSun"/>
          <w:lang w:eastAsia="ar-SA"/>
        </w:rPr>
        <w:t xml:space="preserve">to </w:t>
      </w:r>
      <w:r w:rsidR="00787EEF">
        <w:rPr>
          <w:rFonts w:eastAsia="SimSun"/>
          <w:lang w:eastAsia="ar-SA"/>
        </w:rPr>
        <w:t>0</w:t>
      </w:r>
      <w:r w:rsidRPr="00DF2C39">
        <w:rPr>
          <w:rFonts w:eastAsia="SimSun"/>
          <w:lang w:eastAsia="ar-SA"/>
        </w:rPr>
        <w:t xml:space="preserve">, with </w:t>
      </w:r>
      <w:r>
        <w:rPr>
          <w:rFonts w:eastAsia="SimSun"/>
          <w:lang w:eastAsia="ar-SA"/>
        </w:rPr>
        <w:t>1</w:t>
      </w:r>
      <w:r w:rsidRPr="00DF2C39">
        <w:rPr>
          <w:rFonts w:eastAsia="SimSun"/>
          <w:lang w:eastAsia="ar-SA"/>
        </w:rPr>
        <w:t xml:space="preserve"> abstention.</w:t>
      </w:r>
      <w:proofErr w:type="gramEnd"/>
      <w:r w:rsidRPr="00DF2C39">
        <w:rPr>
          <w:rFonts w:eastAsia="SimSun"/>
          <w:lang w:eastAsia="ar-SA"/>
        </w:rPr>
        <w:t xml:space="preserve"> The voting was as follows: </w:t>
      </w:r>
    </w:p>
    <w:p w:rsidR="00C37471" w:rsidRPr="00DF2C39" w:rsidRDefault="00C37471" w:rsidP="00C37471">
      <w:pPr>
        <w:pStyle w:val="SingleTxtG"/>
        <w:keepNext/>
        <w:keepLines/>
        <w:spacing w:after="0"/>
        <w:ind w:left="1701"/>
        <w:rPr>
          <w:rFonts w:eastAsia="SimSun"/>
          <w:i/>
          <w:lang w:eastAsia="ar-SA"/>
        </w:rPr>
      </w:pPr>
      <w:r w:rsidRPr="00DF2C39">
        <w:rPr>
          <w:rFonts w:eastAsia="SimSun"/>
          <w:i/>
          <w:lang w:eastAsia="ar-SA"/>
        </w:rPr>
        <w:t>In favour</w:t>
      </w:r>
      <w:r w:rsidRPr="00DF2C39">
        <w:rPr>
          <w:rFonts w:eastAsia="SimSun"/>
          <w:lang w:eastAsia="ar-SA"/>
        </w:rPr>
        <w:t>:</w:t>
      </w:r>
      <w:r w:rsidRPr="00DF2C39">
        <w:rPr>
          <w:rFonts w:eastAsia="SimSun"/>
          <w:i/>
          <w:lang w:eastAsia="ar-SA"/>
        </w:rPr>
        <w:t xml:space="preserve"> </w:t>
      </w:r>
    </w:p>
    <w:p w:rsidR="00C37471" w:rsidRPr="000D1003" w:rsidRDefault="00787EEF" w:rsidP="00C37471">
      <w:pPr>
        <w:pStyle w:val="SingleTxtG"/>
        <w:ind w:left="2268"/>
        <w:rPr>
          <w:rFonts w:eastAsia="SimSun"/>
          <w:lang w:eastAsia="ar-SA"/>
        </w:rPr>
      </w:pPr>
      <w:r w:rsidRPr="00787EEF">
        <w:rPr>
          <w:rFonts w:eastAsia="SimSun"/>
          <w:lang w:eastAsia="ar-SA"/>
        </w:rPr>
        <w:t>Albania, Algeria, Bangladesh, Belgium, Bolivia</w:t>
      </w:r>
      <w:r>
        <w:rPr>
          <w:rFonts w:eastAsia="SimSun"/>
          <w:lang w:eastAsia="ar-SA"/>
        </w:rPr>
        <w:t xml:space="preserve"> (Plurinational State of)</w:t>
      </w:r>
      <w:r w:rsidRPr="00787EEF">
        <w:rPr>
          <w:rFonts w:eastAsia="SimSun"/>
          <w:lang w:eastAsia="ar-SA"/>
        </w:rPr>
        <w:t xml:space="preserve">, Botswana, Burundi, China, Congo, Côte d’Ivoire, Cuba, Ecuador, El Salvador, Ethiopia, France, Georgia, Germany, Ghana, India, Indonesia, Kenya, Latvia, Maldives, Mexico, Mongolia, Morocco, Namibia, Netherlands, Nigeria, Panama, Paraguay, Philippines, Portugal, Qatar, Republic of Korea, Russian Federation, Saudi Arabia, Slovenia, South Africa, Switzerland, </w:t>
      </w:r>
      <w:r>
        <w:rPr>
          <w:rFonts w:eastAsia="SimSun"/>
          <w:lang w:eastAsia="ar-SA"/>
        </w:rPr>
        <w:t>t</w:t>
      </w:r>
      <w:r w:rsidRPr="00787EEF">
        <w:rPr>
          <w:rFonts w:eastAsia="SimSun"/>
          <w:lang w:eastAsia="ar-SA"/>
        </w:rPr>
        <w:t>he former Yugoslav Republic of Macedonia, Togo, United Arab Emirates, United Kingdom</w:t>
      </w:r>
      <w:r w:rsidR="00B940BB">
        <w:rPr>
          <w:rFonts w:eastAsia="SimSun"/>
          <w:lang w:eastAsia="ar-SA"/>
        </w:rPr>
        <w:t xml:space="preserve"> of Great Britain and Northern Ireland</w:t>
      </w:r>
      <w:r w:rsidRPr="00787EEF">
        <w:rPr>
          <w:rFonts w:eastAsia="SimSun"/>
          <w:lang w:eastAsia="ar-SA"/>
        </w:rPr>
        <w:t>, Venezuela</w:t>
      </w:r>
      <w:r>
        <w:rPr>
          <w:rFonts w:eastAsia="SimSun"/>
          <w:lang w:eastAsia="ar-SA"/>
        </w:rPr>
        <w:t xml:space="preserve"> (Bolivarian Republic of)</w:t>
      </w:r>
      <w:r w:rsidRPr="00787EEF">
        <w:rPr>
          <w:rFonts w:eastAsia="SimSun"/>
          <w:lang w:eastAsia="ar-SA"/>
        </w:rPr>
        <w:t>, Viet Nam</w:t>
      </w:r>
      <w:r w:rsidR="00C37471" w:rsidRPr="000D1003">
        <w:rPr>
          <w:rFonts w:eastAsia="SimSun"/>
          <w:lang w:eastAsia="ar-SA"/>
        </w:rPr>
        <w:t xml:space="preserve"> </w:t>
      </w:r>
    </w:p>
    <w:p w:rsidR="00C37471" w:rsidRPr="000D1003" w:rsidRDefault="00C37471" w:rsidP="00C37471">
      <w:pPr>
        <w:pStyle w:val="SingleTxtG"/>
        <w:spacing w:after="0"/>
        <w:ind w:left="1701"/>
        <w:rPr>
          <w:rFonts w:eastAsia="SimSun"/>
          <w:i/>
          <w:lang w:eastAsia="ar-SA"/>
        </w:rPr>
      </w:pPr>
      <w:r w:rsidRPr="000D1003">
        <w:rPr>
          <w:rFonts w:eastAsia="SimSun"/>
          <w:i/>
          <w:lang w:eastAsia="ar-SA"/>
        </w:rPr>
        <w:t>Abstaining</w:t>
      </w:r>
      <w:r w:rsidRPr="000D1003">
        <w:rPr>
          <w:rFonts w:eastAsia="SimSun"/>
          <w:lang w:eastAsia="ar-SA"/>
        </w:rPr>
        <w:t>:</w:t>
      </w:r>
    </w:p>
    <w:p w:rsidR="00C37471" w:rsidRPr="00BD6E93" w:rsidRDefault="00787EEF" w:rsidP="00BD6E93">
      <w:pPr>
        <w:pStyle w:val="SingleTxtG"/>
        <w:ind w:left="2268"/>
        <w:rPr>
          <w:rFonts w:eastAsia="Calibri"/>
        </w:rPr>
      </w:pPr>
      <w:r>
        <w:rPr>
          <w:rFonts w:eastAsia="SimSun"/>
          <w:lang w:eastAsia="ar-SA"/>
        </w:rPr>
        <w:t>Kyrgyzstan</w:t>
      </w:r>
      <w:r w:rsidR="00C37471" w:rsidRPr="000D1003">
        <w:rPr>
          <w:rFonts w:eastAsia="SimSun"/>
          <w:lang w:eastAsia="ar-SA"/>
        </w:rPr>
        <w:t>]</w:t>
      </w:r>
    </w:p>
    <w:p w:rsidR="002F006E" w:rsidRPr="00F63C5B" w:rsidRDefault="003D206B" w:rsidP="003D206B">
      <w:pPr>
        <w:pStyle w:val="SingleTxtG"/>
        <w:spacing w:before="240" w:after="0"/>
        <w:jc w:val="center"/>
        <w:rPr>
          <w:rFonts w:eastAsia="SimSun"/>
          <w:u w:val="single"/>
        </w:rPr>
      </w:pPr>
      <w:r w:rsidRPr="00F63C5B">
        <w:rPr>
          <w:rFonts w:eastAsia="SimSun"/>
          <w:u w:val="single"/>
          <w:lang w:eastAsia="ar-SA"/>
        </w:rPr>
        <w:tab/>
      </w:r>
      <w:r w:rsidRPr="00F63C5B">
        <w:rPr>
          <w:rFonts w:eastAsia="SimSun"/>
          <w:u w:val="single"/>
          <w:lang w:eastAsia="ar-SA"/>
        </w:rPr>
        <w:tab/>
      </w:r>
      <w:r w:rsidRPr="00F63C5B">
        <w:rPr>
          <w:rFonts w:eastAsia="SimSun"/>
          <w:u w:val="single"/>
          <w:lang w:eastAsia="ar-SA"/>
        </w:rPr>
        <w:tab/>
      </w:r>
    </w:p>
    <w:sectPr w:rsidR="002F006E" w:rsidRPr="00F63C5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6FA" w:rsidRDefault="000216FA"/>
  </w:endnote>
  <w:endnote w:type="continuationSeparator" w:id="0">
    <w:p w:rsidR="000216FA" w:rsidRDefault="000216FA"/>
  </w:endnote>
  <w:endnote w:type="continuationNotice" w:id="1">
    <w:p w:rsidR="000216FA" w:rsidRDefault="000216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6FA" w:rsidRPr="00EE2A77" w:rsidRDefault="0010079C" w:rsidP="00EE2A77">
    <w:pPr>
      <w:pStyle w:val="Footer"/>
      <w:tabs>
        <w:tab w:val="right" w:pos="9638"/>
      </w:tabs>
    </w:pPr>
    <w:r>
      <w:fldChar w:fldCharType="begin"/>
    </w:r>
    <w:r>
      <w:instrText xml:space="preserve"> PAGE  \* MERGEFORMAT </w:instrText>
    </w:r>
    <w:r>
      <w:fldChar w:fldCharType="separate"/>
    </w:r>
    <w:r w:rsidR="002A7823" w:rsidRPr="002A7823">
      <w:rPr>
        <w:b/>
        <w:noProof/>
        <w:sz w:val="18"/>
      </w:rPr>
      <w:t>2</w:t>
    </w:r>
    <w:r>
      <w:rPr>
        <w:b/>
        <w:noProof/>
        <w:sz w:val="18"/>
      </w:rPr>
      <w:fldChar w:fldCharType="end"/>
    </w:r>
    <w:r w:rsidR="000216FA">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6FA" w:rsidRPr="00EE2A77" w:rsidRDefault="000216FA" w:rsidP="00EE2A77">
    <w:pPr>
      <w:pStyle w:val="Footer"/>
      <w:tabs>
        <w:tab w:val="right" w:pos="9638"/>
      </w:tabs>
      <w:rPr>
        <w:b/>
        <w:sz w:val="18"/>
      </w:rPr>
    </w:pPr>
    <w:r>
      <w:tab/>
    </w:r>
    <w:r w:rsidR="0010079C">
      <w:fldChar w:fldCharType="begin"/>
    </w:r>
    <w:r w:rsidR="0010079C">
      <w:instrText xml:space="preserve"> PAGE  \* MERGEFORMAT </w:instrText>
    </w:r>
    <w:r w:rsidR="0010079C">
      <w:fldChar w:fldCharType="separate"/>
    </w:r>
    <w:r w:rsidR="002A7823" w:rsidRPr="002A7823">
      <w:rPr>
        <w:b/>
        <w:noProof/>
        <w:sz w:val="18"/>
      </w:rPr>
      <w:t>3</w:t>
    </w:r>
    <w:r w:rsidR="0010079C">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D46" w:rsidRDefault="00843D46" w:rsidP="00843D46">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43DA46E9" wp14:editId="27DF4451">
          <wp:simplePos x="0" y="0"/>
          <wp:positionH relativeFrom="margin">
            <wp:posOffset>5489575</wp:posOffset>
          </wp:positionH>
          <wp:positionV relativeFrom="margin">
            <wp:posOffset>8110220</wp:posOffset>
          </wp:positionV>
          <wp:extent cx="638175" cy="638175"/>
          <wp:effectExtent l="0" t="0" r="9525" b="9525"/>
          <wp:wrapNone/>
          <wp:docPr id="2" name="Picture 1" descr="http://undocs.org/m2/QRCode.ashx?DS=A/HRC/RES/33/3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30&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3D46" w:rsidRDefault="00843D46" w:rsidP="00843D46">
    <w:pPr>
      <w:pStyle w:val="Footer"/>
      <w:ind w:right="1134"/>
      <w:rPr>
        <w:sz w:val="20"/>
      </w:rPr>
    </w:pPr>
    <w:r>
      <w:rPr>
        <w:sz w:val="20"/>
      </w:rPr>
      <w:t>GE.16-17377(E)</w:t>
    </w:r>
  </w:p>
  <w:p w:rsidR="00843D46" w:rsidRPr="00843D46" w:rsidRDefault="00843D46" w:rsidP="00843D46">
    <w:pPr>
      <w:pStyle w:val="Footer"/>
      <w:ind w:right="1134"/>
      <w:rPr>
        <w:rFonts w:ascii="C39T30Lfz" w:hAnsi="C39T30Lfz"/>
        <w:sz w:val="56"/>
      </w:rPr>
    </w:pPr>
    <w:r w:rsidRPr="00DA43F5">
      <w:rPr>
        <w:rFonts w:ascii="C39T30Lfz" w:hAnsi="C39T30Lfz"/>
        <w:noProof/>
        <w:sz w:val="56"/>
        <w:u w:val="single"/>
        <w:lang w:val="en-US"/>
      </w:rPr>
      <w:drawing>
        <wp:anchor distT="0" distB="0" distL="114300" distR="114300" simplePos="0" relativeHeight="251659264" behindDoc="0" locked="0" layoutInCell="1" allowOverlap="1" wp14:anchorId="4B6AF59C" wp14:editId="615D3AFC">
          <wp:simplePos x="0" y="0"/>
          <wp:positionH relativeFrom="margin">
            <wp:posOffset>4340860</wp:posOffset>
          </wp:positionH>
          <wp:positionV relativeFrom="margin">
            <wp:posOffset>8373745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6FA" w:rsidRPr="000B175B" w:rsidRDefault="000216FA" w:rsidP="000B175B">
      <w:pPr>
        <w:tabs>
          <w:tab w:val="right" w:pos="2155"/>
        </w:tabs>
        <w:spacing w:after="80"/>
        <w:ind w:left="680"/>
        <w:rPr>
          <w:u w:val="single"/>
        </w:rPr>
      </w:pPr>
      <w:r>
        <w:rPr>
          <w:u w:val="single"/>
        </w:rPr>
        <w:tab/>
      </w:r>
    </w:p>
  </w:footnote>
  <w:footnote w:type="continuationSeparator" w:id="0">
    <w:p w:rsidR="000216FA" w:rsidRPr="00FC68B7" w:rsidRDefault="000216FA" w:rsidP="00FC68B7">
      <w:pPr>
        <w:tabs>
          <w:tab w:val="left" w:pos="2155"/>
        </w:tabs>
        <w:spacing w:after="80"/>
        <w:ind w:left="680"/>
        <w:rPr>
          <w:u w:val="single"/>
        </w:rPr>
      </w:pPr>
      <w:r>
        <w:rPr>
          <w:u w:val="single"/>
        </w:rPr>
        <w:tab/>
      </w:r>
    </w:p>
  </w:footnote>
  <w:footnote w:type="continuationNotice" w:id="1">
    <w:p w:rsidR="000216FA" w:rsidRDefault="000216FA"/>
  </w:footnote>
  <w:footnote w:id="2">
    <w:p w:rsidR="000216FA" w:rsidRPr="00165E74" w:rsidRDefault="000216FA" w:rsidP="00F12215">
      <w:pPr>
        <w:pStyle w:val="FootnoteText"/>
        <w:widowControl w:val="0"/>
        <w:tabs>
          <w:tab w:val="clear" w:pos="1021"/>
          <w:tab w:val="right" w:pos="1020"/>
        </w:tabs>
      </w:pPr>
      <w:r>
        <w:tab/>
      </w:r>
      <w:r>
        <w:rPr>
          <w:rStyle w:val="FootnoteReference"/>
        </w:rPr>
        <w:footnoteRef/>
      </w:r>
      <w:r>
        <w:tab/>
      </w:r>
      <w:proofErr w:type="gramStart"/>
      <w:r>
        <w:rPr>
          <w:lang w:val="en-US"/>
        </w:rPr>
        <w:t xml:space="preserve">A/HRC/27/48 </w:t>
      </w:r>
      <w:r w:rsidRPr="00765881">
        <w:rPr>
          <w:lang w:val="en-US"/>
        </w:rPr>
        <w:t>and Add.1</w:t>
      </w:r>
      <w:r>
        <w:rPr>
          <w:lang w:val="en-US"/>
        </w:rPr>
        <w:t>–5,</w:t>
      </w:r>
      <w:r>
        <w:t xml:space="preserve"> </w:t>
      </w:r>
      <w:r w:rsidRPr="00765881">
        <w:rPr>
          <w:lang w:val="en-US"/>
        </w:rPr>
        <w:t>A/HRC/30/36</w:t>
      </w:r>
      <w:r>
        <w:rPr>
          <w:lang w:val="en-US"/>
        </w:rPr>
        <w:t xml:space="preserve"> </w:t>
      </w:r>
      <w:r w:rsidRPr="00D7519F">
        <w:rPr>
          <w:lang w:val="en-US"/>
        </w:rPr>
        <w:t>and Add</w:t>
      </w:r>
      <w:r>
        <w:rPr>
          <w:lang w:val="en-US"/>
        </w:rPr>
        <w:t>.1–3</w:t>
      </w:r>
      <w:r w:rsidRPr="00765881">
        <w:rPr>
          <w:lang w:val="en-US"/>
        </w:rPr>
        <w:t xml:space="preserve">, </w:t>
      </w:r>
      <w:r>
        <w:rPr>
          <w:lang w:val="en-US"/>
        </w:rPr>
        <w:t>and A/HRC/30/37.</w:t>
      </w:r>
      <w:proofErr w:type="gramEnd"/>
      <w:r w:rsidRPr="00765881">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6FA" w:rsidRPr="00EE2A77" w:rsidRDefault="000216FA">
    <w:pPr>
      <w:pStyle w:val="Header"/>
    </w:pPr>
    <w:r>
      <w:t>A/HRC/</w:t>
    </w:r>
    <w:r w:rsidR="00C37471">
      <w:t>RES/</w:t>
    </w:r>
    <w:r>
      <w:t>33/</w:t>
    </w:r>
    <w:r w:rsidR="00C37471">
      <w:t>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6FA" w:rsidRPr="00EE2A77" w:rsidRDefault="000216FA" w:rsidP="00EE2A77">
    <w:pPr>
      <w:pStyle w:val="Header"/>
      <w:jc w:val="right"/>
    </w:pPr>
    <w:r>
      <w:t>A/HRC/</w:t>
    </w:r>
    <w:r w:rsidR="00C37471">
      <w:t>RES/</w:t>
    </w:r>
    <w:r>
      <w:t>3</w:t>
    </w:r>
    <w:r w:rsidR="00C37471">
      <w:t>3/30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16FA"/>
    <w:rsid w:val="00022DB5"/>
    <w:rsid w:val="00032232"/>
    <w:rsid w:val="000403D1"/>
    <w:rsid w:val="00042566"/>
    <w:rsid w:val="000449AA"/>
    <w:rsid w:val="00050F6B"/>
    <w:rsid w:val="0005216E"/>
    <w:rsid w:val="00057D19"/>
    <w:rsid w:val="00072C8C"/>
    <w:rsid w:val="00073E70"/>
    <w:rsid w:val="000876EB"/>
    <w:rsid w:val="00091419"/>
    <w:rsid w:val="000931C0"/>
    <w:rsid w:val="000A2AFE"/>
    <w:rsid w:val="000B175B"/>
    <w:rsid w:val="000B1E07"/>
    <w:rsid w:val="000B3A0F"/>
    <w:rsid w:val="000B4A3B"/>
    <w:rsid w:val="000C3B42"/>
    <w:rsid w:val="000D1851"/>
    <w:rsid w:val="000E0415"/>
    <w:rsid w:val="000F50B6"/>
    <w:rsid w:val="0010079C"/>
    <w:rsid w:val="0010085F"/>
    <w:rsid w:val="00111F87"/>
    <w:rsid w:val="0011209E"/>
    <w:rsid w:val="00114904"/>
    <w:rsid w:val="00146D32"/>
    <w:rsid w:val="001509BA"/>
    <w:rsid w:val="00153FA2"/>
    <w:rsid w:val="00154B0E"/>
    <w:rsid w:val="0016094B"/>
    <w:rsid w:val="00165E74"/>
    <w:rsid w:val="00190DA0"/>
    <w:rsid w:val="00195879"/>
    <w:rsid w:val="001B4B04"/>
    <w:rsid w:val="001C6663"/>
    <w:rsid w:val="001C7895"/>
    <w:rsid w:val="001D26DF"/>
    <w:rsid w:val="001E2790"/>
    <w:rsid w:val="00211E0B"/>
    <w:rsid w:val="00211E72"/>
    <w:rsid w:val="00214047"/>
    <w:rsid w:val="0022130F"/>
    <w:rsid w:val="00237785"/>
    <w:rsid w:val="002410DD"/>
    <w:rsid w:val="00241466"/>
    <w:rsid w:val="00253D58"/>
    <w:rsid w:val="0027725F"/>
    <w:rsid w:val="0028185A"/>
    <w:rsid w:val="002A7823"/>
    <w:rsid w:val="002C21F0"/>
    <w:rsid w:val="002D4176"/>
    <w:rsid w:val="002E7C76"/>
    <w:rsid w:val="002F006E"/>
    <w:rsid w:val="003107FA"/>
    <w:rsid w:val="00317071"/>
    <w:rsid w:val="003229D8"/>
    <w:rsid w:val="003314D1"/>
    <w:rsid w:val="00331D12"/>
    <w:rsid w:val="00335A2F"/>
    <w:rsid w:val="00341937"/>
    <w:rsid w:val="00356FA0"/>
    <w:rsid w:val="0036088C"/>
    <w:rsid w:val="00364A1C"/>
    <w:rsid w:val="00380F04"/>
    <w:rsid w:val="00390052"/>
    <w:rsid w:val="0039277A"/>
    <w:rsid w:val="003972E0"/>
    <w:rsid w:val="003975ED"/>
    <w:rsid w:val="003C2725"/>
    <w:rsid w:val="003C2CC4"/>
    <w:rsid w:val="003D206B"/>
    <w:rsid w:val="003D2765"/>
    <w:rsid w:val="003D4B23"/>
    <w:rsid w:val="003E515A"/>
    <w:rsid w:val="003E7D53"/>
    <w:rsid w:val="003F3BD4"/>
    <w:rsid w:val="003F5DD6"/>
    <w:rsid w:val="00402A2C"/>
    <w:rsid w:val="00402AD8"/>
    <w:rsid w:val="004239D8"/>
    <w:rsid w:val="00424C80"/>
    <w:rsid w:val="00427510"/>
    <w:rsid w:val="004325CB"/>
    <w:rsid w:val="004413C2"/>
    <w:rsid w:val="00443464"/>
    <w:rsid w:val="0044503A"/>
    <w:rsid w:val="004453BF"/>
    <w:rsid w:val="00446DE4"/>
    <w:rsid w:val="00447761"/>
    <w:rsid w:val="00451EC3"/>
    <w:rsid w:val="0045372F"/>
    <w:rsid w:val="00456DD6"/>
    <w:rsid w:val="004721B1"/>
    <w:rsid w:val="00472982"/>
    <w:rsid w:val="004859EC"/>
    <w:rsid w:val="00487B50"/>
    <w:rsid w:val="004939B3"/>
    <w:rsid w:val="00493D3E"/>
    <w:rsid w:val="00496A15"/>
    <w:rsid w:val="004A6D3A"/>
    <w:rsid w:val="004B75D2"/>
    <w:rsid w:val="004C0361"/>
    <w:rsid w:val="004D0109"/>
    <w:rsid w:val="004D1140"/>
    <w:rsid w:val="004E2A4B"/>
    <w:rsid w:val="004F55ED"/>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77719"/>
    <w:rsid w:val="00582500"/>
    <w:rsid w:val="00597B57"/>
    <w:rsid w:val="005A087F"/>
    <w:rsid w:val="005A69B3"/>
    <w:rsid w:val="005B3DB3"/>
    <w:rsid w:val="005B4D83"/>
    <w:rsid w:val="005B6E48"/>
    <w:rsid w:val="005C2413"/>
    <w:rsid w:val="005C69BB"/>
    <w:rsid w:val="005E1712"/>
    <w:rsid w:val="005F52A9"/>
    <w:rsid w:val="0061165E"/>
    <w:rsid w:val="00611ABD"/>
    <w:rsid w:val="00611FC4"/>
    <w:rsid w:val="006176FB"/>
    <w:rsid w:val="00640B26"/>
    <w:rsid w:val="0064189A"/>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632A"/>
    <w:rsid w:val="0074200B"/>
    <w:rsid w:val="00765EF3"/>
    <w:rsid w:val="00787EEF"/>
    <w:rsid w:val="007A6296"/>
    <w:rsid w:val="007B208E"/>
    <w:rsid w:val="007B5706"/>
    <w:rsid w:val="007B6BA5"/>
    <w:rsid w:val="007B7C6F"/>
    <w:rsid w:val="007C1B62"/>
    <w:rsid w:val="007C3390"/>
    <w:rsid w:val="007C4F4B"/>
    <w:rsid w:val="007C5E9C"/>
    <w:rsid w:val="007D2CDC"/>
    <w:rsid w:val="007D44D0"/>
    <w:rsid w:val="007D5327"/>
    <w:rsid w:val="007E15F4"/>
    <w:rsid w:val="007F6611"/>
    <w:rsid w:val="008115B3"/>
    <w:rsid w:val="008155C3"/>
    <w:rsid w:val="008175E9"/>
    <w:rsid w:val="0082243E"/>
    <w:rsid w:val="008242D7"/>
    <w:rsid w:val="008402E9"/>
    <w:rsid w:val="00843D46"/>
    <w:rsid w:val="00856CD2"/>
    <w:rsid w:val="00861BC6"/>
    <w:rsid w:val="00871FD5"/>
    <w:rsid w:val="008979B1"/>
    <w:rsid w:val="008A6B25"/>
    <w:rsid w:val="008A6C4F"/>
    <w:rsid w:val="008B466C"/>
    <w:rsid w:val="008C1E4D"/>
    <w:rsid w:val="008E0E46"/>
    <w:rsid w:val="008E5104"/>
    <w:rsid w:val="0090452C"/>
    <w:rsid w:val="00907C3F"/>
    <w:rsid w:val="0092237C"/>
    <w:rsid w:val="0093707B"/>
    <w:rsid w:val="009400EB"/>
    <w:rsid w:val="00941DBB"/>
    <w:rsid w:val="009427E3"/>
    <w:rsid w:val="00944104"/>
    <w:rsid w:val="00956D9B"/>
    <w:rsid w:val="00963CBA"/>
    <w:rsid w:val="009654B7"/>
    <w:rsid w:val="009757A1"/>
    <w:rsid w:val="00976B90"/>
    <w:rsid w:val="00991261"/>
    <w:rsid w:val="009A0B83"/>
    <w:rsid w:val="009B019A"/>
    <w:rsid w:val="009B2095"/>
    <w:rsid w:val="009B3800"/>
    <w:rsid w:val="009D22AC"/>
    <w:rsid w:val="009D50DB"/>
    <w:rsid w:val="009D663E"/>
    <w:rsid w:val="009E1C4E"/>
    <w:rsid w:val="009F34F1"/>
    <w:rsid w:val="009F4AF6"/>
    <w:rsid w:val="009F58A8"/>
    <w:rsid w:val="00A003D2"/>
    <w:rsid w:val="00A02B35"/>
    <w:rsid w:val="00A05E0B"/>
    <w:rsid w:val="00A1427D"/>
    <w:rsid w:val="00A4634F"/>
    <w:rsid w:val="00A51CF3"/>
    <w:rsid w:val="00A72F22"/>
    <w:rsid w:val="00A748A6"/>
    <w:rsid w:val="00A879A4"/>
    <w:rsid w:val="00A87E95"/>
    <w:rsid w:val="00A92E29"/>
    <w:rsid w:val="00AB3CE4"/>
    <w:rsid w:val="00AB61A8"/>
    <w:rsid w:val="00AC2E56"/>
    <w:rsid w:val="00AC3747"/>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4271E"/>
    <w:rsid w:val="00B53013"/>
    <w:rsid w:val="00B57EDB"/>
    <w:rsid w:val="00B67F5E"/>
    <w:rsid w:val="00B73E65"/>
    <w:rsid w:val="00B81E12"/>
    <w:rsid w:val="00B87110"/>
    <w:rsid w:val="00B940BB"/>
    <w:rsid w:val="00B94B00"/>
    <w:rsid w:val="00B97FA8"/>
    <w:rsid w:val="00BB5313"/>
    <w:rsid w:val="00BC1385"/>
    <w:rsid w:val="00BC69E0"/>
    <w:rsid w:val="00BC74E9"/>
    <w:rsid w:val="00BD6E93"/>
    <w:rsid w:val="00BE00DE"/>
    <w:rsid w:val="00BE618E"/>
    <w:rsid w:val="00C159A2"/>
    <w:rsid w:val="00C16786"/>
    <w:rsid w:val="00C24693"/>
    <w:rsid w:val="00C359A4"/>
    <w:rsid w:val="00C35F0B"/>
    <w:rsid w:val="00C37471"/>
    <w:rsid w:val="00C42278"/>
    <w:rsid w:val="00C463DD"/>
    <w:rsid w:val="00C62C58"/>
    <w:rsid w:val="00C64458"/>
    <w:rsid w:val="00C745C3"/>
    <w:rsid w:val="00C774B4"/>
    <w:rsid w:val="00C86EEF"/>
    <w:rsid w:val="00CA2A58"/>
    <w:rsid w:val="00CC0B55"/>
    <w:rsid w:val="00CD1E06"/>
    <w:rsid w:val="00CD6995"/>
    <w:rsid w:val="00CE3A8C"/>
    <w:rsid w:val="00CE4A8F"/>
    <w:rsid w:val="00CE5514"/>
    <w:rsid w:val="00CF0214"/>
    <w:rsid w:val="00CF0545"/>
    <w:rsid w:val="00CF3588"/>
    <w:rsid w:val="00CF586F"/>
    <w:rsid w:val="00CF7D43"/>
    <w:rsid w:val="00D11129"/>
    <w:rsid w:val="00D2031B"/>
    <w:rsid w:val="00D22332"/>
    <w:rsid w:val="00D25FE2"/>
    <w:rsid w:val="00D40F6F"/>
    <w:rsid w:val="00D42B42"/>
    <w:rsid w:val="00D43252"/>
    <w:rsid w:val="00D550F9"/>
    <w:rsid w:val="00D572B0"/>
    <w:rsid w:val="00D62E90"/>
    <w:rsid w:val="00D76BE5"/>
    <w:rsid w:val="00D91864"/>
    <w:rsid w:val="00D978C6"/>
    <w:rsid w:val="00DA5A30"/>
    <w:rsid w:val="00DA67AD"/>
    <w:rsid w:val="00DB18CE"/>
    <w:rsid w:val="00DE3EC0"/>
    <w:rsid w:val="00DF614B"/>
    <w:rsid w:val="00E051D8"/>
    <w:rsid w:val="00E10083"/>
    <w:rsid w:val="00E11593"/>
    <w:rsid w:val="00E12B6B"/>
    <w:rsid w:val="00E130AB"/>
    <w:rsid w:val="00E23BBC"/>
    <w:rsid w:val="00E350A9"/>
    <w:rsid w:val="00E438D9"/>
    <w:rsid w:val="00E5536D"/>
    <w:rsid w:val="00E5644E"/>
    <w:rsid w:val="00E61A6C"/>
    <w:rsid w:val="00E7260F"/>
    <w:rsid w:val="00E806EE"/>
    <w:rsid w:val="00E9471B"/>
    <w:rsid w:val="00E96630"/>
    <w:rsid w:val="00EA5EC1"/>
    <w:rsid w:val="00EB0C95"/>
    <w:rsid w:val="00EB0FB9"/>
    <w:rsid w:val="00EC250E"/>
    <w:rsid w:val="00ED0CA9"/>
    <w:rsid w:val="00ED1EFC"/>
    <w:rsid w:val="00ED7A2A"/>
    <w:rsid w:val="00EE2A77"/>
    <w:rsid w:val="00EE36FF"/>
    <w:rsid w:val="00EF1D7F"/>
    <w:rsid w:val="00EF5BDB"/>
    <w:rsid w:val="00F07FD9"/>
    <w:rsid w:val="00F12215"/>
    <w:rsid w:val="00F15AA7"/>
    <w:rsid w:val="00F225CB"/>
    <w:rsid w:val="00F23933"/>
    <w:rsid w:val="00F24119"/>
    <w:rsid w:val="00F40E75"/>
    <w:rsid w:val="00F42CD9"/>
    <w:rsid w:val="00F4793B"/>
    <w:rsid w:val="00F52936"/>
    <w:rsid w:val="00F553D6"/>
    <w:rsid w:val="00F63C5B"/>
    <w:rsid w:val="00F674F3"/>
    <w:rsid w:val="00F677CB"/>
    <w:rsid w:val="00F714CA"/>
    <w:rsid w:val="00F96A1E"/>
    <w:rsid w:val="00FA7DF3"/>
    <w:rsid w:val="00FC48F4"/>
    <w:rsid w:val="00FC68B7"/>
    <w:rsid w:val="00FD7C1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C37471"/>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C3747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6B210-5F88-48AC-9804-E606AD874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1119</Words>
  <Characters>6046</Characters>
  <Application>Microsoft Office Word</Application>
  <DocSecurity>0</DocSecurity>
  <Lines>117</Lines>
  <Paragraphs>47</Paragraphs>
  <ScaleCrop>false</ScaleCrop>
  <HeadingPairs>
    <vt:vector size="2" baseType="variant">
      <vt:variant>
        <vt:lpstr>Title</vt:lpstr>
      </vt:variant>
      <vt:variant>
        <vt:i4>1</vt:i4>
      </vt:variant>
    </vt:vector>
  </HeadingPairs>
  <TitlesOfParts>
    <vt:vector size="1" baseType="lpstr">
      <vt:lpstr>1616531</vt:lpstr>
    </vt:vector>
  </TitlesOfParts>
  <Company>CSD</Company>
  <LinksUpToDate>false</LinksUpToDate>
  <CharactersWithSpaces>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1617377</dc:title>
  <dc:subject>A/HRC/RES/33/30</dc:subject>
  <dc:creator>Kiatsurayanon</dc:creator>
  <cp:keywords/>
  <dc:description/>
  <cp:lastModifiedBy>PDF ENG</cp:lastModifiedBy>
  <cp:revision>2</cp:revision>
  <cp:lastPrinted>2016-10-06T14:49:00Z</cp:lastPrinted>
  <dcterms:created xsi:type="dcterms:W3CDTF">2016-10-07T11:20:00Z</dcterms:created>
  <dcterms:modified xsi:type="dcterms:W3CDTF">2016-10-07T11:20:00Z</dcterms:modified>
</cp:coreProperties>
</file>