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Восемьдесят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2266-м заседании,</w:t>
      </w:r>
    </w:p>
    <w:p w:rsidR="00000000" w:rsidRDefault="00000000">
      <w:r>
        <w:t>состоявшемся в Центральных учреждениях, Нью-Йорк, во вторник, 22 марта 2005 года в 11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Шане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 Пакта, и о положении в странах (</w:t>
      </w:r>
      <w:r>
        <w:rPr>
          <w:i/>
        </w:rPr>
        <w:t>пр</w:t>
      </w:r>
      <w:r>
        <w:rPr>
          <w:i/>
        </w:rPr>
        <w:t>о</w:t>
      </w:r>
      <w:r>
        <w:rPr>
          <w:i/>
        </w:rPr>
        <w:t>должение</w:t>
      </w:r>
      <w:r>
        <w:t>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</w:pPr>
      <w:r>
        <w:tab/>
      </w:r>
      <w:r>
        <w:tab/>
      </w:r>
      <w:r>
        <w:tab/>
      </w:r>
      <w:r>
        <w:tab/>
      </w:r>
      <w:r>
        <w:tab/>
        <w:t>Второй периодический доклад Узбекистана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11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72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 статьей 40 Пакта, и о положении в странах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периодический доклад Узбекистана </w:t>
      </w:r>
      <w:r>
        <w:rPr>
          <w:i w:val="0"/>
        </w:rPr>
        <w:t>(CCPR/C/UZB/2004/2)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делегация У</w:t>
      </w:r>
      <w:r>
        <w:rPr>
          <w:i/>
        </w:rPr>
        <w:t>з</w:t>
      </w:r>
      <w:r>
        <w:rPr>
          <w:i/>
        </w:rPr>
        <w:t>бекистана занимает место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Г–н Саидов </w:t>
      </w:r>
      <w:r>
        <w:t>(Узбекистан), продолжая отвечать на вопросы, поставленные членами Комитета по пунктам 1–15 перечня вопросов перед его делег</w:t>
      </w:r>
      <w:r>
        <w:t>а</w:t>
      </w:r>
      <w:r>
        <w:t>цией, говорит, что Узбекистан принимает меры по созданию более эффективного механизма рассмо</w:t>
      </w:r>
      <w:r>
        <w:t>т</w:t>
      </w:r>
      <w:r>
        <w:t>рения жалоб и сообщений, направленных Комит</w:t>
      </w:r>
      <w:r>
        <w:t>е</w:t>
      </w:r>
      <w:r>
        <w:t>том, а также для своевременного принятия отве</w:t>
      </w:r>
      <w:r>
        <w:t>т</w:t>
      </w:r>
      <w:r>
        <w:t>ных мер по рекомендациям Комитета. В настоящее время сообщения Комитета направляются в соо</w:t>
      </w:r>
      <w:r>
        <w:t>т</w:t>
      </w:r>
      <w:r>
        <w:t>ветствующий орган в Узбекистане, который делает рекомендации о мерах, которые следует принять, и после этого информация о проделанной работе н</w:t>
      </w:r>
      <w:r>
        <w:t>а</w:t>
      </w:r>
      <w:r>
        <w:t>правляется обратно в Комитет. Это новое мер</w:t>
      </w:r>
      <w:r>
        <w:t>о</w:t>
      </w:r>
      <w:r>
        <w:t>приятие для органов власти в Узбекистане, и с</w:t>
      </w:r>
      <w:r>
        <w:t>о</w:t>
      </w:r>
      <w:r>
        <w:t>трудники правоохранительных и других государс</w:t>
      </w:r>
      <w:r>
        <w:t>т</w:t>
      </w:r>
      <w:r>
        <w:t>венных органов медленно накапливают опыт в осуществлении норм, закрепленных в междунаро</w:t>
      </w:r>
      <w:r>
        <w:t>д</w:t>
      </w:r>
      <w:r>
        <w:t>ных документах в области прав человека, включая Пакт, которому правительство придает огромное значение. Что касается насилия в отношении же</w:t>
      </w:r>
      <w:r>
        <w:t>н</w:t>
      </w:r>
      <w:r>
        <w:t>щин, то Комитету была представлена копия недавно проделанного исследования, в котором приводятся результаты обследования случаев насилия в семье в Узбекистане; это обследование было проведено о</w:t>
      </w:r>
      <w:r>
        <w:t>д</w:t>
      </w:r>
      <w:r>
        <w:t>ним из неправительственных центров по изучению социальных вопросов. В этой области правительс</w:t>
      </w:r>
      <w:r>
        <w:t>т</w:t>
      </w:r>
      <w:r>
        <w:t>во сотрудничает с неправительственными орган</w:t>
      </w:r>
      <w:r>
        <w:t>и</w:t>
      </w:r>
      <w:r>
        <w:t>зациями, разрабатывающими систему оказания п</w:t>
      </w:r>
      <w:r>
        <w:t>о</w:t>
      </w:r>
      <w:r>
        <w:t>мощи жертвам насилия в семье. Привлечение вн</w:t>
      </w:r>
      <w:r>
        <w:t>и</w:t>
      </w:r>
      <w:r>
        <w:t>мания к этому вопросу в средствах массовой и</w:t>
      </w:r>
      <w:r>
        <w:t>н</w:t>
      </w:r>
      <w:r>
        <w:t>формации также оказывает помощь в ведении пр</w:t>
      </w:r>
      <w:r>
        <w:t>о</w:t>
      </w:r>
      <w:r>
        <w:t>светительской работы среди насел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3.</w:t>
      </w:r>
      <w:r>
        <w:tab/>
        <w:t>В Уголовном кодексе многоженство считается одной из форм дискриминации в отношении же</w:t>
      </w:r>
      <w:r>
        <w:t>н</w:t>
      </w:r>
      <w:r>
        <w:t>щин и преступлением. Культурные корни этого я</w:t>
      </w:r>
      <w:r>
        <w:t>в</w:t>
      </w:r>
      <w:r>
        <w:t>ления появились задолго до 1917 года. В Узбек</w:t>
      </w:r>
      <w:r>
        <w:t>и</w:t>
      </w:r>
      <w:r>
        <w:t>стане установлен разный минимальный возраст для вступления в брак для мужчин и женщин, а именно: 18 лет для мужчин и 17 лет для женщин, однако следует отметить, что такое различие существует во многих странах. Насильственное вступление в брак в подростковом возрасте считается преступлением. Изнасилования считаются одним из наиболее сер</w:t>
      </w:r>
      <w:r>
        <w:t>ь</w:t>
      </w:r>
      <w:r>
        <w:t>езных преступлений и на них приходится менее о</w:t>
      </w:r>
      <w:r>
        <w:t>д</w:t>
      </w:r>
      <w:r>
        <w:t>ного процента преступлений, при этом указанный показатель несколько уменьшился. Гомосексуализм определяется как преступление, совершаемое л</w:t>
      </w:r>
      <w:r>
        <w:t>и</w:t>
      </w:r>
      <w:r>
        <w:t>цами мужского пола, однако не существует законов о гомосексуализме среди женщин. Оратор не смог получить статистические данные о масштабах ра</w:t>
      </w:r>
      <w:r>
        <w:t>с</w:t>
      </w:r>
      <w:r>
        <w:t>пространения гомосексуализма. Запрещение гом</w:t>
      </w:r>
      <w:r>
        <w:t>о</w:t>
      </w:r>
      <w:r>
        <w:t>сексуализма имеет давние культурные и религио</w:t>
      </w:r>
      <w:r>
        <w:t>з</w:t>
      </w:r>
      <w:r>
        <w:t>ные корни.</w:t>
      </w:r>
    </w:p>
    <w:p w:rsidR="00000000" w:rsidRDefault="00000000">
      <w:pPr>
        <w:pStyle w:val="DualTxt"/>
      </w:pPr>
      <w:r>
        <w:t>4.</w:t>
      </w:r>
      <w:r>
        <w:tab/>
        <w:t>Что касается уменьшения степени секретности и неопределенности в отношении высшей меры н</w:t>
      </w:r>
      <w:r>
        <w:t>а</w:t>
      </w:r>
      <w:r>
        <w:t>казания, то были разработаны четкие правила, об</w:t>
      </w:r>
      <w:r>
        <w:t>я</w:t>
      </w:r>
      <w:r>
        <w:t>зывающие органы власти информировать ближа</w:t>
      </w:r>
      <w:r>
        <w:t>й</w:t>
      </w:r>
      <w:r>
        <w:t>ших родственников о приведении приговора в и</w:t>
      </w:r>
      <w:r>
        <w:t>с</w:t>
      </w:r>
      <w:r>
        <w:t>полнение. В отношении хода осуществления рек</w:t>
      </w:r>
      <w:r>
        <w:t>о</w:t>
      </w:r>
      <w:r>
        <w:t>мендаций, сделанных Специальным докладчиком по пыткам после его посещения Узбекистана в 2002 году, следует отметить, что четыре из 22 рекомендаций по-прежнему находятся на стадии рассмотрения, а именно рекомендации, касающиеся продолжительности досудебного задержания, пер</w:t>
      </w:r>
      <w:r>
        <w:t>е</w:t>
      </w:r>
      <w:r>
        <w:t>дачи функции управления исправительными учре</w:t>
      </w:r>
      <w:r>
        <w:t>ж</w:t>
      </w:r>
      <w:r>
        <w:t>дениями от министерства внутренних дел мин</w:t>
      </w:r>
      <w:r>
        <w:t>и</w:t>
      </w:r>
      <w:r>
        <w:t>стерству юстиции, возможного закрытия исправ</w:t>
      </w:r>
      <w:r>
        <w:t>и</w:t>
      </w:r>
      <w:r>
        <w:t>тельной колонии «Яшлык» и заявления, предусмо</w:t>
      </w:r>
      <w:r>
        <w:t>т</w:t>
      </w:r>
      <w:r>
        <w:t>ренного статьей 22 Конвенции против пыток, в к</w:t>
      </w:r>
      <w:r>
        <w:t>о</w:t>
      </w:r>
      <w:r>
        <w:t>торой признается компетенция Комитета против пыток получать сообщения от предполагаемых жертв нарушений Конвенций. В каждом случае правительство определяло, что оно не может по</w:t>
      </w:r>
      <w:r>
        <w:t>л</w:t>
      </w:r>
      <w:r>
        <w:t>ностью согласиться с рекомендацией, или же счит</w:t>
      </w:r>
      <w:r>
        <w:t>а</w:t>
      </w:r>
      <w:r>
        <w:t>ло, что узбекское общество еще не готово к тем и</w:t>
      </w:r>
      <w:r>
        <w:t>з</w:t>
      </w:r>
      <w:r>
        <w:t>менениям, которые повлечет за собой принятие р</w:t>
      </w:r>
      <w:r>
        <w:t>е</w:t>
      </w:r>
      <w:r>
        <w:t>комендаций. Все ветви власти в Узбекистане осу</w:t>
      </w:r>
      <w:r>
        <w:t>ж</w:t>
      </w:r>
      <w:r>
        <w:t>дают пытки, однако попытки настоять на том, чт</w:t>
      </w:r>
      <w:r>
        <w:t>о</w:t>
      </w:r>
      <w:r>
        <w:t>бы глава государства, в частности, Президент Узб</w:t>
      </w:r>
      <w:r>
        <w:t>е</w:t>
      </w:r>
      <w:r>
        <w:t>кистана сделал на каком-либо международном ф</w:t>
      </w:r>
      <w:r>
        <w:t>о</w:t>
      </w:r>
      <w:r>
        <w:t>руме публичное заявление о том, что государство отказывается от пыток, является нарушением рек</w:t>
      </w:r>
      <w:r>
        <w:t>о</w:t>
      </w:r>
      <w:r>
        <w:t>мендаций Специального докладчика и посягател</w:t>
      </w:r>
      <w:r>
        <w:t>ь</w:t>
      </w:r>
      <w:r>
        <w:t>ством на суверенитет правительства Узбек</w:t>
      </w:r>
      <w:r>
        <w:t>и</w:t>
      </w:r>
      <w:r>
        <w:t>стана.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(Узбекистан) говорит, что в соответствии со статьей 235 Уголовного кодекса любое лицо, включая сотрудников правоохран</w:t>
      </w:r>
      <w:r>
        <w:t>и</w:t>
      </w:r>
      <w:r>
        <w:t>тельных организаций или членов судов, прим</w:t>
      </w:r>
      <w:r>
        <w:t>е</w:t>
      </w:r>
      <w:r>
        <w:t>няющее пытки, несет уголовную ответственность. Действительно, формулировки этой статьи не по</w:t>
      </w:r>
      <w:r>
        <w:t>л</w:t>
      </w:r>
      <w:r>
        <w:t>ностью совпадают с текстом статьи 1 Конвенции против пыток, однако Верховный суд подготовил определения и рекомендации, касающиеся пыток, с тем чтобы должностные лица могли применять г</w:t>
      </w:r>
      <w:r>
        <w:t>о</w:t>
      </w:r>
      <w:r>
        <w:t>сударственные постановления в отношении пыток на практике. Члены Комитета сослались на н</w:t>
      </w:r>
      <w:r>
        <w:t>е</w:t>
      </w:r>
      <w:r>
        <w:t>сколько дел в Узбекистане, когда процедурные пр</w:t>
      </w:r>
      <w:r>
        <w:t>а</w:t>
      </w:r>
      <w:r>
        <w:t>ва ответчиков, как утверждалось, не были защищ</w:t>
      </w:r>
      <w:r>
        <w:t>е</w:t>
      </w:r>
      <w:r>
        <w:t>ны, в частности право на адвоката. Негосударстве</w:t>
      </w:r>
      <w:r>
        <w:t>н</w:t>
      </w:r>
      <w:r>
        <w:t>ные эксперты провели расследования по этим делам и в тех случаях, когда нарушения были доказаны, сотрудники правоохранительных органов подвер</w:t>
      </w:r>
      <w:r>
        <w:t>г</w:t>
      </w:r>
      <w:r>
        <w:t>лись дисциплинарным наказаниям. В отношении приблизительно 12 сотрудников министерства внутренних дел были возбуждены уголовные дела за злоупотребление властью и пытки; еще 10 лет назад подобного нельзя было себе представить. Н</w:t>
      </w:r>
      <w:r>
        <w:t>е</w:t>
      </w:r>
      <w:r>
        <w:t>зависимое расследование оказалось важным сре</w:t>
      </w:r>
      <w:r>
        <w:t>д</w:t>
      </w:r>
      <w:r>
        <w:t>ством предупреждения пыток. При помощи экспе</w:t>
      </w:r>
      <w:r>
        <w:t>р</w:t>
      </w:r>
      <w:r>
        <w:t>тов из Северной Америки и Европы были провед</w:t>
      </w:r>
      <w:r>
        <w:t>е</w:t>
      </w:r>
      <w:r>
        <w:t>ны расследования случаев смерти содержавшихся под стражей и заявлений о незаконных средствах расследований. Недавно Управление Омбудсмена также согласилось участвовать в таких расследов</w:t>
      </w:r>
      <w:r>
        <w:t>а</w:t>
      </w:r>
      <w:r>
        <w:t>н</w:t>
      </w:r>
      <w:r>
        <w:t>и</w:t>
      </w:r>
      <w:r>
        <w:t>ях.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в теч</w:t>
      </w:r>
      <w:r>
        <w:t>е</w:t>
      </w:r>
      <w:r>
        <w:t>ние прошлых двух лет были возбуждены дела пр</w:t>
      </w:r>
      <w:r>
        <w:t>о</w:t>
      </w:r>
      <w:r>
        <w:t>тив 544 сотрудников правоохранительных учрежд</w:t>
      </w:r>
      <w:r>
        <w:t>е</w:t>
      </w:r>
      <w:r>
        <w:t>ний, в том числе Прокуратуры и министерства внутренних дел, за применение пыток. В принципе любое нарушение закона, в частности пытки, со стороны сотрудников правоохранительных органов недопустимы. По этим делам проводятся расслед</w:t>
      </w:r>
      <w:r>
        <w:t>о</w:t>
      </w:r>
      <w:r>
        <w:t>вания, и информация о них широко распростран</w:t>
      </w:r>
      <w:r>
        <w:t>я</w:t>
      </w:r>
      <w:r>
        <w:t>ется в средствах массовой информации; нарушит</w:t>
      </w:r>
      <w:r>
        <w:t>е</w:t>
      </w:r>
      <w:r>
        <w:t>ли подвергаются серьезному наказанию. Прав</w:t>
      </w:r>
      <w:r>
        <w:t>и</w:t>
      </w:r>
      <w:r>
        <w:t>тельство сотрудничает с неправительственными о</w:t>
      </w:r>
      <w:r>
        <w:t>р</w:t>
      </w:r>
      <w:r>
        <w:t>ганизациями в реализации проектов, направленных на улучшение общественного контроля за деятел</w:t>
      </w:r>
      <w:r>
        <w:t>ь</w:t>
      </w:r>
      <w:r>
        <w:t>ностью правоохранительных органов.</w:t>
      </w:r>
    </w:p>
    <w:p w:rsidR="00000000" w:rsidRDefault="00000000">
      <w:pPr>
        <w:pStyle w:val="DualTxt"/>
      </w:pPr>
      <w:r>
        <w:t>7.</w:t>
      </w:r>
      <w:r>
        <w:tab/>
        <w:t>В соответствии с рекомендациями Специал</w:t>
      </w:r>
      <w:r>
        <w:t>ь</w:t>
      </w:r>
      <w:r>
        <w:t>ного докладчика (E/CN.4/2003/68/Add.2, пункт 8) и мерами, изложенными в пунктах 24 и 132 доклада Узбекистана (CCPR/C/UZB/2004/2), правительство приняло решение внести измен</w:t>
      </w:r>
      <w:r>
        <w:t>е</w:t>
      </w:r>
      <w:r>
        <w:t>ния в Уголовно-процессуальный кодекс и включить в него habeas corpus. Учитывая продолжительный период прин</w:t>
      </w:r>
      <w:r>
        <w:t>я</w:t>
      </w:r>
      <w:r>
        <w:t>тия связанных с этим законодательных мер, никакой конкретной даты этого установить нево</w:t>
      </w:r>
      <w:r>
        <w:t>з</w:t>
      </w:r>
      <w:r>
        <w:t>можно.</w:t>
      </w:r>
    </w:p>
    <w:p w:rsidR="00000000" w:rsidRDefault="00000000">
      <w:pPr>
        <w:pStyle w:val="DualTxt"/>
      </w:pPr>
      <w:r>
        <w:t>8.</w:t>
      </w:r>
      <w:r>
        <w:tab/>
        <w:t>Оратор согласен с тем, что существует сущ</w:t>
      </w:r>
      <w:r>
        <w:t>е</w:t>
      </w:r>
      <w:r>
        <w:t>ственный разрыв между законом и практикой и д</w:t>
      </w:r>
      <w:r>
        <w:t>а</w:t>
      </w:r>
      <w:r>
        <w:t>той принятия закона и его вступления в силу, одн</w:t>
      </w:r>
      <w:r>
        <w:t>а</w:t>
      </w:r>
      <w:r>
        <w:t>ко эта проблема характерна не только для Узбек</w:t>
      </w:r>
      <w:r>
        <w:t>и</w:t>
      </w:r>
      <w:r>
        <w:t>стана. Тем не менее в настоящее время правител</w:t>
      </w:r>
      <w:r>
        <w:t>ь</w:t>
      </w:r>
      <w:r>
        <w:t>ство сосредоточивает свое внимание на эффекти</w:t>
      </w:r>
      <w:r>
        <w:t>в</w:t>
      </w:r>
      <w:r>
        <w:t>ном осуществлении гражданских и политических прав.</w:t>
      </w:r>
    </w:p>
    <w:p w:rsidR="00000000" w:rsidRDefault="00000000">
      <w:pPr>
        <w:pStyle w:val="DualTxt"/>
      </w:pPr>
      <w:r>
        <w:t>9.</w:t>
      </w:r>
      <w:r>
        <w:tab/>
        <w:t>В чрезвычайных обстоятельствах любое н</w:t>
      </w:r>
      <w:r>
        <w:t>а</w:t>
      </w:r>
      <w:r>
        <w:t>рушение или ограничение положений Пакта, с</w:t>
      </w:r>
      <w:r>
        <w:t>о</w:t>
      </w:r>
      <w:r>
        <w:t>держащихся в пункте 2 статьи 4, недопустимо, и Узбекистан последовательно соблюдает принцип недискр</w:t>
      </w:r>
      <w:r>
        <w:t>и</w:t>
      </w:r>
      <w:r>
        <w:t>минации.</w:t>
      </w:r>
    </w:p>
    <w:p w:rsidR="00000000" w:rsidRDefault="00000000">
      <w:pPr>
        <w:pStyle w:val="DualTxt"/>
      </w:pPr>
      <w:r>
        <w:t>10.</w:t>
      </w:r>
      <w:r>
        <w:tab/>
        <w:t>В настоящее время Узбекистан рассматривает вопрос о выдаче преступников в соответствии с нормами международного права на основе двуст</w:t>
      </w:r>
      <w:r>
        <w:t>о</w:t>
      </w:r>
      <w:r>
        <w:t>ронних договоров. Возможно, в будущем ему пр</w:t>
      </w:r>
      <w:r>
        <w:t>и</w:t>
      </w:r>
      <w:r>
        <w:t>дется отрегулировать эту практику на национал</w:t>
      </w:r>
      <w:r>
        <w:t>ь</w:t>
      </w:r>
      <w:r>
        <w:t>ном уро</w:t>
      </w:r>
      <w:r>
        <w:t>в</w:t>
      </w:r>
      <w:r>
        <w:t>не.</w:t>
      </w:r>
    </w:p>
    <w:p w:rsidR="00000000" w:rsidRDefault="00000000">
      <w:pPr>
        <w:pStyle w:val="DualTxt"/>
      </w:pPr>
      <w:r>
        <w:t>11.</w:t>
      </w:r>
      <w:r>
        <w:tab/>
        <w:t>Суточное базовое содержание калорий в р</w:t>
      </w:r>
      <w:r>
        <w:t>а</w:t>
      </w:r>
      <w:r>
        <w:t>ционе питания исправительных учреждений с</w:t>
      </w:r>
      <w:r>
        <w:t>о</w:t>
      </w:r>
      <w:r>
        <w:t>ставляет 2550 калорий в течение 24</w:t>
      </w:r>
      <w:r>
        <w:noBreakHyphen/>
        <w:t>часового п</w:t>
      </w:r>
      <w:r>
        <w:t>е</w:t>
      </w:r>
      <w:r>
        <w:t>риода. Врачи могут рекомендовать увеличить р</w:t>
      </w:r>
      <w:r>
        <w:t>а</w:t>
      </w:r>
      <w:r>
        <w:t>ционы. Фонды, выделяемые различным исправ</w:t>
      </w:r>
      <w:r>
        <w:t>и</w:t>
      </w:r>
      <w:r>
        <w:t>тельным учреждениям, неодинаковы, однако общее увеличение их объема составило 150–300 проце</w:t>
      </w:r>
      <w:r>
        <w:t>н</w:t>
      </w:r>
      <w:r>
        <w:t>тов после принятия п</w:t>
      </w:r>
      <w:r>
        <w:t>о</w:t>
      </w:r>
      <w:r>
        <w:t>правки к Уголовному кодексу.</w:t>
      </w:r>
    </w:p>
    <w:p w:rsidR="00000000" w:rsidRDefault="00000000">
      <w:pPr>
        <w:pStyle w:val="DualTxt"/>
      </w:pPr>
      <w:r>
        <w:t>12.</w:t>
      </w:r>
      <w:r>
        <w:tab/>
        <w:t>В 2004 году правительство провело исслед</w:t>
      </w:r>
      <w:r>
        <w:t>о</w:t>
      </w:r>
      <w:r>
        <w:t>вание и установило, что 78 процентов населения Узбекистана высказываются против отмены смер</w:t>
      </w:r>
      <w:r>
        <w:t>т</w:t>
      </w:r>
      <w:r>
        <w:t>ной казни. До того, как смертная казнь может быть отменена, правительство должно подготовить о</w:t>
      </w:r>
      <w:r>
        <w:t>б</w:t>
      </w:r>
      <w:r>
        <w:t>щественное мнение на основе проведения просв</w:t>
      </w:r>
      <w:r>
        <w:t>е</w:t>
      </w:r>
      <w:r>
        <w:t>тительской работы среди населения и создания подходящих условий для вынесения долгосрочных приговоров. Подготовка к этому может занять от двух до трех лет.</w:t>
      </w:r>
    </w:p>
    <w:p w:rsidR="00000000" w:rsidRDefault="00000000">
      <w:pPr>
        <w:pStyle w:val="DualTxt"/>
      </w:pPr>
      <w:r>
        <w:t>13.</w:t>
      </w:r>
      <w:r>
        <w:tab/>
        <w:t>Законы шариата были отменены в 1921 году; эти законы в стране не действуют. Узбекистан — это не исламское, а светское государство, на кот</w:t>
      </w:r>
      <w:r>
        <w:t>о</w:t>
      </w:r>
      <w:r>
        <w:t>рое оказывает влияние исла</w:t>
      </w:r>
      <w:r>
        <w:t>м</w:t>
      </w:r>
      <w:r>
        <w:t>ская религия.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(Узбекистан) говорит, что если приговор за какое</w:t>
      </w:r>
      <w:r>
        <w:noBreakHyphen/>
        <w:t>либо конкретное правон</w:t>
      </w:r>
      <w:r>
        <w:t>а</w:t>
      </w:r>
      <w:r>
        <w:t>рушение сокращается на основании закона, то с</w:t>
      </w:r>
      <w:r>
        <w:t>о</w:t>
      </w:r>
      <w:r>
        <w:t>кращается и срок пребывания под стражей лиц, осужденных за это правонарушение. В целом с</w:t>
      </w:r>
      <w:r>
        <w:t>о</w:t>
      </w:r>
      <w:r>
        <w:t>кращения сроков содержания под стражей добиться сложнее; необходимо внести поправки в сущес</w:t>
      </w:r>
      <w:r>
        <w:t>т</w:t>
      </w:r>
      <w:r>
        <w:t>вующие процессуальные нормы и обратить на это внимание с</w:t>
      </w:r>
      <w:r>
        <w:t>у</w:t>
      </w:r>
      <w:r>
        <w:t>дебных органов.</w:t>
      </w:r>
    </w:p>
    <w:p w:rsidR="00000000" w:rsidRDefault="00000000">
      <w:pPr>
        <w:pStyle w:val="DualTxt"/>
      </w:pPr>
      <w:r>
        <w:t>15.</w:t>
      </w:r>
      <w:r>
        <w:tab/>
        <w:t>Период, в течение которого какое</w:t>
      </w:r>
      <w:r>
        <w:noBreakHyphen/>
        <w:t>либо соде</w:t>
      </w:r>
      <w:r>
        <w:t>р</w:t>
      </w:r>
      <w:r>
        <w:t>жащееся под стражей лицо должно иметь доступ к услугам юристов, был сокращен с 24 до 1–2 часов с момента ар</w:t>
      </w:r>
      <w:r>
        <w:t>е</w:t>
      </w:r>
      <w:r>
        <w:t>ста.</w:t>
      </w:r>
    </w:p>
    <w:p w:rsidR="00000000" w:rsidRDefault="00000000">
      <w:pPr>
        <w:pStyle w:val="DualTxt"/>
      </w:pPr>
      <w:r>
        <w:t>16.</w:t>
      </w:r>
      <w:r>
        <w:tab/>
        <w:t>Прокурор каждого района несет ответстве</w:t>
      </w:r>
      <w:r>
        <w:t>н</w:t>
      </w:r>
      <w:r>
        <w:t>ность за условия в центрах досудебного содержания под стражей и исправительных колониях, включая обычные и одиночные камеры. В будущем предст</w:t>
      </w:r>
      <w:r>
        <w:t>а</w:t>
      </w:r>
      <w:r>
        <w:t>витель Омбудсмена будет наблюдать за условиями жизни и осуществлением прав человека в к</w:t>
      </w:r>
      <w:r>
        <w:t>о</w:t>
      </w:r>
      <w:r>
        <w:t>лониях.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Председатель</w:t>
      </w:r>
      <w:r>
        <w:t xml:space="preserve"> предлагает делегации Узбек</w:t>
      </w:r>
      <w:r>
        <w:t>и</w:t>
      </w:r>
      <w:r>
        <w:t>стана ответить на вопросы 15–28 в перечне вопр</w:t>
      </w:r>
      <w:r>
        <w:t>о</w:t>
      </w:r>
      <w:r>
        <w:t>сов.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передвижения и право покидать свою страну и возвращаться в нее (статья 12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(Узбекистан), отвечая на в</w:t>
      </w:r>
      <w:r>
        <w:t>о</w:t>
      </w:r>
      <w:r>
        <w:t>прос 15, говорит, что принятый в 1996 году закон позволяет гражданам Узбекистана ездить за гран</w:t>
      </w:r>
      <w:r>
        <w:t>и</w:t>
      </w:r>
      <w:r>
        <w:t>цу; через два года количество поездок уже не будет огранич</w:t>
      </w:r>
      <w:r>
        <w:t>и</w:t>
      </w:r>
      <w:r>
        <w:t>ваться.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Отказ от высылки иностранцев без юридических гарантий (ст</w:t>
      </w:r>
      <w:r>
        <w:t>а</w:t>
      </w:r>
      <w:r>
        <w:t>тья 13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(Узбекистан), отвечая на в</w:t>
      </w:r>
      <w:r>
        <w:t>о</w:t>
      </w:r>
      <w:r>
        <w:t>прос 16, говорит, что действующие законы о борьбе с терроризмом предусматривают координацию р</w:t>
      </w:r>
      <w:r>
        <w:t>а</w:t>
      </w:r>
      <w:r>
        <w:t>боты соответствующих органов в рамках Наци</w:t>
      </w:r>
      <w:r>
        <w:t>о</w:t>
      </w:r>
      <w:r>
        <w:t>нальной службы безопасности (НСБ) и обращение с отдельными лицами, которые, как считается, пре</w:t>
      </w:r>
      <w:r>
        <w:t>д</w:t>
      </w:r>
      <w:r>
        <w:t>ставляют угрозу для национальной безопасности. Условия, связанные с высылкой, выдачей или во</w:t>
      </w:r>
      <w:r>
        <w:t>з</w:t>
      </w:r>
      <w:r>
        <w:t>вращением иностранцев, рассматриваются в пун</w:t>
      </w:r>
      <w:r>
        <w:t>к</w:t>
      </w:r>
      <w:r>
        <w:t>тах 163 и 164 до</w:t>
      </w:r>
      <w:r>
        <w:t>к</w:t>
      </w:r>
      <w:r>
        <w:t>лада.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справедливое судебное разбирательство (статья 14 Па</w:t>
      </w:r>
      <w:r>
        <w:t>к</w:t>
      </w:r>
      <w:r>
        <w:t>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 xml:space="preserve">Г-н Саидов </w:t>
      </w:r>
      <w:r>
        <w:t>(Узбекистан), отвечая на в</w:t>
      </w:r>
      <w:r>
        <w:t>о</w:t>
      </w:r>
      <w:r>
        <w:t>прос 17, говорит, что в настоящее время судьи н</w:t>
      </w:r>
      <w:r>
        <w:t>а</w:t>
      </w:r>
      <w:r>
        <w:t>значаются на пятилетний срок. В ходе обсуждений, возникших в связи с рассмотрением пункта 14 з</w:t>
      </w:r>
      <w:r>
        <w:t>а</w:t>
      </w:r>
      <w:r>
        <w:t>ключительных замечаний Комитета на его двадцать первой сессии (CCPR/CO/71/UZB), сформировались три точки зрения: пятилетний срок — это срок, в течение которого функционирует парламент и др</w:t>
      </w:r>
      <w:r>
        <w:t>у</w:t>
      </w:r>
      <w:r>
        <w:t>гие органы, и поэтому его следует сохранить; пр</w:t>
      </w:r>
      <w:r>
        <w:t>о</w:t>
      </w:r>
      <w:r>
        <w:t>должительность сроков следует увеличить до 10 лет; судьи должны назначаться на должности пожизненно, с тем чтобы уменьшить бюрократич</w:t>
      </w:r>
      <w:r>
        <w:t>е</w:t>
      </w:r>
      <w:r>
        <w:t>ские отсрочки. Независимость судов — это не пр</w:t>
      </w:r>
      <w:r>
        <w:t>о</w:t>
      </w:r>
      <w:r>
        <w:t>сто вопрос о продолжительности срока назначения на должность; она гарантируется другими мерами, изложенными в пункте 176 до</w:t>
      </w:r>
      <w:r>
        <w:t>к</w:t>
      </w:r>
      <w:r>
        <w:t>лада.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 xml:space="preserve">Г-н Шарафутдинов </w:t>
      </w:r>
      <w:r>
        <w:t>(Узбекистан), отвечая на вопрос 18, соглашается с тем, что прокуроры и а</w:t>
      </w:r>
      <w:r>
        <w:t>д</w:t>
      </w:r>
      <w:r>
        <w:t>вокаты имеют разные полномочия. Однако сфера полномочий работников прокуратуры регулируется законами. В рамках будущих реформ эта система будет пересмотрена и защите будут предоставлены более широкие полном</w:t>
      </w:r>
      <w:r>
        <w:t>о</w:t>
      </w:r>
      <w:r>
        <w:t>чия.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 xml:space="preserve">Г-н Саидов </w:t>
      </w:r>
      <w:r>
        <w:t>(Узбекистан) говорит, что Уголо</w:t>
      </w:r>
      <w:r>
        <w:t>в</w:t>
      </w:r>
      <w:r>
        <w:t>ный кодекс и Уголовно-процессуальный кодекс обеспечивают четкие гарантии лицам, подозрева</w:t>
      </w:r>
      <w:r>
        <w:t>е</w:t>
      </w:r>
      <w:r>
        <w:t>мым в совершении террористических актов, вкл</w:t>
      </w:r>
      <w:r>
        <w:t>ю</w:t>
      </w:r>
      <w:r>
        <w:t>чая необходимость информировать их о том, в чем они обвиняются, а также о свидетельских показан</w:t>
      </w:r>
      <w:r>
        <w:t>и</w:t>
      </w:r>
      <w:r>
        <w:t>ях против них. Они, в частности, имеют право на юридическую защиту, использование родного языка и услуги переводчика, а также они должны допр</w:t>
      </w:r>
      <w:r>
        <w:t>а</w:t>
      </w:r>
      <w:r>
        <w:t>шиваться не позднее чем через 24 часа после их ареста. Узбекистан безоговорочно ратифицировал 12 основных международных договоров, каса</w:t>
      </w:r>
      <w:r>
        <w:t>ю</w:t>
      </w:r>
      <w:r>
        <w:t>щихся терроризма. В основе его Закона о борьбе с терроризмом лежат международные нормы, опыт других государств и его собственный опыт. Закон недвусмысленно определяет терроризм и закрепл</w:t>
      </w:r>
      <w:r>
        <w:t>я</w:t>
      </w:r>
      <w:r>
        <w:t>ет базовые принципы и приоритеты борьбы с ним и его предупреждение, а также международное с</w:t>
      </w:r>
      <w:r>
        <w:t>о</w:t>
      </w:r>
      <w:r>
        <w:t>трудничество необходимое в этой о</w:t>
      </w:r>
      <w:r>
        <w:t>б</w:t>
      </w:r>
      <w:r>
        <w:t>ласти.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 xml:space="preserve">Г-н Шарафутдинов </w:t>
      </w:r>
      <w:r>
        <w:t>(Узбекистан), отвечая на вопрос о применении пыток для получения призн</w:t>
      </w:r>
      <w:r>
        <w:t>а</w:t>
      </w:r>
      <w:r>
        <w:t>ния, отвечает, что в Конституции закреплен при</w:t>
      </w:r>
      <w:r>
        <w:t>н</w:t>
      </w:r>
      <w:r>
        <w:t>цип презумпции невиновности. По любым заявл</w:t>
      </w:r>
      <w:r>
        <w:t>е</w:t>
      </w:r>
      <w:r>
        <w:t>ниям о применении пыток для получения информ</w:t>
      </w:r>
      <w:r>
        <w:t>а</w:t>
      </w:r>
      <w:r>
        <w:t>ции проводятся расследования. В целях обеспеч</w:t>
      </w:r>
      <w:r>
        <w:t>е</w:t>
      </w:r>
      <w:r>
        <w:t>ния транспарентности работы правоохранительных учреждений правительство начало на систематич</w:t>
      </w:r>
      <w:r>
        <w:t>е</w:t>
      </w:r>
      <w:r>
        <w:t>ской основе информировать международные прав</w:t>
      </w:r>
      <w:r>
        <w:t>о</w:t>
      </w:r>
      <w:r>
        <w:t>защитные организации и представителей диплом</w:t>
      </w:r>
      <w:r>
        <w:t>а</w:t>
      </w:r>
      <w:r>
        <w:t>тического корпуса, аккредитованных в стране, о различных уголовных делах, а также о любых св</w:t>
      </w:r>
      <w:r>
        <w:t>и</w:t>
      </w:r>
      <w:r>
        <w:t>детельских показаниях, представленных в отнош</w:t>
      </w:r>
      <w:r>
        <w:t>е</w:t>
      </w:r>
      <w:r>
        <w:t>нии подозреваемых, прежде всего в случае посту</w:t>
      </w:r>
      <w:r>
        <w:t>п</w:t>
      </w:r>
      <w:r>
        <w:t>ления заявлений о применении пыток. Хотя де</w:t>
      </w:r>
      <w:r>
        <w:t>я</w:t>
      </w:r>
      <w:r>
        <w:t>тельность по обеспечению транспарентности нах</w:t>
      </w:r>
      <w:r>
        <w:t>о</w:t>
      </w:r>
      <w:r>
        <w:t>дится на начальном этапе, власти убеждены в том, что, обладая опытом и знаниями, касающимися м</w:t>
      </w:r>
      <w:r>
        <w:t>е</w:t>
      </w:r>
      <w:r>
        <w:t>ждународных стандартов, а также учитывая пять установленных стратегических способов ликвид</w:t>
      </w:r>
      <w:r>
        <w:t>а</w:t>
      </w:r>
      <w:r>
        <w:t>ции пыток, они смогут обеспечить соответству</w:t>
      </w:r>
      <w:r>
        <w:t>ю</w:t>
      </w:r>
      <w:r>
        <w:t>щий баланс между борьбой с преступностью и г</w:t>
      </w:r>
      <w:r>
        <w:t>а</w:t>
      </w:r>
      <w:r>
        <w:t>ра</w:t>
      </w:r>
      <w:r>
        <w:t>н</w:t>
      </w:r>
      <w:r>
        <w:t>тированием соблюдения прав человека.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 xml:space="preserve">Г-н Газиев </w:t>
      </w:r>
      <w:r>
        <w:t>(Узбекистан) говорит, что никаких ограничений в отношении проведения религиозных служб не существует. Более 2000 религиозных о</w:t>
      </w:r>
      <w:r>
        <w:t>р</w:t>
      </w:r>
      <w:r>
        <w:t>ганизаций зарегистрировано Министерством юст</w:t>
      </w:r>
      <w:r>
        <w:t>и</w:t>
      </w:r>
      <w:r>
        <w:t>ции, которое совместно с Государственным комит</w:t>
      </w:r>
      <w:r>
        <w:t>е</w:t>
      </w:r>
      <w:r>
        <w:t>том по делам религий вело контроль за ними. Ра</w:t>
      </w:r>
      <w:r>
        <w:t>з</w:t>
      </w:r>
      <w:r>
        <w:t>решенная законом деятельность таких организаций включает в себя осуществление различных мер</w:t>
      </w:r>
      <w:r>
        <w:t>о</w:t>
      </w:r>
      <w:r>
        <w:t>приятий, начиная от распространения религиозной литературы и организации паломничеств и кончая созданием импортно-экспортных организаций. Г</w:t>
      </w:r>
      <w:r>
        <w:t>о</w:t>
      </w:r>
      <w:r>
        <w:t>сударство не контролирует и не регулирует религ</w:t>
      </w:r>
      <w:r>
        <w:t>и</w:t>
      </w:r>
      <w:r>
        <w:t>озные обряды и не вмешивается в дела религиозных организаций и в их религиозные убежд</w:t>
      </w:r>
      <w:r>
        <w:t>е</w:t>
      </w:r>
      <w:r>
        <w:t>ния.</w:t>
      </w:r>
    </w:p>
    <w:p w:rsidR="00000000" w:rsidRDefault="00000000">
      <w:pPr>
        <w:pStyle w:val="DualTxt"/>
      </w:pPr>
      <w:r>
        <w:t>25.</w:t>
      </w:r>
      <w:r>
        <w:tab/>
        <w:t>Законодательство Узбекистана закрепляет пр</w:t>
      </w:r>
      <w:r>
        <w:t>а</w:t>
      </w:r>
      <w:r>
        <w:t>во граждан на формирование политических партий, профессиональных союзов и других организаций, а также на участие в массовых движениях. С 1999 года в закон о политических партиях были внесены поправки и он был усовершенствован. Был введен в действие новый закон о финансировании политических партий; он охватывает такие вопр</w:t>
      </w:r>
      <w:r>
        <w:t>о</w:t>
      </w:r>
      <w:r>
        <w:t>сы, как сбор финансовых средств и расходы и и</w:t>
      </w:r>
      <w:r>
        <w:t>с</w:t>
      </w:r>
      <w:r>
        <w:t>точники собственности политических партий. Гла</w:t>
      </w:r>
      <w:r>
        <w:t>в</w:t>
      </w:r>
      <w:r>
        <w:t>ным образом эти усилия направлены на создание подлинно демократического механизма функцион</w:t>
      </w:r>
      <w:r>
        <w:t>и</w:t>
      </w:r>
      <w:r>
        <w:t>рования политических партий. По состоянию на данный момент Министерство юстиции зарегис</w:t>
      </w:r>
      <w:r>
        <w:t>т</w:t>
      </w:r>
      <w:r>
        <w:t>рировало пять п</w:t>
      </w:r>
      <w:r>
        <w:t>о</w:t>
      </w:r>
      <w:r>
        <w:t>литических партий.</w:t>
      </w:r>
    </w:p>
    <w:p w:rsidR="00000000" w:rsidRDefault="00000000">
      <w:pPr>
        <w:pStyle w:val="DualTxt"/>
      </w:pPr>
      <w:r>
        <w:t>26.</w:t>
      </w:r>
      <w:r>
        <w:tab/>
        <w:t>В соответствии с должным образом опред</w:t>
      </w:r>
      <w:r>
        <w:t>е</w:t>
      </w:r>
      <w:r>
        <w:t>ленными процедурами Министерство юстиции я</w:t>
      </w:r>
      <w:r>
        <w:t>в</w:t>
      </w:r>
      <w:r>
        <w:t>ляется основным государственным учреждением, ответственным за регистрацию неправительстве</w:t>
      </w:r>
      <w:r>
        <w:t>н</w:t>
      </w:r>
      <w:r>
        <w:t>ных организаций, количество которых за последние пять лет увеличилось в два раза, что свидетельств</w:t>
      </w:r>
      <w:r>
        <w:t>у</w:t>
      </w:r>
      <w:r>
        <w:t>ет о том, что никаких проблем в этой связи не с</w:t>
      </w:r>
      <w:r>
        <w:t>у</w:t>
      </w:r>
      <w:r>
        <w:t>ществует. Всего в стране зарегистрированы и де</w:t>
      </w:r>
      <w:r>
        <w:t>й</w:t>
      </w:r>
      <w:r>
        <w:t>ствуют 5276 некоммерческих НПО. Кроме того, б</w:t>
      </w:r>
      <w:r>
        <w:t>ы</w:t>
      </w:r>
      <w:r>
        <w:t>ла создана неправительственная организация, я</w:t>
      </w:r>
      <w:r>
        <w:t>в</w:t>
      </w:r>
      <w:r>
        <w:t>ляющаяся институтом по изучению гражданского общества, которая проводит политику налаживания социальных партнерских отношений с НПО и сп</w:t>
      </w:r>
      <w:r>
        <w:t>о</w:t>
      </w:r>
      <w:r>
        <w:t>собствует расширению институтов гражданского общества и средств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Г-н </w:t>
      </w:r>
      <w:r>
        <w:t xml:space="preserve"> </w:t>
      </w:r>
      <w:r>
        <w:rPr>
          <w:b/>
        </w:rPr>
        <w:t>Саидов</w:t>
      </w:r>
      <w:r>
        <w:t xml:space="preserve"> (Узбекистан), касаясь вопроса о свободе совести, подчеркивает, что после получ</w:t>
      </w:r>
      <w:r>
        <w:t>е</w:t>
      </w:r>
      <w:r>
        <w:t>ния независимости в Узбекистане не было межр</w:t>
      </w:r>
      <w:r>
        <w:t>е</w:t>
      </w:r>
      <w:r>
        <w:t>лигиозных конфликтов, что гарантирует полное р</w:t>
      </w:r>
      <w:r>
        <w:t>а</w:t>
      </w:r>
      <w:r>
        <w:t>венство религий. В целях дальнейшего укрепления таких гарантий в настоящее время пересматривае</w:t>
      </w:r>
      <w:r>
        <w:t>т</w:t>
      </w:r>
      <w:r>
        <w:t>ся закон о свободе совести и религиозных орган</w:t>
      </w:r>
      <w:r>
        <w:t>и</w:t>
      </w:r>
      <w:r>
        <w:t>зациях.</w:t>
      </w:r>
    </w:p>
    <w:p w:rsidR="00000000" w:rsidRDefault="00000000">
      <w:pPr>
        <w:pStyle w:val="DualTxt"/>
      </w:pPr>
      <w:r>
        <w:t>28.</w:t>
      </w:r>
      <w:r>
        <w:tab/>
        <w:t>Оратор задает вопрос относительно показат</w:t>
      </w:r>
      <w:r>
        <w:t>е</w:t>
      </w:r>
      <w:r>
        <w:t>ля, приведенного в пункте 23 списка вопросов, ук</w:t>
      </w:r>
      <w:r>
        <w:t>а</w:t>
      </w:r>
      <w:r>
        <w:t>зывающего на то, что за свои религиозные убежд</w:t>
      </w:r>
      <w:r>
        <w:t>е</w:t>
      </w:r>
      <w:r>
        <w:t>ния заключены под стражу 6000 человек, и спраш</w:t>
      </w:r>
      <w:r>
        <w:t>и</w:t>
      </w:r>
      <w:r>
        <w:t>вает, откуда взята эта цифра. В настоящее время под стражей находится только 80 человек, обвиненных в выражении своих религиозных убеждений, и их вина заключается в том, что, отстаивая свои взгл</w:t>
      </w:r>
      <w:r>
        <w:t>я</w:t>
      </w:r>
      <w:r>
        <w:t>ды, они занимались осуществлением экстремис</w:t>
      </w:r>
      <w:r>
        <w:t>т</w:t>
      </w:r>
      <w:r>
        <w:t>ской деятельности на территории страны. Из 5000 человек, задержанных за их религиозные уб</w:t>
      </w:r>
      <w:r>
        <w:t>е</w:t>
      </w:r>
      <w:r>
        <w:t xml:space="preserve">ждения, большинство были отпущены на свободу, главным образом по амнистии. </w:t>
      </w:r>
    </w:p>
    <w:p w:rsidR="00000000" w:rsidRDefault="00000000">
      <w:pPr>
        <w:pStyle w:val="DualTxt"/>
      </w:pPr>
      <w:r>
        <w:t>29.</w:t>
      </w:r>
      <w:r>
        <w:tab/>
        <w:t>Что касается свободы слова, то журналисты не подвергаются преследованиям в Узбекистане, за и</w:t>
      </w:r>
      <w:r>
        <w:t>с</w:t>
      </w:r>
      <w:r>
        <w:t>ключением тех, кто нарушил закон, как это было в случае редактора одной из газет, который в пр</w:t>
      </w:r>
      <w:r>
        <w:t>о</w:t>
      </w:r>
      <w:r>
        <w:t>шлом году был осужден за финансовое преступл</w:t>
      </w:r>
      <w:r>
        <w:t>е</w:t>
      </w:r>
      <w:r>
        <w:t>ние. После рассмотрения доклада Узбекистана в 2001 году было проведено широкое обсуждение между государственными органами, прессой и гр</w:t>
      </w:r>
      <w:r>
        <w:t>а</w:t>
      </w:r>
      <w:r>
        <w:t>жданским обществом, а текст заключительных з</w:t>
      </w:r>
      <w:r>
        <w:t>а</w:t>
      </w:r>
      <w:r>
        <w:t>мечаний Комитета был широко распространен на территории всей страны и опубликован в журналах Национального центра по правам человека и Колл</w:t>
      </w:r>
      <w:r>
        <w:t>е</w:t>
      </w:r>
      <w:r>
        <w:t>гии адвокатов У</w:t>
      </w:r>
      <w:r>
        <w:t>з</w:t>
      </w:r>
      <w:r>
        <w:t>бекистана.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Г-н Кастильеро Ойос</w:t>
      </w:r>
      <w:r>
        <w:t xml:space="preserve"> приветствует создание институтов для поощрения прав человека в Узбек</w:t>
      </w:r>
      <w:r>
        <w:t>и</w:t>
      </w:r>
      <w:r>
        <w:t>стане, в частности, Центра по правам человека и Управления Омбудсмена, однако он хотел бы пол</w:t>
      </w:r>
      <w:r>
        <w:t>у</w:t>
      </w:r>
      <w:r>
        <w:t>чить подробную информацию о том, как они фун</w:t>
      </w:r>
      <w:r>
        <w:t>к</w:t>
      </w:r>
      <w:r>
        <w:t>ционируют, и об их ресурсах, прежде всего потому, что поступили сообщения, что Омбудсмен не был допущен к расследованию дела, связанного с с</w:t>
      </w:r>
      <w:r>
        <w:t>о</w:t>
      </w:r>
      <w:r>
        <w:t>держанием под стражей и проведением допросов без соблюдения соответствующих норм. Какие на практике имеются средства для проведения диал</w:t>
      </w:r>
      <w:r>
        <w:t>о</w:t>
      </w:r>
      <w:r>
        <w:t>га? Оратору стала известна также озабоченность по поводу того, что заявления о регистрации, пре</w:t>
      </w:r>
      <w:r>
        <w:t>д</w:t>
      </w:r>
      <w:r>
        <w:t>ставленные защитными органами, отклоняются на основании статьи 43 Конституции Узбекистана, предусматривающей, что государство обязано г</w:t>
      </w:r>
      <w:r>
        <w:t>а</w:t>
      </w:r>
      <w:r>
        <w:t>рантировать права и свободы граждан. В этой связи он хотел бы получить информацию о взаимоотн</w:t>
      </w:r>
      <w:r>
        <w:t>о</w:t>
      </w:r>
      <w:r>
        <w:t>шениях между государством и правозащитными о</w:t>
      </w:r>
      <w:r>
        <w:t>р</w:t>
      </w:r>
      <w:r>
        <w:t>ганизациями.</w:t>
      </w:r>
    </w:p>
    <w:p w:rsidR="00000000" w:rsidRDefault="00000000">
      <w:pPr>
        <w:pStyle w:val="DualTxt"/>
      </w:pPr>
      <w:r>
        <w:t>31.</w:t>
      </w:r>
      <w:r>
        <w:tab/>
        <w:t>Он хотел бы также получить следующую и</w:t>
      </w:r>
      <w:r>
        <w:t>н</w:t>
      </w:r>
      <w:r>
        <w:t>формацию: условия замены смертной казни более мягким наказанием; меры, принятые для борьбы с коррупцией и обеспечения права на справедливое судебное разбирательство; возможности образов</w:t>
      </w:r>
      <w:r>
        <w:t>а</w:t>
      </w:r>
      <w:r>
        <w:t>ния новых политических партий. В частности, со ссылкой на пункт 297 Второго периодического до</w:t>
      </w:r>
      <w:r>
        <w:t>к</w:t>
      </w:r>
      <w:r>
        <w:t>лада Узбекистана оратор интересуется, как огран</w:t>
      </w:r>
      <w:r>
        <w:t>и</w:t>
      </w:r>
      <w:r>
        <w:t>чение на регистрацию политических партий согл</w:t>
      </w:r>
      <w:r>
        <w:t>а</w:t>
      </w:r>
      <w:r>
        <w:t>суется с требов</w:t>
      </w:r>
      <w:r>
        <w:t>а</w:t>
      </w:r>
      <w:r>
        <w:t>ниями Пакта.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 xml:space="preserve">Г-н Вьерузевский </w:t>
      </w:r>
      <w:r>
        <w:t>ссылается на поступившие из Узбекистана сообщения о нарушениях конкре</w:t>
      </w:r>
      <w:r>
        <w:t>т</w:t>
      </w:r>
      <w:r>
        <w:t>ных прав, защита которых предусмотрена в Пакте, по которым он хотел бы получить официальный о</w:t>
      </w:r>
      <w:r>
        <w:t>т</w:t>
      </w:r>
      <w:r>
        <w:t>вет. Он хотел бы также получить информацию о м</w:t>
      </w:r>
      <w:r>
        <w:t>е</w:t>
      </w:r>
      <w:r>
        <w:t>рах, направленных на укрепление судебной власти, в частности, на основе предоставления судьям п</w:t>
      </w:r>
      <w:r>
        <w:t>о</w:t>
      </w:r>
      <w:r>
        <w:t>жизненного пребывания в должности, что является важным элементом их независимости в посткомм</w:t>
      </w:r>
      <w:r>
        <w:t>у</w:t>
      </w:r>
      <w:r>
        <w:t>нистических странах, а также на основе обеспеч</w:t>
      </w:r>
      <w:r>
        <w:t>е</w:t>
      </w:r>
      <w:r>
        <w:t>ния достаточной оплаты их труда. Отметив, что в нынешней ситуации судьи находятся при исполн</w:t>
      </w:r>
      <w:r>
        <w:t>е</w:t>
      </w:r>
      <w:r>
        <w:t>нии своих должностей лишь в течение пяти лет, оратор просит представить полную информацию о критериях, применяемых к их переизбранию. И в заключение, он задает вопрос о соответствии пол</w:t>
      </w:r>
      <w:r>
        <w:t>о</w:t>
      </w:r>
      <w:r>
        <w:t>жениям Пакта закона об охране государственной тайны, под которой понимается информация, ра</w:t>
      </w:r>
      <w:r>
        <w:t>з</w:t>
      </w:r>
      <w:r>
        <w:t>глашение которой считается враждебным или вре</w:t>
      </w:r>
      <w:r>
        <w:t>д</w:t>
      </w:r>
      <w:r>
        <w:t>ным для государства. Таким образом, ограничения в отношении свободы средств массовой информации и прессы создают ситуацию, не способствующую обмену информац</w:t>
      </w:r>
      <w:r>
        <w:t>и</w:t>
      </w:r>
      <w:r>
        <w:t xml:space="preserve">ей. 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 xml:space="preserve">Г-жа Веджвуд </w:t>
      </w:r>
      <w:r>
        <w:t>подчеркивает необходимость обеспечения транспарентности в отношении кр</w:t>
      </w:r>
      <w:r>
        <w:t>и</w:t>
      </w:r>
      <w:r>
        <w:t>минологических данных и выражает сожаление в связи с тем, что не было представлено информации о количестве и датах приведения в исполнение пр</w:t>
      </w:r>
      <w:r>
        <w:t>и</w:t>
      </w:r>
      <w:r>
        <w:t>говоров о смертной казни. Что касается вопроса 15 в списке вопросов, то она ссылается на дело двух правозащитников, которым не было предоставлено разрешений на участие в семинаре по вопросам прав человека в Бишкеке в 2004 году, и просит разъяснить причины запрещения выезда из страны, введенного в отношении лиц, осужденных за гом</w:t>
      </w:r>
      <w:r>
        <w:t>о</w:t>
      </w:r>
      <w:r>
        <w:t>сексуализм. Кроме того, отмечая позитивную поз</w:t>
      </w:r>
      <w:r>
        <w:t>и</w:t>
      </w:r>
      <w:r>
        <w:t>цию правительства в отношении свободы религий, она считает, что отказ в осуществлении права о</w:t>
      </w:r>
      <w:r>
        <w:t>б</w:t>
      </w:r>
      <w:r>
        <w:t>ращения в новую веру не соответствует положен</w:t>
      </w:r>
      <w:r>
        <w:t>и</w:t>
      </w:r>
      <w:r>
        <w:t>ям закона. Вместе с тем оратора интересует, опра</w:t>
      </w:r>
      <w:r>
        <w:t>в</w:t>
      </w:r>
      <w:r>
        <w:t>дывает ли озабоченность по поводу религиозного экстремизма нежелание разрешить ношение рел</w:t>
      </w:r>
      <w:r>
        <w:t>и</w:t>
      </w:r>
      <w:r>
        <w:t>гиозной одежды в учебных заведениях, а также, к</w:t>
      </w:r>
      <w:r>
        <w:t>а</w:t>
      </w:r>
      <w:r>
        <w:t>кие разграничения проводятся между тем, что явл</w:t>
      </w:r>
      <w:r>
        <w:t>я</w:t>
      </w:r>
      <w:r>
        <w:t xml:space="preserve">ется подстрекательством к насилию, и поддержкой строгих теологических взглядов. 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Сэр Найджел Родли</w:t>
      </w:r>
      <w:r>
        <w:t>, отметив, что Комитет по правам человека не может требовать, чтобы главы государств принимали какие-либо конкретные м</w:t>
      </w:r>
      <w:r>
        <w:t>е</w:t>
      </w:r>
      <w:r>
        <w:t>ры, говорит, что пока еще не было принято никаких ответных мер в связи с рекомендацией (k) Спец</w:t>
      </w:r>
      <w:r>
        <w:t>и</w:t>
      </w:r>
      <w:r>
        <w:t>ального докладчика по пыткам, касающейся того, что в определенных условиях признания не должны считаться свидетельскими показаниями, а также что следует записывать допросы на видео- и аудиоапп</w:t>
      </w:r>
      <w:r>
        <w:t>а</w:t>
      </w:r>
      <w:r>
        <w:t>ратуру. Оратор хотел бы знать, принимаются ли к</w:t>
      </w:r>
      <w:r>
        <w:t>а</w:t>
      </w:r>
      <w:r>
        <w:t>кие-либо меры для осуществления этой рекоменд</w:t>
      </w:r>
      <w:r>
        <w:t>а</w:t>
      </w:r>
      <w:r>
        <w:t>ции. Он просит также предоставить разъяснение по сообщениям о том, что заявления о регистрации, поданные рядом групп гражданского общества, б</w:t>
      </w:r>
      <w:r>
        <w:t>ы</w:t>
      </w:r>
      <w:r>
        <w:t>ли отклонены на конституционных основаниях.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NO&gt;&gt;N0527955R&lt;&lt;ODS JOB NO&gt;&gt;</w:t>
      </w:r>
    </w:p>
    <w:p w:rsidR="00000000" w:rsidRDefault="00000000">
      <w:pPr>
        <w:pStyle w:val="CommentText"/>
      </w:pPr>
      <w:r>
        <w:t>&lt;&lt;ODS DOC SYMBOL1&gt;&gt;CCPR/C/SR.2266&lt;&lt;ODS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05-27955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*0527955*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CCPR/C/SR.2266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CCPR/C/SR.2266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/C/SR.2266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23</w:t>
          </w:r>
          <w:r>
            <w:t xml:space="preserve"> </w:t>
          </w:r>
          <w:r>
            <w:rPr>
              <w:lang w:val="en-US"/>
            </w:rPr>
            <w:t>January</w:t>
          </w:r>
          <w:r>
            <w:t xml:space="preserve"> 200</w:t>
          </w:r>
          <w:r>
            <w:rPr>
              <w:lang w:val="en-US"/>
            </w:rPr>
            <w:t>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1/2006 16:22:36"/>
    <w:docVar w:name="DocCategory" w:val="SROthers"/>
    <w:docVar w:name="DocType" w:val="Final"/>
    <w:docVar w:name="JobNo" w:val="0527955R"/>
    <w:docVar w:name="OandT" w:val=" "/>
    <w:docVar w:name="Symbol1" w:val="CCPR/C/SR.226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3089</Words>
  <Characters>17611</Characters>
  <Application>Microsoft Office Word</Application>
  <DocSecurity>4</DocSecurity>
  <Lines>146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21627</CharactersWithSpaces>
  <SharedDoc>false</SharedDoc>
  <HLinks>
    <vt:vector size="6" baseType="variant">
      <vt:variant>
        <vt:i4>4522087</vt:i4>
      </vt:variant>
      <vt:variant>
        <vt:i4>43976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Lyubov.Kolyvagina</dc:creator>
  <cp:keywords/>
  <dc:description/>
  <cp:lastModifiedBy>Nadejda Kozlova</cp:lastModifiedBy>
  <cp:revision>4</cp:revision>
  <cp:lastPrinted>2006-01-20T20:36:00Z</cp:lastPrinted>
  <dcterms:created xsi:type="dcterms:W3CDTF">2006-01-20T20:35:00Z</dcterms:created>
  <dcterms:modified xsi:type="dcterms:W3CDTF">2006-01-20T20:43:00Z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0527955</vt:lpwstr>
  </property>
  <property fmtid="{D5CDD505-2E9C-101B-9397-08002B2CF9AE}" pid="3" name="Symbol1">
    <vt:lpwstr>CCPR/C/SR.2266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Kozlova</vt:lpwstr>
  </property>
</Properties>
</file>