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50C" w:rsidRPr="00981E15" w:rsidRDefault="00C4050C" w:rsidP="00C4050C">
      <w:pPr>
        <w:pStyle w:val="NormalSchedule"/>
        <w:spacing w:line="240" w:lineRule="auto"/>
        <w:rPr>
          <w:sz w:val="6"/>
        </w:rPr>
        <w:sectPr w:rsidR="00C4050C" w:rsidRPr="00981E15" w:rsidSect="004A39D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81E15">
        <w:rPr>
          <w:rStyle w:val="CommentReference"/>
        </w:rPr>
        <w:commentReference w:id="0"/>
      </w:r>
    </w:p>
    <w:p w:rsidR="000B188E" w:rsidRPr="00981E15" w:rsidRDefault="000B188E" w:rsidP="000B18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981E15">
        <w:t xml:space="preserve">Comité para la Eliminación de la Discriminación </w:t>
      </w:r>
      <w:r w:rsidRPr="00981E15">
        <w:br/>
        <w:t xml:space="preserve">contra la Mujer </w:t>
      </w:r>
    </w:p>
    <w:p w:rsidR="000B188E" w:rsidRPr="00981E15" w:rsidRDefault="000B188E" w:rsidP="000B188E">
      <w:pPr>
        <w:spacing w:line="120" w:lineRule="exact"/>
        <w:rPr>
          <w:sz w:val="10"/>
        </w:rPr>
      </w:pPr>
    </w:p>
    <w:p w:rsidR="000B188E" w:rsidRPr="00981E15" w:rsidRDefault="000B188E" w:rsidP="000B188E">
      <w:pPr>
        <w:spacing w:line="120" w:lineRule="exact"/>
        <w:rPr>
          <w:sz w:val="10"/>
        </w:rPr>
      </w:pPr>
    </w:p>
    <w:p w:rsidR="00FC3182" w:rsidRPr="00981E15" w:rsidRDefault="00FC3182" w:rsidP="000B188E">
      <w:pPr>
        <w:spacing w:line="120" w:lineRule="exact"/>
        <w:rPr>
          <w:sz w:val="10"/>
        </w:rPr>
      </w:pPr>
    </w:p>
    <w:p w:rsidR="000B188E" w:rsidRPr="00981E15" w:rsidRDefault="00FC3182" w:rsidP="00FC31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000B188E" w:rsidRPr="00981E15">
        <w:t>Examen de los informes presentados por los Estados Partes con arreglo al artículo 18 de la Convención sobre la eliminación de todas las formas de discriminación contra la mujer</w:t>
      </w:r>
    </w:p>
    <w:p w:rsidR="00FC3182" w:rsidRPr="00981E15" w:rsidRDefault="00FC3182" w:rsidP="00FC3182">
      <w:pPr>
        <w:pStyle w:val="SingleTxt"/>
        <w:suppressAutoHyphens/>
        <w:spacing w:after="0" w:line="120" w:lineRule="exact"/>
        <w:rPr>
          <w:sz w:val="10"/>
        </w:rPr>
      </w:pPr>
    </w:p>
    <w:p w:rsidR="00FC3182" w:rsidRPr="00981E15" w:rsidRDefault="00FC3182" w:rsidP="00FC3182">
      <w:pPr>
        <w:pStyle w:val="SingleTxt"/>
        <w:suppressAutoHyphens/>
        <w:spacing w:after="0" w:line="120" w:lineRule="exact"/>
        <w:rPr>
          <w:sz w:val="10"/>
        </w:rPr>
      </w:pPr>
    </w:p>
    <w:p w:rsidR="000B188E" w:rsidRPr="00981E15" w:rsidRDefault="00FC3182" w:rsidP="00FC31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000B188E" w:rsidRPr="00981E15">
        <w:t>Séptimo informe periódico de los Estados Partes</w:t>
      </w:r>
    </w:p>
    <w:p w:rsidR="00FC3182" w:rsidRPr="00981E15" w:rsidRDefault="00FC3182" w:rsidP="00FC3182">
      <w:pPr>
        <w:pStyle w:val="SingleTxt"/>
        <w:spacing w:after="0" w:line="120" w:lineRule="exact"/>
        <w:rPr>
          <w:sz w:val="10"/>
        </w:rPr>
      </w:pPr>
    </w:p>
    <w:p w:rsidR="000B188E" w:rsidRPr="00981E15" w:rsidRDefault="000B188E" w:rsidP="000B18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rsidR="000B188E" w:rsidRPr="00981E15" w:rsidRDefault="000B188E" w:rsidP="000B188E">
      <w:pPr>
        <w:framePr w:w="9792" w:h="432" w:hSpace="180" w:wrap="around" w:hAnchor="page" w:x="1210" w:yAlign="bottom"/>
        <w:spacing w:line="240" w:lineRule="auto"/>
        <w:rPr>
          <w:sz w:val="10"/>
        </w:rPr>
      </w:pPr>
    </w:p>
    <w:p w:rsidR="000B188E" w:rsidRPr="00981E15" w:rsidRDefault="000B188E" w:rsidP="000B188E">
      <w:pPr>
        <w:framePr w:w="9792" w:h="432" w:hSpace="180" w:wrap="around" w:hAnchor="page" w:x="1210" w:yAlign="bottom"/>
        <w:spacing w:line="240" w:lineRule="auto"/>
        <w:rPr>
          <w:sz w:val="6"/>
        </w:rPr>
      </w:pPr>
      <w:r w:rsidRPr="00981E15">
        <w:rPr>
          <w:noProof/>
          <w:w w:val="100"/>
          <w:sz w:val="6"/>
        </w:rPr>
        <w:pict>
          <v:line id="_x0000_s1026" style="position:absolute;z-index:6;mso-position-horizontal-relative:page" from="108pt,-1pt" to="180pt,-1pt" strokeweight=".25pt">
            <w10:wrap anchorx="page"/>
          </v:line>
        </w:pict>
      </w:r>
    </w:p>
    <w:p w:rsidR="007352CD" w:rsidRDefault="000B188E" w:rsidP="000B18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981E15">
        <w:rPr>
          <w:sz w:val="17"/>
        </w:rPr>
        <w:tab/>
        <w:t>*</w:t>
      </w:r>
      <w:r w:rsidRPr="00981E15">
        <w:rPr>
          <w:sz w:val="17"/>
        </w:rPr>
        <w:tab/>
      </w:r>
      <w:r w:rsidR="00191C24">
        <w:rPr>
          <w:sz w:val="17"/>
        </w:rPr>
        <w:t xml:space="preserve">El prente informe se publica sin </w:t>
      </w:r>
      <w:r w:rsidR="005C099E">
        <w:rPr>
          <w:sz w:val="17"/>
        </w:rPr>
        <w:t>revisión editorial</w:t>
      </w:r>
      <w:r w:rsidR="00191C24">
        <w:rPr>
          <w:sz w:val="17"/>
        </w:rPr>
        <w:t>.</w:t>
      </w:r>
    </w:p>
    <w:p w:rsidR="000B188E" w:rsidRPr="00981E15" w:rsidRDefault="007352CD" w:rsidP="000B188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000B188E" w:rsidRPr="00981E15">
        <w:rPr>
          <w:sz w:val="17"/>
        </w:rPr>
        <w:t>El informe inicial y el segundo informe periódicos combinados presentados por el Gobierno de Guatemala figuran en el documento CEDAW/C/GUA/1-2 y CEDAW/C/GUA/1-2/Amend.1, que el Comité examinó en su 13º período de</w:t>
      </w:r>
      <w:r w:rsidR="000B188E" w:rsidRPr="00981E15">
        <w:rPr>
          <w:sz w:val="24"/>
          <w:szCs w:val="24"/>
        </w:rPr>
        <w:t xml:space="preserve"> </w:t>
      </w:r>
      <w:r w:rsidR="000B188E" w:rsidRPr="00981E15">
        <w:rPr>
          <w:sz w:val="17"/>
        </w:rPr>
        <w:t>CEDAW/C/GUA/1-2/Amend.1, que el Comité examinó en su 13º período de sesiones. Los informes periódicos tercero y cuarto combinados figuran en el documento CEDAW/C/GUA/3-4, que el Comité examinó en su período extraordinario de sesiones. El quinto informe periódico figura en el documento CEDAW/C/GUA/5, que el Comité examinó en su período extraordinario de sesiones. El sexto informe periódico figura en el documento CEDAW/C/GUA/6, que el Comité examinó en su 35° período de sesiones.</w:t>
      </w:r>
    </w:p>
    <w:p w:rsidR="00645DF2" w:rsidRPr="00981E15" w:rsidRDefault="00FC3182" w:rsidP="00FC31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000B188E" w:rsidRPr="00981E15">
        <w:t>Guatemala</w:t>
      </w:r>
      <w:r w:rsidR="000B188E" w:rsidRPr="00981E15">
        <w:rPr>
          <w:sz w:val="20"/>
        </w:rPr>
        <w:t>*</w:t>
      </w:r>
    </w:p>
    <w:p w:rsidR="007C2C70" w:rsidRPr="00981E15" w:rsidRDefault="007C2C70" w:rsidP="00FC3182">
      <w:pPr>
        <w:pStyle w:val="SingleTxt"/>
        <w:suppressAutoHyphens/>
      </w:pPr>
    </w:p>
    <w:p w:rsidR="007C2C70" w:rsidRPr="00981E15" w:rsidRDefault="007C2C70" w:rsidP="00FC3182">
      <w:pPr>
        <w:pStyle w:val="SingleTxt"/>
        <w:suppressAutoHyphens/>
      </w:pPr>
    </w:p>
    <w:p w:rsidR="007C2C70" w:rsidRPr="00981E15" w:rsidRDefault="007C2C70" w:rsidP="007C2C70">
      <w:pPr>
        <w:pStyle w:val="HCh"/>
        <w:spacing w:after="120"/>
        <w:rPr>
          <w:b w:val="0"/>
        </w:rPr>
      </w:pPr>
      <w:r w:rsidRPr="00981E15">
        <w:br w:type="page"/>
      </w:r>
      <w:r w:rsidRPr="00981E15">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C2C70" w:rsidRPr="00981E15">
        <w:tblPrEx>
          <w:tblCellMar>
            <w:top w:w="0" w:type="dxa"/>
            <w:bottom w:w="0" w:type="dxa"/>
          </w:tblCellMar>
        </w:tblPrEx>
        <w:tc>
          <w:tcPr>
            <w:tcW w:w="1060" w:type="dxa"/>
            <w:shd w:val="clear" w:color="auto" w:fill="auto"/>
          </w:tcPr>
          <w:p w:rsidR="007C2C70" w:rsidRPr="00981E15" w:rsidRDefault="007C2C70" w:rsidP="007C2C70">
            <w:pPr>
              <w:spacing w:after="120" w:line="240" w:lineRule="auto"/>
              <w:jc w:val="right"/>
              <w:rPr>
                <w:i/>
                <w:sz w:val="14"/>
              </w:rPr>
            </w:pPr>
          </w:p>
        </w:tc>
        <w:tc>
          <w:tcPr>
            <w:tcW w:w="7056" w:type="dxa"/>
            <w:shd w:val="clear" w:color="auto" w:fill="auto"/>
          </w:tcPr>
          <w:p w:rsidR="007C2C70" w:rsidRPr="00981E15" w:rsidRDefault="007C2C70" w:rsidP="007C2C70">
            <w:pPr>
              <w:spacing w:after="120" w:line="240" w:lineRule="auto"/>
              <w:rPr>
                <w:i/>
                <w:sz w:val="14"/>
              </w:rPr>
            </w:pPr>
          </w:p>
        </w:tc>
        <w:tc>
          <w:tcPr>
            <w:tcW w:w="994" w:type="dxa"/>
            <w:shd w:val="clear" w:color="auto" w:fill="auto"/>
          </w:tcPr>
          <w:p w:rsidR="007C2C70" w:rsidRPr="00981E15" w:rsidRDefault="007C2C70" w:rsidP="007C2C70">
            <w:pPr>
              <w:spacing w:after="120" w:line="240" w:lineRule="auto"/>
              <w:jc w:val="right"/>
              <w:rPr>
                <w:i/>
                <w:sz w:val="14"/>
              </w:rPr>
            </w:pPr>
          </w:p>
        </w:tc>
        <w:tc>
          <w:tcPr>
            <w:tcW w:w="792" w:type="dxa"/>
            <w:shd w:val="clear" w:color="auto" w:fill="auto"/>
          </w:tcPr>
          <w:p w:rsidR="007C2C70" w:rsidRPr="00981E15" w:rsidRDefault="007C2C70" w:rsidP="007C2C70">
            <w:pPr>
              <w:spacing w:after="120" w:line="240" w:lineRule="auto"/>
              <w:jc w:val="right"/>
              <w:rPr>
                <w:i/>
                <w:sz w:val="14"/>
              </w:rPr>
            </w:pPr>
            <w:r w:rsidRPr="00981E15">
              <w:rPr>
                <w:i/>
                <w:sz w:val="14"/>
              </w:rPr>
              <w:t>Página</w:t>
            </w:r>
          </w:p>
        </w:tc>
      </w:tr>
      <w:tr w:rsidR="00A16706" w:rsidRPr="00981E15">
        <w:tblPrEx>
          <w:tblCellMar>
            <w:top w:w="0" w:type="dxa"/>
            <w:bottom w:w="0" w:type="dxa"/>
          </w:tblCellMar>
        </w:tblPrEx>
        <w:tc>
          <w:tcPr>
            <w:tcW w:w="9110" w:type="dxa"/>
            <w:gridSpan w:val="3"/>
            <w:shd w:val="clear" w:color="auto" w:fill="auto"/>
          </w:tcPr>
          <w:p w:rsidR="00A16706"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Presentación</w:t>
            </w:r>
          </w:p>
        </w:tc>
        <w:tc>
          <w:tcPr>
            <w:tcW w:w="792" w:type="dxa"/>
            <w:shd w:val="clear" w:color="auto" w:fill="auto"/>
            <w:vAlign w:val="bottom"/>
          </w:tcPr>
          <w:p w:rsidR="00A16706" w:rsidRPr="00981E15" w:rsidRDefault="000E4F02" w:rsidP="00A16706">
            <w:pPr>
              <w:spacing w:after="120"/>
              <w:jc w:val="right"/>
            </w:pPr>
            <w:r>
              <w:t>1</w:t>
            </w:r>
            <w:r w:rsidR="00D64677">
              <w:t>3</w:t>
            </w:r>
          </w:p>
        </w:tc>
      </w:tr>
      <w:tr w:rsidR="00600DF3" w:rsidRPr="00981E15">
        <w:tblPrEx>
          <w:tblCellMar>
            <w:top w:w="0" w:type="dxa"/>
            <w:bottom w:w="0" w:type="dxa"/>
          </w:tblCellMar>
        </w:tblPrEx>
        <w:tc>
          <w:tcPr>
            <w:tcW w:w="9110" w:type="dxa"/>
            <w:gridSpan w:val="3"/>
            <w:shd w:val="clear" w:color="auto" w:fill="auto"/>
          </w:tcPr>
          <w:p w:rsidR="00600DF3" w:rsidRPr="00330C96" w:rsidRDefault="00D64677" w:rsidP="00330C96">
            <w:pPr>
              <w:tabs>
                <w:tab w:val="right" w:pos="1080"/>
                <w:tab w:val="left" w:pos="1300"/>
                <w:tab w:val="left" w:pos="1740"/>
                <w:tab w:val="right" w:leader="dot" w:pos="9245"/>
              </w:tabs>
              <w:spacing w:after="120"/>
              <w:ind w:left="1080"/>
              <w:rPr>
                <w:spacing w:val="60"/>
                <w:sz w:val="17"/>
              </w:rPr>
            </w:pPr>
            <w:r>
              <w:t>Cumplimiento de recomendaciones del Comité y avances según los artículos de la Convención</w:t>
            </w:r>
            <w:r w:rsidR="00330C96">
              <w:rPr>
                <w:spacing w:val="60"/>
                <w:sz w:val="17"/>
              </w:rPr>
              <w:tab/>
            </w:r>
          </w:p>
        </w:tc>
        <w:tc>
          <w:tcPr>
            <w:tcW w:w="792" w:type="dxa"/>
            <w:shd w:val="clear" w:color="auto" w:fill="auto"/>
            <w:vAlign w:val="bottom"/>
          </w:tcPr>
          <w:p w:rsidR="00600DF3" w:rsidRPr="00981E15" w:rsidRDefault="000E4F02" w:rsidP="00A16706">
            <w:pPr>
              <w:spacing w:after="120"/>
              <w:jc w:val="right"/>
            </w:pPr>
            <w:r>
              <w:t>1</w:t>
            </w:r>
            <w:r w:rsidR="00943532">
              <w:t>7</w:t>
            </w:r>
          </w:p>
        </w:tc>
      </w:tr>
      <w:tr w:rsidR="00600DF3" w:rsidRPr="00981E15">
        <w:tblPrEx>
          <w:tblCellMar>
            <w:top w:w="0" w:type="dxa"/>
            <w:bottom w:w="0" w:type="dxa"/>
          </w:tblCellMar>
        </w:tblPrEx>
        <w:tc>
          <w:tcPr>
            <w:tcW w:w="9110" w:type="dxa"/>
            <w:gridSpan w:val="3"/>
            <w:shd w:val="clear" w:color="auto" w:fill="auto"/>
          </w:tcPr>
          <w:p w:rsidR="00600DF3" w:rsidRPr="00981E15" w:rsidRDefault="00D64677" w:rsidP="00BF3AE7">
            <w:pPr>
              <w:tabs>
                <w:tab w:val="right" w:pos="1080"/>
                <w:tab w:val="right" w:pos="1714"/>
                <w:tab w:val="left" w:pos="2160"/>
                <w:tab w:val="right" w:leader="dot" w:pos="9360"/>
              </w:tabs>
              <w:spacing w:after="120"/>
              <w:ind w:left="1080"/>
            </w:pPr>
            <w:r>
              <w:t>Artículos 1, 2 y 3</w:t>
            </w:r>
            <w:r w:rsidR="00C73E10">
              <w:rPr>
                <w:spacing w:val="60"/>
                <w:sz w:val="17"/>
              </w:rPr>
              <w:tab/>
            </w:r>
          </w:p>
        </w:tc>
        <w:tc>
          <w:tcPr>
            <w:tcW w:w="792" w:type="dxa"/>
            <w:shd w:val="clear" w:color="auto" w:fill="auto"/>
            <w:vAlign w:val="bottom"/>
          </w:tcPr>
          <w:p w:rsidR="00600DF3" w:rsidRPr="00981E15" w:rsidRDefault="000E4F02" w:rsidP="00A16706">
            <w:pPr>
              <w:spacing w:after="120"/>
              <w:jc w:val="right"/>
            </w:pPr>
            <w:r>
              <w:t>1</w:t>
            </w:r>
            <w:r w:rsidR="00943532">
              <w:t>7</w:t>
            </w:r>
          </w:p>
        </w:tc>
      </w:tr>
      <w:tr w:rsidR="00600DF3" w:rsidRPr="00981E15">
        <w:tblPrEx>
          <w:tblCellMar>
            <w:top w:w="0" w:type="dxa"/>
            <w:bottom w:w="0" w:type="dxa"/>
          </w:tblCellMar>
        </w:tblPrEx>
        <w:tc>
          <w:tcPr>
            <w:tcW w:w="9110" w:type="dxa"/>
            <w:gridSpan w:val="3"/>
            <w:shd w:val="clear" w:color="auto" w:fill="auto"/>
          </w:tcPr>
          <w:p w:rsidR="00600DF3"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Políticas y medios dirigidos a favor de la inclusión de género</w:t>
            </w:r>
            <w:r w:rsidR="00C73E10">
              <w:rPr>
                <w:spacing w:val="60"/>
                <w:sz w:val="17"/>
              </w:rPr>
              <w:tab/>
            </w:r>
          </w:p>
        </w:tc>
        <w:tc>
          <w:tcPr>
            <w:tcW w:w="792" w:type="dxa"/>
            <w:shd w:val="clear" w:color="auto" w:fill="auto"/>
            <w:vAlign w:val="bottom"/>
          </w:tcPr>
          <w:p w:rsidR="00600DF3" w:rsidRPr="00981E15" w:rsidRDefault="000E4F02" w:rsidP="00A16706">
            <w:pPr>
              <w:spacing w:after="120"/>
              <w:jc w:val="right"/>
            </w:pPr>
            <w:r>
              <w:t>1</w:t>
            </w:r>
            <w:r w:rsidR="00943532">
              <w:t>7</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Política Nacional de Promoción y Desarrollo de las Mujeres (2001-2006)</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1</w:t>
            </w:r>
            <w:r w:rsidR="00943532">
              <w:t>7</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Política Marco de Gestión Ambiental (2004)</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1</w:t>
            </w:r>
            <w:r w:rsidR="00943532">
              <w:t>7</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Política Nacional para el Desarrollo de las Micro, Pequeñas y Medianas Empresas (2005)</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1</w:t>
            </w:r>
            <w:r w:rsidR="00943532">
              <w:t>7</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Política Nacional de Seguridad Alimentaria y Nutricional (2005)</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1</w:t>
            </w:r>
            <w:r w:rsidR="00A772D4">
              <w:t>8</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Política Nacional de Descentralización del Organismo Ejecutivo (2005)</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1</w:t>
            </w:r>
            <w:r w:rsidR="00A772D4">
              <w:t>8</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Política de Desarrollo Rural (2006)</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1</w:t>
            </w:r>
            <w:r w:rsidR="00A772D4">
              <w:t>8</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C73E10">
            <w:pPr>
              <w:tabs>
                <w:tab w:val="right" w:pos="1080"/>
                <w:tab w:val="right" w:pos="1714"/>
                <w:tab w:val="left" w:pos="2160"/>
                <w:tab w:val="right" w:leader="dot" w:pos="9360"/>
              </w:tabs>
              <w:spacing w:after="120"/>
              <w:ind w:left="1080"/>
            </w:pPr>
            <w:r>
              <w:t xml:space="preserve">Política Pública para la Convivencia y Eliminación del Racismo y la Discriminación </w:t>
            </w:r>
            <w:r w:rsidR="00A772D4">
              <w:br/>
            </w:r>
            <w:r>
              <w:t>Racial (2006)</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20</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 xml:space="preserve">Política Pública de Cultura de Paz </w:t>
            </w:r>
            <w:r w:rsidR="002C3B92">
              <w:t>(</w:t>
            </w:r>
            <w:r>
              <w:t>2006-2015</w:t>
            </w:r>
            <w:r w:rsidR="002C3B92">
              <w:t>)</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A772D4">
              <w:t>1</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C73E10">
            <w:pPr>
              <w:tabs>
                <w:tab w:val="right" w:pos="1080"/>
                <w:tab w:val="right" w:pos="1714"/>
                <w:tab w:val="left" w:pos="2160"/>
                <w:tab w:val="right" w:leader="dot" w:pos="9360"/>
              </w:tabs>
              <w:spacing w:after="120"/>
              <w:ind w:left="1080"/>
            </w:pPr>
            <w:r>
              <w:t>Política Pública Contra la Trata de Personas y para la Pro</w:t>
            </w:r>
            <w:r w:rsidR="00A772D4">
              <w:t>tección Integral a las Víctimas </w:t>
            </w:r>
            <w:r>
              <w:t>(2007)</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A772D4">
              <w:t>1</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C73E10">
            <w:pPr>
              <w:tabs>
                <w:tab w:val="right" w:pos="1080"/>
                <w:tab w:val="right" w:pos="1714"/>
                <w:tab w:val="left" w:pos="2160"/>
                <w:tab w:val="right" w:leader="dot" w:pos="9360"/>
              </w:tabs>
              <w:spacing w:after="120"/>
              <w:ind w:left="1080"/>
            </w:pPr>
            <w:r>
              <w:t xml:space="preserve">Política de Protección, Asistencia y Atención a la Comunidad Guatemalteca en el </w:t>
            </w:r>
            <w:r w:rsidR="00A772D4">
              <w:br/>
            </w:r>
            <w:r>
              <w:t>Exterior (2007)</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A772D4">
              <w:t>1</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C73E10">
            <w:pPr>
              <w:tabs>
                <w:tab w:val="right" w:pos="1080"/>
                <w:tab w:val="right" w:pos="1714"/>
                <w:tab w:val="left" w:pos="2160"/>
                <w:tab w:val="left" w:pos="2592"/>
                <w:tab w:val="right" w:leader="dot" w:pos="9360"/>
              </w:tabs>
              <w:spacing w:after="120"/>
              <w:ind w:left="1080"/>
            </w:pPr>
            <w:r>
              <w:t>Otras Políticas inclusivas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2</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Evaluación y actualización de políticas públicas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2</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C73E10">
            <w:pPr>
              <w:tabs>
                <w:tab w:val="right" w:pos="1080"/>
                <w:tab w:val="right" w:pos="1714"/>
                <w:tab w:val="left" w:pos="2160"/>
                <w:tab w:val="left" w:pos="2592"/>
                <w:tab w:val="right" w:leader="dot" w:pos="9360"/>
              </w:tabs>
              <w:spacing w:after="120"/>
              <w:ind w:left="1080"/>
            </w:pPr>
            <w:r>
              <w:t>Medidas legislativas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3</w:t>
            </w:r>
          </w:p>
        </w:tc>
      </w:tr>
      <w:tr w:rsidR="00523076" w:rsidRPr="00981E15">
        <w:tblPrEx>
          <w:tblCellMar>
            <w:top w:w="0" w:type="dxa"/>
            <w:bottom w:w="0" w:type="dxa"/>
          </w:tblCellMar>
        </w:tblPrEx>
        <w:tc>
          <w:tcPr>
            <w:tcW w:w="9110" w:type="dxa"/>
            <w:gridSpan w:val="3"/>
            <w:shd w:val="clear" w:color="auto" w:fill="auto"/>
          </w:tcPr>
          <w:p w:rsidR="00523076" w:rsidRDefault="00523076" w:rsidP="00600DF3">
            <w:pPr>
              <w:tabs>
                <w:tab w:val="right" w:pos="1080"/>
                <w:tab w:val="right" w:pos="1714"/>
                <w:tab w:val="left" w:pos="2160"/>
                <w:tab w:val="left" w:pos="2592"/>
                <w:tab w:val="left" w:pos="3024"/>
                <w:tab w:val="left" w:pos="3456"/>
                <w:tab w:val="right" w:leader="dot" w:pos="9360"/>
              </w:tabs>
              <w:spacing w:after="120"/>
              <w:ind w:left="1080"/>
            </w:pPr>
            <w:r>
              <w:t>Definición de Discriminación</w:t>
            </w:r>
            <w:r w:rsidR="00C73E10">
              <w:rPr>
                <w:spacing w:val="60"/>
                <w:sz w:val="17"/>
              </w:rPr>
              <w:tab/>
            </w:r>
          </w:p>
        </w:tc>
        <w:tc>
          <w:tcPr>
            <w:tcW w:w="792" w:type="dxa"/>
            <w:shd w:val="clear" w:color="auto" w:fill="auto"/>
            <w:vAlign w:val="bottom"/>
          </w:tcPr>
          <w:p w:rsidR="00523076" w:rsidRPr="00981E15" w:rsidRDefault="000E4F02" w:rsidP="00A16706">
            <w:pPr>
              <w:spacing w:after="120"/>
              <w:jc w:val="right"/>
            </w:pPr>
            <w:r>
              <w:t>2</w:t>
            </w:r>
            <w:r w:rsidR="005D4B29">
              <w:t>3</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600DF3">
            <w:pPr>
              <w:tabs>
                <w:tab w:val="right" w:pos="1080"/>
                <w:tab w:val="right" w:pos="1714"/>
                <w:tab w:val="left" w:pos="2160"/>
                <w:tab w:val="left" w:pos="2592"/>
                <w:tab w:val="left" w:pos="3024"/>
                <w:tab w:val="left" w:pos="3456"/>
                <w:tab w:val="right" w:leader="dot" w:pos="9360"/>
              </w:tabs>
              <w:spacing w:after="120"/>
              <w:ind w:left="1080"/>
            </w:pPr>
            <w:r>
              <w:t>Reformas y avances legislativos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5</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C73E10">
            <w:pPr>
              <w:tabs>
                <w:tab w:val="right" w:pos="1080"/>
                <w:tab w:val="right" w:pos="1714"/>
                <w:tab w:val="left" w:pos="2160"/>
                <w:tab w:val="right" w:leader="dot" w:pos="9360"/>
              </w:tabs>
              <w:spacing w:after="120"/>
              <w:ind w:left="1080"/>
            </w:pPr>
            <w:r>
              <w:t>Materia Penal</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5</w:t>
            </w:r>
          </w:p>
        </w:tc>
      </w:tr>
      <w:tr w:rsidR="00D64677" w:rsidRPr="00981E15">
        <w:tblPrEx>
          <w:tblCellMar>
            <w:top w:w="0" w:type="dxa"/>
            <w:bottom w:w="0" w:type="dxa"/>
          </w:tblCellMar>
        </w:tblPrEx>
        <w:tc>
          <w:tcPr>
            <w:tcW w:w="9110" w:type="dxa"/>
            <w:gridSpan w:val="3"/>
            <w:shd w:val="clear" w:color="auto" w:fill="auto"/>
          </w:tcPr>
          <w:p w:rsidR="00D64677" w:rsidRPr="00981E15" w:rsidRDefault="00D64677" w:rsidP="00D64677">
            <w:pPr>
              <w:tabs>
                <w:tab w:val="right" w:pos="1080"/>
                <w:tab w:val="right" w:pos="1714"/>
                <w:tab w:val="left" w:pos="2160"/>
                <w:tab w:val="left" w:pos="2592"/>
                <w:tab w:val="left" w:pos="3024"/>
                <w:tab w:val="left" w:pos="3456"/>
                <w:tab w:val="right" w:leader="dot" w:pos="9360"/>
              </w:tabs>
              <w:spacing w:after="120"/>
              <w:ind w:left="1080"/>
            </w:pPr>
            <w:r>
              <w:t>Legislación específica con implicaciones de género</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5</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Proyectos de ley pendientes y reformas requeridas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8</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Propuestas de reformas en materia penal</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8</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Propuestas de reformas en materia laboral</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2</w:t>
            </w:r>
            <w:r w:rsidR="005D4B29">
              <w:t>9</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Propuestas de reforma en materia civil</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0500F8">
              <w:t>0</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Medidas pendientes de las recomendaciones del Comité de Expertas de la CEDAW</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0500F8">
              <w:t>0</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C73E10">
            <w:pPr>
              <w:tabs>
                <w:tab w:val="right" w:pos="1080"/>
                <w:tab w:val="right" w:pos="1714"/>
                <w:tab w:val="left" w:pos="2160"/>
                <w:tab w:val="right" w:leader="dot" w:pos="9360"/>
              </w:tabs>
              <w:spacing w:after="120"/>
              <w:ind w:left="1080"/>
            </w:pPr>
            <w:r>
              <w:t>Desafíos a futuro</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0500F8">
              <w:t>1</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Priorizar la equidad de género en la agenda legislativa</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0500F8">
              <w:t>1</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Agenda legislativa pro-igualdad de género</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9446BB">
              <w:t>3</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Mecanismos especializados de la Mujer</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9446BB">
              <w:t>4</w:t>
            </w:r>
          </w:p>
        </w:tc>
      </w:tr>
      <w:tr w:rsidR="0089435F" w:rsidRPr="00981E15">
        <w:tblPrEx>
          <w:tblCellMar>
            <w:top w:w="0" w:type="dxa"/>
            <w:bottom w:w="0" w:type="dxa"/>
          </w:tblCellMar>
        </w:tblPrEx>
        <w:tc>
          <w:tcPr>
            <w:tcW w:w="9110" w:type="dxa"/>
            <w:gridSpan w:val="3"/>
            <w:shd w:val="clear" w:color="auto" w:fill="auto"/>
          </w:tcPr>
          <w:p w:rsidR="0089435F" w:rsidRDefault="0089435F" w:rsidP="00600DF3">
            <w:pPr>
              <w:tabs>
                <w:tab w:val="right" w:pos="1080"/>
                <w:tab w:val="right" w:pos="1714"/>
                <w:tab w:val="left" w:pos="2160"/>
                <w:tab w:val="left" w:pos="2592"/>
                <w:tab w:val="left" w:pos="3024"/>
                <w:tab w:val="left" w:pos="3456"/>
                <w:tab w:val="right" w:leader="dot" w:pos="9360"/>
              </w:tabs>
              <w:spacing w:after="120"/>
              <w:ind w:left="1080"/>
            </w:pPr>
            <w:r>
              <w:t>Recomendaciones del Comité de Expertas de la CEDAW</w:t>
            </w:r>
            <w:r w:rsidR="00C73E10">
              <w:rPr>
                <w:spacing w:val="60"/>
                <w:sz w:val="17"/>
              </w:rPr>
              <w:tab/>
            </w:r>
          </w:p>
        </w:tc>
        <w:tc>
          <w:tcPr>
            <w:tcW w:w="792" w:type="dxa"/>
            <w:shd w:val="clear" w:color="auto" w:fill="auto"/>
            <w:vAlign w:val="bottom"/>
          </w:tcPr>
          <w:p w:rsidR="0089435F" w:rsidRPr="00981E15" w:rsidRDefault="000E4F02" w:rsidP="00A16706">
            <w:pPr>
              <w:spacing w:after="120"/>
              <w:jc w:val="right"/>
            </w:pPr>
            <w:r>
              <w:t>3</w:t>
            </w:r>
            <w:r w:rsidR="009446BB">
              <w:t>4</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Secretaría Presidencial de la Mujer (SEPREM)</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9446BB">
              <w:t>4</w:t>
            </w:r>
          </w:p>
        </w:tc>
      </w:tr>
      <w:tr w:rsidR="00D64677" w:rsidRPr="00981E15">
        <w:tblPrEx>
          <w:tblCellMar>
            <w:top w:w="0" w:type="dxa"/>
            <w:bottom w:w="0" w:type="dxa"/>
          </w:tblCellMar>
        </w:tblPrEx>
        <w:tc>
          <w:tcPr>
            <w:tcW w:w="9110" w:type="dxa"/>
            <w:gridSpan w:val="3"/>
            <w:shd w:val="clear" w:color="auto" w:fill="auto"/>
          </w:tcPr>
          <w:p w:rsidR="00D64677" w:rsidRPr="00981E15" w:rsidRDefault="00613756" w:rsidP="00600DF3">
            <w:pPr>
              <w:tabs>
                <w:tab w:val="right" w:pos="1080"/>
                <w:tab w:val="right" w:pos="1714"/>
                <w:tab w:val="left" w:pos="2160"/>
                <w:tab w:val="left" w:pos="2592"/>
                <w:tab w:val="left" w:pos="3024"/>
                <w:tab w:val="left" w:pos="3456"/>
                <w:tab w:val="right" w:leader="dot" w:pos="9360"/>
              </w:tabs>
              <w:spacing w:after="120"/>
              <w:ind w:left="1080"/>
            </w:pPr>
            <w:r>
              <w:t>Desarrollo de una agenda económica de las mujeres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3</w:t>
            </w:r>
            <w:r w:rsidR="009446BB">
              <w:t>7</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Relación y sinergias entre SEPREM y sociedad civil</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2</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Defensoría de la Mujer Indígena (DEMI)</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2</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C73E10">
            <w:pPr>
              <w:tabs>
                <w:tab w:val="right" w:pos="1080"/>
                <w:tab w:val="right" w:pos="1714"/>
                <w:tab w:val="left" w:pos="2160"/>
                <w:tab w:val="left" w:pos="2592"/>
                <w:tab w:val="right" w:leader="dot" w:pos="9360"/>
              </w:tabs>
              <w:spacing w:after="120"/>
              <w:ind w:left="1080"/>
            </w:pPr>
            <w:r>
              <w:t>Incidencia Política</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3</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Formación y comunicación para la prevención</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6</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Estudios e informes elaborados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7</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C73E10">
            <w:pPr>
              <w:tabs>
                <w:tab w:val="right" w:pos="1080"/>
                <w:tab w:val="right" w:pos="1714"/>
                <w:tab w:val="left" w:pos="2160"/>
                <w:tab w:val="left" w:pos="2592"/>
                <w:tab w:val="right" w:leader="dot" w:pos="9360"/>
              </w:tabs>
              <w:spacing w:after="120"/>
              <w:ind w:left="1080"/>
            </w:pPr>
            <w:r>
              <w:t>Atención de casos</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7</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C73E10">
            <w:pPr>
              <w:tabs>
                <w:tab w:val="right" w:pos="1080"/>
                <w:tab w:val="right" w:pos="1714"/>
                <w:tab w:val="left" w:pos="2160"/>
                <w:tab w:val="left" w:pos="2592"/>
                <w:tab w:val="left" w:pos="3024"/>
                <w:tab w:val="right" w:leader="dot" w:pos="9360"/>
              </w:tabs>
              <w:spacing w:after="120"/>
              <w:ind w:left="1080"/>
            </w:pPr>
            <w:r>
              <w:t>Asistencia Psicológica</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8</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C73E10">
            <w:pPr>
              <w:tabs>
                <w:tab w:val="right" w:pos="1080"/>
                <w:tab w:val="right" w:pos="1714"/>
                <w:tab w:val="left" w:pos="2160"/>
                <w:tab w:val="right" w:leader="dot" w:pos="9360"/>
              </w:tabs>
              <w:spacing w:after="120"/>
              <w:ind w:left="1080"/>
            </w:pPr>
            <w:r>
              <w:t>Asistencia Social</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8</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C73E10">
            <w:pPr>
              <w:tabs>
                <w:tab w:val="right" w:pos="1080"/>
                <w:tab w:val="right" w:pos="1714"/>
                <w:tab w:val="left" w:pos="2160"/>
                <w:tab w:val="left" w:pos="2592"/>
                <w:tab w:val="left" w:pos="3024"/>
                <w:tab w:val="right" w:leader="dot" w:pos="9360"/>
              </w:tabs>
              <w:spacing w:after="120"/>
              <w:ind w:left="1080"/>
            </w:pPr>
            <w:r>
              <w:t>Coordinadora Nacional para la Prevención de la Violencia Intrafam</w:t>
            </w:r>
            <w:r w:rsidR="00E42B3B">
              <w:t>iliar</w:t>
            </w:r>
            <w:r w:rsidR="009433D0">
              <w:t xml:space="preserve"> y</w:t>
            </w:r>
            <w:r>
              <w:t xml:space="preserve"> contra las </w:t>
            </w:r>
            <w:r w:rsidR="009446BB">
              <w:t>Mujeres </w:t>
            </w:r>
            <w:r>
              <w:t>(CONAPREVI)</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4</w:t>
            </w:r>
            <w:r w:rsidR="009446BB">
              <w:t>8</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Foro Nacional de la Mujer (FNM)</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5</w:t>
            </w:r>
            <w:r w:rsidR="00345058">
              <w:t>1</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Diagnóstico sobre la Participación de las Mujeres Guatemaltecas en el Sistema Nacional de Consejos de Desarrollo, elaborado por el F</w:t>
            </w:r>
            <w:r w:rsidR="009433D0">
              <w:t xml:space="preserve">oro </w:t>
            </w:r>
            <w:r>
              <w:t>N</w:t>
            </w:r>
            <w:r w:rsidR="009433D0">
              <w:t xml:space="preserve">acional de la </w:t>
            </w:r>
            <w:r>
              <w:t>M</w:t>
            </w:r>
            <w:r w:rsidR="009433D0">
              <w:t>ujer</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5</w:t>
            </w:r>
            <w:r w:rsidR="003F7EC0">
              <w:t>1</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Mecanismos Municipales de la Mujer (MMM)</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5</w:t>
            </w:r>
            <w:r w:rsidR="003F7EC0">
              <w:t>3</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Comisiones Municipales de la Mujer (CMM)</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5</w:t>
            </w:r>
            <w:r w:rsidR="003F7EC0">
              <w:t>3</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Oficinas Municipales de la Mujer (OMM)</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0E4F02" w:rsidP="00A16706">
            <w:pPr>
              <w:spacing w:after="120"/>
              <w:jc w:val="right"/>
            </w:pPr>
            <w:r>
              <w:t>5</w:t>
            </w:r>
            <w:r w:rsidR="003F7EC0">
              <w:t>4</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Balance Nacional de Mecanismos Municipales de la Mujer (MMMs)</w:t>
            </w:r>
            <w:r w:rsidR="00C73E10">
              <w:rPr>
                <w:spacing w:val="60"/>
                <w:sz w:val="17"/>
              </w:rPr>
              <w:t xml:space="preserve"> </w:t>
            </w:r>
            <w:r w:rsidR="00C73E10">
              <w:rPr>
                <w:spacing w:val="60"/>
                <w:sz w:val="17"/>
              </w:rPr>
              <w:tab/>
            </w:r>
          </w:p>
        </w:tc>
        <w:tc>
          <w:tcPr>
            <w:tcW w:w="792" w:type="dxa"/>
            <w:shd w:val="clear" w:color="auto" w:fill="auto"/>
            <w:vAlign w:val="bottom"/>
          </w:tcPr>
          <w:p w:rsidR="00D64677" w:rsidRPr="00981E15" w:rsidRDefault="00334AB4" w:rsidP="00A16706">
            <w:pPr>
              <w:spacing w:after="120"/>
              <w:jc w:val="right"/>
            </w:pPr>
            <w:r>
              <w:t>5</w:t>
            </w:r>
            <w:r w:rsidR="003F7EC0">
              <w:t>4</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Oficinas Institucionales de la Mujer dentro de los Organismos del Estado</w:t>
            </w:r>
            <w:r w:rsidR="00C73E10">
              <w:rPr>
                <w:spacing w:val="60"/>
                <w:sz w:val="17"/>
              </w:rPr>
              <w:tab/>
            </w:r>
          </w:p>
        </w:tc>
        <w:tc>
          <w:tcPr>
            <w:tcW w:w="792" w:type="dxa"/>
            <w:shd w:val="clear" w:color="auto" w:fill="auto"/>
            <w:vAlign w:val="bottom"/>
          </w:tcPr>
          <w:p w:rsidR="00D64677" w:rsidRPr="00981E15" w:rsidRDefault="00334AB4" w:rsidP="00A16706">
            <w:pPr>
              <w:spacing w:after="120"/>
              <w:jc w:val="right"/>
            </w:pPr>
            <w:r>
              <w:t>5</w:t>
            </w:r>
            <w:r w:rsidR="003F7EC0">
              <w:t>5</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Oficinas Institucionales de la Mujer en el Organismo Ejecutivo</w:t>
            </w:r>
            <w:r w:rsidR="00C73E10">
              <w:rPr>
                <w:spacing w:val="60"/>
                <w:sz w:val="17"/>
              </w:rPr>
              <w:tab/>
            </w:r>
          </w:p>
        </w:tc>
        <w:tc>
          <w:tcPr>
            <w:tcW w:w="792" w:type="dxa"/>
            <w:shd w:val="clear" w:color="auto" w:fill="auto"/>
            <w:vAlign w:val="bottom"/>
          </w:tcPr>
          <w:p w:rsidR="00D64677" w:rsidRPr="00981E15" w:rsidRDefault="00334AB4" w:rsidP="00A16706">
            <w:pPr>
              <w:spacing w:after="120"/>
              <w:jc w:val="right"/>
            </w:pPr>
            <w:r>
              <w:t>5</w:t>
            </w:r>
            <w:r w:rsidR="003F7EC0">
              <w:t>5</w:t>
            </w:r>
          </w:p>
        </w:tc>
      </w:tr>
      <w:tr w:rsidR="00D64677" w:rsidRPr="00981E15">
        <w:tblPrEx>
          <w:tblCellMar>
            <w:top w:w="0" w:type="dxa"/>
            <w:bottom w:w="0" w:type="dxa"/>
          </w:tblCellMar>
        </w:tblPrEx>
        <w:tc>
          <w:tcPr>
            <w:tcW w:w="9110" w:type="dxa"/>
            <w:gridSpan w:val="3"/>
            <w:shd w:val="clear" w:color="auto" w:fill="auto"/>
          </w:tcPr>
          <w:p w:rsidR="00D64677" w:rsidRPr="00981E15" w:rsidRDefault="00AB691E" w:rsidP="00600DF3">
            <w:pPr>
              <w:tabs>
                <w:tab w:val="right" w:pos="1080"/>
                <w:tab w:val="right" w:pos="1714"/>
                <w:tab w:val="left" w:pos="2160"/>
                <w:tab w:val="left" w:pos="2592"/>
                <w:tab w:val="left" w:pos="3024"/>
                <w:tab w:val="left" w:pos="3456"/>
                <w:tab w:val="right" w:leader="dot" w:pos="9360"/>
              </w:tabs>
              <w:spacing w:after="120"/>
              <w:ind w:left="1080"/>
            </w:pPr>
            <w:r>
              <w:t xml:space="preserve">Oficinas </w:t>
            </w:r>
            <w:r w:rsidR="006800A0">
              <w:t xml:space="preserve">Institucionales </w:t>
            </w:r>
            <w:r>
              <w:t>de la Mujer en el Organismo Legislativo</w:t>
            </w:r>
            <w:r w:rsidR="00C73E10">
              <w:rPr>
                <w:spacing w:val="60"/>
                <w:sz w:val="17"/>
              </w:rPr>
              <w:tab/>
            </w:r>
          </w:p>
        </w:tc>
        <w:tc>
          <w:tcPr>
            <w:tcW w:w="792" w:type="dxa"/>
            <w:shd w:val="clear" w:color="auto" w:fill="auto"/>
            <w:vAlign w:val="bottom"/>
          </w:tcPr>
          <w:p w:rsidR="00D64677" w:rsidRPr="00981E15" w:rsidRDefault="00334AB4" w:rsidP="00A16706">
            <w:pPr>
              <w:spacing w:after="120"/>
              <w:jc w:val="right"/>
            </w:pPr>
            <w:r>
              <w:t>5</w:t>
            </w:r>
            <w:r w:rsidR="006800A0">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Oficinas Institucionales de la Mujer en el Organismo Judicial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5</w:t>
            </w:r>
            <w:r w:rsidR="006800A0">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Medidas pendientes de las recomendaciones de la CEDAW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5</w:t>
            </w:r>
            <w:r w:rsidR="006800A0">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Violencia contra las mujeres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5</w:t>
            </w:r>
            <w:r w:rsidR="006800A0">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Comisión Específica para el Abordaje del Femicidio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5</w:t>
            </w:r>
            <w:r w:rsidR="006800A0">
              <w:t>8</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C73E10">
            <w:pPr>
              <w:tabs>
                <w:tab w:val="right" w:pos="1080"/>
                <w:tab w:val="right" w:pos="1714"/>
                <w:tab w:val="left" w:pos="2160"/>
                <w:tab w:val="left" w:pos="2592"/>
                <w:tab w:val="right" w:leader="dot" w:pos="9360"/>
              </w:tabs>
              <w:spacing w:after="120"/>
              <w:ind w:left="1080"/>
            </w:pPr>
            <w:r w:rsidRPr="00917560">
              <w:t xml:space="preserve">Sistema de Justicia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ED2EC1">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Acceso a la justicia oficial en el propio idioma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E20496">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Respuesta de las instituciones del Sistema de Justicia ante la Violencia contra las mujeres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E20496">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C73E10">
            <w:pPr>
              <w:tabs>
                <w:tab w:val="right" w:pos="1080"/>
                <w:tab w:val="right" w:pos="1714"/>
                <w:tab w:val="left" w:pos="2160"/>
                <w:tab w:val="left" w:pos="2592"/>
                <w:tab w:val="right" w:leader="dot" w:pos="9360"/>
              </w:tabs>
              <w:spacing w:after="120"/>
              <w:ind w:left="1080"/>
            </w:pPr>
            <w:r w:rsidRPr="00917560">
              <w:t xml:space="preserve">Organismo Judicial </w:t>
            </w:r>
            <w:r w:rsidR="00C73E10">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E20496">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D826B6">
            <w:pPr>
              <w:tabs>
                <w:tab w:val="right" w:pos="1080"/>
                <w:tab w:val="right" w:pos="1714"/>
                <w:tab w:val="left" w:pos="2160"/>
                <w:tab w:val="left" w:pos="2592"/>
                <w:tab w:val="left" w:pos="3024"/>
                <w:tab w:val="right" w:leader="dot" w:pos="9360"/>
              </w:tabs>
              <w:spacing w:after="120"/>
              <w:ind w:left="1080"/>
            </w:pPr>
            <w:r w:rsidRPr="00917560">
              <w:t xml:space="preserve">Ministerio Público (MP) </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4B3579">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Persecución penal de los delitos contra la vida de mujeres </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4B3579">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Capacitación técnica para la persecución de delitos contra la vida </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4B3579">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Atención a las víctimas de delitos </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4B3579">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D826B6">
            <w:pPr>
              <w:tabs>
                <w:tab w:val="right" w:pos="1080"/>
                <w:tab w:val="right" w:pos="1714"/>
                <w:tab w:val="left" w:pos="2160"/>
                <w:tab w:val="left" w:pos="2592"/>
                <w:tab w:val="right" w:leader="dot" w:pos="9360"/>
              </w:tabs>
              <w:spacing w:after="120"/>
              <w:ind w:left="1080"/>
            </w:pPr>
            <w:r w:rsidRPr="00917560">
              <w:t xml:space="preserve">Fiscalía de la Mujer </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4B3579">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Unidades de apoyo en la persecución de delitos </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4B3579">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Sistema Informático del MP</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CE67AF">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Ministerio de Gobernación – Policía Nacional Civil (PNC) </w:t>
            </w:r>
            <w:r w:rsidR="00D826B6">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CE67AF">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right" w:leader="dot" w:pos="9360"/>
              </w:tabs>
              <w:spacing w:after="120"/>
              <w:ind w:left="1080"/>
            </w:pPr>
            <w:r w:rsidRPr="00917560">
              <w:t>Otras instancias en contra de la violencia contra las mujeres</w:t>
            </w:r>
            <w:r w:rsidR="006E05AA">
              <w:t>.</w:t>
            </w:r>
            <w:r w:rsidRPr="00917560">
              <w:t xml:space="preserve"> Procuraduría de Derechos Humanos (PDH)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CE67AF">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Pactos Municipales por la Seguridad Integral de las Mujeres Guatemaltecas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6</w:t>
            </w:r>
            <w:r w:rsidR="00CE67AF">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Otras acciones de difusión y divulgación de los derechos humanos de las mujeres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Medidas pendientes de las recomendaciones del Comité de Expertas de la CEDAW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right" w:leader="dot" w:pos="9360"/>
              </w:tabs>
              <w:spacing w:after="120"/>
              <w:ind w:left="1080"/>
            </w:pPr>
            <w:r w:rsidRPr="00917560">
              <w:t xml:space="preserve">Retos y desafíos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Sistema Nacional de Estadísticas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Medidas pendientes de las recomendaciones de la CEDAW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right" w:leader="dot" w:pos="9360"/>
              </w:tabs>
              <w:spacing w:after="120"/>
              <w:ind w:left="1080"/>
            </w:pPr>
            <w:r w:rsidRPr="00917560">
              <w:t xml:space="preserve">Retos y desafíos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4</w:t>
            </w:r>
          </w:p>
        </w:tc>
      </w:tr>
      <w:tr w:rsidR="006E05AA" w:rsidRPr="00981E15">
        <w:tblPrEx>
          <w:tblCellMar>
            <w:top w:w="0" w:type="dxa"/>
            <w:bottom w:w="0" w:type="dxa"/>
          </w:tblCellMar>
        </w:tblPrEx>
        <w:tc>
          <w:tcPr>
            <w:tcW w:w="9110" w:type="dxa"/>
            <w:gridSpan w:val="3"/>
            <w:shd w:val="clear" w:color="auto" w:fill="auto"/>
          </w:tcPr>
          <w:p w:rsidR="006E05AA" w:rsidRPr="00917560" w:rsidRDefault="006E05AA" w:rsidP="009A2E75">
            <w:pPr>
              <w:tabs>
                <w:tab w:val="right" w:pos="1080"/>
                <w:tab w:val="right" w:pos="1714"/>
                <w:tab w:val="right" w:leader="dot" w:pos="9360"/>
              </w:tabs>
              <w:spacing w:after="120"/>
              <w:ind w:left="1080"/>
            </w:pPr>
            <w:r w:rsidRPr="00917560">
              <w:t>Artículo 4</w:t>
            </w:r>
            <w:r w:rsidR="009A2E75">
              <w:rPr>
                <w:spacing w:val="60"/>
                <w:sz w:val="17"/>
              </w:rPr>
              <w:tab/>
            </w:r>
          </w:p>
        </w:tc>
        <w:tc>
          <w:tcPr>
            <w:tcW w:w="792" w:type="dxa"/>
            <w:shd w:val="clear" w:color="auto" w:fill="auto"/>
            <w:vAlign w:val="bottom"/>
          </w:tcPr>
          <w:p w:rsidR="006E05AA" w:rsidRPr="00981E15" w:rsidRDefault="00334AB4" w:rsidP="00A16706">
            <w:pPr>
              <w:spacing w:after="120"/>
              <w:jc w:val="right"/>
            </w:pPr>
            <w:r>
              <w:t>7</w:t>
            </w:r>
            <w:r w:rsidR="00CE67AF">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Medidas especiales temporales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Propuesta de cuotas para aumentar el número de mujeres que participan en la vida política</w:t>
            </w:r>
            <w:r w:rsidR="009A2E75">
              <w:rPr>
                <w:spacing w:val="60"/>
                <w:sz w:val="17"/>
              </w:rPr>
              <w:tab/>
            </w:r>
            <w:r w:rsidRPr="00917560">
              <w:t xml:space="preserve"> </w:t>
            </w:r>
          </w:p>
        </w:tc>
        <w:tc>
          <w:tcPr>
            <w:tcW w:w="792" w:type="dxa"/>
            <w:shd w:val="clear" w:color="auto" w:fill="auto"/>
            <w:vAlign w:val="bottom"/>
          </w:tcPr>
          <w:p w:rsidR="006C7AE8" w:rsidRPr="00981E15" w:rsidRDefault="00334AB4" w:rsidP="00A16706">
            <w:pPr>
              <w:spacing w:after="120"/>
              <w:jc w:val="right"/>
            </w:pPr>
            <w:r>
              <w:t>7</w:t>
            </w:r>
            <w:r w:rsidR="00CE67AF">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right" w:leader="dot" w:pos="9360"/>
              </w:tabs>
              <w:spacing w:after="120"/>
              <w:ind w:left="1080"/>
            </w:pPr>
            <w:r w:rsidRPr="00917560">
              <w:t xml:space="preserve">Educación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5</w:t>
            </w:r>
          </w:p>
        </w:tc>
      </w:tr>
      <w:tr w:rsidR="006E05AA" w:rsidRPr="00981E15">
        <w:tblPrEx>
          <w:tblCellMar>
            <w:top w:w="0" w:type="dxa"/>
            <w:bottom w:w="0" w:type="dxa"/>
          </w:tblCellMar>
        </w:tblPrEx>
        <w:tc>
          <w:tcPr>
            <w:tcW w:w="9110" w:type="dxa"/>
            <w:gridSpan w:val="3"/>
            <w:shd w:val="clear" w:color="auto" w:fill="auto"/>
          </w:tcPr>
          <w:p w:rsidR="006E05AA" w:rsidRPr="00917560" w:rsidRDefault="006E05AA" w:rsidP="009A2E75">
            <w:pPr>
              <w:tabs>
                <w:tab w:val="right" w:pos="1080"/>
                <w:tab w:val="right" w:pos="1714"/>
                <w:tab w:val="right" w:leader="dot" w:pos="9360"/>
              </w:tabs>
              <w:spacing w:after="120"/>
              <w:ind w:left="1080"/>
            </w:pPr>
            <w:r w:rsidRPr="00917560">
              <w:t>Artí</w:t>
            </w:r>
            <w:r w:rsidR="00CE67AF">
              <w:t>culo 5</w:t>
            </w:r>
            <w:r w:rsidR="009A2E75">
              <w:rPr>
                <w:spacing w:val="60"/>
                <w:sz w:val="17"/>
              </w:rPr>
              <w:tab/>
            </w:r>
          </w:p>
        </w:tc>
        <w:tc>
          <w:tcPr>
            <w:tcW w:w="792" w:type="dxa"/>
            <w:shd w:val="clear" w:color="auto" w:fill="auto"/>
            <w:vAlign w:val="bottom"/>
          </w:tcPr>
          <w:p w:rsidR="006E05AA" w:rsidRPr="00981E15" w:rsidRDefault="00334AB4" w:rsidP="00A16706">
            <w:pPr>
              <w:spacing w:after="120"/>
              <w:jc w:val="right"/>
            </w:pPr>
            <w:r>
              <w:t>7</w:t>
            </w:r>
            <w:r w:rsidR="00CE67AF">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Modificación de patrones socio-culturales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CE67AF">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Medidas y acciones adoptadas para contribuir a la eliminación de estereotipos y prejuicios</w:t>
            </w:r>
            <w:r w:rsidR="009A2E75">
              <w:rPr>
                <w:spacing w:val="60"/>
                <w:sz w:val="17"/>
              </w:rPr>
              <w:tab/>
            </w:r>
            <w:r w:rsidRPr="00917560">
              <w:t xml:space="preserve"> </w:t>
            </w:r>
          </w:p>
        </w:tc>
        <w:tc>
          <w:tcPr>
            <w:tcW w:w="792" w:type="dxa"/>
            <w:shd w:val="clear" w:color="auto" w:fill="auto"/>
            <w:vAlign w:val="bottom"/>
          </w:tcPr>
          <w:p w:rsidR="006C7AE8" w:rsidRPr="00981E15" w:rsidRDefault="00334AB4" w:rsidP="00A16706">
            <w:pPr>
              <w:spacing w:after="120"/>
              <w:jc w:val="right"/>
            </w:pPr>
            <w:r>
              <w:t>7</w:t>
            </w:r>
            <w:r w:rsidR="00CE67AF">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Estudios e investigaciones realizados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8C6844">
              <w:t>8</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Medidas pendientes de las recomendaciones de la CEDAW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8C6844">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right" w:leader="dot" w:pos="9360"/>
              </w:tabs>
              <w:spacing w:after="120"/>
              <w:ind w:left="1080"/>
            </w:pPr>
            <w:r w:rsidRPr="00917560">
              <w:t xml:space="preserve">Retos y desafíos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8C6844">
              <w:t>9</w:t>
            </w:r>
          </w:p>
        </w:tc>
      </w:tr>
      <w:tr w:rsidR="006E05AA" w:rsidRPr="00981E15">
        <w:tblPrEx>
          <w:tblCellMar>
            <w:top w:w="0" w:type="dxa"/>
            <w:bottom w:w="0" w:type="dxa"/>
          </w:tblCellMar>
        </w:tblPrEx>
        <w:tc>
          <w:tcPr>
            <w:tcW w:w="9110" w:type="dxa"/>
            <w:gridSpan w:val="3"/>
            <w:shd w:val="clear" w:color="auto" w:fill="auto"/>
          </w:tcPr>
          <w:p w:rsidR="006E05AA" w:rsidRPr="00917560" w:rsidRDefault="008C6844" w:rsidP="009A2E75">
            <w:pPr>
              <w:tabs>
                <w:tab w:val="right" w:pos="1080"/>
                <w:tab w:val="right" w:pos="1714"/>
                <w:tab w:val="right" w:leader="dot" w:pos="9360"/>
              </w:tabs>
              <w:spacing w:after="120"/>
              <w:ind w:left="1080"/>
            </w:pPr>
            <w:r>
              <w:t>Artículo 6</w:t>
            </w:r>
            <w:r w:rsidR="009A2E75">
              <w:rPr>
                <w:spacing w:val="60"/>
                <w:sz w:val="17"/>
              </w:rPr>
              <w:tab/>
            </w:r>
          </w:p>
        </w:tc>
        <w:tc>
          <w:tcPr>
            <w:tcW w:w="792" w:type="dxa"/>
            <w:shd w:val="clear" w:color="auto" w:fill="auto"/>
            <w:vAlign w:val="bottom"/>
          </w:tcPr>
          <w:p w:rsidR="006E05AA" w:rsidRPr="00981E15" w:rsidRDefault="00334AB4" w:rsidP="00A16706">
            <w:pPr>
              <w:spacing w:after="120"/>
              <w:jc w:val="right"/>
            </w:pPr>
            <w:r>
              <w:t>7</w:t>
            </w:r>
            <w:r w:rsidR="008C6844">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Trata de mujeres y explotación sexual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7</w:t>
            </w:r>
            <w:r w:rsidR="008C6844">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left" w:pos="2592"/>
                <w:tab w:val="right" w:leader="dot" w:pos="9360"/>
              </w:tabs>
              <w:spacing w:after="120"/>
              <w:ind w:left="1080"/>
            </w:pPr>
            <w:r w:rsidRPr="00917560">
              <w:t xml:space="preserve">Reformas legislativas </w:t>
            </w:r>
            <w:r w:rsidR="009A2E75">
              <w:rPr>
                <w:spacing w:val="60"/>
                <w:sz w:val="17"/>
              </w:rPr>
              <w:tab/>
            </w:r>
          </w:p>
        </w:tc>
        <w:tc>
          <w:tcPr>
            <w:tcW w:w="792" w:type="dxa"/>
            <w:shd w:val="clear" w:color="auto" w:fill="auto"/>
            <w:vAlign w:val="bottom"/>
          </w:tcPr>
          <w:p w:rsidR="006C7AE8" w:rsidRPr="00981E15" w:rsidRDefault="00334AB4" w:rsidP="00A16706">
            <w:pPr>
              <w:spacing w:after="120"/>
              <w:jc w:val="right"/>
            </w:pPr>
            <w:r>
              <w:t>8</w:t>
            </w:r>
            <w:r w:rsidR="00D470C1">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Acciones encaminadas a prevenir y erradicar la trata de mujeres y niñas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Instrumentos Nacionales e Internacionales suscritos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Denuncias de trata de personas, prostitución u otros delitos en contra de mujeres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left" w:pos="2592"/>
                <w:tab w:val="right" w:leader="dot" w:pos="9360"/>
              </w:tabs>
              <w:spacing w:after="120"/>
              <w:ind w:left="1080"/>
            </w:pPr>
            <w:r w:rsidRPr="00917560">
              <w:t xml:space="preserve">Mujeres migrantes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Secretaría de Bienestar Social de la Presidencia de la República (SBS)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Medidas pendientes de las recomendaciones de la CEDAW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right" w:leader="dot" w:pos="9360"/>
              </w:tabs>
              <w:spacing w:after="120"/>
              <w:ind w:left="1080"/>
            </w:pPr>
            <w:r w:rsidRPr="00917560">
              <w:t xml:space="preserve">Retos y desafíos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7</w:t>
            </w:r>
          </w:p>
        </w:tc>
      </w:tr>
      <w:tr w:rsidR="00322980" w:rsidRPr="00981E15">
        <w:tblPrEx>
          <w:tblCellMar>
            <w:top w:w="0" w:type="dxa"/>
            <w:bottom w:w="0" w:type="dxa"/>
          </w:tblCellMar>
        </w:tblPrEx>
        <w:tc>
          <w:tcPr>
            <w:tcW w:w="9110" w:type="dxa"/>
            <w:gridSpan w:val="3"/>
            <w:shd w:val="clear" w:color="auto" w:fill="auto"/>
          </w:tcPr>
          <w:p w:rsidR="00322980" w:rsidRPr="00917560" w:rsidRDefault="00C10AA8" w:rsidP="009A2E75">
            <w:pPr>
              <w:tabs>
                <w:tab w:val="right" w:pos="1080"/>
                <w:tab w:val="right" w:pos="1714"/>
                <w:tab w:val="right" w:leader="dot" w:pos="9360"/>
              </w:tabs>
              <w:spacing w:after="120"/>
              <w:ind w:left="1080"/>
            </w:pPr>
            <w:r>
              <w:t>Artículo 7</w:t>
            </w:r>
            <w:r w:rsidR="009A2E75">
              <w:rPr>
                <w:spacing w:val="60"/>
                <w:sz w:val="17"/>
              </w:rPr>
              <w:tab/>
            </w:r>
          </w:p>
        </w:tc>
        <w:tc>
          <w:tcPr>
            <w:tcW w:w="792" w:type="dxa"/>
            <w:shd w:val="clear" w:color="auto" w:fill="auto"/>
            <w:vAlign w:val="bottom"/>
          </w:tcPr>
          <w:p w:rsidR="00322980" w:rsidRPr="00981E15" w:rsidRDefault="0050150A" w:rsidP="00A16706">
            <w:pPr>
              <w:spacing w:after="120"/>
              <w:jc w:val="right"/>
            </w:pPr>
            <w:r>
              <w:t>8</w:t>
            </w:r>
            <w:r w:rsidR="00C10AA8">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left" w:pos="2592"/>
                <w:tab w:val="left" w:pos="3024"/>
                <w:tab w:val="right" w:leader="dot" w:pos="9360"/>
              </w:tabs>
              <w:spacing w:after="120"/>
              <w:ind w:left="1080"/>
            </w:pPr>
            <w:r w:rsidRPr="00917560">
              <w:t xml:space="preserve">Vida política y pública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Derecho a elegir y ser electa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8</w:t>
            </w:r>
            <w:r w:rsidR="00C10AA8">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Participación en cargos públicos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4A67B7">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left" w:pos="2592"/>
                <w:tab w:val="right" w:leader="dot" w:pos="9360"/>
              </w:tabs>
              <w:spacing w:after="120"/>
              <w:ind w:left="1080"/>
            </w:pPr>
            <w:r w:rsidRPr="00917560">
              <w:t xml:space="preserve">Organismo Ejecutivo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4A67B7">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left" w:pos="2592"/>
                <w:tab w:val="right" w:leader="dot" w:pos="9360"/>
              </w:tabs>
              <w:spacing w:after="120"/>
              <w:ind w:left="1080"/>
            </w:pPr>
            <w:r w:rsidRPr="00917560">
              <w:t xml:space="preserve">Organismo Judicial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4A67B7">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left" w:pos="2160"/>
                <w:tab w:val="left" w:pos="2592"/>
                <w:tab w:val="left" w:pos="3024"/>
                <w:tab w:val="right" w:leader="dot" w:pos="9360"/>
              </w:tabs>
              <w:spacing w:after="120"/>
              <w:ind w:left="1080"/>
            </w:pPr>
            <w:r w:rsidRPr="00917560">
              <w:t xml:space="preserve">Organismo Legislativo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4A67B7">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Participación de las mujeres en el Sistema de Consejos de Desarrollo de Guatemala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4A67B7">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Medidas pendientes de las recomendaciones de la CEDAW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4A67B7">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right" w:leader="dot" w:pos="9360"/>
              </w:tabs>
              <w:spacing w:after="120"/>
              <w:ind w:left="1080"/>
            </w:pPr>
            <w:r w:rsidRPr="00917560">
              <w:t xml:space="preserve">Retos y Desafíos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AC06BE">
              <w:t>7</w:t>
            </w:r>
          </w:p>
        </w:tc>
      </w:tr>
      <w:tr w:rsidR="006C7AE8" w:rsidRPr="00981E15">
        <w:tblPrEx>
          <w:tblCellMar>
            <w:top w:w="0" w:type="dxa"/>
            <w:bottom w:w="0" w:type="dxa"/>
          </w:tblCellMar>
        </w:tblPrEx>
        <w:tc>
          <w:tcPr>
            <w:tcW w:w="9110" w:type="dxa"/>
            <w:gridSpan w:val="3"/>
            <w:shd w:val="clear" w:color="auto" w:fill="auto"/>
          </w:tcPr>
          <w:p w:rsidR="006C7AE8" w:rsidRPr="00917560" w:rsidRDefault="00AC06BE" w:rsidP="009A2E75">
            <w:pPr>
              <w:tabs>
                <w:tab w:val="right" w:pos="1080"/>
                <w:tab w:val="right" w:pos="1714"/>
                <w:tab w:val="right" w:leader="dot" w:pos="9360"/>
              </w:tabs>
              <w:spacing w:after="120"/>
              <w:ind w:left="1080"/>
            </w:pPr>
            <w:r>
              <w:t>Artículo 8</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AC06BE">
              <w:t>8</w:t>
            </w:r>
          </w:p>
        </w:tc>
      </w:tr>
      <w:tr w:rsidR="006C7AE8" w:rsidRPr="00981E15">
        <w:tblPrEx>
          <w:tblCellMar>
            <w:top w:w="0" w:type="dxa"/>
            <w:bottom w:w="0" w:type="dxa"/>
          </w:tblCellMar>
        </w:tblPrEx>
        <w:tc>
          <w:tcPr>
            <w:tcW w:w="9110" w:type="dxa"/>
            <w:gridSpan w:val="3"/>
            <w:shd w:val="clear" w:color="auto" w:fill="auto"/>
          </w:tcPr>
          <w:p w:rsidR="006C7AE8" w:rsidRPr="00917560" w:rsidRDefault="00322980" w:rsidP="009A2E75">
            <w:pPr>
              <w:tabs>
                <w:tab w:val="right" w:pos="1080"/>
                <w:tab w:val="right" w:pos="1714"/>
                <w:tab w:val="right" w:leader="dot" w:pos="9360"/>
              </w:tabs>
              <w:spacing w:after="120"/>
              <w:ind w:left="1080"/>
            </w:pPr>
            <w:r w:rsidRPr="00917560">
              <w:t>Representación</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AC06BE">
              <w:t>8</w:t>
            </w:r>
          </w:p>
        </w:tc>
      </w:tr>
      <w:tr w:rsidR="00322980" w:rsidRPr="00981E15">
        <w:tblPrEx>
          <w:tblCellMar>
            <w:top w:w="0" w:type="dxa"/>
            <w:bottom w:w="0" w:type="dxa"/>
          </w:tblCellMar>
        </w:tblPrEx>
        <w:tc>
          <w:tcPr>
            <w:tcW w:w="9110" w:type="dxa"/>
            <w:gridSpan w:val="3"/>
            <w:shd w:val="clear" w:color="auto" w:fill="auto"/>
          </w:tcPr>
          <w:p w:rsidR="00322980" w:rsidRPr="00917560" w:rsidRDefault="000168B2" w:rsidP="009A2E75">
            <w:pPr>
              <w:tabs>
                <w:tab w:val="right" w:pos="1080"/>
                <w:tab w:val="right" w:pos="1714"/>
                <w:tab w:val="right" w:leader="dot" w:pos="9360"/>
              </w:tabs>
              <w:spacing w:after="120"/>
              <w:ind w:left="1080"/>
            </w:pPr>
            <w:r>
              <w:t>Artículo 9</w:t>
            </w:r>
            <w:r w:rsidR="009A2E75">
              <w:rPr>
                <w:spacing w:val="60"/>
                <w:sz w:val="17"/>
              </w:rPr>
              <w:tab/>
            </w:r>
          </w:p>
        </w:tc>
        <w:tc>
          <w:tcPr>
            <w:tcW w:w="792" w:type="dxa"/>
            <w:shd w:val="clear" w:color="auto" w:fill="auto"/>
            <w:vAlign w:val="bottom"/>
          </w:tcPr>
          <w:p w:rsidR="00322980" w:rsidRPr="00981E15" w:rsidRDefault="0050150A" w:rsidP="00A16706">
            <w:pPr>
              <w:spacing w:after="120"/>
              <w:jc w:val="right"/>
            </w:pPr>
            <w:r>
              <w:t>9</w:t>
            </w:r>
            <w:r w:rsidR="000168B2">
              <w:t>9</w:t>
            </w:r>
          </w:p>
        </w:tc>
      </w:tr>
      <w:tr w:rsidR="00322980" w:rsidRPr="00981E15">
        <w:tblPrEx>
          <w:tblCellMar>
            <w:top w:w="0" w:type="dxa"/>
            <w:bottom w:w="0" w:type="dxa"/>
          </w:tblCellMar>
        </w:tblPrEx>
        <w:tc>
          <w:tcPr>
            <w:tcW w:w="9110" w:type="dxa"/>
            <w:gridSpan w:val="3"/>
            <w:shd w:val="clear" w:color="auto" w:fill="auto"/>
          </w:tcPr>
          <w:p w:rsidR="00322980" w:rsidRPr="00917560" w:rsidRDefault="00322980" w:rsidP="009A2E75">
            <w:pPr>
              <w:tabs>
                <w:tab w:val="right" w:pos="1080"/>
                <w:tab w:val="right" w:pos="1714"/>
                <w:tab w:val="right" w:leader="dot" w:pos="9360"/>
              </w:tabs>
              <w:spacing w:after="120"/>
              <w:ind w:left="1080"/>
            </w:pPr>
            <w:r w:rsidRPr="00917560">
              <w:t>Nacionalidad</w:t>
            </w:r>
            <w:r w:rsidR="009A2E75">
              <w:rPr>
                <w:spacing w:val="60"/>
                <w:sz w:val="17"/>
              </w:rPr>
              <w:tab/>
            </w:r>
          </w:p>
        </w:tc>
        <w:tc>
          <w:tcPr>
            <w:tcW w:w="792" w:type="dxa"/>
            <w:shd w:val="clear" w:color="auto" w:fill="auto"/>
            <w:vAlign w:val="bottom"/>
          </w:tcPr>
          <w:p w:rsidR="00322980" w:rsidRPr="00981E15" w:rsidRDefault="0050150A" w:rsidP="00A16706">
            <w:pPr>
              <w:spacing w:after="120"/>
              <w:jc w:val="right"/>
            </w:pPr>
            <w:r>
              <w:t>9</w:t>
            </w:r>
            <w:r w:rsidR="000168B2">
              <w:t>9</w:t>
            </w:r>
          </w:p>
        </w:tc>
      </w:tr>
      <w:tr w:rsidR="00322980" w:rsidRPr="00981E15">
        <w:tblPrEx>
          <w:tblCellMar>
            <w:top w:w="0" w:type="dxa"/>
            <w:bottom w:w="0" w:type="dxa"/>
          </w:tblCellMar>
        </w:tblPrEx>
        <w:tc>
          <w:tcPr>
            <w:tcW w:w="9110" w:type="dxa"/>
            <w:gridSpan w:val="3"/>
            <w:shd w:val="clear" w:color="auto" w:fill="auto"/>
          </w:tcPr>
          <w:p w:rsidR="00322980" w:rsidRPr="00917560" w:rsidRDefault="00322980" w:rsidP="009A2E75">
            <w:pPr>
              <w:tabs>
                <w:tab w:val="right" w:pos="1080"/>
                <w:tab w:val="right" w:pos="1714"/>
                <w:tab w:val="right" w:leader="dot" w:pos="9360"/>
              </w:tabs>
              <w:spacing w:after="120"/>
              <w:ind w:left="1080"/>
            </w:pPr>
            <w:r w:rsidRPr="00917560">
              <w:t>Artículo 10</w:t>
            </w:r>
            <w:r w:rsidR="009A2E75">
              <w:rPr>
                <w:spacing w:val="60"/>
                <w:sz w:val="17"/>
              </w:rPr>
              <w:tab/>
            </w:r>
          </w:p>
        </w:tc>
        <w:tc>
          <w:tcPr>
            <w:tcW w:w="792" w:type="dxa"/>
            <w:shd w:val="clear" w:color="auto" w:fill="auto"/>
            <w:vAlign w:val="bottom"/>
          </w:tcPr>
          <w:p w:rsidR="00322980" w:rsidRPr="00981E15" w:rsidRDefault="0050150A" w:rsidP="00A16706">
            <w:pPr>
              <w:spacing w:after="120"/>
              <w:jc w:val="right"/>
            </w:pPr>
            <w:r>
              <w:t>9</w:t>
            </w:r>
            <w:r w:rsidR="000168B2">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right" w:leader="dot" w:pos="9360"/>
              </w:tabs>
              <w:spacing w:after="120"/>
              <w:ind w:left="1080"/>
            </w:pPr>
            <w:r w:rsidRPr="00917560">
              <w:t xml:space="preserve">Educación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9</w:t>
            </w:r>
            <w:r w:rsidR="000168B2">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9A2E75">
            <w:pPr>
              <w:tabs>
                <w:tab w:val="right" w:pos="1080"/>
                <w:tab w:val="right" w:pos="1714"/>
                <w:tab w:val="right" w:leader="dot" w:pos="9360"/>
              </w:tabs>
              <w:spacing w:after="120"/>
              <w:ind w:left="1080"/>
            </w:pPr>
            <w:r w:rsidRPr="00917560">
              <w:t xml:space="preserve">Reforma educativa </w:t>
            </w:r>
            <w:r w:rsidR="009A2E75">
              <w:rPr>
                <w:spacing w:val="60"/>
                <w:sz w:val="17"/>
              </w:rPr>
              <w:tab/>
            </w:r>
          </w:p>
        </w:tc>
        <w:tc>
          <w:tcPr>
            <w:tcW w:w="792" w:type="dxa"/>
            <w:shd w:val="clear" w:color="auto" w:fill="auto"/>
            <w:vAlign w:val="bottom"/>
          </w:tcPr>
          <w:p w:rsidR="006C7AE8" w:rsidRPr="00981E15" w:rsidRDefault="0050150A" w:rsidP="00A16706">
            <w:pPr>
              <w:spacing w:after="120"/>
              <w:jc w:val="right"/>
            </w:pPr>
            <w:r>
              <w:t>10</w:t>
            </w:r>
            <w:r w:rsidR="000168B2">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Programas de ampliación de cobertura y calidad educativa </w:t>
            </w:r>
            <w:r w:rsidR="00887638">
              <w:rPr>
                <w:spacing w:val="60"/>
                <w:sz w:val="17"/>
              </w:rPr>
              <w:tab/>
            </w:r>
          </w:p>
        </w:tc>
        <w:tc>
          <w:tcPr>
            <w:tcW w:w="792" w:type="dxa"/>
            <w:shd w:val="clear" w:color="auto" w:fill="auto"/>
            <w:vAlign w:val="bottom"/>
          </w:tcPr>
          <w:p w:rsidR="006C7AE8" w:rsidRPr="00981E15" w:rsidRDefault="0050150A" w:rsidP="00A16706">
            <w:pPr>
              <w:spacing w:after="120"/>
              <w:jc w:val="right"/>
            </w:pPr>
            <w:r>
              <w:t>10</w:t>
            </w:r>
            <w:r w:rsidR="000168B2">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Programa Nacional de Becas para la Educación </w:t>
            </w:r>
            <w:r w:rsidR="00887638">
              <w:rPr>
                <w:spacing w:val="60"/>
                <w:sz w:val="17"/>
              </w:rPr>
              <w:tab/>
            </w:r>
          </w:p>
        </w:tc>
        <w:tc>
          <w:tcPr>
            <w:tcW w:w="792" w:type="dxa"/>
            <w:shd w:val="clear" w:color="auto" w:fill="auto"/>
            <w:vAlign w:val="bottom"/>
          </w:tcPr>
          <w:p w:rsidR="006C7AE8" w:rsidRPr="00981E15" w:rsidRDefault="0050150A" w:rsidP="00A16706">
            <w:pPr>
              <w:spacing w:after="120"/>
              <w:jc w:val="right"/>
            </w:pPr>
            <w:r>
              <w:t>10</w:t>
            </w:r>
            <w:r w:rsidR="000168B2">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Programa Becas de la niña rural </w:t>
            </w:r>
            <w:r w:rsidR="00887638">
              <w:rPr>
                <w:spacing w:val="60"/>
                <w:sz w:val="17"/>
              </w:rPr>
              <w:tab/>
            </w:r>
          </w:p>
        </w:tc>
        <w:tc>
          <w:tcPr>
            <w:tcW w:w="792" w:type="dxa"/>
            <w:shd w:val="clear" w:color="auto" w:fill="auto"/>
            <w:vAlign w:val="bottom"/>
          </w:tcPr>
          <w:p w:rsidR="006C7AE8" w:rsidRPr="00981E15" w:rsidRDefault="0050150A" w:rsidP="00A16706">
            <w:pPr>
              <w:spacing w:after="120"/>
              <w:jc w:val="right"/>
            </w:pPr>
            <w:r>
              <w:t>10</w:t>
            </w:r>
            <w:r w:rsidR="000168B2">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Educación bilingüe e intercultural </w:t>
            </w:r>
            <w:r w:rsidR="00887638">
              <w:rPr>
                <w:spacing w:val="60"/>
                <w:sz w:val="17"/>
              </w:rPr>
              <w:tab/>
            </w:r>
          </w:p>
        </w:tc>
        <w:tc>
          <w:tcPr>
            <w:tcW w:w="792" w:type="dxa"/>
            <w:shd w:val="clear" w:color="auto" w:fill="auto"/>
            <w:vAlign w:val="bottom"/>
          </w:tcPr>
          <w:p w:rsidR="006C7AE8" w:rsidRPr="00981E15" w:rsidRDefault="0050150A" w:rsidP="00A16706">
            <w:pPr>
              <w:spacing w:after="120"/>
              <w:jc w:val="right"/>
            </w:pPr>
            <w:r>
              <w:t>10</w:t>
            </w:r>
            <w:r w:rsidR="000168B2">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887638">
            <w:pPr>
              <w:tabs>
                <w:tab w:val="right" w:pos="1080"/>
                <w:tab w:val="right" w:pos="1714"/>
                <w:tab w:val="left" w:pos="2160"/>
                <w:tab w:val="right" w:leader="dot" w:pos="9360"/>
              </w:tabs>
              <w:spacing w:after="120"/>
              <w:ind w:left="1080"/>
            </w:pPr>
            <w:r w:rsidRPr="00917560">
              <w:t xml:space="preserve">Alfabetización </w:t>
            </w:r>
            <w:r w:rsidR="00887638">
              <w:rPr>
                <w:spacing w:val="60"/>
                <w:sz w:val="17"/>
              </w:rPr>
              <w:tab/>
            </w:r>
          </w:p>
        </w:tc>
        <w:tc>
          <w:tcPr>
            <w:tcW w:w="792" w:type="dxa"/>
            <w:shd w:val="clear" w:color="auto" w:fill="auto"/>
            <w:vAlign w:val="bottom"/>
          </w:tcPr>
          <w:p w:rsidR="006C7AE8" w:rsidRPr="00981E15" w:rsidRDefault="0050150A" w:rsidP="00A16706">
            <w:pPr>
              <w:spacing w:after="120"/>
              <w:jc w:val="right"/>
            </w:pPr>
            <w:r>
              <w:t>10</w:t>
            </w:r>
            <w:r w:rsidR="000168B2">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Comité Nacional de Alfabetización (CONALFA) </w:t>
            </w:r>
            <w:r w:rsidR="00887638">
              <w:rPr>
                <w:spacing w:val="60"/>
                <w:sz w:val="17"/>
              </w:rPr>
              <w:tab/>
            </w:r>
          </w:p>
        </w:tc>
        <w:tc>
          <w:tcPr>
            <w:tcW w:w="792" w:type="dxa"/>
            <w:shd w:val="clear" w:color="auto" w:fill="auto"/>
            <w:vAlign w:val="bottom"/>
          </w:tcPr>
          <w:p w:rsidR="006C7AE8" w:rsidRPr="00981E15" w:rsidRDefault="0050150A" w:rsidP="00A16706">
            <w:pPr>
              <w:spacing w:after="120"/>
              <w:jc w:val="right"/>
            </w:pPr>
            <w:r>
              <w:t>10</w:t>
            </w:r>
            <w:r w:rsidR="007F4461">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887638">
            <w:pPr>
              <w:tabs>
                <w:tab w:val="right" w:pos="1080"/>
                <w:tab w:val="right" w:pos="1714"/>
                <w:tab w:val="left" w:pos="2160"/>
                <w:tab w:val="left" w:pos="2592"/>
                <w:tab w:val="left" w:pos="3024"/>
                <w:tab w:val="right" w:leader="dot" w:pos="9360"/>
              </w:tabs>
              <w:spacing w:after="120"/>
              <w:ind w:left="1080"/>
            </w:pPr>
            <w:r w:rsidRPr="00917560">
              <w:t xml:space="preserve">Educación extraescolar </w:t>
            </w:r>
            <w:r w:rsidR="00887638">
              <w:rPr>
                <w:spacing w:val="60"/>
                <w:sz w:val="17"/>
              </w:rPr>
              <w:tab/>
            </w:r>
          </w:p>
        </w:tc>
        <w:tc>
          <w:tcPr>
            <w:tcW w:w="792" w:type="dxa"/>
            <w:shd w:val="clear" w:color="auto" w:fill="auto"/>
            <w:vAlign w:val="bottom"/>
          </w:tcPr>
          <w:p w:rsidR="006C7AE8" w:rsidRPr="00981E15" w:rsidRDefault="00F6316B" w:rsidP="00A16706">
            <w:pPr>
              <w:spacing w:after="120"/>
              <w:jc w:val="right"/>
            </w:pPr>
            <w:r>
              <w:t>10</w:t>
            </w:r>
            <w:r w:rsidR="007F4461">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Centros Municipales de Capacitación y Formación Humana (CEMUCAF)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10</w:t>
            </w:r>
            <w:r w:rsidR="007F4461">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Programa de Educación Primaria Acelerada (PEAC)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7F4461">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Núcleos Educativos Familiares para el Desarrollo (NUFED)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7F4461">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Promotores Juveniles Comunitarios (PJC)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7F4461">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Programas educativos complementarios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7F4461">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Educadores en prevención del VIH/SIDA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7F4461">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0D711B">
            <w:pPr>
              <w:tabs>
                <w:tab w:val="right" w:pos="1080"/>
                <w:tab w:val="right" w:pos="1714"/>
                <w:tab w:val="left" w:pos="2160"/>
                <w:tab w:val="left" w:pos="2592"/>
                <w:tab w:val="right" w:leader="dot" w:pos="9360"/>
              </w:tabs>
              <w:spacing w:after="120"/>
              <w:ind w:left="1080"/>
            </w:pPr>
            <w:r w:rsidRPr="00917560">
              <w:t xml:space="preserve">Educación Inclusiva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97016D">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0D711B">
            <w:pPr>
              <w:tabs>
                <w:tab w:val="right" w:pos="1080"/>
                <w:tab w:val="right" w:pos="1714"/>
                <w:tab w:val="left" w:pos="2160"/>
                <w:tab w:val="left" w:pos="2592"/>
                <w:tab w:val="right" w:leader="dot" w:pos="9360"/>
              </w:tabs>
              <w:spacing w:after="120"/>
              <w:ind w:left="1080"/>
            </w:pPr>
            <w:r w:rsidRPr="00917560">
              <w:t xml:space="preserve">Educación Física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97016D">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Sistema de Gestión de calidad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97016D">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0D711B">
            <w:pPr>
              <w:tabs>
                <w:tab w:val="right" w:pos="1080"/>
                <w:tab w:val="right" w:pos="1714"/>
                <w:tab w:val="left" w:pos="2160"/>
                <w:tab w:val="left" w:pos="2592"/>
                <w:tab w:val="right" w:leader="dot" w:pos="9360"/>
              </w:tabs>
              <w:spacing w:after="120"/>
              <w:ind w:left="1080"/>
            </w:pPr>
            <w:r w:rsidRPr="00917560">
              <w:t xml:space="preserve">Educación superior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97016D">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Instituto Universitario de la Mujer (IMUSAC)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97016D">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Participación de las mujeres en la educación superior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803B29">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Otras instancias que apoyan la educación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803B29">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Secretaría de Obras Sociales de la Esposa del Presidente (SOSEP) </w:t>
            </w:r>
            <w:r w:rsidR="000D711B">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803B29">
              <w:t>3</w:t>
            </w:r>
          </w:p>
        </w:tc>
      </w:tr>
      <w:tr w:rsidR="003228EA" w:rsidRPr="00981E15">
        <w:tblPrEx>
          <w:tblCellMar>
            <w:top w:w="0" w:type="dxa"/>
            <w:bottom w:w="0" w:type="dxa"/>
          </w:tblCellMar>
        </w:tblPrEx>
        <w:tc>
          <w:tcPr>
            <w:tcW w:w="9110" w:type="dxa"/>
            <w:gridSpan w:val="3"/>
            <w:shd w:val="clear" w:color="auto" w:fill="auto"/>
          </w:tcPr>
          <w:p w:rsidR="003228EA" w:rsidRPr="00917560" w:rsidRDefault="00803B29" w:rsidP="000D711B">
            <w:pPr>
              <w:tabs>
                <w:tab w:val="right" w:pos="1080"/>
                <w:tab w:val="right" w:pos="1714"/>
                <w:tab w:val="right" w:leader="dot" w:pos="9360"/>
              </w:tabs>
              <w:spacing w:after="120"/>
              <w:ind w:left="1080"/>
            </w:pPr>
            <w:r>
              <w:t>Artículo 11</w:t>
            </w:r>
            <w:r w:rsidR="000D711B">
              <w:rPr>
                <w:spacing w:val="60"/>
                <w:sz w:val="17"/>
              </w:rPr>
              <w:tab/>
            </w:r>
          </w:p>
        </w:tc>
        <w:tc>
          <w:tcPr>
            <w:tcW w:w="792" w:type="dxa"/>
            <w:shd w:val="clear" w:color="auto" w:fill="auto"/>
            <w:vAlign w:val="bottom"/>
          </w:tcPr>
          <w:p w:rsidR="003228EA" w:rsidRPr="00981E15" w:rsidRDefault="00F6316B" w:rsidP="00A16706">
            <w:pPr>
              <w:spacing w:after="120"/>
              <w:jc w:val="right"/>
            </w:pPr>
            <w:r>
              <w:t>11</w:t>
            </w:r>
            <w:r w:rsidR="00803B29">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6B7E68">
            <w:pPr>
              <w:tabs>
                <w:tab w:val="right" w:pos="1080"/>
                <w:tab w:val="right" w:pos="1714"/>
                <w:tab w:val="left" w:pos="2160"/>
                <w:tab w:val="left" w:pos="2592"/>
                <w:tab w:val="right" w:leader="dot" w:pos="9360"/>
              </w:tabs>
              <w:spacing w:after="120"/>
              <w:ind w:left="1080"/>
            </w:pPr>
            <w:r w:rsidRPr="00917560">
              <w:t xml:space="preserve">Trabajo y empleo </w:t>
            </w:r>
            <w:r w:rsidR="006B7E68">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803B29">
              <w:t>3</w:t>
            </w:r>
          </w:p>
        </w:tc>
      </w:tr>
      <w:tr w:rsidR="006C7AE8" w:rsidRPr="00981E15">
        <w:tblPrEx>
          <w:tblCellMar>
            <w:top w:w="0" w:type="dxa"/>
            <w:bottom w:w="0" w:type="dxa"/>
          </w:tblCellMar>
        </w:tblPrEx>
        <w:tc>
          <w:tcPr>
            <w:tcW w:w="9110" w:type="dxa"/>
            <w:gridSpan w:val="3"/>
            <w:shd w:val="clear" w:color="auto" w:fill="auto"/>
          </w:tcPr>
          <w:p w:rsidR="006C7AE8" w:rsidRPr="00EB17DC" w:rsidRDefault="006C7AE8" w:rsidP="00EB17DC">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080"/>
              <w:rPr>
                <w:spacing w:val="60"/>
                <w:sz w:val="17"/>
              </w:rPr>
            </w:pPr>
            <w:r w:rsidRPr="00917560">
              <w:t xml:space="preserve">Promoción y Protección de los derechos laborales </w:t>
            </w:r>
            <w:r w:rsidR="00EB17DC">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803B29">
              <w:t>5</w:t>
            </w:r>
          </w:p>
        </w:tc>
      </w:tr>
      <w:tr w:rsidR="006C7AE8" w:rsidRPr="00981E15">
        <w:tblPrEx>
          <w:tblCellMar>
            <w:top w:w="0" w:type="dxa"/>
            <w:bottom w:w="0" w:type="dxa"/>
          </w:tblCellMar>
        </w:tblPrEx>
        <w:tc>
          <w:tcPr>
            <w:tcW w:w="9110" w:type="dxa"/>
            <w:gridSpan w:val="3"/>
            <w:shd w:val="clear" w:color="auto" w:fill="auto"/>
          </w:tcPr>
          <w:p w:rsidR="006C7AE8" w:rsidRPr="00EB17DC" w:rsidRDefault="006C7AE8" w:rsidP="00EB17DC">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ind w:left="1080"/>
              <w:rPr>
                <w:spacing w:val="60"/>
                <w:sz w:val="17"/>
              </w:rPr>
            </w:pPr>
            <w:r w:rsidRPr="00917560">
              <w:t xml:space="preserve">Departamento de Promoción de la Mujer Trabajadora del Ministerio de Trabajo </w:t>
            </w:r>
            <w:r w:rsidR="00EB17DC">
              <w:rPr>
                <w:spacing w:val="60"/>
                <w:sz w:val="17"/>
              </w:rPr>
              <w:tab/>
            </w:r>
          </w:p>
        </w:tc>
        <w:tc>
          <w:tcPr>
            <w:tcW w:w="792" w:type="dxa"/>
            <w:shd w:val="clear" w:color="auto" w:fill="auto"/>
            <w:vAlign w:val="bottom"/>
          </w:tcPr>
          <w:p w:rsidR="006C7AE8" w:rsidRPr="00981E15" w:rsidRDefault="00F6316B" w:rsidP="00A16706">
            <w:pPr>
              <w:spacing w:after="120"/>
              <w:jc w:val="right"/>
            </w:pPr>
            <w:r>
              <w:t>11</w:t>
            </w:r>
            <w:r w:rsidR="00803B29">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B17DC">
            <w:pPr>
              <w:tabs>
                <w:tab w:val="right" w:pos="1080"/>
                <w:tab w:val="right" w:pos="1714"/>
                <w:tab w:val="left" w:pos="2160"/>
                <w:tab w:val="left" w:pos="2592"/>
                <w:tab w:val="left" w:pos="3024"/>
                <w:tab w:val="left" w:pos="3456"/>
                <w:tab w:val="right" w:leader="dot" w:pos="9360"/>
              </w:tabs>
              <w:spacing w:after="120"/>
              <w:ind w:left="1080"/>
            </w:pPr>
            <w:r w:rsidRPr="00917560">
              <w:t xml:space="preserve">Oficina Nacional de la Mujer (ONAM)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11</w:t>
            </w:r>
            <w:r w:rsidR="00803B29">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B17DC">
            <w:pPr>
              <w:tabs>
                <w:tab w:val="right" w:pos="1080"/>
                <w:tab w:val="right" w:pos="1714"/>
                <w:tab w:val="left" w:pos="2160"/>
                <w:tab w:val="left" w:pos="2592"/>
                <w:tab w:val="left" w:pos="3024"/>
                <w:tab w:val="left" w:pos="3456"/>
                <w:tab w:val="right" w:leader="dot" w:pos="9360"/>
              </w:tabs>
              <w:spacing w:after="120"/>
              <w:ind w:left="1080"/>
            </w:pPr>
            <w:r w:rsidRPr="00917560">
              <w:t xml:space="preserve">Protección de las mujeres trabajadoras de maquilas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11</w:t>
            </w:r>
            <w:r w:rsidR="00803B29">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B17DC">
            <w:pPr>
              <w:tabs>
                <w:tab w:val="right" w:pos="1080"/>
                <w:tab w:val="right" w:pos="1714"/>
                <w:tab w:val="left" w:pos="2160"/>
                <w:tab w:val="left" w:pos="2592"/>
                <w:tab w:val="left" w:pos="3024"/>
                <w:tab w:val="left" w:pos="3456"/>
                <w:tab w:val="right" w:leader="dot" w:pos="9360"/>
              </w:tabs>
              <w:spacing w:after="120"/>
              <w:ind w:left="1080"/>
            </w:pPr>
            <w:r w:rsidRPr="00917560">
              <w:t xml:space="preserve">Erradicación del Trabajo Infantil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11</w:t>
            </w:r>
            <w:r w:rsidR="00803B29">
              <w:t>8</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B17DC">
            <w:pPr>
              <w:tabs>
                <w:tab w:val="right" w:pos="1080"/>
                <w:tab w:val="right" w:pos="1714"/>
                <w:tab w:val="left" w:pos="2160"/>
                <w:tab w:val="left" w:pos="2592"/>
                <w:tab w:val="left" w:pos="3024"/>
                <w:tab w:val="left" w:pos="3456"/>
                <w:tab w:val="right" w:leader="dot" w:pos="9360"/>
              </w:tabs>
              <w:spacing w:after="120"/>
              <w:ind w:left="1080"/>
            </w:pPr>
            <w:r w:rsidRPr="00917560">
              <w:t xml:space="preserve">Trabajadoras de casa particular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11</w:t>
            </w:r>
            <w:r w:rsidR="00803B29">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B17DC">
            <w:pPr>
              <w:tabs>
                <w:tab w:val="right" w:pos="1080"/>
                <w:tab w:val="right" w:pos="1714"/>
                <w:tab w:val="left" w:pos="2160"/>
                <w:tab w:val="left" w:pos="2592"/>
                <w:tab w:val="left" w:pos="3024"/>
                <w:tab w:val="left" w:pos="3456"/>
                <w:tab w:val="right" w:leader="dot" w:pos="9360"/>
              </w:tabs>
              <w:spacing w:after="120"/>
              <w:ind w:left="1080"/>
            </w:pPr>
            <w:r w:rsidRPr="00917560">
              <w:t xml:space="preserve">Propuestas de reformas legislativas a favor de las trabajadoras de casa particular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364D96">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B17DC">
            <w:pPr>
              <w:tabs>
                <w:tab w:val="right" w:pos="1080"/>
                <w:tab w:val="right" w:pos="1714"/>
                <w:tab w:val="left" w:pos="2160"/>
                <w:tab w:val="left" w:pos="2592"/>
                <w:tab w:val="left" w:pos="3024"/>
                <w:tab w:val="left" w:pos="3456"/>
                <w:tab w:val="right" w:leader="dot" w:pos="9360"/>
              </w:tabs>
              <w:spacing w:after="120"/>
              <w:ind w:left="1080"/>
            </w:pPr>
            <w:r w:rsidRPr="00917560">
              <w:t xml:space="preserve">Trabajo doméstico no remunerado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364D96">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A2DA6">
            <w:pPr>
              <w:tabs>
                <w:tab w:val="right" w:pos="1080"/>
                <w:tab w:val="right" w:pos="1714"/>
                <w:tab w:val="left" w:pos="2160"/>
                <w:tab w:val="right" w:leader="dot" w:pos="9360"/>
              </w:tabs>
              <w:spacing w:after="120"/>
              <w:ind w:left="1080"/>
            </w:pPr>
            <w:r w:rsidRPr="00917560">
              <w:t xml:space="preserve">Medidas Adoptadas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364D96">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A2DA6">
            <w:pPr>
              <w:tabs>
                <w:tab w:val="right" w:pos="1080"/>
                <w:tab w:val="right" w:pos="1714"/>
                <w:tab w:val="left" w:pos="2160"/>
                <w:tab w:val="right" w:leader="dot" w:pos="9360"/>
              </w:tabs>
              <w:spacing w:after="120"/>
              <w:ind w:left="1080"/>
            </w:pPr>
            <w:r w:rsidRPr="00917560">
              <w:t xml:space="preserve">Acoso Sexual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364D96">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EA2DA6">
            <w:pPr>
              <w:tabs>
                <w:tab w:val="right" w:pos="1080"/>
                <w:tab w:val="right" w:pos="1714"/>
                <w:tab w:val="left" w:pos="2160"/>
                <w:tab w:val="right" w:leader="dot" w:pos="9360"/>
              </w:tabs>
              <w:spacing w:after="120"/>
              <w:ind w:left="1080"/>
            </w:pPr>
            <w:r w:rsidRPr="00917560">
              <w:t xml:space="preserve">Retos y desafíos </w:t>
            </w:r>
            <w:r w:rsidR="00EA2DA6">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364D96">
              <w:t>2</w:t>
            </w:r>
          </w:p>
        </w:tc>
      </w:tr>
      <w:tr w:rsidR="003228EA" w:rsidRPr="00981E15">
        <w:tblPrEx>
          <w:tblCellMar>
            <w:top w:w="0" w:type="dxa"/>
            <w:bottom w:w="0" w:type="dxa"/>
          </w:tblCellMar>
        </w:tblPrEx>
        <w:tc>
          <w:tcPr>
            <w:tcW w:w="9110" w:type="dxa"/>
            <w:gridSpan w:val="3"/>
            <w:shd w:val="clear" w:color="auto" w:fill="auto"/>
          </w:tcPr>
          <w:p w:rsidR="003228EA" w:rsidRPr="006B7E68" w:rsidRDefault="00FB5325" w:rsidP="00EB17DC">
            <w:pPr>
              <w:tabs>
                <w:tab w:val="right" w:pos="1080"/>
                <w:tab w:val="left" w:pos="1300"/>
                <w:tab w:val="left" w:pos="1740"/>
                <w:tab w:val="right" w:leader="dot" w:pos="9245"/>
              </w:tabs>
              <w:spacing w:after="120"/>
              <w:ind w:left="1080"/>
              <w:rPr>
                <w:spacing w:val="60"/>
                <w:sz w:val="17"/>
              </w:rPr>
            </w:pPr>
            <w:r w:rsidRPr="00917560">
              <w:t>Artículo 12</w:t>
            </w:r>
            <w:r w:rsidR="006B7E68">
              <w:rPr>
                <w:spacing w:val="60"/>
                <w:sz w:val="17"/>
              </w:rPr>
              <w:tab/>
            </w:r>
          </w:p>
        </w:tc>
        <w:tc>
          <w:tcPr>
            <w:tcW w:w="792" w:type="dxa"/>
            <w:shd w:val="clear" w:color="auto" w:fill="auto"/>
            <w:vAlign w:val="bottom"/>
          </w:tcPr>
          <w:p w:rsidR="003228EA" w:rsidRPr="00981E15" w:rsidRDefault="00F6316B" w:rsidP="00EB17DC">
            <w:pPr>
              <w:spacing w:after="120"/>
              <w:jc w:val="right"/>
            </w:pPr>
            <w:r>
              <w:t>12</w:t>
            </w:r>
            <w:r w:rsidR="00364D96">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leader="dot" w:pos="9360"/>
              </w:tabs>
              <w:spacing w:after="120"/>
              <w:ind w:left="1080"/>
            </w:pPr>
            <w:r w:rsidRPr="00917560">
              <w:t xml:space="preserve">Salud </w:t>
            </w:r>
            <w:r w:rsidR="00B27CED">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364D96">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Programa Nacional de Salud Reproductiva (PNSR) </w:t>
            </w:r>
            <w:r w:rsidR="00B27CED">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72349E">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Fortalecimiento del acceso a los servicios de salud reproductiva </w:t>
            </w:r>
            <w:r w:rsidR="00B27CED">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72349E">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Mortalidad Materna (MM) </w:t>
            </w:r>
            <w:r w:rsidR="00B27CED">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72349E">
              <w:t>4</w:t>
            </w:r>
          </w:p>
        </w:tc>
      </w:tr>
      <w:tr w:rsidR="006C7AE8" w:rsidRPr="00981E15">
        <w:tblPrEx>
          <w:tblCellMar>
            <w:top w:w="0" w:type="dxa"/>
            <w:bottom w:w="0" w:type="dxa"/>
          </w:tblCellMar>
        </w:tblPrEx>
        <w:tc>
          <w:tcPr>
            <w:tcW w:w="9110" w:type="dxa"/>
            <w:gridSpan w:val="3"/>
            <w:shd w:val="clear" w:color="auto" w:fill="auto"/>
          </w:tcPr>
          <w:p w:rsidR="006C7AE8" w:rsidRPr="00856717" w:rsidRDefault="006C7AE8" w:rsidP="00856717">
            <w:pPr>
              <w:tabs>
                <w:tab w:val="right" w:pos="1080"/>
                <w:tab w:val="left" w:pos="1300"/>
                <w:tab w:val="left" w:pos="1740"/>
                <w:tab w:val="left" w:pos="2180"/>
                <w:tab w:val="left" w:pos="2620"/>
                <w:tab w:val="right" w:leader="dot" w:pos="9245"/>
              </w:tabs>
              <w:spacing w:after="120"/>
              <w:ind w:left="1080"/>
              <w:rPr>
                <w:spacing w:val="60"/>
                <w:sz w:val="17"/>
              </w:rPr>
            </w:pPr>
            <w:r w:rsidRPr="00917560">
              <w:t xml:space="preserve">Atención pre-natal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B16A73">
              <w:t>8</w:t>
            </w:r>
          </w:p>
        </w:tc>
      </w:tr>
      <w:tr w:rsidR="006C7AE8" w:rsidRPr="00981E15">
        <w:tblPrEx>
          <w:tblCellMar>
            <w:top w:w="0" w:type="dxa"/>
            <w:bottom w:w="0" w:type="dxa"/>
          </w:tblCellMar>
        </w:tblPrEx>
        <w:tc>
          <w:tcPr>
            <w:tcW w:w="9110" w:type="dxa"/>
            <w:gridSpan w:val="3"/>
            <w:shd w:val="clear" w:color="auto" w:fill="auto"/>
          </w:tcPr>
          <w:p w:rsidR="006C7AE8" w:rsidRPr="00856717" w:rsidRDefault="006C7AE8" w:rsidP="00856717">
            <w:pPr>
              <w:tabs>
                <w:tab w:val="right" w:pos="1080"/>
                <w:tab w:val="left" w:pos="1300"/>
                <w:tab w:val="left" w:pos="1740"/>
                <w:tab w:val="left" w:pos="2180"/>
                <w:tab w:val="left" w:pos="2620"/>
                <w:tab w:val="right" w:leader="dot" w:pos="9245"/>
              </w:tabs>
              <w:spacing w:after="120"/>
              <w:ind w:left="1080"/>
              <w:rPr>
                <w:spacing w:val="60"/>
                <w:sz w:val="17"/>
              </w:rPr>
            </w:pPr>
            <w:r w:rsidRPr="00917560">
              <w:t xml:space="preserve">Atención del parto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12</w:t>
            </w:r>
            <w:r w:rsidR="00B16A73">
              <w:t>8</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Planificación Familiar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B16A73">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Mejoras de la información en cuanto a salud reproductiva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B16A73">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Aumento del personal calificado en salud reproductiva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635C66">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Informar y educar a la población en el tema de salud reproductiva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635C66">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Fortalecimiento del Programa Nacional de Salud Reproductiva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635C66">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Mortalidad Infantil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635C66">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Paternidad y Maternidad Responsable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635C66">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Programa Nacional de Prevención del VIH</w:t>
            </w:r>
            <w:r w:rsidR="00856717">
              <w:t>/</w:t>
            </w:r>
            <w:r w:rsidRPr="00917560">
              <w:t xml:space="preserve">SIDA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755F61">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Tratamiento preventivo a mujeres embarazadas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755F61">
              <w:t>8</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Programa de Salud Mental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13</w:t>
            </w:r>
            <w:r w:rsidR="00755F61">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Violencia Intrafamiliar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3A2B2D">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Programa de Prevención y Erradicación de la Violencia Intrafamiliar (PROPEVI)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3A2B2D">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Sistema de Justicia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3A2B2D">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Organismo Judicial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3A2B2D">
              <w:t>2</w:t>
            </w:r>
          </w:p>
        </w:tc>
      </w:tr>
      <w:tr w:rsidR="00B432CB" w:rsidRPr="00981E15">
        <w:tblPrEx>
          <w:tblCellMar>
            <w:top w:w="0" w:type="dxa"/>
            <w:bottom w:w="0" w:type="dxa"/>
          </w:tblCellMar>
        </w:tblPrEx>
        <w:tc>
          <w:tcPr>
            <w:tcW w:w="9110" w:type="dxa"/>
            <w:gridSpan w:val="3"/>
            <w:shd w:val="clear" w:color="auto" w:fill="auto"/>
          </w:tcPr>
          <w:p w:rsidR="00B432CB" w:rsidRPr="00856717" w:rsidRDefault="00B432CB" w:rsidP="00B27CED">
            <w:pPr>
              <w:tabs>
                <w:tab w:val="right" w:pos="1080"/>
                <w:tab w:val="right" w:pos="1714"/>
                <w:tab w:val="right" w:leader="dot" w:pos="9360"/>
              </w:tabs>
              <w:spacing w:after="120"/>
              <w:ind w:left="1080"/>
              <w:rPr>
                <w:b/>
              </w:rPr>
            </w:pPr>
            <w:r w:rsidRPr="00917560">
              <w:t>Medidas y acciones del O</w:t>
            </w:r>
            <w:r>
              <w:t xml:space="preserve">rganismo </w:t>
            </w:r>
            <w:r w:rsidRPr="00917560">
              <w:t>J</w:t>
            </w:r>
            <w:r>
              <w:t>udicial</w:t>
            </w:r>
            <w:r w:rsidRPr="00917560">
              <w:t xml:space="preserve"> para la protección de víctimas de </w:t>
            </w:r>
            <w:r w:rsidR="00856717">
              <w:t>violencia intrafamiliar</w:t>
            </w:r>
            <w:r w:rsidR="00856717">
              <w:rPr>
                <w:spacing w:val="60"/>
                <w:sz w:val="17"/>
              </w:rPr>
              <w:tab/>
            </w:r>
          </w:p>
        </w:tc>
        <w:tc>
          <w:tcPr>
            <w:tcW w:w="792" w:type="dxa"/>
            <w:shd w:val="clear" w:color="auto" w:fill="auto"/>
            <w:vAlign w:val="bottom"/>
          </w:tcPr>
          <w:p w:rsidR="00B432CB" w:rsidRDefault="00F6316B" w:rsidP="00EB17DC">
            <w:pPr>
              <w:spacing w:after="120"/>
              <w:jc w:val="right"/>
            </w:pPr>
            <w:r>
              <w:t>14</w:t>
            </w:r>
            <w:r w:rsidR="00B432CB">
              <w:t>3</w:t>
            </w:r>
          </w:p>
        </w:tc>
      </w:tr>
      <w:tr w:rsidR="006C7AE8" w:rsidRPr="00981E15">
        <w:tblPrEx>
          <w:tblCellMar>
            <w:top w:w="0" w:type="dxa"/>
            <w:bottom w:w="0" w:type="dxa"/>
          </w:tblCellMar>
        </w:tblPrEx>
        <w:tc>
          <w:tcPr>
            <w:tcW w:w="9110" w:type="dxa"/>
            <w:gridSpan w:val="3"/>
            <w:shd w:val="clear" w:color="auto" w:fill="auto"/>
          </w:tcPr>
          <w:p w:rsidR="006C7AE8" w:rsidRPr="00917560" w:rsidRDefault="00B432CB" w:rsidP="00B27CED">
            <w:pPr>
              <w:tabs>
                <w:tab w:val="right" w:pos="1080"/>
                <w:tab w:val="right" w:pos="1714"/>
                <w:tab w:val="right" w:leader="dot" w:pos="9360"/>
              </w:tabs>
              <w:spacing w:after="120"/>
              <w:ind w:left="1080"/>
            </w:pPr>
            <w:r>
              <w:t xml:space="preserve">Formación de operadores </w:t>
            </w:r>
            <w:r w:rsidR="006C7AE8" w:rsidRPr="00917560">
              <w:t xml:space="preserve">del Organismo Judicial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B432CB">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Ministerio Público (MP)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051A7D">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Oficina de Atención a la Víctima (OAV) del Ministerio Público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051A7D">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Policía Nacional Civil (PNC)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14</w:t>
            </w:r>
            <w:r w:rsidR="00051A7D">
              <w:t>8</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Instituto de la Defensa Pública Penal (IDPP)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15</w:t>
            </w:r>
            <w:r w:rsidR="00051A7D">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Defensoría de la Mujer Indígena (DEMI)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15</w:t>
            </w:r>
            <w:r w:rsidR="00051A7D">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Coordinación del sistema de justicia PNC, MP, OJ e IDPP </w:t>
            </w:r>
            <w:r w:rsidR="00856717">
              <w:rPr>
                <w:spacing w:val="60"/>
                <w:sz w:val="17"/>
              </w:rPr>
              <w:tab/>
            </w:r>
          </w:p>
        </w:tc>
        <w:tc>
          <w:tcPr>
            <w:tcW w:w="792" w:type="dxa"/>
            <w:shd w:val="clear" w:color="auto" w:fill="auto"/>
            <w:vAlign w:val="bottom"/>
          </w:tcPr>
          <w:p w:rsidR="006C7AE8" w:rsidRPr="00981E15" w:rsidRDefault="00051A7D" w:rsidP="00EB17DC">
            <w:pPr>
              <w:spacing w:after="120"/>
              <w:jc w:val="right"/>
            </w:pPr>
            <w:r>
              <w:t>1</w:t>
            </w:r>
            <w:r w:rsidR="00F6316B">
              <w:t>5</w:t>
            </w:r>
            <w:r>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Unidad de Protección a los Derechos de la Mujer y la Fami</w:t>
            </w:r>
            <w:r w:rsidR="00051A7D">
              <w:t>lia, Procuraduría General de la </w:t>
            </w:r>
            <w:r w:rsidRPr="00917560">
              <w:t xml:space="preserve">Nación (PGN) </w:t>
            </w:r>
            <w:r w:rsidR="00856717">
              <w:rPr>
                <w:spacing w:val="60"/>
                <w:sz w:val="17"/>
              </w:rPr>
              <w:tab/>
            </w:r>
          </w:p>
        </w:tc>
        <w:tc>
          <w:tcPr>
            <w:tcW w:w="792" w:type="dxa"/>
            <w:shd w:val="clear" w:color="auto" w:fill="auto"/>
            <w:vAlign w:val="bottom"/>
          </w:tcPr>
          <w:p w:rsidR="006C7AE8" w:rsidRPr="00981E15" w:rsidRDefault="00F6316B" w:rsidP="00EB17DC">
            <w:pPr>
              <w:spacing w:after="120"/>
              <w:jc w:val="right"/>
            </w:pPr>
            <w:r>
              <w:t>15</w:t>
            </w:r>
            <w:r w:rsidR="00051A7D">
              <w:t>1</w:t>
            </w:r>
          </w:p>
        </w:tc>
      </w:tr>
      <w:tr w:rsidR="00FB5325" w:rsidRPr="00981E15">
        <w:tblPrEx>
          <w:tblCellMar>
            <w:top w:w="0" w:type="dxa"/>
            <w:bottom w:w="0" w:type="dxa"/>
          </w:tblCellMar>
        </w:tblPrEx>
        <w:tc>
          <w:tcPr>
            <w:tcW w:w="9110" w:type="dxa"/>
            <w:gridSpan w:val="3"/>
            <w:shd w:val="clear" w:color="auto" w:fill="auto"/>
          </w:tcPr>
          <w:p w:rsidR="00FB5325" w:rsidRPr="00917560" w:rsidRDefault="00051A7D" w:rsidP="00B27CED">
            <w:pPr>
              <w:tabs>
                <w:tab w:val="right" w:pos="1080"/>
                <w:tab w:val="right" w:pos="1714"/>
                <w:tab w:val="right" w:leader="dot" w:pos="9360"/>
              </w:tabs>
              <w:spacing w:after="120"/>
              <w:ind w:left="1080"/>
            </w:pPr>
            <w:r>
              <w:t>Artículo 13</w:t>
            </w:r>
            <w:r w:rsidR="00856717">
              <w:rPr>
                <w:spacing w:val="60"/>
                <w:sz w:val="17"/>
              </w:rPr>
              <w:tab/>
            </w:r>
          </w:p>
        </w:tc>
        <w:tc>
          <w:tcPr>
            <w:tcW w:w="792" w:type="dxa"/>
            <w:shd w:val="clear" w:color="auto" w:fill="auto"/>
            <w:vAlign w:val="bottom"/>
          </w:tcPr>
          <w:p w:rsidR="00FB5325" w:rsidRPr="00981E15" w:rsidRDefault="00EE67EC" w:rsidP="00EB17DC">
            <w:pPr>
              <w:spacing w:after="120"/>
              <w:jc w:val="right"/>
            </w:pPr>
            <w:r>
              <w:t>15</w:t>
            </w:r>
            <w:r w:rsidR="00051A7D">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Desarrollo Económico y Social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51A7D">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Políticas y programas para la erradicación de la pobreza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51A7D">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Fomento y participación de las mujeres en la micro, mediana y pequeña empresa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51A7D">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Acceso al crédito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51A7D">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Otros programas de fortalecimiento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B278F">
              <w:t>7</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Secretaría de Obras Sociales de la Esposa del Presidente (SOSEP)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B278F">
              <w:t>8</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Ministerio de Agricultura y Ganadería (MAGA)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B278F">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Fondo Nacional de</w:t>
            </w:r>
            <w:r w:rsidR="00372D04">
              <w:t xml:space="preserve"> </w:t>
            </w:r>
            <w:r w:rsidRPr="00917560">
              <w:t xml:space="preserve">Desarrollo (FONADES)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B278F">
              <w:t>9</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Fondo de Tierras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15</w:t>
            </w:r>
            <w:r w:rsidR="000B278F">
              <w:t>9</w:t>
            </w:r>
          </w:p>
        </w:tc>
      </w:tr>
      <w:tr w:rsidR="00660934" w:rsidRPr="00981E15">
        <w:tblPrEx>
          <w:tblCellMar>
            <w:top w:w="0" w:type="dxa"/>
            <w:bottom w:w="0" w:type="dxa"/>
          </w:tblCellMar>
        </w:tblPrEx>
        <w:tc>
          <w:tcPr>
            <w:tcW w:w="9110" w:type="dxa"/>
            <w:gridSpan w:val="3"/>
            <w:shd w:val="clear" w:color="auto" w:fill="auto"/>
          </w:tcPr>
          <w:p w:rsidR="00660934" w:rsidRPr="00917560" w:rsidRDefault="000B278F" w:rsidP="00B27CED">
            <w:pPr>
              <w:tabs>
                <w:tab w:val="right" w:pos="1080"/>
                <w:tab w:val="right" w:pos="1714"/>
                <w:tab w:val="right" w:leader="dot" w:pos="9360"/>
              </w:tabs>
              <w:spacing w:after="120"/>
              <w:ind w:left="1080"/>
            </w:pPr>
            <w:r>
              <w:t>Artículo 14</w:t>
            </w:r>
            <w:r w:rsidR="00856717">
              <w:rPr>
                <w:spacing w:val="60"/>
                <w:sz w:val="17"/>
              </w:rPr>
              <w:tab/>
            </w:r>
          </w:p>
        </w:tc>
        <w:tc>
          <w:tcPr>
            <w:tcW w:w="792" w:type="dxa"/>
            <w:shd w:val="clear" w:color="auto" w:fill="auto"/>
            <w:vAlign w:val="bottom"/>
          </w:tcPr>
          <w:p w:rsidR="00660934" w:rsidRPr="00981E15" w:rsidRDefault="00EE67EC" w:rsidP="00EB17DC">
            <w:pPr>
              <w:spacing w:after="120"/>
              <w:jc w:val="right"/>
            </w:pPr>
            <w:r>
              <w:t>16</w:t>
            </w:r>
            <w:r w:rsidR="000B278F">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Mujeres en el área rural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Participación de la mujer rural en la PEA y PEI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Educación y mujer rural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Acciones en materia de educación en el área rural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Comité Nacional de Alfabetización (CONALFA)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Programa de Becas de la Niña Rural del Ministerio de Educación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5</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Programa Nacional de Autogestión para el Desarrollo Educativo (PRONADE) </w:t>
            </w:r>
            <w:r w:rsidR="00856717">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Servicios de salud </w:t>
            </w:r>
            <w:r w:rsidR="002078DB">
              <w:rPr>
                <w:spacing w:val="60"/>
                <w:sz w:val="17"/>
              </w:rPr>
              <w:tab/>
            </w:r>
          </w:p>
        </w:tc>
        <w:tc>
          <w:tcPr>
            <w:tcW w:w="792" w:type="dxa"/>
            <w:shd w:val="clear" w:color="auto" w:fill="auto"/>
            <w:vAlign w:val="bottom"/>
          </w:tcPr>
          <w:p w:rsidR="006C7AE8" w:rsidRPr="00981E15" w:rsidRDefault="00EE67EC" w:rsidP="00EB17DC">
            <w:pPr>
              <w:spacing w:after="120"/>
              <w:jc w:val="right"/>
            </w:pPr>
            <w:r>
              <w:t>16</w:t>
            </w:r>
            <w:r w:rsidR="000B278F">
              <w:t>6</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Seguridad social </w:t>
            </w:r>
            <w:r w:rsidR="002078DB">
              <w:rPr>
                <w:spacing w:val="60"/>
                <w:sz w:val="17"/>
              </w:rPr>
              <w:tab/>
            </w:r>
          </w:p>
        </w:tc>
        <w:tc>
          <w:tcPr>
            <w:tcW w:w="792" w:type="dxa"/>
            <w:shd w:val="clear" w:color="auto" w:fill="auto"/>
            <w:vAlign w:val="bottom"/>
          </w:tcPr>
          <w:p w:rsidR="006C7AE8" w:rsidRPr="00981E15" w:rsidRDefault="00EE67EC" w:rsidP="00EB17DC">
            <w:pPr>
              <w:spacing w:after="120"/>
              <w:jc w:val="right"/>
            </w:pPr>
            <w:r>
              <w:t>17</w:t>
            </w:r>
            <w:r w:rsidR="000B278F">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Acceso a la tierra </w:t>
            </w:r>
            <w:r w:rsidR="002078DB">
              <w:rPr>
                <w:spacing w:val="60"/>
                <w:sz w:val="17"/>
              </w:rPr>
              <w:tab/>
            </w:r>
          </w:p>
        </w:tc>
        <w:tc>
          <w:tcPr>
            <w:tcW w:w="792" w:type="dxa"/>
            <w:shd w:val="clear" w:color="auto" w:fill="auto"/>
            <w:vAlign w:val="bottom"/>
          </w:tcPr>
          <w:p w:rsidR="006C7AE8" w:rsidRPr="00981E15" w:rsidRDefault="00957B22" w:rsidP="00EB17DC">
            <w:pPr>
              <w:spacing w:after="120"/>
              <w:jc w:val="right"/>
            </w:pPr>
            <w:r>
              <w:t>17</w:t>
            </w:r>
            <w:r w:rsidR="000B278F">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Secretaría de Obras Sociales de la Esposa del Presidente (SOSEP) </w:t>
            </w:r>
            <w:r w:rsidR="002078DB">
              <w:rPr>
                <w:spacing w:val="60"/>
                <w:sz w:val="17"/>
              </w:rPr>
              <w:tab/>
            </w:r>
          </w:p>
        </w:tc>
        <w:tc>
          <w:tcPr>
            <w:tcW w:w="792" w:type="dxa"/>
            <w:shd w:val="clear" w:color="auto" w:fill="auto"/>
            <w:vAlign w:val="bottom"/>
          </w:tcPr>
          <w:p w:rsidR="006C7AE8" w:rsidRPr="00981E15" w:rsidRDefault="00957B22" w:rsidP="00EB17DC">
            <w:pPr>
              <w:spacing w:after="120"/>
              <w:jc w:val="right"/>
            </w:pPr>
            <w:r>
              <w:t>17</w:t>
            </w:r>
            <w:r w:rsidR="000B278F">
              <w:t>0</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Seguridad Alimentaria </w:t>
            </w:r>
            <w:r w:rsidR="002078DB">
              <w:rPr>
                <w:spacing w:val="60"/>
                <w:sz w:val="17"/>
              </w:rPr>
              <w:tab/>
            </w:r>
          </w:p>
        </w:tc>
        <w:tc>
          <w:tcPr>
            <w:tcW w:w="792" w:type="dxa"/>
            <w:shd w:val="clear" w:color="auto" w:fill="auto"/>
            <w:vAlign w:val="bottom"/>
          </w:tcPr>
          <w:p w:rsidR="006C7AE8" w:rsidRPr="00981E15" w:rsidRDefault="00957B22" w:rsidP="00EB17DC">
            <w:pPr>
              <w:spacing w:after="120"/>
              <w:jc w:val="right"/>
            </w:pPr>
            <w:r>
              <w:t>17</w:t>
            </w:r>
            <w:r w:rsidR="00326B88">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Programa de Reducción de la Desnutrición Crónica (PRDC)</w:t>
            </w:r>
            <w:r w:rsidR="002078DB">
              <w:rPr>
                <w:spacing w:val="60"/>
                <w:sz w:val="17"/>
              </w:rPr>
              <w:t xml:space="preserve"> </w:t>
            </w:r>
            <w:r w:rsidR="002078DB">
              <w:rPr>
                <w:spacing w:val="60"/>
                <w:sz w:val="17"/>
              </w:rPr>
              <w:tab/>
            </w:r>
          </w:p>
        </w:tc>
        <w:tc>
          <w:tcPr>
            <w:tcW w:w="792" w:type="dxa"/>
            <w:shd w:val="clear" w:color="auto" w:fill="auto"/>
            <w:vAlign w:val="bottom"/>
          </w:tcPr>
          <w:p w:rsidR="006C7AE8" w:rsidRPr="00981E15" w:rsidRDefault="00957B22" w:rsidP="00EB17DC">
            <w:pPr>
              <w:spacing w:after="120"/>
              <w:jc w:val="right"/>
            </w:pPr>
            <w:r>
              <w:t>17</w:t>
            </w:r>
            <w:r w:rsidR="00326B88">
              <w:t>1</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Red Nacional de Mujeres Agricultoras </w:t>
            </w:r>
            <w:r w:rsidR="002078DB">
              <w:rPr>
                <w:spacing w:val="60"/>
                <w:sz w:val="17"/>
              </w:rPr>
              <w:tab/>
            </w:r>
          </w:p>
        </w:tc>
        <w:tc>
          <w:tcPr>
            <w:tcW w:w="792" w:type="dxa"/>
            <w:shd w:val="clear" w:color="auto" w:fill="auto"/>
            <w:vAlign w:val="bottom"/>
          </w:tcPr>
          <w:p w:rsidR="006C7AE8" w:rsidRPr="00981E15" w:rsidRDefault="00957B22" w:rsidP="00EB17DC">
            <w:pPr>
              <w:spacing w:after="120"/>
              <w:jc w:val="right"/>
            </w:pPr>
            <w:r>
              <w:t>17</w:t>
            </w:r>
            <w:r w:rsidR="00326B88">
              <w:t>2</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Fondo de Desarrollo Indígena Guatemalteco (FODIGUA) </w:t>
            </w:r>
            <w:r w:rsidR="002078DB">
              <w:rPr>
                <w:spacing w:val="60"/>
                <w:sz w:val="17"/>
              </w:rPr>
              <w:tab/>
            </w:r>
          </w:p>
        </w:tc>
        <w:tc>
          <w:tcPr>
            <w:tcW w:w="792" w:type="dxa"/>
            <w:shd w:val="clear" w:color="auto" w:fill="auto"/>
            <w:vAlign w:val="bottom"/>
          </w:tcPr>
          <w:p w:rsidR="006C7AE8" w:rsidRPr="00981E15" w:rsidRDefault="00957B22" w:rsidP="00EB17DC">
            <w:pPr>
              <w:spacing w:after="120"/>
              <w:jc w:val="right"/>
            </w:pPr>
            <w:r>
              <w:t>17</w:t>
            </w:r>
            <w:r w:rsidR="00326B88">
              <w:t>3</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Retos y desafíos </w:t>
            </w:r>
            <w:r w:rsidR="002078DB">
              <w:rPr>
                <w:spacing w:val="60"/>
                <w:sz w:val="17"/>
              </w:rPr>
              <w:tab/>
            </w:r>
          </w:p>
        </w:tc>
        <w:tc>
          <w:tcPr>
            <w:tcW w:w="792" w:type="dxa"/>
            <w:shd w:val="clear" w:color="auto" w:fill="auto"/>
            <w:vAlign w:val="bottom"/>
          </w:tcPr>
          <w:p w:rsidR="006C7AE8" w:rsidRPr="00981E15" w:rsidRDefault="00957B22" w:rsidP="00EB17DC">
            <w:pPr>
              <w:spacing w:after="120"/>
              <w:jc w:val="right"/>
            </w:pPr>
            <w:r>
              <w:t>17</w:t>
            </w:r>
            <w:r w:rsidR="00326B88">
              <w:t>4</w:t>
            </w:r>
          </w:p>
        </w:tc>
      </w:tr>
      <w:tr w:rsidR="006C7AE8" w:rsidRPr="00981E15">
        <w:tblPrEx>
          <w:tblCellMar>
            <w:top w:w="0" w:type="dxa"/>
            <w:bottom w:w="0" w:type="dxa"/>
          </w:tblCellMar>
        </w:tblPrEx>
        <w:tc>
          <w:tcPr>
            <w:tcW w:w="9110" w:type="dxa"/>
            <w:gridSpan w:val="3"/>
            <w:shd w:val="clear" w:color="auto" w:fill="auto"/>
          </w:tcPr>
          <w:p w:rsidR="006C7AE8" w:rsidRPr="00917560" w:rsidRDefault="006C7AE8" w:rsidP="00B27CED">
            <w:pPr>
              <w:tabs>
                <w:tab w:val="right" w:pos="1080"/>
                <w:tab w:val="right" w:pos="1714"/>
                <w:tab w:val="right" w:leader="dot" w:pos="9360"/>
              </w:tabs>
              <w:spacing w:after="120"/>
              <w:ind w:left="1080"/>
            </w:pPr>
            <w:r w:rsidRPr="00917560">
              <w:t>Artíc</w:t>
            </w:r>
            <w:r w:rsidR="00326B88">
              <w:t>ulo 15</w:t>
            </w:r>
            <w:r w:rsidR="002078DB">
              <w:rPr>
                <w:spacing w:val="60"/>
                <w:sz w:val="17"/>
              </w:rPr>
              <w:tab/>
            </w:r>
          </w:p>
        </w:tc>
        <w:tc>
          <w:tcPr>
            <w:tcW w:w="792" w:type="dxa"/>
            <w:shd w:val="clear" w:color="auto" w:fill="auto"/>
            <w:vAlign w:val="bottom"/>
          </w:tcPr>
          <w:p w:rsidR="006C7AE8" w:rsidRPr="00981E15" w:rsidRDefault="00C2339F" w:rsidP="00EB17DC">
            <w:pPr>
              <w:spacing w:after="120"/>
              <w:jc w:val="right"/>
            </w:pPr>
            <w:r>
              <w:t>175</w:t>
            </w:r>
          </w:p>
        </w:tc>
      </w:tr>
      <w:tr w:rsidR="006C7AE8" w:rsidRPr="00981E15">
        <w:tblPrEx>
          <w:tblCellMar>
            <w:top w:w="0" w:type="dxa"/>
            <w:bottom w:w="0" w:type="dxa"/>
          </w:tblCellMar>
        </w:tblPrEx>
        <w:tc>
          <w:tcPr>
            <w:tcW w:w="9110" w:type="dxa"/>
            <w:gridSpan w:val="3"/>
            <w:shd w:val="clear" w:color="auto" w:fill="auto"/>
          </w:tcPr>
          <w:p w:rsidR="006C7AE8" w:rsidRPr="00917560" w:rsidRDefault="00660934" w:rsidP="00B27CED">
            <w:pPr>
              <w:tabs>
                <w:tab w:val="right" w:pos="1080"/>
                <w:tab w:val="right" w:pos="1714"/>
                <w:tab w:val="right" w:leader="dot" w:pos="9360"/>
              </w:tabs>
              <w:spacing w:after="120"/>
              <w:ind w:left="1080"/>
            </w:pPr>
            <w:r w:rsidRPr="00917560">
              <w:t>Igualdad ante la Ley</w:t>
            </w:r>
            <w:r w:rsidR="002078DB">
              <w:rPr>
                <w:spacing w:val="60"/>
                <w:sz w:val="17"/>
              </w:rPr>
              <w:tab/>
            </w:r>
          </w:p>
        </w:tc>
        <w:tc>
          <w:tcPr>
            <w:tcW w:w="792" w:type="dxa"/>
            <w:shd w:val="clear" w:color="auto" w:fill="auto"/>
            <w:vAlign w:val="bottom"/>
          </w:tcPr>
          <w:p w:rsidR="006C7AE8" w:rsidRPr="00981E15" w:rsidRDefault="00C2339F" w:rsidP="00EB17DC">
            <w:pPr>
              <w:spacing w:after="120"/>
              <w:jc w:val="right"/>
            </w:pPr>
            <w:r>
              <w:t>175</w:t>
            </w:r>
          </w:p>
        </w:tc>
      </w:tr>
      <w:tr w:rsidR="00660934" w:rsidRPr="00981E15">
        <w:tblPrEx>
          <w:tblCellMar>
            <w:top w:w="0" w:type="dxa"/>
            <w:bottom w:w="0" w:type="dxa"/>
          </w:tblCellMar>
        </w:tblPrEx>
        <w:tc>
          <w:tcPr>
            <w:tcW w:w="9110" w:type="dxa"/>
            <w:gridSpan w:val="3"/>
            <w:shd w:val="clear" w:color="auto" w:fill="auto"/>
          </w:tcPr>
          <w:p w:rsidR="00660934" w:rsidRPr="00917560" w:rsidRDefault="00660934" w:rsidP="00B27CED">
            <w:pPr>
              <w:tabs>
                <w:tab w:val="right" w:pos="1080"/>
                <w:tab w:val="right" w:pos="1714"/>
                <w:tab w:val="right" w:leader="dot" w:pos="9360"/>
              </w:tabs>
              <w:spacing w:after="120"/>
              <w:ind w:left="1080"/>
            </w:pPr>
            <w:r w:rsidRPr="00917560">
              <w:t xml:space="preserve">Artículo 16 </w:t>
            </w:r>
            <w:r w:rsidR="002078DB">
              <w:rPr>
                <w:spacing w:val="60"/>
                <w:sz w:val="17"/>
              </w:rPr>
              <w:tab/>
            </w:r>
          </w:p>
        </w:tc>
        <w:tc>
          <w:tcPr>
            <w:tcW w:w="792" w:type="dxa"/>
            <w:shd w:val="clear" w:color="auto" w:fill="auto"/>
            <w:vAlign w:val="bottom"/>
          </w:tcPr>
          <w:p w:rsidR="00660934" w:rsidRPr="00981E15" w:rsidRDefault="002778D2" w:rsidP="00EB17DC">
            <w:pPr>
              <w:spacing w:after="120"/>
              <w:jc w:val="right"/>
            </w:pPr>
            <w:r>
              <w:t>176</w:t>
            </w:r>
          </w:p>
        </w:tc>
      </w:tr>
      <w:tr w:rsidR="00660934" w:rsidRPr="00981E15">
        <w:tblPrEx>
          <w:tblCellMar>
            <w:top w:w="0" w:type="dxa"/>
            <w:bottom w:w="0" w:type="dxa"/>
          </w:tblCellMar>
        </w:tblPrEx>
        <w:tc>
          <w:tcPr>
            <w:tcW w:w="9110" w:type="dxa"/>
            <w:gridSpan w:val="3"/>
            <w:shd w:val="clear" w:color="auto" w:fill="auto"/>
          </w:tcPr>
          <w:p w:rsidR="00660934" w:rsidRPr="00917560" w:rsidRDefault="00660934" w:rsidP="00B27CED">
            <w:pPr>
              <w:tabs>
                <w:tab w:val="right" w:pos="1080"/>
                <w:tab w:val="right" w:pos="1714"/>
                <w:tab w:val="right" w:leader="dot" w:pos="9360"/>
              </w:tabs>
              <w:spacing w:after="120"/>
              <w:ind w:left="1080"/>
            </w:pPr>
            <w:r w:rsidRPr="00917560">
              <w:t>Matrimonio y Familia</w:t>
            </w:r>
            <w:r w:rsidR="002078DB">
              <w:rPr>
                <w:spacing w:val="60"/>
                <w:sz w:val="17"/>
              </w:rPr>
              <w:tab/>
            </w:r>
          </w:p>
        </w:tc>
        <w:tc>
          <w:tcPr>
            <w:tcW w:w="792" w:type="dxa"/>
            <w:shd w:val="clear" w:color="auto" w:fill="auto"/>
            <w:vAlign w:val="bottom"/>
          </w:tcPr>
          <w:p w:rsidR="00660934" w:rsidRPr="00981E15" w:rsidRDefault="002778D2" w:rsidP="00EB17DC">
            <w:pPr>
              <w:spacing w:after="120"/>
              <w:jc w:val="right"/>
            </w:pPr>
            <w:r>
              <w:t>176</w:t>
            </w:r>
          </w:p>
        </w:tc>
      </w:tr>
    </w:tbl>
    <w:p w:rsidR="007352CD" w:rsidRPr="007352CD" w:rsidRDefault="007352CD" w:rsidP="00EB17DC">
      <w:pPr>
        <w:framePr w:w="9792" w:h="432" w:hSpace="180" w:wrap="around" w:hAnchor="page" w:x="1210" w:yAlign="bottom"/>
        <w:spacing w:line="240" w:lineRule="auto"/>
        <w:rPr>
          <w:sz w:val="10"/>
        </w:rPr>
      </w:pPr>
    </w:p>
    <w:p w:rsidR="007352CD" w:rsidRPr="007352CD" w:rsidRDefault="007352CD" w:rsidP="00EB17DC">
      <w:pPr>
        <w:framePr w:w="9792" w:h="432" w:hSpace="180" w:wrap="around" w:hAnchor="page" w:x="1210" w:yAlign="bottom"/>
        <w:spacing w:line="240" w:lineRule="auto"/>
        <w:rPr>
          <w:sz w:val="6"/>
        </w:rPr>
      </w:pPr>
      <w:r w:rsidRPr="007352CD">
        <w:rPr>
          <w:noProof/>
          <w:w w:val="100"/>
          <w:sz w:val="6"/>
          <w:lang w:val="en-US"/>
        </w:rPr>
        <w:pict>
          <v:line id="_x0000_s3379" style="position:absolute;z-index:13;mso-position-horizontal-relative:page" from="108pt,-1pt" to="180pt,-1pt" strokeweight=".25pt">
            <w10:wrap anchorx="page"/>
          </v:line>
        </w:pict>
      </w:r>
    </w:p>
    <w:p w:rsidR="007352CD" w:rsidRPr="007352CD" w:rsidRDefault="007352CD" w:rsidP="00EB17D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Nota de la Secretaría: Los anexos del informe estarán a disposición de los miembros del Comité en el idioma en que fueron presentados.</w:t>
      </w:r>
    </w:p>
    <w:tbl>
      <w:tblPr>
        <w:tblW w:w="9902" w:type="dxa"/>
        <w:tblLayout w:type="fixed"/>
        <w:tblCellMar>
          <w:left w:w="0" w:type="dxa"/>
          <w:right w:w="0" w:type="dxa"/>
        </w:tblCellMar>
        <w:tblLook w:val="0000" w:firstRow="0" w:lastRow="0" w:firstColumn="0" w:lastColumn="0" w:noHBand="0" w:noVBand="0"/>
      </w:tblPr>
      <w:tblGrid>
        <w:gridCol w:w="9110"/>
        <w:gridCol w:w="792"/>
      </w:tblGrid>
      <w:tr w:rsidR="006C7AE8" w:rsidRPr="00981E15">
        <w:tblPrEx>
          <w:tblCellMar>
            <w:top w:w="0" w:type="dxa"/>
            <w:bottom w:w="0" w:type="dxa"/>
          </w:tblCellMar>
        </w:tblPrEx>
        <w:tc>
          <w:tcPr>
            <w:tcW w:w="9110" w:type="dxa"/>
            <w:shd w:val="clear" w:color="auto" w:fill="auto"/>
          </w:tcPr>
          <w:p w:rsidR="006C7AE8" w:rsidRPr="00917560" w:rsidRDefault="007352CD" w:rsidP="00B27CED">
            <w:pPr>
              <w:tabs>
                <w:tab w:val="right" w:pos="1080"/>
                <w:tab w:val="right" w:pos="1714"/>
                <w:tab w:val="right" w:leader="dot" w:pos="9360"/>
              </w:tabs>
              <w:spacing w:after="120"/>
              <w:ind w:left="1080"/>
            </w:pPr>
            <w:r>
              <w:t>Anexos*</w:t>
            </w:r>
          </w:p>
        </w:tc>
        <w:tc>
          <w:tcPr>
            <w:tcW w:w="792" w:type="dxa"/>
            <w:shd w:val="clear" w:color="auto" w:fill="auto"/>
            <w:vAlign w:val="bottom"/>
          </w:tcPr>
          <w:p w:rsidR="006C7AE8" w:rsidRPr="00981E15" w:rsidRDefault="006C7AE8" w:rsidP="00EB17DC">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Índice de cuadros, recuadros y gráficas</w:t>
            </w:r>
          </w:p>
        </w:tc>
        <w:tc>
          <w:tcPr>
            <w:tcW w:w="792" w:type="dxa"/>
            <w:shd w:val="clear" w:color="auto" w:fill="auto"/>
            <w:vAlign w:val="bottom"/>
          </w:tcPr>
          <w:p w:rsidR="006C7AE8" w:rsidRPr="00981E15" w:rsidRDefault="006C7AE8" w:rsidP="00EB17DC">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Gráficas</w:t>
            </w:r>
          </w:p>
        </w:tc>
        <w:tc>
          <w:tcPr>
            <w:tcW w:w="792" w:type="dxa"/>
            <w:shd w:val="clear" w:color="auto" w:fill="auto"/>
            <w:vAlign w:val="bottom"/>
          </w:tcPr>
          <w:p w:rsidR="006C7AE8" w:rsidRPr="00981E15" w:rsidRDefault="006C7AE8" w:rsidP="00EB17DC">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Gráfica 1. Municipios que han </w:t>
            </w:r>
            <w:r w:rsidR="002078DB" w:rsidRPr="00917560">
              <w:t xml:space="preserve">Asignado Recursos </w:t>
            </w:r>
            <w:r w:rsidRPr="00917560">
              <w:t xml:space="preserve">a sus OMMs </w:t>
            </w:r>
            <w:r w:rsidR="002078DB">
              <w:rPr>
                <w:spacing w:val="60"/>
                <w:sz w:val="17"/>
              </w:rPr>
              <w:tab/>
            </w:r>
          </w:p>
        </w:tc>
        <w:tc>
          <w:tcPr>
            <w:tcW w:w="792" w:type="dxa"/>
            <w:shd w:val="clear" w:color="auto" w:fill="auto"/>
            <w:vAlign w:val="bottom"/>
          </w:tcPr>
          <w:p w:rsidR="006C7AE8" w:rsidRPr="00981E15" w:rsidRDefault="009F3FA5" w:rsidP="00EB17DC">
            <w:pPr>
              <w:spacing w:after="120"/>
              <w:jc w:val="right"/>
            </w:pPr>
            <w:r>
              <w:t>54</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Gráfica 2</w:t>
            </w:r>
            <w:r w:rsidR="002078DB">
              <w:t>.</w:t>
            </w:r>
            <w:r w:rsidRPr="00917560">
              <w:t xml:space="preserve"> Población alfabetizada según sexo</w:t>
            </w:r>
            <w:r w:rsidR="00BC5568">
              <w:t>.</w:t>
            </w:r>
            <w:r w:rsidRPr="00917560">
              <w:t xml:space="preserve"> 2004-2006 </w:t>
            </w:r>
            <w:r w:rsidR="002078DB">
              <w:rPr>
                <w:spacing w:val="60"/>
                <w:sz w:val="17"/>
              </w:rPr>
              <w:tab/>
            </w:r>
          </w:p>
        </w:tc>
        <w:tc>
          <w:tcPr>
            <w:tcW w:w="792" w:type="dxa"/>
            <w:shd w:val="clear" w:color="auto" w:fill="auto"/>
            <w:vAlign w:val="bottom"/>
          </w:tcPr>
          <w:p w:rsidR="006C7AE8" w:rsidRPr="00981E15" w:rsidRDefault="00C65431" w:rsidP="00EB17DC">
            <w:pPr>
              <w:spacing w:after="120"/>
              <w:jc w:val="right"/>
            </w:pPr>
            <w:r>
              <w:t>107</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Gráfica 3</w:t>
            </w:r>
            <w:r w:rsidR="002078DB">
              <w:t>.</w:t>
            </w:r>
            <w:r w:rsidR="004863F7">
              <w:t xml:space="preserve"> Población atendida</w:t>
            </w:r>
            <w:r w:rsidRPr="00917560">
              <w:t xml:space="preserve"> según </w:t>
            </w:r>
            <w:r w:rsidR="004863F7" w:rsidRPr="00917560">
              <w:t xml:space="preserve">programa bilingüe </w:t>
            </w:r>
            <w:r w:rsidR="002078DB">
              <w:rPr>
                <w:spacing w:val="60"/>
                <w:sz w:val="17"/>
              </w:rPr>
              <w:tab/>
            </w:r>
          </w:p>
        </w:tc>
        <w:tc>
          <w:tcPr>
            <w:tcW w:w="792" w:type="dxa"/>
            <w:shd w:val="clear" w:color="auto" w:fill="auto"/>
            <w:vAlign w:val="bottom"/>
          </w:tcPr>
          <w:p w:rsidR="006C7AE8" w:rsidRPr="00981E15" w:rsidRDefault="00C65431" w:rsidP="00EB17DC">
            <w:pPr>
              <w:spacing w:after="120"/>
              <w:jc w:val="right"/>
            </w:pPr>
            <w:r>
              <w:t>109</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Gráfica 4. Evolución de la Mortalidad Materna por Departamento. 2000, 2003-2005 </w:t>
            </w:r>
            <w:r w:rsidR="002078DB">
              <w:rPr>
                <w:spacing w:val="60"/>
                <w:sz w:val="17"/>
              </w:rPr>
              <w:tab/>
            </w:r>
          </w:p>
        </w:tc>
        <w:tc>
          <w:tcPr>
            <w:tcW w:w="792" w:type="dxa"/>
            <w:shd w:val="clear" w:color="auto" w:fill="auto"/>
            <w:vAlign w:val="bottom"/>
          </w:tcPr>
          <w:p w:rsidR="006C7AE8" w:rsidRPr="00981E15" w:rsidRDefault="003B3F14" w:rsidP="00EB17DC">
            <w:pPr>
              <w:spacing w:after="120"/>
              <w:jc w:val="right"/>
            </w:pPr>
            <w:r>
              <w:t>126</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Gráfica 5. Tendencia de la Cobertura de Atención Prenatal. 2000-2005 </w:t>
            </w:r>
            <w:r w:rsidR="002078DB">
              <w:rPr>
                <w:spacing w:val="60"/>
                <w:sz w:val="17"/>
              </w:rPr>
              <w:tab/>
            </w:r>
          </w:p>
        </w:tc>
        <w:tc>
          <w:tcPr>
            <w:tcW w:w="792" w:type="dxa"/>
            <w:shd w:val="clear" w:color="auto" w:fill="auto"/>
            <w:vAlign w:val="bottom"/>
          </w:tcPr>
          <w:p w:rsidR="006C7AE8" w:rsidRPr="00981E15" w:rsidRDefault="0040579E" w:rsidP="00EB17DC">
            <w:pPr>
              <w:spacing w:after="120"/>
              <w:jc w:val="right"/>
            </w:pPr>
            <w:r>
              <w:t>128</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Gráfica 6. Tipo de Asistencia </w:t>
            </w:r>
            <w:r w:rsidR="00BC5568" w:rsidRPr="00917560">
              <w:t>durante el parto en porcentajes</w:t>
            </w:r>
            <w:r w:rsidRPr="00917560">
              <w:t xml:space="preserve">. 2000- 2005 </w:t>
            </w:r>
            <w:r w:rsidR="002078DB">
              <w:rPr>
                <w:spacing w:val="60"/>
                <w:sz w:val="17"/>
              </w:rPr>
              <w:tab/>
            </w:r>
          </w:p>
        </w:tc>
        <w:tc>
          <w:tcPr>
            <w:tcW w:w="792" w:type="dxa"/>
            <w:shd w:val="clear" w:color="auto" w:fill="auto"/>
            <w:vAlign w:val="bottom"/>
          </w:tcPr>
          <w:p w:rsidR="006C7AE8" w:rsidRPr="00981E15" w:rsidRDefault="0040579E" w:rsidP="00EB17DC">
            <w:pPr>
              <w:spacing w:after="120"/>
              <w:jc w:val="right"/>
            </w:pPr>
            <w:r>
              <w:t>130</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Gráfica 7. Indicador de años protección anticonceptiva (en miles). 1992</w:t>
            </w:r>
            <w:r w:rsidR="00BC5568">
              <w:t>-</w:t>
            </w:r>
            <w:r w:rsidRPr="00917560">
              <w:t xml:space="preserve">2005 </w:t>
            </w:r>
            <w:r w:rsidR="002078DB">
              <w:rPr>
                <w:spacing w:val="60"/>
                <w:sz w:val="17"/>
              </w:rPr>
              <w:tab/>
            </w:r>
          </w:p>
        </w:tc>
        <w:tc>
          <w:tcPr>
            <w:tcW w:w="792" w:type="dxa"/>
            <w:shd w:val="clear" w:color="auto" w:fill="auto"/>
            <w:vAlign w:val="bottom"/>
          </w:tcPr>
          <w:p w:rsidR="006C7AE8" w:rsidRPr="00981E15" w:rsidRDefault="0040579E" w:rsidP="00EB17DC">
            <w:pPr>
              <w:spacing w:after="120"/>
              <w:jc w:val="right"/>
            </w:pPr>
            <w:r>
              <w:t>131</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Gráfica 8. Porcentaje de desabastecimiento de los Métodos de Planificación </w:t>
            </w:r>
            <w:r w:rsidR="00BC5568">
              <w:br/>
            </w:r>
            <w:r w:rsidRPr="00917560">
              <w:t>Familiar</w:t>
            </w:r>
            <w:r w:rsidR="00BC5568">
              <w:t>.</w:t>
            </w:r>
            <w:r w:rsidR="00EA1E3A">
              <w:t xml:space="preserve"> 2001-marzo de 2006</w:t>
            </w:r>
            <w:r w:rsidRPr="00917560">
              <w:t xml:space="preserve"> </w:t>
            </w:r>
            <w:r w:rsidR="002078DB">
              <w:rPr>
                <w:spacing w:val="60"/>
                <w:sz w:val="17"/>
              </w:rPr>
              <w:tab/>
            </w:r>
          </w:p>
        </w:tc>
        <w:tc>
          <w:tcPr>
            <w:tcW w:w="792" w:type="dxa"/>
            <w:shd w:val="clear" w:color="auto" w:fill="auto"/>
            <w:vAlign w:val="bottom"/>
          </w:tcPr>
          <w:p w:rsidR="006C7AE8" w:rsidRPr="00981E15" w:rsidRDefault="0040579E" w:rsidP="00EB17DC">
            <w:pPr>
              <w:spacing w:after="120"/>
              <w:jc w:val="right"/>
            </w:pPr>
            <w:r>
              <w:t>132</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Gráfica 9. Número de Mujeres Embarazadas Tamizadas y VIH Positivas. 2003-2006 </w:t>
            </w:r>
            <w:r w:rsidR="002078DB">
              <w:rPr>
                <w:spacing w:val="60"/>
                <w:sz w:val="17"/>
              </w:rPr>
              <w:tab/>
            </w:r>
          </w:p>
        </w:tc>
        <w:tc>
          <w:tcPr>
            <w:tcW w:w="792" w:type="dxa"/>
            <w:shd w:val="clear" w:color="auto" w:fill="auto"/>
            <w:vAlign w:val="bottom"/>
          </w:tcPr>
          <w:p w:rsidR="006C7AE8" w:rsidRPr="00981E15" w:rsidRDefault="00242903" w:rsidP="00EB17DC">
            <w:pPr>
              <w:spacing w:after="120"/>
              <w:jc w:val="right"/>
            </w:pPr>
            <w:r>
              <w:t>138</w:t>
            </w:r>
          </w:p>
        </w:tc>
      </w:tr>
      <w:tr w:rsidR="006C7AE8" w:rsidRPr="00981E15">
        <w:tblPrEx>
          <w:tblCellMar>
            <w:top w:w="0" w:type="dxa"/>
            <w:bottom w:w="0" w:type="dxa"/>
          </w:tblCellMar>
        </w:tblPrEx>
        <w:tc>
          <w:tcPr>
            <w:tcW w:w="9110" w:type="dxa"/>
            <w:shd w:val="clear" w:color="auto" w:fill="auto"/>
          </w:tcPr>
          <w:p w:rsidR="006C7AE8" w:rsidRPr="00917560" w:rsidRDefault="002458D0" w:rsidP="00B27CED">
            <w:pPr>
              <w:tabs>
                <w:tab w:val="right" w:pos="1080"/>
                <w:tab w:val="right" w:pos="1714"/>
                <w:tab w:val="right" w:leader="dot" w:pos="9360"/>
              </w:tabs>
              <w:spacing w:after="120"/>
              <w:ind w:left="1080"/>
            </w:pPr>
            <w:r>
              <w:t>Gráfica 10. Beneficiaria</w:t>
            </w:r>
            <w:r w:rsidR="006C7AE8" w:rsidRPr="00917560">
              <w:t xml:space="preserve">s y beneficiarios de los programas del Fondo </w:t>
            </w:r>
            <w:r>
              <w:br/>
            </w:r>
            <w:r w:rsidR="006C7AE8" w:rsidRPr="00917560">
              <w:t>de Tierras</w:t>
            </w:r>
            <w:r>
              <w:t>. 2004-2006</w:t>
            </w:r>
            <w:r w:rsidR="006C7AE8" w:rsidRPr="00917560">
              <w:t xml:space="preserve"> </w:t>
            </w:r>
            <w:r w:rsidR="002078DB">
              <w:rPr>
                <w:spacing w:val="60"/>
                <w:sz w:val="17"/>
              </w:rPr>
              <w:tab/>
            </w:r>
          </w:p>
        </w:tc>
        <w:tc>
          <w:tcPr>
            <w:tcW w:w="792" w:type="dxa"/>
            <w:shd w:val="clear" w:color="auto" w:fill="auto"/>
            <w:vAlign w:val="bottom"/>
          </w:tcPr>
          <w:p w:rsidR="006C7AE8" w:rsidRPr="00981E15" w:rsidRDefault="009A5F99" w:rsidP="00EB17DC">
            <w:pPr>
              <w:spacing w:after="120"/>
              <w:jc w:val="right"/>
            </w:pPr>
            <w:r>
              <w:t>161</w:t>
            </w: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Gráfica 11. Población atendida por CONALFA según área rural </w:t>
            </w:r>
            <w:r w:rsidR="002078DB">
              <w:rPr>
                <w:spacing w:val="60"/>
                <w:sz w:val="17"/>
              </w:rPr>
              <w:tab/>
            </w:r>
          </w:p>
        </w:tc>
        <w:tc>
          <w:tcPr>
            <w:tcW w:w="792" w:type="dxa"/>
            <w:shd w:val="clear" w:color="auto" w:fill="auto"/>
            <w:vAlign w:val="bottom"/>
          </w:tcPr>
          <w:p w:rsidR="006C7AE8" w:rsidRPr="00981E15" w:rsidRDefault="006B3CEF" w:rsidP="00EB17DC">
            <w:pPr>
              <w:spacing w:after="120"/>
              <w:jc w:val="right"/>
            </w:pPr>
            <w:r>
              <w:t>164</w:t>
            </w:r>
          </w:p>
        </w:tc>
      </w:tr>
      <w:tr w:rsidR="006C7AE8" w:rsidRPr="00981E15">
        <w:tblPrEx>
          <w:tblCellMar>
            <w:top w:w="0" w:type="dxa"/>
            <w:bottom w:w="0" w:type="dxa"/>
          </w:tblCellMar>
        </w:tblPrEx>
        <w:tc>
          <w:tcPr>
            <w:tcW w:w="9110" w:type="dxa"/>
            <w:shd w:val="clear" w:color="auto" w:fill="auto"/>
          </w:tcPr>
          <w:p w:rsidR="009260E1" w:rsidRPr="00917560" w:rsidRDefault="006C7AE8" w:rsidP="00B27CED">
            <w:pPr>
              <w:tabs>
                <w:tab w:val="right" w:pos="1080"/>
                <w:tab w:val="right" w:pos="1714"/>
                <w:tab w:val="right" w:leader="dot" w:pos="9360"/>
              </w:tabs>
              <w:spacing w:after="120"/>
              <w:ind w:left="1080"/>
            </w:pPr>
            <w:r w:rsidRPr="00917560">
              <w:t>Gráfica 12. Población atendida según</w:t>
            </w:r>
            <w:r w:rsidR="002458D0">
              <w:t xml:space="preserve"> </w:t>
            </w:r>
            <w:r w:rsidRPr="00917560">
              <w:t xml:space="preserve">Programa Bilingüe </w:t>
            </w:r>
            <w:r w:rsidR="002078DB">
              <w:rPr>
                <w:spacing w:val="60"/>
                <w:sz w:val="17"/>
              </w:rPr>
              <w:tab/>
            </w:r>
          </w:p>
        </w:tc>
        <w:tc>
          <w:tcPr>
            <w:tcW w:w="792" w:type="dxa"/>
            <w:shd w:val="clear" w:color="auto" w:fill="auto"/>
          </w:tcPr>
          <w:p w:rsidR="006C7AE8" w:rsidRPr="00981E15" w:rsidRDefault="006B3CEF" w:rsidP="00EB17DC">
            <w:pPr>
              <w:spacing w:after="120"/>
              <w:jc w:val="right"/>
            </w:pPr>
            <w:r>
              <w:t>165</w:t>
            </w:r>
          </w:p>
        </w:tc>
      </w:tr>
      <w:tr w:rsidR="006C7AE8" w:rsidRPr="00981E15">
        <w:tblPrEx>
          <w:tblCellMar>
            <w:top w:w="0" w:type="dxa"/>
            <w:bottom w:w="0" w:type="dxa"/>
          </w:tblCellMar>
        </w:tblPrEx>
        <w:tc>
          <w:tcPr>
            <w:tcW w:w="9110" w:type="dxa"/>
            <w:shd w:val="clear" w:color="auto" w:fill="auto"/>
          </w:tcPr>
          <w:p w:rsidR="006C7AE8" w:rsidRPr="00917560" w:rsidRDefault="009260E1" w:rsidP="000D7889">
            <w:pPr>
              <w:tabs>
                <w:tab w:val="right" w:pos="1714"/>
                <w:tab w:val="right" w:leader="dot" w:pos="9360"/>
              </w:tabs>
              <w:spacing w:after="120"/>
              <w:ind w:left="1080"/>
            </w:pPr>
            <w:r>
              <w:t>Recuadro</w:t>
            </w:r>
          </w:p>
        </w:tc>
        <w:tc>
          <w:tcPr>
            <w:tcW w:w="792" w:type="dxa"/>
            <w:shd w:val="clear" w:color="auto" w:fill="auto"/>
            <w:vAlign w:val="bottom"/>
          </w:tcPr>
          <w:p w:rsidR="006C7AE8" w:rsidRPr="00981E15" w:rsidRDefault="006C7AE8" w:rsidP="00EB17DC">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B27CED">
            <w:pPr>
              <w:tabs>
                <w:tab w:val="right" w:pos="1080"/>
                <w:tab w:val="right" w:pos="1714"/>
                <w:tab w:val="right" w:leader="dot" w:pos="9360"/>
              </w:tabs>
              <w:spacing w:after="120"/>
              <w:ind w:left="1080"/>
            </w:pPr>
            <w:r w:rsidRPr="00917560">
              <w:t xml:space="preserve">Recuadro 1. Resumen de las principales reformas y propuestas legislativas consensuadas </w:t>
            </w:r>
            <w:r w:rsidR="002078DB">
              <w:rPr>
                <w:spacing w:val="60"/>
                <w:sz w:val="17"/>
              </w:rPr>
              <w:tab/>
            </w:r>
          </w:p>
        </w:tc>
        <w:tc>
          <w:tcPr>
            <w:tcW w:w="792" w:type="dxa"/>
            <w:shd w:val="clear" w:color="auto" w:fill="auto"/>
            <w:vAlign w:val="bottom"/>
          </w:tcPr>
          <w:p w:rsidR="006C7AE8" w:rsidRPr="00981E15" w:rsidRDefault="002778D2" w:rsidP="00EB17DC">
            <w:pPr>
              <w:spacing w:after="120"/>
              <w:jc w:val="right"/>
            </w:pPr>
            <w:r>
              <w:t>32</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Recuadro 2. Compromisos desarrollados por SEPREM en el marco de la Política Nacional de Promoción y Desarrollo de las Mujeres Guatemaltecas </w:t>
            </w:r>
            <w:r w:rsidR="002078DB">
              <w:rPr>
                <w:spacing w:val="60"/>
                <w:sz w:val="17"/>
              </w:rPr>
              <w:tab/>
            </w:r>
          </w:p>
        </w:tc>
        <w:tc>
          <w:tcPr>
            <w:tcW w:w="792" w:type="dxa"/>
            <w:shd w:val="clear" w:color="auto" w:fill="auto"/>
            <w:vAlign w:val="bottom"/>
          </w:tcPr>
          <w:p w:rsidR="006C7AE8" w:rsidRPr="00981E15" w:rsidRDefault="008727E6" w:rsidP="00EB17DC">
            <w:pPr>
              <w:spacing w:after="120"/>
              <w:jc w:val="right"/>
            </w:pPr>
            <w:r>
              <w:t>39</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Recuadro 3. Ejes temáticos de la Agenda Articulada de</w:t>
            </w:r>
            <w:r w:rsidR="003F3D25">
              <w:t xml:space="preserve"> las </w:t>
            </w:r>
            <w:r w:rsidR="002458D0">
              <w:t xml:space="preserve">Mujeres </w:t>
            </w:r>
            <w:r w:rsidR="003F3D25">
              <w:t>Mayas, Garífunas y </w:t>
            </w:r>
            <w:r w:rsidRPr="00917560">
              <w:t xml:space="preserve">Xinkas </w:t>
            </w:r>
            <w:r w:rsidR="002078DB">
              <w:rPr>
                <w:spacing w:val="60"/>
                <w:sz w:val="17"/>
              </w:rPr>
              <w:tab/>
            </w:r>
          </w:p>
        </w:tc>
        <w:tc>
          <w:tcPr>
            <w:tcW w:w="792" w:type="dxa"/>
            <w:shd w:val="clear" w:color="auto" w:fill="auto"/>
            <w:vAlign w:val="bottom"/>
          </w:tcPr>
          <w:p w:rsidR="006C7AE8" w:rsidRPr="00981E15" w:rsidRDefault="003F3D25" w:rsidP="00EB17DC">
            <w:pPr>
              <w:spacing w:after="120"/>
              <w:jc w:val="right"/>
            </w:pPr>
            <w:r>
              <w:t>44</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Recuadro 4. Líneas de acción propuestas derivadas del Diagnóstico elaborado por el FNM </w:t>
            </w:r>
            <w:r w:rsidR="002078DB">
              <w:rPr>
                <w:spacing w:val="60"/>
                <w:sz w:val="17"/>
              </w:rPr>
              <w:tab/>
            </w:r>
          </w:p>
        </w:tc>
        <w:tc>
          <w:tcPr>
            <w:tcW w:w="792" w:type="dxa"/>
            <w:shd w:val="clear" w:color="auto" w:fill="auto"/>
            <w:vAlign w:val="bottom"/>
          </w:tcPr>
          <w:p w:rsidR="006C7AE8" w:rsidRPr="00981E15" w:rsidRDefault="009F3FA5" w:rsidP="00EB17DC">
            <w:pPr>
              <w:spacing w:after="120"/>
              <w:jc w:val="right"/>
            </w:pPr>
            <w:r>
              <w:t>5</w:t>
            </w:r>
            <w:r w:rsidR="00CE66AA">
              <w:t>2</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Recuadro 5. Acciones de la Comisión para el Abordaje del Femicidio </w:t>
            </w:r>
            <w:r w:rsidR="002078DB">
              <w:rPr>
                <w:spacing w:val="60"/>
                <w:sz w:val="17"/>
              </w:rPr>
              <w:tab/>
            </w:r>
          </w:p>
        </w:tc>
        <w:tc>
          <w:tcPr>
            <w:tcW w:w="792" w:type="dxa"/>
            <w:shd w:val="clear" w:color="auto" w:fill="auto"/>
            <w:vAlign w:val="bottom"/>
          </w:tcPr>
          <w:p w:rsidR="006C7AE8" w:rsidRPr="00981E15" w:rsidRDefault="00421D8E" w:rsidP="00EB17DC">
            <w:pPr>
              <w:spacing w:after="120"/>
              <w:jc w:val="right"/>
            </w:pPr>
            <w:r>
              <w:t>59</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Cuadros </w:t>
            </w:r>
          </w:p>
        </w:tc>
        <w:tc>
          <w:tcPr>
            <w:tcW w:w="792" w:type="dxa"/>
            <w:shd w:val="clear" w:color="auto" w:fill="auto"/>
            <w:vAlign w:val="bottom"/>
          </w:tcPr>
          <w:p w:rsidR="006C7AE8" w:rsidRPr="00981E15" w:rsidRDefault="006C7AE8" w:rsidP="00EB17DC">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 Cantidad de </w:t>
            </w:r>
            <w:r w:rsidR="00FF2C64" w:rsidRPr="00917560">
              <w:t xml:space="preserve">Casos Atendidos </w:t>
            </w:r>
            <w:r w:rsidRPr="00917560">
              <w:t xml:space="preserve">por las Unidades de la DEMI </w:t>
            </w:r>
            <w:r w:rsidR="002078DB">
              <w:rPr>
                <w:spacing w:val="60"/>
                <w:sz w:val="17"/>
              </w:rPr>
              <w:tab/>
            </w:r>
          </w:p>
        </w:tc>
        <w:tc>
          <w:tcPr>
            <w:tcW w:w="792" w:type="dxa"/>
            <w:shd w:val="clear" w:color="auto" w:fill="auto"/>
            <w:vAlign w:val="bottom"/>
          </w:tcPr>
          <w:p w:rsidR="006C7AE8" w:rsidRPr="00981E15" w:rsidRDefault="00CE66AA" w:rsidP="00EB17DC">
            <w:pPr>
              <w:spacing w:after="120"/>
              <w:jc w:val="right"/>
            </w:pPr>
            <w:r>
              <w:t>47</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2. Mecanismos Municipales de la Mujer (MMM) </w:t>
            </w:r>
            <w:r w:rsidR="00FF2C64">
              <w:rPr>
                <w:spacing w:val="60"/>
                <w:sz w:val="17"/>
              </w:rPr>
              <w:tab/>
            </w:r>
          </w:p>
        </w:tc>
        <w:tc>
          <w:tcPr>
            <w:tcW w:w="792" w:type="dxa"/>
            <w:shd w:val="clear" w:color="auto" w:fill="auto"/>
            <w:vAlign w:val="bottom"/>
          </w:tcPr>
          <w:p w:rsidR="006C7AE8" w:rsidRPr="00981E15" w:rsidRDefault="009F3FA5" w:rsidP="00EB17DC">
            <w:pPr>
              <w:spacing w:after="120"/>
              <w:jc w:val="right"/>
            </w:pPr>
            <w:r>
              <w:t>55</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3. Denuncias recibidas en el Organismo Judicial por hechos en contra</w:t>
            </w:r>
            <w:r w:rsidR="00FF2C64">
              <w:br/>
            </w:r>
            <w:r w:rsidRPr="00917560">
              <w:t xml:space="preserve">de las mujeres </w:t>
            </w:r>
            <w:r w:rsidR="00FF2C64">
              <w:rPr>
                <w:spacing w:val="60"/>
                <w:sz w:val="17"/>
              </w:rPr>
              <w:tab/>
            </w:r>
          </w:p>
        </w:tc>
        <w:tc>
          <w:tcPr>
            <w:tcW w:w="792" w:type="dxa"/>
            <w:shd w:val="clear" w:color="auto" w:fill="auto"/>
            <w:vAlign w:val="bottom"/>
          </w:tcPr>
          <w:p w:rsidR="006C7AE8" w:rsidRPr="00981E15" w:rsidRDefault="001F7BA9" w:rsidP="00EB17DC">
            <w:pPr>
              <w:spacing w:after="120"/>
              <w:jc w:val="right"/>
            </w:pPr>
            <w:r>
              <w:t>63</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4. Pactos Municipales suscritos por la Seguridad Integral de las Mujeres Guatemaltecas </w:t>
            </w:r>
            <w:r w:rsidR="00FF2C64">
              <w:rPr>
                <w:spacing w:val="60"/>
                <w:sz w:val="17"/>
              </w:rPr>
              <w:tab/>
            </w:r>
          </w:p>
        </w:tc>
        <w:tc>
          <w:tcPr>
            <w:tcW w:w="792" w:type="dxa"/>
            <w:shd w:val="clear" w:color="auto" w:fill="auto"/>
            <w:vAlign w:val="bottom"/>
          </w:tcPr>
          <w:p w:rsidR="006C7AE8" w:rsidRPr="00981E15" w:rsidRDefault="00B65B4A" w:rsidP="00EB17DC">
            <w:pPr>
              <w:spacing w:after="120"/>
              <w:jc w:val="right"/>
            </w:pPr>
            <w:r>
              <w:t>70</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5. Denuncias ingresadas en el 2006 al Organismo Judicial </w:t>
            </w:r>
            <w:r w:rsidR="00FF2C64">
              <w:rPr>
                <w:spacing w:val="60"/>
                <w:sz w:val="17"/>
              </w:rPr>
              <w:tab/>
            </w:r>
          </w:p>
        </w:tc>
        <w:tc>
          <w:tcPr>
            <w:tcW w:w="792" w:type="dxa"/>
            <w:shd w:val="clear" w:color="auto" w:fill="auto"/>
            <w:vAlign w:val="bottom"/>
          </w:tcPr>
          <w:p w:rsidR="006C7AE8" w:rsidRPr="00981E15" w:rsidRDefault="00B65B4A" w:rsidP="00EB17DC">
            <w:pPr>
              <w:spacing w:after="120"/>
              <w:jc w:val="right"/>
            </w:pPr>
            <w:r>
              <w:t>84</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6. Procesos en la Fiscalía de la Mujer </w:t>
            </w:r>
            <w:r w:rsidR="00FF2C64">
              <w:rPr>
                <w:spacing w:val="60"/>
                <w:sz w:val="17"/>
              </w:rPr>
              <w:tab/>
            </w:r>
          </w:p>
        </w:tc>
        <w:tc>
          <w:tcPr>
            <w:tcW w:w="792" w:type="dxa"/>
            <w:shd w:val="clear" w:color="auto" w:fill="auto"/>
            <w:vAlign w:val="bottom"/>
          </w:tcPr>
          <w:p w:rsidR="006C7AE8" w:rsidRPr="00981E15" w:rsidRDefault="00AF24F4" w:rsidP="00EB17DC">
            <w:pPr>
              <w:spacing w:after="120"/>
              <w:jc w:val="right"/>
            </w:pPr>
            <w:r>
              <w:t>85</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7. Estadísticas trata de personas y migración ilegal. Primer trimestre 2007</w:t>
            </w:r>
            <w:r w:rsidR="00FF2C64">
              <w:rPr>
                <w:spacing w:val="60"/>
                <w:sz w:val="17"/>
              </w:rPr>
              <w:tab/>
            </w:r>
          </w:p>
        </w:tc>
        <w:tc>
          <w:tcPr>
            <w:tcW w:w="792" w:type="dxa"/>
            <w:shd w:val="clear" w:color="auto" w:fill="auto"/>
            <w:vAlign w:val="bottom"/>
          </w:tcPr>
          <w:p w:rsidR="006C7AE8" w:rsidRPr="00981E15" w:rsidRDefault="00AF24F4" w:rsidP="00EB17DC">
            <w:pPr>
              <w:spacing w:after="120"/>
              <w:jc w:val="right"/>
            </w:pPr>
            <w:r>
              <w:t>85</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8. Número de mujeres empadronadas en las elecciones de 2003 y de 2007 </w:t>
            </w:r>
            <w:r w:rsidR="00FF2C64">
              <w:rPr>
                <w:spacing w:val="60"/>
                <w:sz w:val="17"/>
              </w:rPr>
              <w:tab/>
            </w:r>
          </w:p>
        </w:tc>
        <w:tc>
          <w:tcPr>
            <w:tcW w:w="792" w:type="dxa"/>
            <w:shd w:val="clear" w:color="auto" w:fill="auto"/>
            <w:vAlign w:val="bottom"/>
          </w:tcPr>
          <w:p w:rsidR="006C7AE8" w:rsidRPr="00981E15" w:rsidRDefault="00A45E7E" w:rsidP="00EB17DC">
            <w:pPr>
              <w:spacing w:after="120"/>
              <w:jc w:val="right"/>
            </w:pPr>
            <w:r>
              <w:t>88</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9. Candidaturas inscritas en el Tribunal </w:t>
            </w:r>
            <w:r w:rsidR="00FF2C64">
              <w:t>Supremo Electoral</w:t>
            </w:r>
            <w:r w:rsidR="006E7A34">
              <w:t xml:space="preserve"> en 2007</w:t>
            </w:r>
            <w:r w:rsidRPr="00917560">
              <w:t xml:space="preserve"> </w:t>
            </w:r>
            <w:r w:rsidR="00FF2C64">
              <w:rPr>
                <w:spacing w:val="60"/>
                <w:sz w:val="17"/>
              </w:rPr>
              <w:tab/>
            </w:r>
          </w:p>
        </w:tc>
        <w:tc>
          <w:tcPr>
            <w:tcW w:w="792" w:type="dxa"/>
            <w:shd w:val="clear" w:color="auto" w:fill="auto"/>
            <w:vAlign w:val="bottom"/>
          </w:tcPr>
          <w:p w:rsidR="006C7AE8" w:rsidRPr="00981E15" w:rsidRDefault="00A45E7E" w:rsidP="00EB17DC">
            <w:pPr>
              <w:spacing w:after="120"/>
              <w:jc w:val="right"/>
            </w:pPr>
            <w:r>
              <w:t>88</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10. Número de mujeres en listas de diputaciones por partido político </w:t>
            </w:r>
            <w:r w:rsidR="00FF2C64">
              <w:rPr>
                <w:spacing w:val="60"/>
                <w:sz w:val="17"/>
              </w:rPr>
              <w:tab/>
            </w:r>
          </w:p>
        </w:tc>
        <w:tc>
          <w:tcPr>
            <w:tcW w:w="792" w:type="dxa"/>
            <w:shd w:val="clear" w:color="auto" w:fill="auto"/>
            <w:vAlign w:val="bottom"/>
          </w:tcPr>
          <w:p w:rsidR="006C7AE8" w:rsidRPr="00981E15" w:rsidRDefault="00566862" w:rsidP="00EB17DC">
            <w:pPr>
              <w:spacing w:after="120"/>
              <w:jc w:val="right"/>
            </w:pPr>
            <w:r>
              <w:t>89</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11. Número de mujeres electas a cargos de elección popular</w:t>
            </w:r>
            <w:r w:rsidR="00F7179C">
              <w:t xml:space="preserve"> en 2003 y </w:t>
            </w:r>
            <w:r w:rsidRPr="00917560">
              <w:t xml:space="preserve">2007 </w:t>
            </w:r>
            <w:r w:rsidR="00FF2C64">
              <w:rPr>
                <w:spacing w:val="60"/>
                <w:sz w:val="17"/>
              </w:rPr>
              <w:tab/>
            </w:r>
          </w:p>
        </w:tc>
        <w:tc>
          <w:tcPr>
            <w:tcW w:w="792" w:type="dxa"/>
            <w:shd w:val="clear" w:color="auto" w:fill="auto"/>
            <w:vAlign w:val="bottom"/>
          </w:tcPr>
          <w:p w:rsidR="006C7AE8" w:rsidRPr="00981E15" w:rsidRDefault="00566862" w:rsidP="00EB17DC">
            <w:pPr>
              <w:spacing w:after="120"/>
              <w:jc w:val="right"/>
            </w:pPr>
            <w:r>
              <w:t>89</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12. Cargos ministeriales ocupados por mujeres </w:t>
            </w:r>
            <w:r w:rsidR="00FF2C64">
              <w:rPr>
                <w:spacing w:val="60"/>
                <w:sz w:val="17"/>
              </w:rPr>
              <w:tab/>
            </w:r>
          </w:p>
        </w:tc>
        <w:tc>
          <w:tcPr>
            <w:tcW w:w="792" w:type="dxa"/>
            <w:shd w:val="clear" w:color="auto" w:fill="auto"/>
            <w:vAlign w:val="bottom"/>
          </w:tcPr>
          <w:p w:rsidR="006C7AE8" w:rsidRPr="00981E15" w:rsidRDefault="00566862" w:rsidP="00EB17DC">
            <w:pPr>
              <w:spacing w:after="120"/>
              <w:jc w:val="right"/>
            </w:pPr>
            <w:r>
              <w:t>90</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13. Cargos de Secretarías ocupadas por mujeres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91</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14. Personal que labora en el Organismo Judicial (2007)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93</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15. Perfil de Género </w:t>
            </w:r>
            <w:r w:rsidR="00237AC1">
              <w:t>de</w:t>
            </w:r>
            <w:r w:rsidRPr="00917560">
              <w:t xml:space="preserve"> los Consejos de Desarrollo a </w:t>
            </w:r>
            <w:r w:rsidR="00237AC1" w:rsidRPr="00917560">
              <w:t xml:space="preserve">Nivel Local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96</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16. Cobertura educativa 2004-2006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101</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17. Becas otorgadas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102</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18. Ampliación de la cobertura de educación a través de los diferentes programas de becas y bolsas de estudio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103</w:t>
            </w:r>
          </w:p>
        </w:tc>
      </w:tr>
      <w:tr w:rsidR="006C7AE8" w:rsidRPr="00981E15">
        <w:tblPrEx>
          <w:tblCellMar>
            <w:top w:w="0" w:type="dxa"/>
            <w:bottom w:w="0" w:type="dxa"/>
          </w:tblCellMar>
        </w:tblPrEx>
        <w:tc>
          <w:tcPr>
            <w:tcW w:w="9110" w:type="dxa"/>
            <w:shd w:val="clear" w:color="auto" w:fill="auto"/>
          </w:tcPr>
          <w:p w:rsidR="006C7AE8" w:rsidRPr="00917560" w:rsidRDefault="006C7AE8" w:rsidP="00FF2C64">
            <w:pPr>
              <w:tabs>
                <w:tab w:val="right" w:pos="1080"/>
                <w:tab w:val="right" w:leader="dot" w:pos="9360"/>
              </w:tabs>
              <w:spacing w:after="120"/>
              <w:ind w:left="1080"/>
            </w:pPr>
            <w:r w:rsidRPr="00917560">
              <w:t xml:space="preserve">Cuadro 19. Comportamiento del analfabetismo en Guatemala durante los años </w:t>
            </w:r>
            <w:r w:rsidR="00FF2C64">
              <w:br/>
            </w:r>
            <w:r w:rsidRPr="00917560">
              <w:t xml:space="preserve">de 1996 al 2006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106</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20. Reducción del índice de analfabetismo, período del 2004 al 2006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107</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21</w:t>
            </w:r>
            <w:r w:rsidR="002F538C">
              <w:t>.</w:t>
            </w:r>
            <w:r w:rsidRPr="00917560">
              <w:t xml:space="preserve"> Matr</w:t>
            </w:r>
            <w:r w:rsidR="00237AC1">
              <w:t>í</w:t>
            </w:r>
            <w:r w:rsidRPr="00917560">
              <w:t>cula Estudiantil de primer ingreso por sexo</w:t>
            </w:r>
            <w:r w:rsidR="00237AC1">
              <w:t>,</w:t>
            </w:r>
            <w:r w:rsidRPr="00917560">
              <w:t xml:space="preserve"> Universidad de San Carlos </w:t>
            </w:r>
            <w:r w:rsidR="00237AC1">
              <w:t xml:space="preserve">de Guatemala </w:t>
            </w:r>
            <w:r w:rsidRPr="00917560">
              <w:t xml:space="preserve">2004-2007 </w:t>
            </w:r>
            <w:r w:rsidR="00FF2C64">
              <w:rPr>
                <w:spacing w:val="60"/>
                <w:sz w:val="17"/>
              </w:rPr>
              <w:tab/>
            </w:r>
          </w:p>
        </w:tc>
        <w:tc>
          <w:tcPr>
            <w:tcW w:w="792" w:type="dxa"/>
            <w:shd w:val="clear" w:color="auto" w:fill="auto"/>
            <w:vAlign w:val="bottom"/>
          </w:tcPr>
          <w:p w:rsidR="006C7AE8" w:rsidRPr="00981E15" w:rsidRDefault="00C65431" w:rsidP="00EB17DC">
            <w:pPr>
              <w:spacing w:after="120"/>
              <w:jc w:val="right"/>
            </w:pPr>
            <w:r>
              <w:t>112</w:t>
            </w:r>
          </w:p>
        </w:tc>
      </w:tr>
      <w:tr w:rsidR="006C7AE8" w:rsidRPr="00981E15">
        <w:tblPrEx>
          <w:tblCellMar>
            <w:top w:w="0" w:type="dxa"/>
            <w:bottom w:w="0" w:type="dxa"/>
          </w:tblCellMar>
        </w:tblPrEx>
        <w:tc>
          <w:tcPr>
            <w:tcW w:w="9110" w:type="dxa"/>
            <w:shd w:val="clear" w:color="auto" w:fill="auto"/>
          </w:tcPr>
          <w:p w:rsidR="006C7AE8" w:rsidRPr="00917560" w:rsidRDefault="006C7AE8" w:rsidP="00D80796">
            <w:pPr>
              <w:keepNext/>
              <w:keepLines/>
              <w:tabs>
                <w:tab w:val="right" w:pos="1080"/>
                <w:tab w:val="right" w:pos="1714"/>
                <w:tab w:val="right" w:leader="dot" w:pos="9360"/>
              </w:tabs>
              <w:spacing w:after="120"/>
              <w:ind w:left="1080"/>
            </w:pPr>
            <w:r w:rsidRPr="00917560">
              <w:t>Cuadro 22. Carreras con alta graduación de mujeres</w:t>
            </w:r>
            <w:r w:rsidR="00237AC1">
              <w:t>,</w:t>
            </w:r>
            <w:r w:rsidRPr="00917560">
              <w:t xml:space="preserve"> Universidad de San Carlos</w:t>
            </w:r>
            <w:r w:rsidR="00237AC1">
              <w:t xml:space="preserve"> de Guatemala,</w:t>
            </w:r>
            <w:r w:rsidRPr="00917560">
              <w:t xml:space="preserve"> </w:t>
            </w:r>
            <w:r w:rsidR="00237AC1" w:rsidRPr="00917560">
              <w:t xml:space="preserve">ciclo </w:t>
            </w:r>
            <w:r w:rsidRPr="00917560">
              <w:t xml:space="preserve">académico 2004 </w:t>
            </w:r>
            <w:r w:rsidR="00FF2C64">
              <w:rPr>
                <w:spacing w:val="60"/>
                <w:sz w:val="17"/>
              </w:rPr>
              <w:tab/>
            </w:r>
          </w:p>
        </w:tc>
        <w:tc>
          <w:tcPr>
            <w:tcW w:w="792" w:type="dxa"/>
            <w:shd w:val="clear" w:color="auto" w:fill="auto"/>
            <w:vAlign w:val="bottom"/>
          </w:tcPr>
          <w:p w:rsidR="006C7AE8" w:rsidRPr="00981E15" w:rsidRDefault="00CA6AA5" w:rsidP="00D80796">
            <w:pPr>
              <w:keepNext/>
              <w:keepLines/>
              <w:spacing w:after="120"/>
              <w:jc w:val="right"/>
            </w:pPr>
            <w:r>
              <w:t>112</w:t>
            </w:r>
          </w:p>
        </w:tc>
      </w:tr>
      <w:tr w:rsidR="006C7AE8" w:rsidRPr="00981E15">
        <w:tblPrEx>
          <w:tblCellMar>
            <w:top w:w="0" w:type="dxa"/>
            <w:bottom w:w="0" w:type="dxa"/>
          </w:tblCellMar>
        </w:tblPrEx>
        <w:tc>
          <w:tcPr>
            <w:tcW w:w="9110" w:type="dxa"/>
            <w:shd w:val="clear" w:color="auto" w:fill="auto"/>
          </w:tcPr>
          <w:p w:rsidR="006C7AE8" w:rsidRPr="00917560" w:rsidRDefault="006C7AE8" w:rsidP="00D80796">
            <w:pPr>
              <w:keepNext/>
              <w:keepLines/>
              <w:tabs>
                <w:tab w:val="right" w:pos="1080"/>
                <w:tab w:val="right" w:pos="1714"/>
                <w:tab w:val="right" w:leader="dot" w:pos="9360"/>
              </w:tabs>
              <w:spacing w:after="120"/>
              <w:ind w:left="1080"/>
            </w:pPr>
            <w:r w:rsidRPr="00917560">
              <w:t>Cuadro 23. Personal docente por sexo Universidad de San Carlos de Guatemala</w:t>
            </w:r>
            <w:r w:rsidR="00237AC1">
              <w:t>,</w:t>
            </w:r>
            <w:r w:rsidRPr="00917560">
              <w:t xml:space="preserve"> </w:t>
            </w:r>
            <w:r w:rsidR="00237AC1" w:rsidRPr="00917560">
              <w:t xml:space="preserve">ciclos </w:t>
            </w:r>
            <w:r w:rsidRPr="00917560">
              <w:t xml:space="preserve">académicos 2004-2005 </w:t>
            </w:r>
            <w:r w:rsidR="00FF2C64">
              <w:rPr>
                <w:spacing w:val="60"/>
                <w:sz w:val="17"/>
              </w:rPr>
              <w:tab/>
            </w:r>
          </w:p>
        </w:tc>
        <w:tc>
          <w:tcPr>
            <w:tcW w:w="792" w:type="dxa"/>
            <w:shd w:val="clear" w:color="auto" w:fill="auto"/>
            <w:vAlign w:val="bottom"/>
          </w:tcPr>
          <w:p w:rsidR="006C7AE8" w:rsidRPr="00981E15" w:rsidRDefault="003B3F14" w:rsidP="00D80796">
            <w:pPr>
              <w:keepNext/>
              <w:keepLines/>
              <w:spacing w:after="120"/>
              <w:jc w:val="right"/>
            </w:pPr>
            <w:r>
              <w:t>113</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24. Acciones desarrolladas para la erradicación del trabajo infantil</w:t>
            </w:r>
            <w:r w:rsidR="00237AC1">
              <w:t>.</w:t>
            </w:r>
            <w:r w:rsidRPr="00917560">
              <w:t xml:space="preserve"> 2004-2006 </w:t>
            </w:r>
            <w:r w:rsidR="00FF2C64">
              <w:rPr>
                <w:spacing w:val="60"/>
                <w:sz w:val="17"/>
              </w:rPr>
              <w:tab/>
            </w:r>
          </w:p>
        </w:tc>
        <w:tc>
          <w:tcPr>
            <w:tcW w:w="792" w:type="dxa"/>
            <w:shd w:val="clear" w:color="auto" w:fill="auto"/>
            <w:vAlign w:val="bottom"/>
          </w:tcPr>
          <w:p w:rsidR="006C7AE8" w:rsidRPr="00981E15" w:rsidRDefault="003B3F14" w:rsidP="00EB17DC">
            <w:pPr>
              <w:spacing w:after="120"/>
              <w:jc w:val="right"/>
            </w:pPr>
            <w:r>
              <w:t>119</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25. Tasa</w:t>
            </w:r>
            <w:r w:rsidR="00237AC1">
              <w:t>s</w:t>
            </w:r>
            <w:r w:rsidRPr="00917560">
              <w:t xml:space="preserve"> de mortalidad materna </w:t>
            </w:r>
            <w:r w:rsidR="006F7392">
              <w:t xml:space="preserve">(MM) </w:t>
            </w:r>
            <w:r w:rsidRPr="00917560">
              <w:t xml:space="preserve">a nivel nacional </w:t>
            </w:r>
            <w:r w:rsidR="00FF2C64">
              <w:rPr>
                <w:spacing w:val="60"/>
                <w:sz w:val="17"/>
              </w:rPr>
              <w:tab/>
            </w:r>
          </w:p>
        </w:tc>
        <w:tc>
          <w:tcPr>
            <w:tcW w:w="792" w:type="dxa"/>
            <w:shd w:val="clear" w:color="auto" w:fill="auto"/>
            <w:vAlign w:val="bottom"/>
          </w:tcPr>
          <w:p w:rsidR="006C7AE8" w:rsidRPr="00981E15" w:rsidRDefault="003B3F14" w:rsidP="00EB17DC">
            <w:pPr>
              <w:spacing w:after="120"/>
              <w:jc w:val="right"/>
            </w:pPr>
            <w:r>
              <w:t>125</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26. Cinco primeras causas de mortalidad materna </w:t>
            </w:r>
            <w:r w:rsidR="00FF2C64">
              <w:rPr>
                <w:spacing w:val="60"/>
                <w:sz w:val="17"/>
              </w:rPr>
              <w:tab/>
            </w:r>
          </w:p>
        </w:tc>
        <w:tc>
          <w:tcPr>
            <w:tcW w:w="792" w:type="dxa"/>
            <w:shd w:val="clear" w:color="auto" w:fill="auto"/>
            <w:vAlign w:val="bottom"/>
          </w:tcPr>
          <w:p w:rsidR="006C7AE8" w:rsidRPr="00981E15" w:rsidRDefault="0040579E" w:rsidP="00EB17DC">
            <w:pPr>
              <w:spacing w:after="120"/>
              <w:jc w:val="right"/>
            </w:pPr>
            <w:r>
              <w:t>127</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27. Cobertura de atención al último parto (en porcentajes) </w:t>
            </w:r>
            <w:r w:rsidR="00FF2C64">
              <w:rPr>
                <w:spacing w:val="60"/>
                <w:sz w:val="17"/>
              </w:rPr>
              <w:tab/>
            </w:r>
          </w:p>
        </w:tc>
        <w:tc>
          <w:tcPr>
            <w:tcW w:w="792" w:type="dxa"/>
            <w:shd w:val="clear" w:color="auto" w:fill="auto"/>
            <w:vAlign w:val="bottom"/>
          </w:tcPr>
          <w:p w:rsidR="006C7AE8" w:rsidRPr="00981E15" w:rsidRDefault="0040579E" w:rsidP="00EB17DC">
            <w:pPr>
              <w:spacing w:after="120"/>
              <w:jc w:val="right"/>
            </w:pPr>
            <w:r>
              <w:t>129</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28. Lugar de atención del último parto (en porcentajes) </w:t>
            </w:r>
            <w:r w:rsidR="00FF2C64">
              <w:rPr>
                <w:spacing w:val="60"/>
                <w:sz w:val="17"/>
              </w:rPr>
              <w:tab/>
            </w:r>
          </w:p>
        </w:tc>
        <w:tc>
          <w:tcPr>
            <w:tcW w:w="792" w:type="dxa"/>
            <w:shd w:val="clear" w:color="auto" w:fill="auto"/>
            <w:vAlign w:val="bottom"/>
          </w:tcPr>
          <w:p w:rsidR="006C7AE8" w:rsidRPr="00981E15" w:rsidRDefault="0040579E" w:rsidP="00EB17DC">
            <w:pPr>
              <w:spacing w:after="120"/>
              <w:jc w:val="right"/>
            </w:pPr>
            <w:r>
              <w:t>129</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29. Métodos Anticonceptivos más usados según tipo </w:t>
            </w:r>
            <w:r w:rsidR="00FF2C64">
              <w:rPr>
                <w:spacing w:val="60"/>
                <w:sz w:val="17"/>
              </w:rPr>
              <w:tab/>
            </w:r>
          </w:p>
        </w:tc>
        <w:tc>
          <w:tcPr>
            <w:tcW w:w="792" w:type="dxa"/>
            <w:shd w:val="clear" w:color="auto" w:fill="auto"/>
            <w:vAlign w:val="bottom"/>
          </w:tcPr>
          <w:p w:rsidR="006C7AE8" w:rsidRPr="00981E15" w:rsidRDefault="0040579E" w:rsidP="00EB17DC">
            <w:pPr>
              <w:spacing w:after="120"/>
              <w:jc w:val="right"/>
            </w:pPr>
            <w:r>
              <w:t>132</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30. Casos atendidos por PROPEVI. 2004-2007 </w:t>
            </w:r>
            <w:r w:rsidR="00FF2C64">
              <w:rPr>
                <w:spacing w:val="60"/>
                <w:sz w:val="17"/>
              </w:rPr>
              <w:tab/>
            </w:r>
          </w:p>
        </w:tc>
        <w:tc>
          <w:tcPr>
            <w:tcW w:w="792" w:type="dxa"/>
            <w:shd w:val="clear" w:color="auto" w:fill="auto"/>
            <w:vAlign w:val="bottom"/>
          </w:tcPr>
          <w:p w:rsidR="006C7AE8" w:rsidRPr="00981E15" w:rsidRDefault="00242903" w:rsidP="00EB17DC">
            <w:pPr>
              <w:spacing w:after="120"/>
              <w:jc w:val="right"/>
            </w:pPr>
            <w:r>
              <w:t>141</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31. Cantidad de denuncias de VIF rec</w:t>
            </w:r>
            <w:r w:rsidR="00C5036E">
              <w:t>ibidas en el Organismo Judicial Violencia Intrafamiliar</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145</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32. Casos atendidos en la Unidad de la Mujer de la P</w:t>
            </w:r>
            <w:r w:rsidR="00B5663C">
              <w:t xml:space="preserve">rocuraduría </w:t>
            </w:r>
            <w:r w:rsidRPr="00917560">
              <w:t>G</w:t>
            </w:r>
            <w:r w:rsidR="00B5663C">
              <w:t xml:space="preserve">eneral de la </w:t>
            </w:r>
            <w:r w:rsidRPr="00917560">
              <w:t>N</w:t>
            </w:r>
            <w:r w:rsidR="00B5663C">
              <w:t>ación</w:t>
            </w:r>
            <w:r w:rsidRPr="00917560">
              <w:t xml:space="preserve"> 200</w:t>
            </w:r>
            <w:r w:rsidR="00B5663C">
              <w:t>8</w:t>
            </w:r>
            <w:r w:rsidRPr="00917560">
              <w:t xml:space="preserve"> </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152</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33. Casos atendidos en la Unidad de la Mujer de la </w:t>
            </w:r>
            <w:r w:rsidR="00B5663C" w:rsidRPr="00917560">
              <w:t>P</w:t>
            </w:r>
            <w:r w:rsidR="00B5663C">
              <w:t xml:space="preserve">rocuraduría </w:t>
            </w:r>
            <w:r w:rsidR="00B5663C" w:rsidRPr="00917560">
              <w:t>G</w:t>
            </w:r>
            <w:r w:rsidR="00B5663C">
              <w:t xml:space="preserve">eneral de la </w:t>
            </w:r>
            <w:r w:rsidR="00B5663C" w:rsidRPr="00917560">
              <w:t>N</w:t>
            </w:r>
            <w:r w:rsidR="00B5663C">
              <w:t>ación</w:t>
            </w:r>
            <w:r w:rsidRPr="00917560">
              <w:t xml:space="preserve"> 2007 </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153</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34. Beneficiarios de Servicios de Desarrollo Empresarial. Inversión realizada y distribución por sexo. 2004</w:t>
            </w:r>
            <w:r w:rsidR="00FF2C64">
              <w:t>-</w:t>
            </w:r>
            <w:r w:rsidRPr="00917560">
              <w:t xml:space="preserve">abril 2006 </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156</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35. Montos de crédito, créditos otorgados y distribución por sexo. 2004-abril 2006 </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156</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Cuadro 36. Tasas promedio de interés cobradas en créditos. Según tipo de institución.</w:t>
            </w:r>
            <w:r w:rsidR="00FF2C64">
              <w:br/>
            </w:r>
            <w:r w:rsidRPr="00917560">
              <w:t xml:space="preserve">2004-2005 </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15</w:t>
            </w:r>
            <w:r w:rsidR="00D91C68">
              <w:t>7</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37. Fincas adjudicadas por el Fondo de Tierras. 2004-2007 </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160</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38. Participación de la </w:t>
            </w:r>
            <w:r w:rsidR="00D91C68" w:rsidRPr="00917560">
              <w:t xml:space="preserve">Mujer Rural </w:t>
            </w:r>
            <w:r w:rsidRPr="00917560">
              <w:t xml:space="preserve">en la PEA y PEI </w:t>
            </w:r>
            <w:r w:rsidR="00FF2C64">
              <w:rPr>
                <w:spacing w:val="60"/>
                <w:sz w:val="17"/>
              </w:rPr>
              <w:tab/>
            </w:r>
          </w:p>
        </w:tc>
        <w:tc>
          <w:tcPr>
            <w:tcW w:w="792" w:type="dxa"/>
            <w:shd w:val="clear" w:color="auto" w:fill="auto"/>
            <w:vAlign w:val="bottom"/>
          </w:tcPr>
          <w:p w:rsidR="006C7AE8" w:rsidRPr="00981E15" w:rsidRDefault="009A5F99" w:rsidP="00EB17DC">
            <w:pPr>
              <w:spacing w:after="120"/>
              <w:jc w:val="right"/>
            </w:pPr>
            <w:r>
              <w:t>162</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39. Nivel de instrucción de las mujeres en edad fértil por área y grupo étnico </w:t>
            </w:r>
            <w:r w:rsidR="00FF2C64">
              <w:rPr>
                <w:spacing w:val="60"/>
                <w:sz w:val="17"/>
              </w:rPr>
              <w:tab/>
            </w:r>
          </w:p>
        </w:tc>
        <w:tc>
          <w:tcPr>
            <w:tcW w:w="792" w:type="dxa"/>
            <w:shd w:val="clear" w:color="auto" w:fill="auto"/>
            <w:vAlign w:val="bottom"/>
          </w:tcPr>
          <w:p w:rsidR="006C7AE8" w:rsidRPr="00981E15" w:rsidRDefault="006B3CEF" w:rsidP="00EB17DC">
            <w:pPr>
              <w:spacing w:after="120"/>
              <w:jc w:val="right"/>
            </w:pPr>
            <w:r>
              <w:t>163</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40. Becas otorgadas por el Programa </w:t>
            </w:r>
            <w:r w:rsidR="000E2967">
              <w:t>“</w:t>
            </w:r>
            <w:r w:rsidRPr="00917560">
              <w:t>Becas de la Niña Rural</w:t>
            </w:r>
            <w:r w:rsidR="000E2967">
              <w:t>”</w:t>
            </w:r>
            <w:r w:rsidRPr="00917560">
              <w:t xml:space="preserve"> </w:t>
            </w:r>
            <w:r w:rsidR="00FF2C64">
              <w:rPr>
                <w:spacing w:val="60"/>
                <w:sz w:val="17"/>
              </w:rPr>
              <w:tab/>
            </w:r>
          </w:p>
        </w:tc>
        <w:tc>
          <w:tcPr>
            <w:tcW w:w="792" w:type="dxa"/>
            <w:shd w:val="clear" w:color="auto" w:fill="auto"/>
            <w:vAlign w:val="bottom"/>
          </w:tcPr>
          <w:p w:rsidR="006C7AE8" w:rsidRPr="00981E15" w:rsidRDefault="007016DA" w:rsidP="00EB17DC">
            <w:pPr>
              <w:spacing w:after="120"/>
              <w:jc w:val="right"/>
            </w:pPr>
            <w:r>
              <w:t>165</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41. Demanda y acceso a los servicios de salud </w:t>
            </w:r>
            <w:r w:rsidR="00FF2C64">
              <w:rPr>
                <w:spacing w:val="60"/>
                <w:sz w:val="17"/>
              </w:rPr>
              <w:tab/>
            </w:r>
          </w:p>
        </w:tc>
        <w:tc>
          <w:tcPr>
            <w:tcW w:w="792" w:type="dxa"/>
            <w:shd w:val="clear" w:color="auto" w:fill="auto"/>
            <w:vAlign w:val="bottom"/>
          </w:tcPr>
          <w:p w:rsidR="006C7AE8" w:rsidRPr="00981E15" w:rsidRDefault="007016DA" w:rsidP="00EB17DC">
            <w:pPr>
              <w:spacing w:after="120"/>
              <w:jc w:val="right"/>
            </w:pPr>
            <w:r>
              <w:t>167</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42. FODIGUA. Beneficiarios por programa </w:t>
            </w:r>
            <w:r w:rsidR="000E2967">
              <w:t xml:space="preserve">en </w:t>
            </w:r>
            <w:r w:rsidRPr="00917560">
              <w:t xml:space="preserve">2006 </w:t>
            </w:r>
            <w:r w:rsidR="00FF2C64">
              <w:rPr>
                <w:spacing w:val="60"/>
                <w:sz w:val="17"/>
              </w:rPr>
              <w:tab/>
            </w:r>
          </w:p>
        </w:tc>
        <w:tc>
          <w:tcPr>
            <w:tcW w:w="792" w:type="dxa"/>
            <w:shd w:val="clear" w:color="auto" w:fill="auto"/>
            <w:vAlign w:val="bottom"/>
          </w:tcPr>
          <w:p w:rsidR="006C7AE8" w:rsidRPr="00981E15" w:rsidRDefault="007016DA" w:rsidP="00EB17DC">
            <w:pPr>
              <w:spacing w:after="120"/>
              <w:jc w:val="right"/>
            </w:pPr>
            <w:r>
              <w:t>174</w:t>
            </w:r>
          </w:p>
        </w:tc>
      </w:tr>
      <w:tr w:rsidR="006C7AE8" w:rsidRPr="00981E15">
        <w:tblPrEx>
          <w:tblCellMar>
            <w:top w:w="0" w:type="dxa"/>
            <w:bottom w:w="0" w:type="dxa"/>
          </w:tblCellMar>
        </w:tblPrEx>
        <w:tc>
          <w:tcPr>
            <w:tcW w:w="9110" w:type="dxa"/>
            <w:shd w:val="clear" w:color="auto" w:fill="auto"/>
          </w:tcPr>
          <w:p w:rsidR="006C7AE8" w:rsidRPr="00917560" w:rsidRDefault="006C7AE8" w:rsidP="00EB17DC">
            <w:pPr>
              <w:tabs>
                <w:tab w:val="right" w:pos="1080"/>
                <w:tab w:val="right" w:pos="1714"/>
                <w:tab w:val="right" w:leader="dot" w:pos="9360"/>
              </w:tabs>
              <w:spacing w:after="120"/>
              <w:ind w:left="1080"/>
            </w:pPr>
            <w:r w:rsidRPr="00917560">
              <w:t xml:space="preserve">Cuadro 43. FODIGUA. Beneficiarios por programa en 2007 </w:t>
            </w:r>
            <w:r w:rsidR="00FF2C64">
              <w:rPr>
                <w:spacing w:val="60"/>
                <w:sz w:val="17"/>
              </w:rPr>
              <w:tab/>
            </w:r>
          </w:p>
        </w:tc>
        <w:tc>
          <w:tcPr>
            <w:tcW w:w="792" w:type="dxa"/>
            <w:shd w:val="clear" w:color="auto" w:fill="auto"/>
            <w:vAlign w:val="bottom"/>
          </w:tcPr>
          <w:p w:rsidR="006C7AE8" w:rsidRPr="00981E15" w:rsidRDefault="007016DA" w:rsidP="00EB17DC">
            <w:pPr>
              <w:spacing w:after="120"/>
              <w:jc w:val="right"/>
            </w:pPr>
            <w:r>
              <w:t>174</w:t>
            </w: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Índice de anexos</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Artículos 1, 2, 3</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 Proceso de Formación de Leyes ante el Congreso de la República de Guatemala</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Cuadro 1.2 Comisiones de la Mujer de COMUDEs (CMCs) </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1.3 Oficinas Municipales de la Mujer (OMMs)</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1.4 Defensoría de la Mujer Indígena. Unidad de Psicología. Casos atendidos en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1.5 Defensoría de la Mujer Indígena. Unidad Social. Casos atendidos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1.6 Defensoría de la Mujer Indígena. Unidad Jurídica. Casos atendidos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214EAE">
            <w:pPr>
              <w:keepNext/>
              <w:keepLines/>
              <w:tabs>
                <w:tab w:val="right" w:pos="1080"/>
                <w:tab w:val="right" w:pos="1714"/>
                <w:tab w:val="left" w:pos="2160"/>
                <w:tab w:val="left" w:pos="2592"/>
                <w:tab w:val="left" w:pos="3024"/>
                <w:tab w:val="left" w:pos="3456"/>
                <w:tab w:val="right" w:leader="dot" w:pos="9360"/>
              </w:tabs>
              <w:spacing w:after="120"/>
              <w:ind w:left="1080"/>
            </w:pPr>
            <w:r w:rsidRPr="00917560">
              <w:t>Cuadro 1.7 Defensoría de la Mujer Indígena. Casos Civiles atendidos por Unidad Jurídica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1.8 Defensoría de la Mujer Indígena. Casos Civiles atendidos por Unidad Social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1.9 Defensoría de la Mujer Indígena. Casos Penales atendidos por Unidad Jurídica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1.10 Defensoría de la Mujer Indígena. Casos Administrativos Atendidos por Unidad Social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1.11 Defensoría de la Mujer Indígena. Casos Laborales atendidos por Unidad Social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1.12 Defensoría de la Mujer Indígena. Casos Laborales atendidos por Unidad Jurídica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1.13 Defensoría de la Mujer Indígena. Casos Penales atendidos por Unidad Social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1.14 Defensoría de la Mujer Indígena.Áreas atendidas durante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1.15 Defensoría de la Mujer Indígena. Unidad Jurídica. Reporte de casos conocidos de enero a septiembre 2007</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1.16 Defensoría de la Mujer Indígena. Unidad Psicológica. Conteo General enero a septiembre 2007</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Artículo 8</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8.1 Inscritos e incorporados dentro del escalafón de la Carrera del Servicio Diplomático</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Artículo 10</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10.1 CONALFA. Metodología y modalidades de atención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10.2 CONALFA - metodología y modalidades de atención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Cuadro 10.3 </w:t>
            </w:r>
            <w:r w:rsidRPr="00B43E26">
              <w:rPr>
                <w:i/>
              </w:rPr>
              <w:t>Escuelas bilingües interculturales en el interior del país</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10.4 Escuelas Normales Bilingües Interculturales</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10.5 Información sobre docentes y estudiantes bilingües, registrados en la DIGEBI</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10.6. Docentes y Estudiantes bilingües por idiomas. Estadísticas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10.7 Detalle por departamento de la cantidad de docentes y estudiantes mujeres por departamento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10.8 Detalle por idioma de la cantidad de docentes y Estudiantes por comunidad lingüística</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10.9 Mapa de presencia de docentes y estudiantes en 21 grupos lingüísticos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10.10 Mapa de presencia de DIGEBI en 16 departamentos de la República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Cuadro 10.11 Presencia de docentes con nombramiento Bilingüe o con modalidad bilingüe </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10.12 Personal Docente por sexo y Unidad Académica. USAC 2005.Cuadro 10.13 Personal Docente por sexo y Unidad Académica. USAC 2004</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10.14 Matricula Estudiantil por sexo USAC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10.15 Matricula Estudiantil por sexo USAC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10.16 Matricula Estudiantil por sexo USAC 2007</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Artículo 11</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11.1 Resumen de las propuestas de reforma al Código de Trabajo presentadas por la ONAM</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Artículo 12</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12.1 Ministerio Público. Fiscalías de Sección de la Mujer y Delitos Contra la Vida.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12.2 Ministerio Público. Fiscalías de Sección de la Mujer y Delitos Contra la Vida. 2004</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Cuadro 12.3 Oficinas de Atención a la Víctima a nivel nacional.Número de víctimas por motivo de atención – 2005. </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Cuadro 12.4 Oficinas de Atención a la Víctima a nivel nacional. Número de víctimas por motivo de atención – 2004. </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12.5 Policía Nacional Civil. Casos de homicidios de mujeres registrados a partir del 1° de enero al 31 de diciembre del 2005</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12.6 Policía Nacional Civil. Casos registrados de homicidios de mujeres del 1° de enero al 31 de diciembre del 2006</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Cuadro 12.7 Policía Nacional Civil. Casos registrados de homicidios de mujeres del 1° de enero al 31 de octubre del 2007 </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6C7AE8" w:rsidP="006C7AE8">
            <w:pPr>
              <w:tabs>
                <w:tab w:val="right" w:pos="1080"/>
                <w:tab w:val="right" w:pos="1714"/>
                <w:tab w:val="left" w:pos="2160"/>
                <w:tab w:val="left" w:pos="2592"/>
                <w:tab w:val="left" w:pos="3024"/>
                <w:tab w:val="left" w:pos="3456"/>
                <w:tab w:val="right" w:leader="dot" w:pos="9360"/>
              </w:tabs>
              <w:spacing w:after="120"/>
              <w:ind w:left="1080"/>
            </w:pPr>
            <w:r w:rsidRPr="00917560">
              <w:t>Cuadro 12.8 Policía Nacional Civil. Homicidios de personas del sexo masculino.</w:t>
            </w:r>
          </w:p>
        </w:tc>
        <w:tc>
          <w:tcPr>
            <w:tcW w:w="792" w:type="dxa"/>
            <w:shd w:val="clear" w:color="auto" w:fill="auto"/>
            <w:vAlign w:val="bottom"/>
          </w:tcPr>
          <w:p w:rsidR="006C7AE8" w:rsidRPr="00981E15" w:rsidRDefault="006C7AE8" w:rsidP="00A16706">
            <w:pPr>
              <w:spacing w:after="120"/>
              <w:jc w:val="right"/>
            </w:pPr>
          </w:p>
        </w:tc>
      </w:tr>
      <w:tr w:rsidR="006C7AE8" w:rsidRPr="00981E15">
        <w:tblPrEx>
          <w:tblCellMar>
            <w:top w:w="0" w:type="dxa"/>
            <w:bottom w:w="0" w:type="dxa"/>
          </w:tblCellMar>
        </w:tblPrEx>
        <w:tc>
          <w:tcPr>
            <w:tcW w:w="9110" w:type="dxa"/>
            <w:shd w:val="clear" w:color="auto" w:fill="auto"/>
          </w:tcPr>
          <w:p w:rsidR="006C7AE8" w:rsidRPr="00917560" w:rsidRDefault="00B43E26" w:rsidP="006C7AE8">
            <w:pPr>
              <w:tabs>
                <w:tab w:val="right" w:pos="1080"/>
                <w:tab w:val="right" w:pos="1714"/>
                <w:tab w:val="left" w:pos="2160"/>
                <w:tab w:val="left" w:pos="2592"/>
                <w:tab w:val="left" w:pos="3024"/>
                <w:tab w:val="left" w:pos="3456"/>
                <w:tab w:val="right" w:leader="dot" w:pos="9360"/>
              </w:tabs>
              <w:spacing w:after="120"/>
              <w:ind w:left="1080"/>
            </w:pPr>
            <w:r w:rsidRPr="00917560">
              <w:t>Artículo 13</w:t>
            </w:r>
          </w:p>
        </w:tc>
        <w:tc>
          <w:tcPr>
            <w:tcW w:w="792" w:type="dxa"/>
            <w:shd w:val="clear" w:color="auto" w:fill="auto"/>
            <w:vAlign w:val="bottom"/>
          </w:tcPr>
          <w:p w:rsidR="006C7AE8" w:rsidRPr="00981E15" w:rsidRDefault="006C7AE8" w:rsidP="00A16706">
            <w:pPr>
              <w:spacing w:after="120"/>
              <w:jc w:val="right"/>
            </w:pPr>
          </w:p>
        </w:tc>
      </w:tr>
      <w:tr w:rsidR="00B43E26" w:rsidRPr="00981E15">
        <w:tblPrEx>
          <w:tblCellMar>
            <w:top w:w="0" w:type="dxa"/>
            <w:bottom w:w="0" w:type="dxa"/>
          </w:tblCellMar>
        </w:tblPrEx>
        <w:tc>
          <w:tcPr>
            <w:tcW w:w="9110" w:type="dxa"/>
            <w:shd w:val="clear" w:color="auto" w:fill="auto"/>
          </w:tcPr>
          <w:p w:rsidR="00B43E26" w:rsidRPr="00917560" w:rsidRDefault="00B43E26" w:rsidP="006C7AE8">
            <w:pPr>
              <w:tabs>
                <w:tab w:val="right" w:pos="1080"/>
                <w:tab w:val="right" w:pos="1714"/>
                <w:tab w:val="left" w:pos="2160"/>
                <w:tab w:val="left" w:pos="2592"/>
                <w:tab w:val="left" w:pos="3024"/>
                <w:tab w:val="left" w:pos="3456"/>
                <w:tab w:val="right" w:leader="dot" w:pos="9360"/>
              </w:tabs>
              <w:spacing w:after="120"/>
              <w:ind w:left="1080"/>
            </w:pPr>
            <w:r w:rsidRPr="00917560">
              <w:t>Cuadro 13.1 Montos de créditos, créditos otorgados y distribución por género. 2004-2006.</w:t>
            </w:r>
          </w:p>
        </w:tc>
        <w:tc>
          <w:tcPr>
            <w:tcW w:w="792" w:type="dxa"/>
            <w:shd w:val="clear" w:color="auto" w:fill="auto"/>
            <w:vAlign w:val="bottom"/>
          </w:tcPr>
          <w:p w:rsidR="00B43E26" w:rsidRPr="00981E15" w:rsidRDefault="00B43E26" w:rsidP="00A16706">
            <w:pPr>
              <w:spacing w:after="120"/>
              <w:jc w:val="right"/>
            </w:pPr>
          </w:p>
        </w:tc>
      </w:tr>
      <w:tr w:rsidR="00B43E26" w:rsidRPr="00981E15">
        <w:tblPrEx>
          <w:tblCellMar>
            <w:top w:w="0" w:type="dxa"/>
            <w:bottom w:w="0" w:type="dxa"/>
          </w:tblCellMar>
        </w:tblPrEx>
        <w:tc>
          <w:tcPr>
            <w:tcW w:w="9110" w:type="dxa"/>
            <w:shd w:val="clear" w:color="auto" w:fill="auto"/>
          </w:tcPr>
          <w:p w:rsidR="00B43E26" w:rsidRPr="00917560" w:rsidRDefault="00B43E26" w:rsidP="006C7AE8">
            <w:pPr>
              <w:tabs>
                <w:tab w:val="right" w:pos="1080"/>
                <w:tab w:val="right" w:pos="1714"/>
                <w:tab w:val="left" w:pos="2160"/>
                <w:tab w:val="left" w:pos="2592"/>
                <w:tab w:val="left" w:pos="3024"/>
                <w:tab w:val="left" w:pos="3456"/>
                <w:tab w:val="right" w:leader="dot" w:pos="9360"/>
              </w:tabs>
              <w:spacing w:after="120"/>
              <w:ind w:left="1080"/>
            </w:pPr>
            <w:r w:rsidRPr="00917560">
              <w:t>Cuadro 13.2 Fondo Nacional para la Reactivación y Modernización de la Actividad Agropecuaria.</w:t>
            </w:r>
            <w:r>
              <w:t xml:space="preserve"> </w:t>
            </w:r>
            <w:r w:rsidRPr="00917560">
              <w:t>Apoyo financiero a organizaciones de mujeres.</w:t>
            </w:r>
          </w:p>
        </w:tc>
        <w:tc>
          <w:tcPr>
            <w:tcW w:w="792" w:type="dxa"/>
            <w:shd w:val="clear" w:color="auto" w:fill="auto"/>
            <w:vAlign w:val="bottom"/>
          </w:tcPr>
          <w:p w:rsidR="00B43E26" w:rsidRPr="00981E15" w:rsidRDefault="00B43E26" w:rsidP="00A16706">
            <w:pPr>
              <w:spacing w:after="120"/>
              <w:jc w:val="right"/>
            </w:pPr>
          </w:p>
        </w:tc>
      </w:tr>
      <w:tr w:rsidR="00B43E26" w:rsidRPr="00981E15">
        <w:tblPrEx>
          <w:tblCellMar>
            <w:top w:w="0" w:type="dxa"/>
            <w:bottom w:w="0" w:type="dxa"/>
          </w:tblCellMar>
        </w:tblPrEx>
        <w:tc>
          <w:tcPr>
            <w:tcW w:w="9110" w:type="dxa"/>
            <w:shd w:val="clear" w:color="auto" w:fill="auto"/>
          </w:tcPr>
          <w:p w:rsidR="00B43E26" w:rsidRPr="00917560" w:rsidRDefault="00B43E26" w:rsidP="006C7AE8">
            <w:pPr>
              <w:tabs>
                <w:tab w:val="right" w:pos="1080"/>
                <w:tab w:val="right" w:pos="1714"/>
                <w:tab w:val="left" w:pos="2160"/>
                <w:tab w:val="left" w:pos="2592"/>
                <w:tab w:val="left" w:pos="3024"/>
                <w:tab w:val="left" w:pos="3456"/>
                <w:tab w:val="right" w:leader="dot" w:pos="9360"/>
              </w:tabs>
              <w:spacing w:after="120"/>
              <w:ind w:left="1080"/>
            </w:pPr>
            <w:r w:rsidRPr="00917560">
              <w:t xml:space="preserve">Cuadro 13.4 Fondo de Tierras. Programa de Acceso a la Tierra. Fincas entregadas por departamento </w:t>
            </w:r>
            <w:r>
              <w:t>y por sexo 2004-2007</w:t>
            </w:r>
          </w:p>
        </w:tc>
        <w:tc>
          <w:tcPr>
            <w:tcW w:w="792" w:type="dxa"/>
            <w:shd w:val="clear" w:color="auto" w:fill="auto"/>
            <w:vAlign w:val="bottom"/>
          </w:tcPr>
          <w:p w:rsidR="00B43E26" w:rsidRPr="00981E15" w:rsidRDefault="00B43E26" w:rsidP="00A16706">
            <w:pPr>
              <w:spacing w:after="120"/>
              <w:jc w:val="right"/>
            </w:pPr>
          </w:p>
        </w:tc>
      </w:tr>
      <w:tr w:rsidR="00B43E26" w:rsidRPr="00981E15">
        <w:tblPrEx>
          <w:tblCellMar>
            <w:top w:w="0" w:type="dxa"/>
            <w:bottom w:w="0" w:type="dxa"/>
          </w:tblCellMar>
        </w:tblPrEx>
        <w:tc>
          <w:tcPr>
            <w:tcW w:w="9110" w:type="dxa"/>
            <w:shd w:val="clear" w:color="auto" w:fill="auto"/>
          </w:tcPr>
          <w:p w:rsidR="00B43E26" w:rsidRPr="00917560" w:rsidRDefault="00B43E26" w:rsidP="006C7AE8">
            <w:pPr>
              <w:tabs>
                <w:tab w:val="right" w:pos="1080"/>
                <w:tab w:val="right" w:pos="1714"/>
                <w:tab w:val="left" w:pos="2160"/>
                <w:tab w:val="left" w:pos="2592"/>
                <w:tab w:val="left" w:pos="3024"/>
                <w:tab w:val="left" w:pos="3456"/>
                <w:tab w:val="right" w:leader="dot" w:pos="9360"/>
              </w:tabs>
              <w:spacing w:after="120"/>
              <w:ind w:left="1080"/>
            </w:pPr>
            <w:r w:rsidRPr="00917560">
              <w:t>Cuadro 13.5 Fondo de Tierras. Consolidado de actividades. Sede Quetzaltenango 2006</w:t>
            </w:r>
          </w:p>
        </w:tc>
        <w:tc>
          <w:tcPr>
            <w:tcW w:w="792" w:type="dxa"/>
            <w:shd w:val="clear" w:color="auto" w:fill="auto"/>
            <w:vAlign w:val="bottom"/>
          </w:tcPr>
          <w:p w:rsidR="00B43E26" w:rsidRPr="00981E15" w:rsidRDefault="00B43E26" w:rsidP="00A16706">
            <w:pPr>
              <w:spacing w:after="120"/>
              <w:jc w:val="right"/>
            </w:pPr>
          </w:p>
        </w:tc>
      </w:tr>
      <w:tr w:rsidR="00B43E26" w:rsidRPr="00981E15">
        <w:tblPrEx>
          <w:tblCellMar>
            <w:top w:w="0" w:type="dxa"/>
            <w:bottom w:w="0" w:type="dxa"/>
          </w:tblCellMar>
        </w:tblPrEx>
        <w:tc>
          <w:tcPr>
            <w:tcW w:w="9110" w:type="dxa"/>
            <w:shd w:val="clear" w:color="auto" w:fill="auto"/>
          </w:tcPr>
          <w:p w:rsidR="00B43E26" w:rsidRPr="00917560" w:rsidRDefault="00B43E26" w:rsidP="006C7AE8">
            <w:pPr>
              <w:tabs>
                <w:tab w:val="right" w:pos="1080"/>
                <w:tab w:val="right" w:pos="1714"/>
                <w:tab w:val="left" w:pos="2160"/>
                <w:tab w:val="left" w:pos="2592"/>
                <w:tab w:val="left" w:pos="3024"/>
                <w:tab w:val="left" w:pos="3456"/>
                <w:tab w:val="right" w:leader="dot" w:pos="9360"/>
              </w:tabs>
              <w:spacing w:after="120"/>
              <w:ind w:left="1080"/>
            </w:pPr>
            <w:r w:rsidRPr="00917560">
              <w:t>Cuadro 13.6 Fondo de Tierras. Unidad de Género de Quetzaltenango 2006</w:t>
            </w:r>
          </w:p>
        </w:tc>
        <w:tc>
          <w:tcPr>
            <w:tcW w:w="792" w:type="dxa"/>
            <w:shd w:val="clear" w:color="auto" w:fill="auto"/>
            <w:vAlign w:val="bottom"/>
          </w:tcPr>
          <w:p w:rsidR="00B43E26" w:rsidRPr="00981E15" w:rsidRDefault="00B43E26" w:rsidP="00A16706">
            <w:pPr>
              <w:spacing w:after="120"/>
              <w:jc w:val="right"/>
            </w:pPr>
          </w:p>
        </w:tc>
      </w:tr>
      <w:tr w:rsidR="00B43E26" w:rsidRPr="00981E15">
        <w:tblPrEx>
          <w:tblCellMar>
            <w:top w:w="0" w:type="dxa"/>
            <w:bottom w:w="0" w:type="dxa"/>
          </w:tblCellMar>
        </w:tblPrEx>
        <w:tc>
          <w:tcPr>
            <w:tcW w:w="9110" w:type="dxa"/>
            <w:shd w:val="clear" w:color="auto" w:fill="auto"/>
          </w:tcPr>
          <w:p w:rsidR="00B43E26" w:rsidRPr="00917560" w:rsidRDefault="00B43E26" w:rsidP="006C7AE8">
            <w:pPr>
              <w:tabs>
                <w:tab w:val="right" w:pos="1080"/>
                <w:tab w:val="right" w:pos="1714"/>
                <w:tab w:val="left" w:pos="2160"/>
                <w:tab w:val="left" w:pos="2592"/>
                <w:tab w:val="left" w:pos="3024"/>
                <w:tab w:val="left" w:pos="3456"/>
                <w:tab w:val="right" w:leader="dot" w:pos="9360"/>
              </w:tabs>
              <w:spacing w:after="120"/>
              <w:ind w:left="1080"/>
            </w:pPr>
            <w:r w:rsidRPr="00917560">
              <w:t>Cuadro 13.7 Programas de la Secretaría de Obras Sociales de la Esposa del Presidente (SOSEP)</w:t>
            </w:r>
          </w:p>
        </w:tc>
        <w:tc>
          <w:tcPr>
            <w:tcW w:w="792" w:type="dxa"/>
            <w:shd w:val="clear" w:color="auto" w:fill="auto"/>
            <w:vAlign w:val="bottom"/>
          </w:tcPr>
          <w:p w:rsidR="00B43E26" w:rsidRPr="00981E15" w:rsidRDefault="00B43E26" w:rsidP="00A16706">
            <w:pPr>
              <w:spacing w:after="120"/>
              <w:jc w:val="right"/>
            </w:pPr>
          </w:p>
        </w:tc>
      </w:tr>
    </w:tbl>
    <w:p w:rsidR="00423D15" w:rsidRPr="00981E15" w:rsidRDefault="00423D15" w:rsidP="00A16706">
      <w:pPr>
        <w:pStyle w:val="SingleTxt"/>
        <w:suppressAutoHyphens/>
      </w:pPr>
    </w:p>
    <w:p w:rsidR="00423D15" w:rsidRPr="00981E15" w:rsidRDefault="00423D15" w:rsidP="00423D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br w:type="page"/>
      </w:r>
      <w:r w:rsidRPr="00981E15">
        <w:tab/>
      </w:r>
      <w:r w:rsidRPr="00981E15">
        <w:tab/>
        <w:t>Presentación</w:t>
      </w:r>
    </w:p>
    <w:p w:rsidR="00423D15" w:rsidRPr="00981E15" w:rsidRDefault="00423D15" w:rsidP="00423D15">
      <w:pPr>
        <w:pStyle w:val="SingleTxt"/>
        <w:suppressAutoHyphens/>
        <w:spacing w:after="0" w:line="120" w:lineRule="exact"/>
        <w:rPr>
          <w:sz w:val="10"/>
        </w:rPr>
      </w:pPr>
    </w:p>
    <w:p w:rsidR="00423D15" w:rsidRPr="00981E15" w:rsidRDefault="00423D15" w:rsidP="00423D15">
      <w:pPr>
        <w:pStyle w:val="SingleTxt"/>
        <w:suppressAutoHyphens/>
        <w:spacing w:after="0" w:line="120" w:lineRule="exact"/>
        <w:rPr>
          <w:sz w:val="10"/>
        </w:rPr>
      </w:pPr>
    </w:p>
    <w:p w:rsidR="00423D15" w:rsidRPr="00981E15" w:rsidRDefault="00423D15" w:rsidP="00423D15">
      <w:pPr>
        <w:pStyle w:val="SingleTxt"/>
        <w:numPr>
          <w:ilvl w:val="0"/>
          <w:numId w:val="8"/>
        </w:numPr>
        <w:tabs>
          <w:tab w:val="clear" w:pos="475"/>
          <w:tab w:val="num" w:pos="1742"/>
        </w:tabs>
        <w:suppressAutoHyphens/>
        <w:ind w:left="1267"/>
      </w:pPr>
      <w:r w:rsidRPr="00981E15">
        <w:t xml:space="preserve">El Estado de Guatemala al ratificar </w:t>
      </w:r>
      <w:smartTag w:uri="urn:schemas-microsoft-com:office:smarttags" w:element="PersonName">
        <w:smartTagPr>
          <w:attr w:name="ProductID" w:val="la Convenci￳n"/>
        </w:smartTagPr>
        <w:r w:rsidRPr="00981E15">
          <w:t>la Convención</w:t>
        </w:r>
      </w:smartTag>
      <w:r w:rsidRPr="00981E15">
        <w:t xml:space="preserve"> para </w:t>
      </w:r>
      <w:smartTag w:uri="urn:schemas-microsoft-com:office:smarttags" w:element="PersonName">
        <w:smartTagPr>
          <w:attr w:name="ProductID" w:val="la Eliminaci￳n"/>
        </w:smartTagPr>
        <w:r w:rsidRPr="00981E15">
          <w:t>la Eliminación</w:t>
        </w:r>
      </w:smartTag>
      <w:r w:rsidRPr="00981E15">
        <w:t xml:space="preserve"> de Todas las Formas de Discriminación en Contra de </w:t>
      </w:r>
      <w:smartTag w:uri="urn:schemas-microsoft-com:office:smarttags" w:element="PersonName">
        <w:smartTagPr>
          <w:attr w:name="ProductID" w:val="la Mujer"/>
        </w:smartTagPr>
        <w:r w:rsidRPr="00981E15">
          <w:t>la Mujer</w:t>
        </w:r>
      </w:smartTag>
      <w:r w:rsidRPr="00981E15">
        <w:t xml:space="preserve"> (CEDAW por sus siglas en inglés) reconoce el papel preponderante que debe desempeñar para modificar la situación de desigualdad entre mujeres y hombres.</w:t>
      </w:r>
      <w:r w:rsidR="002265E3" w:rsidRPr="00981E15">
        <w:t xml:space="preserve"> </w:t>
      </w:r>
      <w:r w:rsidRPr="00981E15">
        <w:t xml:space="preserve">A la vez, compromete toda su institucionalidad hacia el objetivo de atender las causas de desigualdad de género de acuerdo al carácter integral de </w:t>
      </w:r>
      <w:smartTag w:uri="urn:schemas-microsoft-com:office:smarttags" w:element="PersonName">
        <w:smartTagPr>
          <w:attr w:name="ProductID" w:val="la Convenci￳n"/>
        </w:smartTagPr>
        <w:r w:rsidRPr="00981E15">
          <w:t>la Convención</w:t>
        </w:r>
      </w:smartTag>
      <w:r w:rsidRPr="00981E15">
        <w:t xml:space="preserve"> y a dar cumplimiento a las recomendaciones del Comité de la CEDAW.</w:t>
      </w:r>
      <w:r w:rsidR="002265E3" w:rsidRPr="00981E15">
        <w:t xml:space="preserve"> </w:t>
      </w:r>
      <w:r w:rsidRPr="00981E15">
        <w:t xml:space="preserve">Esta posición está en congruencia con la perspectiva multidimensional de la desigualdad que postulan la mayoría de organizaciones de mujeres activas hacia la igualdad entre mujeres y hombres en el país, así como con la academia que desarrolla investigación en torno a la producción y reproducción de la desigualdad de género. </w:t>
      </w:r>
    </w:p>
    <w:p w:rsidR="00423D15" w:rsidRPr="00981E15" w:rsidRDefault="00423D15" w:rsidP="00423D15">
      <w:pPr>
        <w:pStyle w:val="SingleTxt"/>
        <w:numPr>
          <w:ilvl w:val="0"/>
          <w:numId w:val="8"/>
        </w:numPr>
        <w:tabs>
          <w:tab w:val="clear" w:pos="475"/>
          <w:tab w:val="num" w:pos="1742"/>
        </w:tabs>
        <w:suppressAutoHyphens/>
        <w:ind w:left="1267"/>
      </w:pPr>
      <w:r w:rsidRPr="00981E15">
        <w:t xml:space="preserve">Desde esta perspectiva multidimensional de la desigualdad, las recomendaciones expuestas por el Comité de </w:t>
      </w:r>
      <w:smartTag w:uri="urn:schemas-microsoft-com:office:smarttags" w:element="PersonName">
        <w:smartTagPr>
          <w:attr w:name="ProductID" w:val="la CEDAW"/>
        </w:smartTagPr>
        <w:r w:rsidRPr="00981E15">
          <w:t>la CEDAW</w:t>
        </w:r>
      </w:smartTag>
      <w:r w:rsidRPr="00981E15">
        <w:t xml:space="preserve"> al Estado de Guatemala, plantean que la plena satisfacción de los derechos humanos de las mujeres precisa la superación de las relaciones de subordinación entre los géneros en los diferentes ámbitos de la vida política, social, económica, así como en la familiar, e incluso la simbólica. Considerando ésta última, los estereotipos de género presentes en los medios de comunicación, y otros documentos de pública difusión afectan a las identidades de hombres y mujeres, socializando de manera individual y colectiva hacia culturas o cosmovisiones más o menos proclives, más o menos reticentes, a la igualdad de oportunidades entre hombres y mujeres. </w:t>
      </w:r>
    </w:p>
    <w:p w:rsidR="00423D15" w:rsidRPr="00981E15" w:rsidRDefault="00423D15" w:rsidP="00423D15">
      <w:pPr>
        <w:pStyle w:val="SingleTxt"/>
        <w:numPr>
          <w:ilvl w:val="0"/>
          <w:numId w:val="8"/>
        </w:numPr>
        <w:tabs>
          <w:tab w:val="clear" w:pos="475"/>
          <w:tab w:val="num" w:pos="1742"/>
        </w:tabs>
        <w:suppressAutoHyphens/>
        <w:ind w:left="1267"/>
      </w:pPr>
      <w:r w:rsidRPr="00981E15">
        <w:t xml:space="preserve">Las recomendaciones del Comité para Guatemala, abundan con relación al cambio cultural necesario para avanzar hacia la igualdad, haciendo llamados a la revisión de los materiales escolares, la sensibilización de parlamentarios y parlamentarias, el empoderamiento de las mujeres y la difusión de sus derechos, el uso de campañas de comunicación para difundir </w:t>
      </w:r>
      <w:smartTag w:uri="urn:schemas-microsoft-com:office:smarttags" w:element="PersonName">
        <w:smartTagPr>
          <w:attr w:name="ProductID" w:val="la Convenci￳n"/>
        </w:smartTagPr>
        <w:r w:rsidRPr="00981E15">
          <w:t>la Convención</w:t>
        </w:r>
      </w:smartTag>
      <w:r w:rsidRPr="00981E15">
        <w:t xml:space="preserve"> y sus valores. </w:t>
      </w:r>
    </w:p>
    <w:p w:rsidR="00423D15" w:rsidRPr="00981E15" w:rsidRDefault="00423D15" w:rsidP="00423D15">
      <w:pPr>
        <w:pStyle w:val="SingleTxt"/>
        <w:numPr>
          <w:ilvl w:val="0"/>
          <w:numId w:val="8"/>
        </w:numPr>
        <w:tabs>
          <w:tab w:val="clear" w:pos="475"/>
          <w:tab w:val="num" w:pos="1742"/>
        </w:tabs>
        <w:suppressAutoHyphens/>
        <w:ind w:left="1267"/>
      </w:pPr>
      <w:r w:rsidRPr="00981E15">
        <w:t>La desigualdad entre hombres y mujeres en Guatemala, históricamente se ha mantenido por medio de una concepción cultural –activa tanto entre la población maya, como mestiza, xinka y garífuna-, que separa las cuestiones “propias”, esencias o “disposición natural” de hombres y de las mujeres, y que a su vez expresa o traduce de manera consistente en la distribución desigual de recursos y oportunidades entre unas y otros, en las diversas esferas.</w:t>
      </w:r>
      <w:r w:rsidR="002265E3" w:rsidRPr="00981E15">
        <w:t xml:space="preserve"> </w:t>
      </w:r>
      <w:r w:rsidRPr="00981E15">
        <w:t>Esto se evidencia en el hecho de que las mujeres tienen un menor acceso a los puestos de toma de decisiones en el campo político y en organizaciones privadas como en las empresas, obtienen menores ingresos por similares trabajos y calificaciones, o en un gran número padecen sistemáticamente en sus hogares de violencia ejercida por sus parejas o familiares varones.</w:t>
      </w:r>
    </w:p>
    <w:p w:rsidR="00423D15" w:rsidRPr="00981E15" w:rsidRDefault="00423D15" w:rsidP="00423D15">
      <w:pPr>
        <w:pStyle w:val="SingleTxt"/>
        <w:numPr>
          <w:ilvl w:val="0"/>
          <w:numId w:val="8"/>
        </w:numPr>
        <w:tabs>
          <w:tab w:val="clear" w:pos="475"/>
          <w:tab w:val="num" w:pos="1742"/>
        </w:tabs>
        <w:suppressAutoHyphens/>
        <w:ind w:left="1267"/>
      </w:pPr>
      <w:r w:rsidRPr="00981E15">
        <w:t>Si bien el Estado de Guatemala ha realizado acciones y actividades en todas esas esferas, los resultados obtenidos hacia la igualdad y la equidad varían considerablemente.</w:t>
      </w:r>
      <w:r w:rsidR="002265E3" w:rsidRPr="00981E15">
        <w:t xml:space="preserve"> </w:t>
      </w:r>
      <w:r w:rsidRPr="00981E15">
        <w:t xml:space="preserve">Las recomendaciones del Comité son un recordatorio de la necesidad de involucrar a toda la institucionalidad del Estado, y hacerlo de manera sostenida, con resultados ponderables del avance de las mujeres y la reducción de la brecha de género en cada una de ellas, utilizando entre otros mecanismos ya propuestos por </w:t>
      </w:r>
      <w:smartTag w:uri="urn:schemas-microsoft-com:office:smarttags" w:element="PersonName">
        <w:smartTagPr>
          <w:attr w:name="ProductID" w:val="la Convenci￳n"/>
        </w:smartTagPr>
        <w:r w:rsidRPr="00981E15">
          <w:t>la Convención</w:t>
        </w:r>
      </w:smartTag>
      <w:r w:rsidRPr="00981E15">
        <w:t>, y también reflejados en la legislación nacional, como las medidas compensatorias de carácter temporal o acción afirmativa, así como la sanción a personas, empresas o instituciones que actúen desatendiendo la obligatoriedad del principio de igualdad entre hombres y mujeres.</w:t>
      </w:r>
    </w:p>
    <w:p w:rsidR="00423D15" w:rsidRPr="00981E15" w:rsidRDefault="00423D15" w:rsidP="00423D15">
      <w:pPr>
        <w:pStyle w:val="SingleTxt"/>
        <w:numPr>
          <w:ilvl w:val="0"/>
          <w:numId w:val="8"/>
        </w:numPr>
        <w:tabs>
          <w:tab w:val="clear" w:pos="475"/>
          <w:tab w:val="num" w:pos="1742"/>
        </w:tabs>
        <w:suppressAutoHyphens/>
        <w:ind w:left="1267"/>
      </w:pPr>
      <w:r w:rsidRPr="00981E15">
        <w:t>La conformación patriarcal y su consiguiente distribución desigual de derechos y deberes entre hombres y mujeres es un rasgo común en diferentes culturas y países, Guatemala no es una excepción.</w:t>
      </w:r>
      <w:r w:rsidR="002265E3" w:rsidRPr="00981E15">
        <w:t xml:space="preserve"> </w:t>
      </w:r>
      <w:r w:rsidRPr="00981E15">
        <w:t>Antes bien, se puede decir que los diferentes factores históricos habrían contribuido a fortalecer en Guatemala la “naturalización” de este orden.</w:t>
      </w:r>
      <w:r w:rsidR="002265E3" w:rsidRPr="00981E15">
        <w:t xml:space="preserve"> </w:t>
      </w:r>
      <w:r w:rsidRPr="00981E15">
        <w:t>Entre ellos podemos mencionar:</w:t>
      </w:r>
    </w:p>
    <w:p w:rsidR="00423D15" w:rsidRPr="00981E15" w:rsidRDefault="00A84E51" w:rsidP="00A84E51">
      <w:pPr>
        <w:pStyle w:val="SingleTxt"/>
        <w:tabs>
          <w:tab w:val="right" w:pos="1685"/>
        </w:tabs>
        <w:suppressAutoHyphens/>
        <w:ind w:left="1742" w:hanging="475"/>
      </w:pPr>
      <w:r w:rsidRPr="00981E15">
        <w:rPr>
          <w:i/>
        </w:rPr>
        <w:tab/>
        <w:t>•</w:t>
      </w:r>
      <w:r w:rsidRPr="00981E15">
        <w:rPr>
          <w:i/>
        </w:rPr>
        <w:tab/>
      </w:r>
      <w:r w:rsidR="00423D15" w:rsidRPr="00981E15">
        <w:rPr>
          <w:i/>
        </w:rPr>
        <w:t>El conflicto armado interno que se desarrolló durante casi treinta y seis años.</w:t>
      </w:r>
      <w:r w:rsidR="00423D15" w:rsidRPr="00981E15">
        <w:t xml:space="preserve"> Los gobiernos militares del pasado y sus estructuras, el uso de armas, y de la fuerza de la violencia física en general tienen grados muy altos de masculinización en todas las sociedades.</w:t>
      </w:r>
      <w:r w:rsidR="002265E3" w:rsidRPr="00981E15">
        <w:t xml:space="preserve"> </w:t>
      </w:r>
      <w:r w:rsidR="00423D15" w:rsidRPr="00981E15">
        <w:t>Dentro de este esquema militar, las mujeres han tendido históricamente a no estar presentes en posiciones de poder, y ellas así como todo aquello considerado femenino, son susceptibles de devaluación en el discurso hegemónico al respecto de su capacidad de liderazgo.</w:t>
      </w:r>
      <w:r w:rsidR="002265E3" w:rsidRPr="00981E15">
        <w:t xml:space="preserve"> </w:t>
      </w:r>
      <w:r w:rsidR="00423D15" w:rsidRPr="00981E15">
        <w:t>Su presencia en este tipo de modelos a menudo sólo se hace visible desde una óptica positiva en el perfil de madres abnegadas con predisposición a la renuncia de los propios derechos.</w:t>
      </w:r>
      <w:r w:rsidR="002265E3" w:rsidRPr="00981E15">
        <w:t xml:space="preserve"> </w:t>
      </w:r>
      <w:r w:rsidR="00423D15" w:rsidRPr="00981E15">
        <w:t>Sin embargo es preciso reconocer que durante la guerra interna, las mujeres se vieron obligadas a salir de ese patrón tradicional, teniendo que enfrentar las jefaturas de hogar y constituirse en protectoras de la unidad familiar, debido al proceso de desintegración familiar que se generó.</w:t>
      </w:r>
      <w:r w:rsidR="002265E3" w:rsidRPr="00981E15">
        <w:t xml:space="preserve"> </w:t>
      </w:r>
      <w:r w:rsidR="00423D15" w:rsidRPr="00981E15">
        <w:t>La modalidad de enfrentar esta situación, tuvo varios escenarios para la mujer, pasando desde la permanencia en sus hogares y corriendo los riesgos que ello implicaba, hasta trasladarse y migrar incluso a otros países, teniendo que enfrentar el fenómeno de refugiadas, lo cual también les implicó otros riesgos desconocidos. Estos escenarios empezaron a marcar los nuevos y diversos roles que las mujeres enfrentarían.</w:t>
      </w:r>
      <w:r w:rsidR="002265E3" w:rsidRPr="00981E15">
        <w:t xml:space="preserve"> </w:t>
      </w:r>
    </w:p>
    <w:p w:rsidR="00423D15" w:rsidRPr="00981E15" w:rsidRDefault="00A84E51" w:rsidP="00A84E51">
      <w:pPr>
        <w:pStyle w:val="SingleTxt"/>
        <w:tabs>
          <w:tab w:val="right" w:pos="1685"/>
        </w:tabs>
        <w:suppressAutoHyphens/>
        <w:ind w:left="1742" w:hanging="475"/>
      </w:pPr>
      <w:r w:rsidRPr="00981E15">
        <w:rPr>
          <w:i/>
        </w:rPr>
        <w:tab/>
        <w:t>•</w:t>
      </w:r>
      <w:r w:rsidRPr="00981E15">
        <w:rPr>
          <w:i/>
        </w:rPr>
        <w:tab/>
      </w:r>
      <w:r w:rsidR="00423D15" w:rsidRPr="00981E15">
        <w:rPr>
          <w:i/>
        </w:rPr>
        <w:t xml:space="preserve">La desigualdad existente que se expresa en las diferencias de acceso y oportunidad entre hombres y mujeres, indígenas y mestizos, sectores rurales y urbanos. </w:t>
      </w:r>
      <w:r w:rsidR="00423D15" w:rsidRPr="00981E15">
        <w:t>El diferencial existente de acceso por parte de los diferentes grupos y pueblos a recursos ya sea económicos, de participación en la toma de decisiones, y en general de contar con alternativas reales de opción, -personales y/o colectivas-, ha tendido a expresarse en el discurso mayoritario como expresión de las desigualdades de capacidades, e incluso de “naturaleza” de las personas y/o los grupos de ellas.</w:t>
      </w:r>
      <w:r w:rsidR="002265E3" w:rsidRPr="00981E15">
        <w:t xml:space="preserve"> </w:t>
      </w:r>
    </w:p>
    <w:p w:rsidR="00423D15" w:rsidRPr="00981E15" w:rsidRDefault="00A84E51" w:rsidP="00A84E51">
      <w:pPr>
        <w:pStyle w:val="SingleTxt"/>
        <w:tabs>
          <w:tab w:val="right" w:pos="1685"/>
        </w:tabs>
        <w:suppressAutoHyphens/>
        <w:ind w:left="1742" w:hanging="475"/>
      </w:pPr>
      <w:r w:rsidRPr="00981E15">
        <w:rPr>
          <w:i/>
        </w:rPr>
        <w:tab/>
        <w:t>•</w:t>
      </w:r>
      <w:r w:rsidRPr="00981E15">
        <w:rPr>
          <w:i/>
        </w:rPr>
        <w:tab/>
      </w:r>
      <w:r w:rsidR="00423D15" w:rsidRPr="00981E15">
        <w:rPr>
          <w:i/>
        </w:rPr>
        <w:t>La debilidad del Estado para salvaguardar los derechos de las personas, recogidos en la legislación guatemalteca como en la legislación internacional suscrita por Guatemala, que tiene su contrapartida en la reducida conciencia de las mismas de ser sujetas de derechos inalienables.</w:t>
      </w:r>
      <w:r w:rsidR="002265E3" w:rsidRPr="00981E15">
        <w:t xml:space="preserve"> </w:t>
      </w:r>
      <w:r w:rsidR="00423D15" w:rsidRPr="00981E15">
        <w:t>El círculo vicioso descrito resulta en una percepción de la realidad en la que la exclusión o discriminación son interpretadas bien como mera responsabilidad de las personas que las sufren, bien como una “desgracia” individualizada en la víctima sobre la que no aplica buscar responsables y/o garantes del derecho.</w:t>
      </w:r>
      <w:r w:rsidR="002265E3" w:rsidRPr="00981E15">
        <w:t xml:space="preserve"> </w:t>
      </w:r>
      <w:r w:rsidR="00423D15" w:rsidRPr="00981E15">
        <w:t>Al respecto, es significativo por ejemplo el bajo porcentaje de denuncias que realizan las ciudadanas y ciudadanos cuando son víctimas de delitos, incluso de aquellos de la gravedad como el homicidio.</w:t>
      </w:r>
      <w:r w:rsidR="002265E3" w:rsidRPr="00981E15">
        <w:t xml:space="preserve"> </w:t>
      </w:r>
      <w:r w:rsidR="00423D15" w:rsidRPr="00981E15">
        <w:t>Este estado de situación provoca que la vulneración de derechos que ocasiona la desigualdad y la discriminación contra las mujeres llegue a ser vista en ocasiones como “mal menor” y en el peor de los casos, como consecuencia de su inhabilidad o incapacidad para desenvolverse en una sociedad meritocrática.</w:t>
      </w:r>
    </w:p>
    <w:p w:rsidR="00423D15" w:rsidRPr="00981E15" w:rsidRDefault="00423D15" w:rsidP="00423D15">
      <w:pPr>
        <w:pStyle w:val="SingleTxt"/>
        <w:numPr>
          <w:ilvl w:val="0"/>
          <w:numId w:val="8"/>
        </w:numPr>
        <w:tabs>
          <w:tab w:val="clear" w:pos="475"/>
          <w:tab w:val="num" w:pos="1742"/>
        </w:tabs>
        <w:suppressAutoHyphens/>
        <w:ind w:left="1267"/>
      </w:pPr>
      <w:r w:rsidRPr="00981E15">
        <w:t xml:space="preserve">El desarrollo del presente Informe fue preparado por </w:t>
      </w:r>
      <w:smartTag w:uri="urn:schemas-microsoft-com:office:smarttags" w:element="PersonName">
        <w:smartTagPr>
          <w:attr w:name="ProductID" w:val="la Secretar￭a Presidencial"/>
        </w:smartTagPr>
        <w:r w:rsidRPr="00981E15">
          <w:t>la Secretaría Presidencial</w:t>
        </w:r>
      </w:smartTag>
      <w:r w:rsidRPr="00981E15">
        <w:t xml:space="preserve"> de </w:t>
      </w:r>
      <w:smartTag w:uri="urn:schemas-microsoft-com:office:smarttags" w:element="PersonName">
        <w:smartTagPr>
          <w:attr w:name="ProductID" w:val="la Mujer"/>
        </w:smartTagPr>
        <w:r w:rsidRPr="00981E15">
          <w:t>la Mujer</w:t>
        </w:r>
      </w:smartTag>
      <w:r w:rsidRPr="00981E15">
        <w:t xml:space="preserve"> (SEPREM), como el mecanismo nacional al más alto nivel para el avance de las mujeres y como órgano rector de Organismo Ejecutivo para la promoción de las políticas públicas pro-equidad e igualdad de género.</w:t>
      </w:r>
      <w:r w:rsidR="002265E3" w:rsidRPr="00981E15">
        <w:t xml:space="preserve"> </w:t>
      </w:r>
      <w:r w:rsidRPr="00981E15">
        <w:t xml:space="preserve">Se contó con la asistencia y asesoría técnica de </w:t>
      </w:r>
      <w:smartTag w:uri="urn:schemas-microsoft-com:office:smarttags" w:element="PersonName">
        <w:smartTagPr>
          <w:attr w:name="ProductID" w:val="la Oficina"/>
        </w:smartTagPr>
        <w:r w:rsidRPr="00981E15">
          <w:t>la Oficina</w:t>
        </w:r>
      </w:smartTag>
      <w:r w:rsidRPr="00981E15">
        <w:t xml:space="preserve"> del Alto Comisionado de los Derechos Humanos en Guatemala (OACNUDH).</w:t>
      </w:r>
    </w:p>
    <w:p w:rsidR="00423D15" w:rsidRPr="00981E15" w:rsidRDefault="00423D15" w:rsidP="00423D15">
      <w:pPr>
        <w:pStyle w:val="SingleTxt"/>
        <w:numPr>
          <w:ilvl w:val="0"/>
          <w:numId w:val="8"/>
        </w:numPr>
        <w:tabs>
          <w:tab w:val="clear" w:pos="475"/>
          <w:tab w:val="num" w:pos="1742"/>
        </w:tabs>
        <w:suppressAutoHyphens/>
        <w:ind w:left="1267"/>
      </w:pPr>
      <w:r w:rsidRPr="00981E15">
        <w:t xml:space="preserve">Es importante destacar que la preparación de este Séptimo Informe es el resultado de una metodología de trabajo novedosa, propuesta y coordinada con </w:t>
      </w:r>
      <w:smartTag w:uri="urn:schemas-microsoft-com:office:smarttags" w:element="PersonName">
        <w:smartTagPr>
          <w:attr w:name="ProductID" w:val="la Oficina"/>
        </w:smartTagPr>
        <w:r w:rsidRPr="00981E15">
          <w:t>la Oficina</w:t>
        </w:r>
      </w:smartTag>
      <w:r w:rsidRPr="00981E15">
        <w:t xml:space="preserve"> del Alto Comisionado de los Derechos Humanos en Guatemala y </w:t>
      </w:r>
      <w:smartTag w:uri="urn:schemas-microsoft-com:office:smarttags" w:element="PersonName">
        <w:smartTagPr>
          <w:attr w:name="ProductID" w:val="la Secretar￭a Presidencial"/>
        </w:smartTagPr>
        <w:r w:rsidRPr="00981E15">
          <w:t>la Secretaría Presidencial</w:t>
        </w:r>
      </w:smartTag>
      <w:r w:rsidRPr="00981E15">
        <w:t xml:space="preserve"> de </w:t>
      </w:r>
      <w:smartTag w:uri="urn:schemas-microsoft-com:office:smarttags" w:element="PersonName">
        <w:smartTagPr>
          <w:attr w:name="ProductID" w:val="la Mujer"/>
        </w:smartTagPr>
        <w:r w:rsidRPr="00981E15">
          <w:t>la Mujer</w:t>
        </w:r>
      </w:smartTag>
      <w:r w:rsidRPr="00981E15">
        <w:t>, en la preparación de este tipo de informes.</w:t>
      </w:r>
      <w:r w:rsidR="002265E3" w:rsidRPr="00981E15">
        <w:t xml:space="preserve"> </w:t>
      </w:r>
      <w:r w:rsidRPr="00981E15">
        <w:t>Desde la creación de instrumentos para la captura de información, como la forma participativa de su aplicación, y el seguimiento con los enlaces generados por medio de talleres temáticos que incluyen todas las instancias que conforman el Estado de Guatemala.</w:t>
      </w:r>
      <w:r w:rsidR="002265E3" w:rsidRPr="00981E15">
        <w:t xml:space="preserve"> </w:t>
      </w:r>
      <w:r w:rsidRPr="00981E15">
        <w:t xml:space="preserve">Esta experiencia está siendo sistematizada a efecto de contar con una guía metodológica que sirva de base para la elaboración de otros informes que el Estado de Guatemala deba rendir ante los mecanismos y entes internacionales responsables de dar seguimiento al cumplimiento de las Convenciones. Además se espera que este informe se constituya en un documento de consulta para los distintos Organismos del Estado. </w:t>
      </w:r>
    </w:p>
    <w:p w:rsidR="00423D15" w:rsidRPr="00981E15" w:rsidRDefault="00423D15" w:rsidP="00423D15">
      <w:pPr>
        <w:pStyle w:val="SingleTxt"/>
        <w:numPr>
          <w:ilvl w:val="0"/>
          <w:numId w:val="8"/>
        </w:numPr>
        <w:tabs>
          <w:tab w:val="clear" w:pos="475"/>
          <w:tab w:val="num" w:pos="1742"/>
        </w:tabs>
        <w:suppressAutoHyphens/>
        <w:ind w:left="1267"/>
      </w:pPr>
      <w:r w:rsidRPr="00981E15">
        <w:t xml:space="preserve">El proceso de elaboración se inició en marzo de 2007 realizando un análisis y el establecimiento de prioridades, a partir de las recomendaciones del Comité de </w:t>
      </w:r>
      <w:smartTag w:uri="urn:schemas-microsoft-com:office:smarttags" w:element="PersonName">
        <w:smartTagPr>
          <w:attr w:name="ProductID" w:val="la CEDAW"/>
        </w:smartTagPr>
        <w:r w:rsidRPr="00981E15">
          <w:t xml:space="preserve">la </w:t>
        </w:r>
        <w:r w:rsidRPr="00981E15">
          <w:rPr>
            <w:spacing w:val="6"/>
          </w:rPr>
          <w:t>CEDAW</w:t>
        </w:r>
      </w:smartTag>
      <w:r w:rsidRPr="00981E15">
        <w:rPr>
          <w:spacing w:val="6"/>
        </w:rPr>
        <w:t>, correspondientes a los informes primero al sexto presentados por el Estado de Guatemala.</w:t>
      </w:r>
      <w:r w:rsidR="002265E3" w:rsidRPr="00981E15">
        <w:rPr>
          <w:spacing w:val="6"/>
        </w:rPr>
        <w:t xml:space="preserve"> </w:t>
      </w:r>
      <w:r w:rsidRPr="00981E15">
        <w:rPr>
          <w:spacing w:val="6"/>
        </w:rPr>
        <w:t>Este análisis fue un aporte importante para la definición de líneas de acción prioritarias de trabajo hacia la igualdad entre mujeres y hombres. Se procedió</w:t>
      </w:r>
      <w:r w:rsidRPr="00981E15">
        <w:t xml:space="preserve"> a revisar las recomendaciones y se agruparon de acuerdo a las temáticas aludidas.</w:t>
      </w:r>
    </w:p>
    <w:p w:rsidR="00423D15" w:rsidRPr="00981E15" w:rsidRDefault="00423D15" w:rsidP="00423D15">
      <w:pPr>
        <w:pStyle w:val="SingleTxt"/>
        <w:numPr>
          <w:ilvl w:val="0"/>
          <w:numId w:val="8"/>
        </w:numPr>
        <w:tabs>
          <w:tab w:val="clear" w:pos="475"/>
          <w:tab w:val="num" w:pos="1742"/>
        </w:tabs>
        <w:suppressAutoHyphens/>
        <w:ind w:left="1267"/>
      </w:pPr>
      <w:r w:rsidRPr="00981E15">
        <w:t>Para dar respuesta integral como Estado a la petición del Comité que:</w:t>
      </w:r>
      <w:r w:rsidR="002265E3" w:rsidRPr="00981E15">
        <w:t xml:space="preserve"> </w:t>
      </w:r>
      <w:r w:rsidRPr="00981E15">
        <w:rPr>
          <w:i/>
        </w:rPr>
        <w:t xml:space="preserve">“refuerce la coordinación entre todas las entidades gubernamentales competentes, incluidos los representantes de las ramas legislativa y judicial, como medio de mejorar la aplicación de las disposiciones de </w:t>
      </w:r>
      <w:smartTag w:uri="urn:schemas-microsoft-com:office:smarttags" w:element="PersonName">
        <w:smartTagPr>
          <w:attr w:name="ProductID" w:val="la Convenci￳n"/>
        </w:smartTagPr>
        <w:r w:rsidRPr="00981E15">
          <w:rPr>
            <w:i/>
          </w:rPr>
          <w:t>la Convención</w:t>
        </w:r>
      </w:smartTag>
      <w:r w:rsidRPr="00981E15">
        <w:rPr>
          <w:i/>
        </w:rPr>
        <w:t xml:space="preserve">, el seguimiento de las observaciones finales del Comité y la preparación de los futuros informes periódicos en virtud del artículo 18 de </w:t>
      </w:r>
      <w:smartTag w:uri="urn:schemas-microsoft-com:office:smarttags" w:element="PersonName">
        <w:smartTagPr>
          <w:attr w:name="ProductID" w:val="la Convenci￳n"/>
        </w:smartTagPr>
        <w:r w:rsidRPr="00981E15">
          <w:rPr>
            <w:i/>
          </w:rPr>
          <w:t>la Convención</w:t>
        </w:r>
      </w:smartTag>
      <w:r w:rsidRPr="00981E15">
        <w:rPr>
          <w:i/>
        </w:rPr>
        <w:t>”</w:t>
      </w:r>
      <w:r w:rsidRPr="00981E15">
        <w:rPr>
          <w:b/>
        </w:rPr>
        <w:t xml:space="preserve">, </w:t>
      </w:r>
      <w:smartTag w:uri="urn:schemas-microsoft-com:office:smarttags" w:element="PersonName">
        <w:smartTagPr>
          <w:attr w:name="ProductID" w:val="la Secretar￭a Presidencial"/>
        </w:smartTagPr>
        <w:r w:rsidRPr="00981E15">
          <w:t>la Secretaría Presidencial</w:t>
        </w:r>
      </w:smartTag>
      <w:r w:rsidRPr="00981E15">
        <w:t xml:space="preserve"> de </w:t>
      </w:r>
      <w:smartTag w:uri="urn:schemas-microsoft-com:office:smarttags" w:element="PersonName">
        <w:smartTagPr>
          <w:attr w:name="ProductID" w:val="la Mujer"/>
        </w:smartTagPr>
        <w:r w:rsidRPr="00981E15">
          <w:t>la Mujer</w:t>
        </w:r>
      </w:smartTag>
      <w:r w:rsidRPr="00981E15">
        <w:t xml:space="preserve"> desarrolló una estrategia de coordinación en el seno del Organismo Ejecutivo y con los demás organismos del Estado para la elaboración del presente informe</w:t>
      </w:r>
      <w:r w:rsidRPr="00981E15">
        <w:rPr>
          <w:b/>
        </w:rPr>
        <w:t>.</w:t>
      </w:r>
      <w:r w:rsidR="002265E3" w:rsidRPr="00981E15">
        <w:rPr>
          <w:b/>
        </w:rPr>
        <w:t xml:space="preserve"> </w:t>
      </w:r>
      <w:r w:rsidRPr="00981E15">
        <w:t>Es así que</w:t>
      </w:r>
      <w:r w:rsidRPr="00981E15">
        <w:rPr>
          <w:b/>
        </w:rPr>
        <w:t xml:space="preserve"> </w:t>
      </w:r>
      <w:r w:rsidRPr="00981E15">
        <w:t xml:space="preserve">para este Séptimo Informe, </w:t>
      </w:r>
      <w:smartTag w:uri="urn:schemas-microsoft-com:office:smarttags" w:element="PersonName">
        <w:smartTagPr>
          <w:attr w:name="ProductID" w:val="la Seprem"/>
        </w:smartTagPr>
        <w:r w:rsidRPr="00981E15">
          <w:t>la SEPREM</w:t>
        </w:r>
      </w:smartTag>
      <w:r w:rsidRPr="00981E15">
        <w:t xml:space="preserve"> en coordinación con </w:t>
      </w:r>
      <w:smartTag w:uri="urn:schemas-microsoft-com:office:smarttags" w:element="PersonName">
        <w:smartTagPr>
          <w:attr w:name="ProductID" w:val="la Defensor￭a"/>
        </w:smartTagPr>
        <w:r w:rsidRPr="00981E15">
          <w:t>la Defensoría</w:t>
        </w:r>
      </w:smartTag>
      <w:r w:rsidRPr="00981E15">
        <w:t xml:space="preserve"> de </w:t>
      </w:r>
      <w:smartTag w:uri="urn:schemas-microsoft-com:office:smarttags" w:element="PersonName">
        <w:smartTagPr>
          <w:attr w:name="ProductID" w:val="la Mujer Ind￭gena"/>
        </w:smartTagPr>
        <w:r w:rsidRPr="00981E15">
          <w:t>la Mujer Indígena</w:t>
        </w:r>
      </w:smartTag>
      <w:r w:rsidRPr="00981E15">
        <w:t xml:space="preserve"> (DEMI) en los meses de junio,</w:t>
      </w:r>
      <w:r w:rsidR="002265E3" w:rsidRPr="00981E15">
        <w:t xml:space="preserve"> </w:t>
      </w:r>
      <w:r w:rsidRPr="00981E15">
        <w:t xml:space="preserve">julio y agosto de 2007 desarrolló una consulta interministerial a nivel de las instancias del Organismo Ejecutivo, así como con autoridades del Organismo Judicial y del Organismo Legislativo, a través de ocho talleres temáticos de consulta: </w:t>
      </w:r>
    </w:p>
    <w:p w:rsidR="00423D15" w:rsidRPr="00981E15" w:rsidRDefault="00481408" w:rsidP="00481408">
      <w:pPr>
        <w:pStyle w:val="SingleTxt"/>
        <w:tabs>
          <w:tab w:val="right" w:pos="1685"/>
        </w:tabs>
        <w:suppressAutoHyphens/>
        <w:ind w:left="1742" w:hanging="475"/>
      </w:pPr>
      <w:r w:rsidRPr="00981E15">
        <w:tab/>
        <w:t>•</w:t>
      </w:r>
      <w:r w:rsidRPr="00981E15">
        <w:tab/>
      </w:r>
      <w:r w:rsidR="00423D15" w:rsidRPr="00981E15">
        <w:t>Educación</w:t>
      </w:r>
    </w:p>
    <w:p w:rsidR="00423D15" w:rsidRPr="00981E15" w:rsidRDefault="00481408" w:rsidP="00481408">
      <w:pPr>
        <w:pStyle w:val="SingleTxt"/>
        <w:tabs>
          <w:tab w:val="right" w:pos="1685"/>
        </w:tabs>
        <w:suppressAutoHyphens/>
        <w:ind w:left="1742" w:hanging="475"/>
      </w:pPr>
      <w:r w:rsidRPr="00981E15">
        <w:tab/>
        <w:t>•</w:t>
      </w:r>
      <w:r w:rsidRPr="00981E15">
        <w:tab/>
      </w:r>
      <w:r w:rsidR="00423D15" w:rsidRPr="00981E15">
        <w:t>Salud</w:t>
      </w:r>
    </w:p>
    <w:p w:rsidR="00423D15" w:rsidRPr="00981E15" w:rsidRDefault="00481408" w:rsidP="00481408">
      <w:pPr>
        <w:pStyle w:val="SingleTxt"/>
        <w:tabs>
          <w:tab w:val="right" w:pos="1685"/>
        </w:tabs>
        <w:suppressAutoHyphens/>
        <w:ind w:left="1742" w:hanging="475"/>
      </w:pPr>
      <w:r w:rsidRPr="00981E15">
        <w:tab/>
        <w:t>•</w:t>
      </w:r>
      <w:r w:rsidRPr="00981E15">
        <w:tab/>
      </w:r>
      <w:r w:rsidR="00423D15" w:rsidRPr="00981E15">
        <w:t xml:space="preserve">Economía </w:t>
      </w:r>
    </w:p>
    <w:p w:rsidR="00423D15" w:rsidRPr="00981E15" w:rsidRDefault="00481408" w:rsidP="00481408">
      <w:pPr>
        <w:pStyle w:val="SingleTxt"/>
        <w:tabs>
          <w:tab w:val="right" w:pos="1685"/>
        </w:tabs>
        <w:suppressAutoHyphens/>
        <w:ind w:left="1742" w:hanging="475"/>
      </w:pPr>
      <w:r w:rsidRPr="00981E15">
        <w:tab/>
        <w:t>•</w:t>
      </w:r>
      <w:r w:rsidRPr="00981E15">
        <w:tab/>
      </w:r>
      <w:r w:rsidR="00423D15" w:rsidRPr="00981E15">
        <w:t>Trata y migrantes</w:t>
      </w:r>
    </w:p>
    <w:p w:rsidR="00423D15" w:rsidRPr="00981E15" w:rsidRDefault="00481408" w:rsidP="00894D15">
      <w:pPr>
        <w:pStyle w:val="SingleTxt"/>
        <w:keepNext/>
        <w:keepLines/>
        <w:tabs>
          <w:tab w:val="right" w:pos="1685"/>
        </w:tabs>
        <w:suppressAutoHyphens/>
        <w:ind w:left="1742" w:hanging="475"/>
      </w:pPr>
      <w:r w:rsidRPr="00981E15">
        <w:tab/>
        <w:t>•</w:t>
      </w:r>
      <w:r w:rsidRPr="00981E15">
        <w:tab/>
      </w:r>
      <w:r w:rsidR="00423D15" w:rsidRPr="00981E15">
        <w:t>Desarrollo económico social y laboral</w:t>
      </w:r>
    </w:p>
    <w:p w:rsidR="00423D15" w:rsidRPr="00981E15" w:rsidRDefault="00481408" w:rsidP="00894D15">
      <w:pPr>
        <w:pStyle w:val="SingleTxt"/>
        <w:keepNext/>
        <w:keepLines/>
        <w:tabs>
          <w:tab w:val="right" w:pos="1685"/>
        </w:tabs>
        <w:suppressAutoHyphens/>
        <w:ind w:left="1742" w:hanging="475"/>
      </w:pPr>
      <w:r w:rsidRPr="00981E15">
        <w:tab/>
        <w:t>•</w:t>
      </w:r>
      <w:r w:rsidRPr="00981E15">
        <w:tab/>
      </w:r>
      <w:r w:rsidR="00423D15" w:rsidRPr="00981E15">
        <w:t xml:space="preserve">Acceso a la justicia </w:t>
      </w:r>
    </w:p>
    <w:p w:rsidR="00423D15" w:rsidRPr="00981E15" w:rsidRDefault="00481408" w:rsidP="00894D15">
      <w:pPr>
        <w:pStyle w:val="SingleTxt"/>
        <w:keepNext/>
        <w:keepLines/>
        <w:tabs>
          <w:tab w:val="right" w:pos="1685"/>
        </w:tabs>
        <w:suppressAutoHyphens/>
        <w:ind w:left="1742" w:hanging="475"/>
      </w:pPr>
      <w:r w:rsidRPr="00981E15">
        <w:tab/>
        <w:t>•</w:t>
      </w:r>
      <w:r w:rsidRPr="00981E15">
        <w:tab/>
      </w:r>
      <w:r w:rsidR="00423D15" w:rsidRPr="00981E15">
        <w:t>Legislativo</w:t>
      </w:r>
    </w:p>
    <w:p w:rsidR="00423D15" w:rsidRPr="00981E15" w:rsidRDefault="00481408" w:rsidP="00481408">
      <w:pPr>
        <w:pStyle w:val="SingleTxt"/>
        <w:tabs>
          <w:tab w:val="right" w:pos="1685"/>
        </w:tabs>
        <w:suppressAutoHyphens/>
        <w:ind w:left="1742" w:hanging="475"/>
      </w:pPr>
      <w:r w:rsidRPr="00981E15">
        <w:tab/>
        <w:t>•</w:t>
      </w:r>
      <w:r w:rsidRPr="00981E15">
        <w:tab/>
      </w:r>
      <w:r w:rsidR="00423D15" w:rsidRPr="00981E15">
        <w:t>Agropecuario y medio ambiente</w:t>
      </w:r>
    </w:p>
    <w:p w:rsidR="00423D15" w:rsidRPr="00981E15" w:rsidRDefault="00423D15" w:rsidP="00423D15">
      <w:pPr>
        <w:pStyle w:val="SingleTxt"/>
        <w:numPr>
          <w:ilvl w:val="0"/>
          <w:numId w:val="8"/>
        </w:numPr>
        <w:tabs>
          <w:tab w:val="clear" w:pos="475"/>
          <w:tab w:val="num" w:pos="1742"/>
        </w:tabs>
        <w:suppressAutoHyphens/>
        <w:ind w:left="1267"/>
      </w:pPr>
      <w:r w:rsidRPr="00981E15">
        <w:t xml:space="preserve">En estos talleres se generó un espacio de intercambio, análisis y sistematización de información entre las entidades estatales y </w:t>
      </w:r>
      <w:smartTag w:uri="urn:schemas-microsoft-com:office:smarttags" w:element="PersonName">
        <w:smartTagPr>
          <w:attr w:name="ProductID" w:val="la Seprem"/>
        </w:smartTagPr>
        <w:r w:rsidRPr="00981E15">
          <w:t>la SEPREM</w:t>
        </w:r>
      </w:smartTag>
      <w:r w:rsidRPr="00981E15">
        <w:t xml:space="preserve"> sobre las principales acciones realizadas por las instituciones involucradas, para dar respuesta a las recomendaciones de las Expertas del Comité de la CED</w:t>
      </w:r>
      <w:r w:rsidR="00B208C5" w:rsidRPr="00981E15">
        <w:t xml:space="preserve">AW. </w:t>
      </w:r>
      <w:r w:rsidRPr="00981E15">
        <w:t xml:space="preserve">Así también se enfatizó con las instituciones estatales la necesidad de dar seguimiento y aplicación de </w:t>
      </w:r>
      <w:smartTag w:uri="urn:schemas-microsoft-com:office:smarttags" w:element="PersonName">
        <w:smartTagPr>
          <w:attr w:name="ProductID" w:val="la CEDAW"/>
        </w:smartTagPr>
        <w:r w:rsidRPr="00981E15">
          <w:t>la CEDAW</w:t>
        </w:r>
      </w:smartTag>
      <w:r w:rsidRPr="00981E15">
        <w:t xml:space="preserve"> dentro de los programas, proyectos y planes de trabajo de las instituciones. De igual manera, se planteó la necesidad de contar con información efectiva y desagregada por sexo, etnia y edad para el seguimiento de los compromisos adquiridos con los mecanismos internacionales que velan por los derechos humanos de las mujeres.</w:t>
      </w:r>
    </w:p>
    <w:p w:rsidR="007C2C70" w:rsidRPr="00981E15" w:rsidRDefault="00423D15" w:rsidP="00423D15">
      <w:pPr>
        <w:pStyle w:val="SingleTxt"/>
        <w:numPr>
          <w:ilvl w:val="0"/>
          <w:numId w:val="8"/>
        </w:numPr>
        <w:tabs>
          <w:tab w:val="clear" w:pos="475"/>
          <w:tab w:val="num" w:pos="1742"/>
        </w:tabs>
        <w:suppressAutoHyphens/>
        <w:ind w:left="1267"/>
      </w:pPr>
      <w:r w:rsidRPr="00981E15">
        <w:t>Después de sistematizar la información recopilada tanto en los talleres temáticos, como de fuentes y documentos oficiales, en octubre de 2007 se realizó la validación del primer borrador del Informe con las instituciones del Estado que participaron en los talleres y proporcionaron información institucional.</w:t>
      </w:r>
      <w:r w:rsidR="002265E3" w:rsidRPr="00981E15">
        <w:t xml:space="preserve"> </w:t>
      </w:r>
      <w:r w:rsidRPr="00981E15">
        <w:t>Así también, este primer borrador se socializó con organizaciones de la sociedad civil, incluyendo organizaciones de mujeres, y entidades académicas. Una vez finalizado el informe, éste fue presentado a los tres presidentes de los organismos del Estado, quienes manifestaron su aceptación al contenido del mismo</w:t>
      </w:r>
      <w:r w:rsidR="003A3FDD" w:rsidRPr="00981E15">
        <w:t>.</w:t>
      </w:r>
    </w:p>
    <w:p w:rsidR="00B208C5" w:rsidRPr="00981E15" w:rsidRDefault="00B208C5" w:rsidP="00B208C5">
      <w:pPr>
        <w:pStyle w:val="SingleTxt"/>
        <w:numPr>
          <w:ilvl w:val="0"/>
          <w:numId w:val="12"/>
        </w:numPr>
        <w:tabs>
          <w:tab w:val="clear" w:pos="475"/>
          <w:tab w:val="right" w:pos="1022"/>
        </w:tabs>
        <w:ind w:left="1267" w:right="1260"/>
      </w:pPr>
      <w:r w:rsidRPr="00981E15">
        <w:t>De esta forma, con los insumos proporcionados en el proceso de elaboración y validación institucional, este Séptimo Informe responde al trabajo coordinado y la cordial colaboración de las instituciones de los tres Organismos que conforman el Estado de Guatemala –Ejecutivo, Legislativo y Judicial- .</w:t>
      </w:r>
    </w:p>
    <w:p w:rsidR="00B208C5" w:rsidRPr="00981E15" w:rsidRDefault="00B208C5" w:rsidP="00B208C5">
      <w:pPr>
        <w:pStyle w:val="SingleTxt"/>
        <w:numPr>
          <w:ilvl w:val="0"/>
          <w:numId w:val="12"/>
        </w:numPr>
        <w:tabs>
          <w:tab w:val="clear" w:pos="475"/>
          <w:tab w:val="num" w:pos="1742"/>
        </w:tabs>
        <w:ind w:left="1267"/>
      </w:pPr>
      <w:r w:rsidRPr="00981E15">
        <w:t>Por medio de este Séptimo Informe sobre el cumplimiento de las disposiciones de la CEDAW, el Estado de Guatemala da cuenta de las políticas, programas y acciones adoptadas para eliminar todas las formas de discriminación en contra de las mujeres. Al mismo tiempo cumple con su obligación frente a la comunidad internacional y reitera la vocación y compromiso de su gobierno con la defensa y protección de los derechos humanos de las mujeres.</w:t>
      </w:r>
    </w:p>
    <w:p w:rsidR="00B208C5" w:rsidRPr="00981E15" w:rsidRDefault="00B208C5" w:rsidP="00B208C5">
      <w:pPr>
        <w:pStyle w:val="SingleTxt"/>
        <w:numPr>
          <w:ilvl w:val="0"/>
          <w:numId w:val="12"/>
        </w:numPr>
        <w:tabs>
          <w:tab w:val="clear" w:pos="475"/>
          <w:tab w:val="num" w:pos="1742"/>
        </w:tabs>
        <w:ind w:left="1267"/>
      </w:pPr>
      <w:r w:rsidRPr="00981E15">
        <w:t xml:space="preserve">La estructura del presente Informe, consta de una primera parte dedicada a dar respuesta a las recomendaciones al Estado de Guatemala de los anteriores informes presentados, así como los avances más significativos y las tendencias más importantes relativas a cada uno de los artículos de la Convención. Una segunda parte se constituye por una serie de anexos que complementan la información proporcionada a lo largo del desarrollo de los artículos de la Convención. </w:t>
      </w:r>
    </w:p>
    <w:p w:rsidR="00B208C5" w:rsidRPr="00981E15" w:rsidRDefault="00B208C5" w:rsidP="00B208C5">
      <w:pPr>
        <w:pStyle w:val="SingleTxt"/>
        <w:spacing w:after="0" w:line="120" w:lineRule="exact"/>
        <w:rPr>
          <w:sz w:val="10"/>
        </w:rPr>
      </w:pPr>
    </w:p>
    <w:p w:rsidR="00B208C5" w:rsidRPr="00981E15" w:rsidRDefault="00B208C5" w:rsidP="00B208C5">
      <w:pPr>
        <w:pStyle w:val="SingleTxt"/>
        <w:spacing w:after="0" w:line="120" w:lineRule="exact"/>
        <w:rPr>
          <w:sz w:val="10"/>
        </w:rPr>
      </w:pPr>
    </w:p>
    <w:p w:rsidR="00B208C5" w:rsidRPr="00981E15" w:rsidRDefault="00894D15" w:rsidP="00B20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br w:type="page"/>
      </w:r>
      <w:r w:rsidR="00B208C5" w:rsidRPr="00981E15">
        <w:tab/>
      </w:r>
      <w:r w:rsidR="00B208C5" w:rsidRPr="00981E15">
        <w:tab/>
        <w:t>Cumplimiento de recomendaciones del Comité y avances</w:t>
      </w:r>
      <w:r w:rsidR="00B208C5" w:rsidRPr="00981E15">
        <w:br/>
        <w:t>según los artículos de la Convención</w:t>
      </w:r>
    </w:p>
    <w:p w:rsidR="00B208C5" w:rsidRPr="00981E15" w:rsidRDefault="00B208C5" w:rsidP="00B208C5">
      <w:pPr>
        <w:pStyle w:val="SingleTxt"/>
        <w:spacing w:after="0" w:line="120" w:lineRule="exact"/>
        <w:rPr>
          <w:sz w:val="10"/>
        </w:rPr>
      </w:pP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Artículos 1, 2 y 3</w:t>
      </w:r>
    </w:p>
    <w:p w:rsidR="00B208C5" w:rsidRPr="00981E15" w:rsidRDefault="00B208C5" w:rsidP="00B208C5">
      <w:pPr>
        <w:pStyle w:val="SingleTxt"/>
        <w:spacing w:after="0" w:line="120" w:lineRule="exact"/>
        <w:rPr>
          <w:sz w:val="10"/>
        </w:rPr>
      </w:pPr>
    </w:p>
    <w:p w:rsidR="00B208C5" w:rsidRPr="00981E15" w:rsidRDefault="00B208C5" w:rsidP="00B208C5">
      <w:pPr>
        <w:pStyle w:val="SingleTxt"/>
        <w:spacing w:after="0" w:line="120" w:lineRule="exact"/>
        <w:rPr>
          <w:sz w:val="10"/>
        </w:rPr>
      </w:pPr>
    </w:p>
    <w:p w:rsidR="00B208C5" w:rsidRPr="00981E15" w:rsidRDefault="00B208C5" w:rsidP="00B208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Políticas y medios dirigidos a favor de la inclusión de género </w:t>
      </w:r>
    </w:p>
    <w:p w:rsidR="00B208C5" w:rsidRPr="00981E15" w:rsidRDefault="00B208C5" w:rsidP="00B208C5">
      <w:pPr>
        <w:pStyle w:val="SingleTxt"/>
        <w:spacing w:after="0" w:line="120" w:lineRule="exact"/>
        <w:rPr>
          <w:sz w:val="10"/>
        </w:rPr>
      </w:pP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Nacional de Promoción y Desarrollo de las Mujeres (2001-2006)</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Por medio de la Política Nacional de Promoción y Desarrollo de las Mujeres Guatemaltecas y su Plan de Equidad de Oportunidades 2001-2006, el Estado ha materializado su compromiso para incorporar en la agenda pública la promoción de la mujer y el enfoque de género. El Organismo Ejecutivo realizó esfuerzos en incorporar los ejes de la Política en la planificación gubernamental y la presupuestación y específicamente en las normas que proporciona la Secretaría de Planificación y Programación de la Presidencia (SEGEPLAN) a todas las instituciones que conforman el Organismo Ejecutivo para la elaboración de sus planes operativos anuales.</w:t>
      </w:r>
    </w:p>
    <w:p w:rsidR="00B208C5" w:rsidRPr="00981E15" w:rsidRDefault="00B208C5" w:rsidP="00B208C5">
      <w:pPr>
        <w:pStyle w:val="SingleTxt"/>
        <w:numPr>
          <w:ilvl w:val="0"/>
          <w:numId w:val="12"/>
        </w:numPr>
        <w:tabs>
          <w:tab w:val="clear" w:pos="475"/>
          <w:tab w:val="num" w:pos="1742"/>
        </w:tabs>
        <w:ind w:left="1267"/>
      </w:pPr>
      <w:r w:rsidRPr="00981E15">
        <w:t xml:space="preserve">Esta política se constituyó en un referente para todo el sector público en los lineamientos para elaborar el presupuesto general de ingresos y egresos del Estado para el ejercicio fiscal 2007. Esta acción se considera como un avance para incluir la equidad de género en los planes presupuestarios institucionales y sectoriales. Sin embargo, la no aprobación del presupuesto 2007 por el Congreso de la República, no permitió verificar si dicha inclusión fue realizada en los presupuestos institucionales y sectoriales. </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Marco de Gestión Ambiental (2004)</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Establece dentro de sus principios la equidad social y la equidad de género. 1) La equidad social entendida como la garantía de igualdad de oportunidades y justicia en los diferentes componentes de la sociedad guatemalteca, proporcionando el acceso a las oportunidades en igualdad de condiciones. 2) Sostenibilidad ambiental y económica, desarrollo sostenible, justicia social, la adecuada gestión de los recursos naturales, debe garantizarse tanto entre personas contemporáneas como entre generaciones. Todos los guatemaltecos, presentes y futuros, deben gozar de las mismas oportunidades de desarrollo. 3) La equidad de género para garantizar el acceso a las oportunidades en igualdad de condiciones para hombres y mujeres. Ambos desempeñan un papel fundamental en la ordenación del medio ambiente y en el desarrollo. Por lo que se considera imprescindible contar con su plena participación para lograr el desarrollo sostenible.</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Nacional para el Desarrollo de las Micro, Pequeñas y Medianas Empresas (2005)</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Los principios que sustentan la Política son entre otros: 1) Una respuesta de alcance nacional, lo que incluye a todos los sectores y rubros de actividad y considera todas las áreas urbanas y rurales del país. 2) En el diseño e implementación de la Política debe mantenerse permanentemente un enfoque sistemático, de equidad social, integralidad, sostenibilidad y participación ciudadana. 3) Sus ejes transversales deben enfocarse en la equidad de género, multiculturalidad y preservación y aprovechamiento del medio ambiente.</w:t>
      </w:r>
    </w:p>
    <w:p w:rsidR="00B208C5" w:rsidRPr="00981E15" w:rsidRDefault="00B208C5" w:rsidP="00B208C5">
      <w:pPr>
        <w:pStyle w:val="SingleTxt"/>
        <w:numPr>
          <w:ilvl w:val="0"/>
          <w:numId w:val="12"/>
        </w:numPr>
        <w:tabs>
          <w:tab w:val="clear" w:pos="475"/>
          <w:tab w:val="num" w:pos="1742"/>
        </w:tabs>
        <w:ind w:left="1267"/>
      </w:pPr>
      <w:r w:rsidRPr="00981E15">
        <w:t>Esta política tiene como objetivo garantizar igualdad de oportunidades para el desarrollo empresarial a hombres y mujeres, se incluye la creación del Consejo Nacional de Productividad Empresarial (CONAPE), del cual la Secretaría Presidencial de la Mujer es integrante.</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Nacional de Seguridad Alimentaria y Nutricional (2005)</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 xml:space="preserve">En el marco de esta política se establece la equidad como principio rector, determinando que el Estado debe generar las condiciones para que la población sin distinción de género, etnia, edad, nivel socio económico, y lugar de residencia, tenga acceso seguro y oportuno a los alimentos. </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Nacional de Descentralización del Organismo Ejecutivo (2005)</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 xml:space="preserve">El 28 de mayo de 2005, el Estado de Guatemala oficializó la Política Nacional de Descentralización del Organismo Ejecutivo (PND), cuyo objetivo principal es </w:t>
      </w:r>
      <w:r w:rsidRPr="00981E15">
        <w:rPr>
          <w:i/>
        </w:rPr>
        <w:t>“contribuir a que los guatemaltecos (y guatemaltecas) eleven sosteniblemente su nivel de vida, a través de la democratización del Estado y la sociedad, mediante la planificación territorial participativa y descentralizada, con perspectiva de género y con enfoque pluricultural, como condiciones necesarias para desencadenar formas nuevas de relación entre el Estado y la Nación”</w:t>
      </w:r>
      <w:r w:rsidRPr="00981E15">
        <w:t>. Desde la perspectiva de equidad de género la PND ofrece un marco favorable para las mujeres, ya que integra la equidad de género como parte de los principios rectores de gestión descentralizada del territorio y de transferencia de competencias al nivel de gobierno, bajo criterios de eficiencia y eficacia en el uso de los recursos públicos.</w:t>
      </w:r>
    </w:p>
    <w:p w:rsidR="00B208C5" w:rsidRPr="00981E15" w:rsidRDefault="00B208C5" w:rsidP="00B208C5">
      <w:pPr>
        <w:pStyle w:val="SingleTxt"/>
        <w:numPr>
          <w:ilvl w:val="0"/>
          <w:numId w:val="12"/>
        </w:numPr>
        <w:tabs>
          <w:tab w:val="clear" w:pos="475"/>
          <w:tab w:val="num" w:pos="1742"/>
        </w:tabs>
        <w:ind w:left="1267"/>
      </w:pPr>
      <w:r w:rsidRPr="00981E15">
        <w:t>Las normas que establece para la aplicación del principio de equidad de género, como criterio transversal de eficiencia y eficacia, convierten a la PND en un instrumento que puede contribuir de manera efectiva a hacer funcionar el espíritu de las leyes de descentralización y de las normas de participación ciudadana.</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de Desarrollo Rural (2006)</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 xml:space="preserve">Los lineamientos 2004-2008 del Estado establecen la necesidad de priorizar la gestión pública del desarrollo rural en respuesta a los Acuerdos de Paz, específicamente para dar cumplimiento al Acuerdo Socioeconómico y Situación Agraria y al Acuerdo de Identidad y Derechos de los Pueblos Indígenas. Por lo que en septiembre 2006 se concluyó el proceso de formulación de la Política de Desarrollo Rural, que conllevó un esfuerzo constante y sostenido de instituciones públicas, pueblos indígenas y sociedad civil, en términos de análisis, diálogos, debates y construcción de consensos. Este ejercicio de construcción conjunta de la Política de Desarrollo Rural Integral se desarrolló a través de la integración de la Mesa Intersectorial de Diálogo y Participación en el 2005. </w:t>
      </w:r>
    </w:p>
    <w:p w:rsidR="00B208C5" w:rsidRPr="00981E15" w:rsidRDefault="00B208C5" w:rsidP="00B208C5">
      <w:pPr>
        <w:pStyle w:val="SingleTxt"/>
        <w:numPr>
          <w:ilvl w:val="0"/>
          <w:numId w:val="12"/>
        </w:numPr>
        <w:tabs>
          <w:tab w:val="clear" w:pos="475"/>
          <w:tab w:val="num" w:pos="1742"/>
        </w:tabs>
        <w:ind w:left="1267"/>
      </w:pPr>
      <w:r w:rsidRPr="00981E15">
        <w:t>Esta Mesa quedó integrada por ocho delegados gubernamentales entre ellas la Secretaría Presidencial de la Mujer, dos delegados del sector académico, ocho delegados de los partidos políticos, seis delegados del sector campesino e indígena, seis delegados del sector de organizaciones de pequeños productores rurales, dos delegadas del sector de mujeres rurales, tres delegados de las gremiales empresariales y un delegado del sector ambiental.</w:t>
      </w:r>
    </w:p>
    <w:p w:rsidR="00B208C5" w:rsidRPr="00981E15" w:rsidRDefault="00B208C5" w:rsidP="00B208C5">
      <w:pPr>
        <w:pStyle w:val="SingleTxt"/>
        <w:numPr>
          <w:ilvl w:val="0"/>
          <w:numId w:val="12"/>
        </w:numPr>
        <w:tabs>
          <w:tab w:val="clear" w:pos="475"/>
          <w:tab w:val="num" w:pos="1742"/>
        </w:tabs>
        <w:ind w:left="1267"/>
      </w:pPr>
      <w:r w:rsidRPr="00981E15">
        <w:t xml:space="preserve">Como se menciona en la Declaración Final del 2006 de la Mesa, se alcanzaron importantes avances, entre los que destacan los consensos en materia de </w:t>
      </w:r>
      <w:r w:rsidRPr="00981E15">
        <w:rPr>
          <w:i/>
        </w:rPr>
        <w:t>“las principales variables que determinan el desarrollo rural, una visión prospectiva del área rural a 25 años, principios y enfoque que deben orientar una Política de Desarrollo Rural Integral, y los ejes estratégicos de acción. Se coincidió en establecer que estos componentes deben orientarse estratégicamente a alcanzar la ciudadanía plena de la población rural, superando las inequidades y las exclusiones principalmente aquellas que afectan primordialmente a la población indígena y las mujeres; impulsando un nuevo modelo económico basado en el acceso equitativo a activos para hacer de la pequeña y mediana economía rural, campesina e indígena, un actor económico protagónico, proceso en el cual el Estado debe asumir un papel rector y promotor”</w:t>
      </w:r>
      <w:r w:rsidRPr="00981E15">
        <w:t>.</w:t>
      </w:r>
    </w:p>
    <w:p w:rsidR="00B208C5" w:rsidRPr="00981E15" w:rsidRDefault="00B208C5" w:rsidP="00B208C5">
      <w:pPr>
        <w:pStyle w:val="SingleTxt"/>
        <w:numPr>
          <w:ilvl w:val="0"/>
          <w:numId w:val="12"/>
        </w:numPr>
        <w:tabs>
          <w:tab w:val="clear" w:pos="475"/>
          <w:tab w:val="num" w:pos="1742"/>
        </w:tabs>
        <w:ind w:left="1267"/>
      </w:pPr>
      <w:r w:rsidRPr="00981E15">
        <w:t xml:space="preserve">La Política de Desarrollo Rural Integral incorpora consensos alcanzados en la Mesa, así como importantes elementos que orientan la labor pública del Estado, por lo que en materia socioeconómica el Estado, enmarcó su labor dentro del programa </w:t>
      </w:r>
      <w:r w:rsidRPr="00981E15">
        <w:rPr>
          <w:b/>
        </w:rPr>
        <w:t>Vamos Guatemala</w:t>
      </w:r>
      <w:r w:rsidRPr="00981E15">
        <w:t xml:space="preserve"> </w:t>
      </w:r>
      <w:r w:rsidRPr="00981E15">
        <w:rPr>
          <w:b/>
        </w:rPr>
        <w:t>(2004-2008)</w:t>
      </w:r>
      <w:r w:rsidRPr="00981E15">
        <w:t xml:space="preserve">, el cual contiene cuatro componentes estratégicos: 1) </w:t>
      </w:r>
      <w:r w:rsidRPr="00981E15">
        <w:rPr>
          <w:b/>
        </w:rPr>
        <w:t>Guate Crece</w:t>
      </w:r>
      <w:r w:rsidRPr="00981E15">
        <w:t xml:space="preserve">, enfocado a promover el crecimiento económico, mediante inversiones y alianzas entre los sectores público y privado; 2) </w:t>
      </w:r>
      <w:r w:rsidRPr="00981E15">
        <w:rPr>
          <w:b/>
        </w:rPr>
        <w:t>Guate Compite</w:t>
      </w:r>
      <w:r w:rsidRPr="00981E15">
        <w:t xml:space="preserve">, dirigido al aumento de la competitividad mejorando la plataforma productiva y promoviendo el cambio tecnológico; 3) </w:t>
      </w:r>
      <w:r w:rsidRPr="00981E15">
        <w:rPr>
          <w:b/>
        </w:rPr>
        <w:t>Guate Verde</w:t>
      </w:r>
      <w:r w:rsidRPr="00981E15">
        <w:t xml:space="preserve">, que pretende crear un clima favorable a la inversión ecológicamente responsable, promover la competitividad de los bienes y servicios ambientales y consolidar una cultura democrática; y 4) </w:t>
      </w:r>
      <w:r w:rsidRPr="00981E15">
        <w:rPr>
          <w:b/>
        </w:rPr>
        <w:t>Guate Solidaria</w:t>
      </w:r>
      <w:r w:rsidRPr="00981E15">
        <w:t>, que busca crear armonía social, por medio de la generación de activos, que permita a los hogares guatemaltecos acceder a las oportunidades de desarrollo humano que les garanticen un mejor futuro.</w:t>
      </w:r>
    </w:p>
    <w:p w:rsidR="00B208C5" w:rsidRPr="00981E15" w:rsidRDefault="00B208C5" w:rsidP="00B208C5">
      <w:pPr>
        <w:pStyle w:val="SingleTxt"/>
        <w:numPr>
          <w:ilvl w:val="0"/>
          <w:numId w:val="12"/>
        </w:numPr>
        <w:tabs>
          <w:tab w:val="clear" w:pos="475"/>
          <w:tab w:val="num" w:pos="1742"/>
        </w:tabs>
        <w:ind w:left="1267"/>
      </w:pPr>
      <w:r w:rsidRPr="00981E15">
        <w:t xml:space="preserve">La estrategia Guate Solidaria Rural es el principal mecanismo para la reducción de la pobreza. Se orienta al área rural y se enfoca, en un principio, en la atención de 41 municipios priorizados por el Gabinete Social, bajo criterios de pobreza y vulnerabilidad a la inseguridad alimentaria para luego ampliarse al resto de municipios del país. La intervención pretende, por medio de la participación social y la articulación de la oferta pública existente, mejorar el capital humano y ampliar las oportunidades de los más pobres, para que el abandono de la pobreza extrema se realice de manera sostenible. </w:t>
      </w:r>
    </w:p>
    <w:p w:rsidR="00B208C5" w:rsidRPr="00981E15" w:rsidRDefault="00B208C5" w:rsidP="00B208C5">
      <w:pPr>
        <w:pStyle w:val="SingleTxt"/>
        <w:numPr>
          <w:ilvl w:val="0"/>
          <w:numId w:val="12"/>
        </w:numPr>
        <w:tabs>
          <w:tab w:val="clear" w:pos="475"/>
          <w:tab w:val="num" w:pos="1742"/>
        </w:tabs>
        <w:ind w:left="1267"/>
      </w:pPr>
      <w:r w:rsidRPr="00981E15">
        <w:t>Los objetivos intermedios son: 1. Reducir la desnutrición infantil. 2. Mejorar los ingresos de las familias más pobres a través de incentivos para la formación de capacidades. 3. Que todos los niños y niñas tengan la oportunidad de terminar la educación primaria. 4. Ampliar los accesos a la educación secundaria básica. 5. Erradicar el analfabetismo. 6. Mejorar la salud materna. 7. Reducir la mortandad infantil. 8. Fomentar la participación comunitaria para el desarrollo. 9. Mejorar la infraestructura vial y la competitividad local. 10. Que las familias cuenten con viviendas adecuadas que les permitan conservar una buena salud. 11. Que las comunidades reviertan la pérdida de recursos naturales.</w:t>
      </w:r>
    </w:p>
    <w:p w:rsidR="00B208C5" w:rsidRPr="00981E15" w:rsidRDefault="00B208C5" w:rsidP="00B208C5">
      <w:pPr>
        <w:pStyle w:val="SingleTxt"/>
        <w:numPr>
          <w:ilvl w:val="0"/>
          <w:numId w:val="12"/>
        </w:numPr>
        <w:tabs>
          <w:tab w:val="clear" w:pos="475"/>
          <w:tab w:val="num" w:pos="1742"/>
        </w:tabs>
        <w:ind w:left="1267"/>
      </w:pPr>
      <w:r w:rsidRPr="00981E15">
        <w:t xml:space="preserve">La red de instituciones deberá promover el fortalecimiento del capital social, de las familias y sus comunidades, en especial del Sistema de Consejos de Desarrollo Urbano y Rural. Estos son, en efecto, el medio principal para la planificación democrática hacia el desarrollo, porque toman en cuenta las características multiétnicas, multilingües, pluriculturales que existen en el país, a fin de motivar a las familias y cambiar así las expectativas de las mismas, para que sean promotoras y gestoras de su propio desarrollo. </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Política Pública para la Convivencia y Eliminación del Racismo </w:t>
      </w:r>
      <w:r w:rsidR="001A3537" w:rsidRPr="00981E15">
        <w:br/>
      </w:r>
      <w:r w:rsidRPr="00981E15">
        <w:t>y la Discriminación Racial (2006)</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En noviembre de 2006 es oficialmente presentada la Política Pública para la Convivencia y Eliminación del Racismo y la Discriminación Racial. Dentro de sus principios destaca la equidad de género, como un principio fundamental basado en la garantía del respeto de los derechos e igualdad de oportunidades entre mujeres y hombres en todos los ámbitos de la vida, para disminuir las brechas existentes entre ambos.</w:t>
      </w:r>
      <w:r w:rsidR="00B518F0" w:rsidRPr="00981E15">
        <w:t xml:space="preserve"> </w:t>
      </w:r>
      <w:r w:rsidRPr="00981E15">
        <w:t xml:space="preserve">Se refiere a la búsqueda de equilibrio y justicia entre hombres y mujeres, a través de mecanismos que superen las desigualdades en derechos, espacios, oportunidades y resultado. </w:t>
      </w:r>
    </w:p>
    <w:p w:rsidR="00B208C5" w:rsidRPr="00981E15" w:rsidRDefault="00B208C5" w:rsidP="00B208C5">
      <w:pPr>
        <w:pStyle w:val="SingleTxt"/>
        <w:numPr>
          <w:ilvl w:val="0"/>
          <w:numId w:val="12"/>
        </w:numPr>
        <w:tabs>
          <w:tab w:val="clear" w:pos="475"/>
          <w:tab w:val="num" w:pos="1742"/>
        </w:tabs>
        <w:ind w:left="1267"/>
      </w:pPr>
      <w:r w:rsidRPr="00981E15">
        <w:t>Esta Política contiene dentro del eje cultural, como acción estratégica, el desarrollar diálogos interculturales destinados a la reducción del prejuicio y estereotipos, la implementación de un sistema de monitoreo de medios de comunicación para detectar y eliminar las prácticas y actitudes discriminatorias en los formadores de opinión pública, el diseño de una estrategia de comunicación destinada a eliminar los estereotipos y prácticas discriminatorias.</w:t>
      </w:r>
    </w:p>
    <w:p w:rsidR="00B208C5" w:rsidRPr="00981E15" w:rsidRDefault="00B208C5" w:rsidP="00B208C5">
      <w:pPr>
        <w:pStyle w:val="SingleTxt"/>
        <w:numPr>
          <w:ilvl w:val="0"/>
          <w:numId w:val="12"/>
        </w:numPr>
        <w:tabs>
          <w:tab w:val="clear" w:pos="475"/>
          <w:tab w:val="num" w:pos="1742"/>
        </w:tabs>
        <w:ind w:left="1267"/>
      </w:pPr>
      <w:r w:rsidRPr="00981E15">
        <w:t>Dentro del eje de igualdad de acceso a servicios del Estado, particularmente en educación, salud, vivienda y empleo, contempla como acciones estratégicas, la institucionalización de programa de formación y perfeccionamiento docente que incluya información y formación relacionada con la eliminación del racismo y la discriminación.</w:t>
      </w:r>
    </w:p>
    <w:p w:rsidR="00B208C5" w:rsidRPr="00981E15" w:rsidRDefault="00B208C5" w:rsidP="00B208C5">
      <w:pPr>
        <w:pStyle w:val="SingleTxt"/>
        <w:numPr>
          <w:ilvl w:val="0"/>
          <w:numId w:val="12"/>
        </w:numPr>
        <w:tabs>
          <w:tab w:val="clear" w:pos="475"/>
          <w:tab w:val="num" w:pos="1742"/>
        </w:tabs>
        <w:ind w:left="1267"/>
      </w:pPr>
      <w:r w:rsidRPr="00981E15">
        <w:t>La Comisión Presidencial contra la Discriminación y el Racismo hacia los Pueblos Indígenas en Guatemala (CODISRA) es el órgano de formulación y seguimiento de políticas y acciones orientadas al cumplimiento de las funciones que la Constitución Política y las leyes le fijan al Gobierno de la República, en lo relativo a la igualdad ciudadana y al reconocimiento, respeto y promoción de los derechos de los pueblos indígenas.</w:t>
      </w:r>
    </w:p>
    <w:p w:rsidR="00B208C5" w:rsidRPr="00981E15" w:rsidRDefault="00B208C5" w:rsidP="00B208C5">
      <w:pPr>
        <w:pStyle w:val="SingleTxt"/>
        <w:numPr>
          <w:ilvl w:val="0"/>
          <w:numId w:val="12"/>
        </w:numPr>
        <w:tabs>
          <w:tab w:val="clear" w:pos="475"/>
          <w:tab w:val="num" w:pos="1742"/>
        </w:tabs>
        <w:ind w:left="1267"/>
      </w:pPr>
      <w:r w:rsidRPr="00981E15">
        <w:t xml:space="preserve">En seguimiento a esta Política por medio del Acuerdo Gubernativo 96-2005 se crea el Consejo Asesor de Pueblos Indígenas de la Presidencia (CAPIP), el cual está integrado por siete representantes de alta honorabilidad dentro de las organizaciones indígenas, de los cuales tres son mujeres miembros del Consejo. Este Consejo asesora al Presidente de la República y demás integrantes del Organismo Ejecutivo, posibilita la formulación de propuestas o recomendaciones que se estimen necesarias para el ejercicio de los derechos de las comunidades indígenas. Además, intervienen en algunos espacios en los gabinetes móviles del Gobierno, presentando sus problemas y necesidades locales. </w:t>
      </w:r>
    </w:p>
    <w:p w:rsidR="00B208C5" w:rsidRPr="00981E15" w:rsidRDefault="00B208C5" w:rsidP="00B208C5">
      <w:pPr>
        <w:pStyle w:val="SingleTxt"/>
        <w:numPr>
          <w:ilvl w:val="0"/>
          <w:numId w:val="12"/>
        </w:numPr>
        <w:tabs>
          <w:tab w:val="clear" w:pos="475"/>
          <w:tab w:val="num" w:pos="1742"/>
        </w:tabs>
        <w:ind w:left="1267"/>
      </w:pPr>
      <w:r w:rsidRPr="00981E15">
        <w:t xml:space="preserve">La incorporación de mecanismos de formulación y seguimiento de políticas con perspectiva de género y etnicidad en las instituciones de Gobierno muestra un avance, tal es el caso de Secretaría de Planificación y Programación de la Presidencia (SEGEPLAN) en cuanto a las normas del Sistema Nacional de Inversión Pública (SNIP) 2007, la Planificación Estratégica Territorial (PET) y la creación de la Unidad de Pueblos Indígenas (2005), cuyo propósito es dar seguimiento a la institucionalización de las cuestiones étnicas y de género en los procesos de planificación, programación de la inversión pública y coordinación de la cooperación internacional, y a actualmente ha sido elevada a Dirección de Pluriculturalidad. </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Política Pública de Cultura de Paz </w:t>
      </w:r>
      <w:r w:rsidR="00166B08">
        <w:t>(</w:t>
      </w:r>
      <w:r w:rsidRPr="00981E15">
        <w:t>2006-2015</w:t>
      </w:r>
      <w:r w:rsidR="00166B08">
        <w:t>)</w:t>
      </w:r>
    </w:p>
    <w:p w:rsidR="00B208C5" w:rsidRPr="00981E15" w:rsidRDefault="00B208C5" w:rsidP="00B208C5">
      <w:pPr>
        <w:pStyle w:val="SingleTxt"/>
        <w:spacing w:after="0" w:line="120" w:lineRule="exact"/>
        <w:rPr>
          <w:sz w:val="10"/>
        </w:rPr>
      </w:pPr>
    </w:p>
    <w:p w:rsidR="00B208C5" w:rsidRPr="00981E15" w:rsidRDefault="00B208C5" w:rsidP="00B208C5">
      <w:pPr>
        <w:pStyle w:val="SingleTxt"/>
        <w:numPr>
          <w:ilvl w:val="0"/>
          <w:numId w:val="12"/>
        </w:numPr>
        <w:tabs>
          <w:tab w:val="clear" w:pos="475"/>
          <w:tab w:val="num" w:pos="1742"/>
        </w:tabs>
        <w:ind w:left="1267"/>
      </w:pPr>
      <w:r w:rsidRPr="00981E15">
        <w:t xml:space="preserve">Dentro del componente de lineamientos contiene "el respeto a la diversidad" que literalmente establece: “reconoce el derecho humano a la no discriminación, a la no distinción, exclusión, restricción o preferencia por motivos de género, origen nacional o étnico, religión, opinión política u otra, edad, o cualquier otra condición que tenga el propósito de afectar a deteriorar el goce completo de los derechos y libertades fundamentales”. La prioridad en este lineamiento es promover la formación y el control del funcionario público para fomentar una cultura de servicios y responsabilidad con respeto a la dignidad humana y a la diversidad cultural, apegada a la ley y sus obligaciones. </w:t>
      </w:r>
    </w:p>
    <w:p w:rsidR="00B208C5" w:rsidRPr="00981E15" w:rsidRDefault="00B208C5" w:rsidP="00B208C5">
      <w:pPr>
        <w:pStyle w:val="SingleTxt"/>
        <w:numPr>
          <w:ilvl w:val="0"/>
          <w:numId w:val="12"/>
        </w:numPr>
        <w:tabs>
          <w:tab w:val="clear" w:pos="475"/>
          <w:tab w:val="num" w:pos="1742"/>
        </w:tabs>
        <w:ind w:left="1267"/>
      </w:pPr>
      <w:r w:rsidRPr="00981E15">
        <w:t>Asimismo, contiene el lineamiento de construcción y desarrollo de la equidad de género, que literalmente establece: “la política de cultura de paz busca la igualdad de las personas en todo sentidos y busca coadyuvar en la erradicación de la violencia contra la mujer”. Con ello, busca eliminar toda práctica de discriminación de género, aplicando los lineamientos de los instrumentos nacionales e internacionales en esa materia. Busca fortalecer las instituciones y programas gubernamentales orientados a darle vigencia a esos lineamientos. Integrar la perspectiva de género en todas las instituciones a través de la publicación de todos los instrumentos nacionales e internacionales, contando con los recursos y la voluntad política que sean necesarios para promover la igualdad entre mujeres y hombres en la adopción de decisiones económicas, sociales y políticas y erradicar la violencia contra las mujeres como una prioridad dentro de este lineamiento.</w:t>
      </w:r>
      <w:r w:rsidR="00B518F0" w:rsidRPr="00981E15">
        <w:t xml:space="preserve"> </w:t>
      </w:r>
    </w:p>
    <w:p w:rsidR="00B208C5" w:rsidRPr="00981E15" w:rsidRDefault="00B208C5" w:rsidP="00B208C5">
      <w:pPr>
        <w:pStyle w:val="SingleTxt"/>
        <w:spacing w:after="0" w:line="120" w:lineRule="exact"/>
        <w:rPr>
          <w:sz w:val="10"/>
        </w:rPr>
      </w:pPr>
    </w:p>
    <w:p w:rsidR="00B208C5" w:rsidRPr="00981E15" w:rsidRDefault="00B208C5" w:rsidP="00B20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Pública Contra la Trata de Personas y para la Protección</w:t>
      </w:r>
      <w:r w:rsidRPr="00981E15">
        <w:br/>
        <w:t>Integral a las Víctimas (2007)</w:t>
      </w:r>
    </w:p>
    <w:p w:rsidR="00B208C5" w:rsidRPr="00981E15" w:rsidRDefault="00B208C5" w:rsidP="00B208C5">
      <w:pPr>
        <w:pStyle w:val="SingleTxt"/>
        <w:spacing w:after="0" w:line="120" w:lineRule="exact"/>
        <w:rPr>
          <w:sz w:val="10"/>
        </w:rPr>
      </w:pPr>
    </w:p>
    <w:p w:rsidR="003A3FDD" w:rsidRPr="00981E15" w:rsidRDefault="00B208C5" w:rsidP="00F4097C">
      <w:pPr>
        <w:pStyle w:val="SingleTxt"/>
        <w:numPr>
          <w:ilvl w:val="0"/>
          <w:numId w:val="12"/>
        </w:numPr>
        <w:tabs>
          <w:tab w:val="clear" w:pos="475"/>
          <w:tab w:val="num" w:pos="1742"/>
        </w:tabs>
        <w:ind w:left="1267"/>
      </w:pPr>
      <w:r w:rsidRPr="00981E15">
        <w:t>En esta Política se reconoce que el principio de no-discriminación constituye una norma fundamental del derecho internacional y reviste una especial relevancia en relación con la situación de vulnerabilidad, particularmente de las mujeres y las niñas. Se entenderá que toda persona independientemente de su sexo, raza, color, idioma, religión, opinión política, lugar de nacimiento, condición étnica, de género o de cualquier otra índole, tienen los mismos derechos y así deben ser reconocidos, protegidos y garantizados por el Estado.</w:t>
      </w:r>
      <w:r w:rsidR="00B518F0" w:rsidRPr="00981E15">
        <w:t xml:space="preserve"> </w:t>
      </w:r>
      <w:r w:rsidRPr="00981E15">
        <w:t>Esta Política reconoce que la discriminación contra las mujeres y las niñas viola los principios de igualdad de derechos y del respeto de la dignidad humana. Por consiguiente, en toda acción que se impulse se garantizará la igualdad de oportunidades y la equidad de género, sin discriminación alguna.</w:t>
      </w:r>
    </w:p>
    <w:p w:rsidR="00951271" w:rsidRPr="00981E15" w:rsidRDefault="00951271" w:rsidP="00951271">
      <w:pPr>
        <w:pStyle w:val="SingleTxt"/>
        <w:tabs>
          <w:tab w:val="clear" w:pos="1742"/>
        </w:tabs>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 de Protección, Asistencia y Atención a la Comunidad Guatemalteca</w:t>
      </w:r>
      <w:r w:rsidRPr="00981E15">
        <w:br/>
        <w:t>en el Exterior (2007)</w:t>
      </w:r>
    </w:p>
    <w:p w:rsidR="0048010F" w:rsidRPr="00981E15" w:rsidRDefault="0048010F" w:rsidP="0048010F">
      <w:pPr>
        <w:pStyle w:val="SingleTxt"/>
        <w:spacing w:after="0" w:line="120" w:lineRule="exact"/>
        <w:rPr>
          <w:sz w:val="10"/>
        </w:rPr>
      </w:pPr>
    </w:p>
    <w:p w:rsidR="0048010F" w:rsidRPr="00981E15" w:rsidRDefault="0048010F" w:rsidP="0048010F">
      <w:pPr>
        <w:pStyle w:val="SingleTxt"/>
        <w:numPr>
          <w:ilvl w:val="0"/>
          <w:numId w:val="12"/>
        </w:numPr>
        <w:tabs>
          <w:tab w:val="clear" w:pos="475"/>
          <w:tab w:val="num" w:pos="1742"/>
        </w:tabs>
        <w:ind w:left="1267"/>
      </w:pPr>
      <w:r w:rsidRPr="00981E15">
        <w:t xml:space="preserve">Esta Política plantea que sus objetivos, estrategias y acciones deben responder a siete escenarios básicos, entre los cuales se identifica como quinto, la dignificación de la mujer migrante, congruente con lo plasmado en los Acuerdos de Paz, en especial en los Acuerdos sobre Aspectos Socioeconómicos y Situación Agraria y Derechos de los Pueblos Indígenas. Se señala que el Gobierno de la República se comprometió a impulsar medidas que promueven y fortalecen las normas y mecanismos de protección de los derechos humanos con énfasis en la mujer. La Política define como uno de los grupos objetivo a las “mujeres y la niñez migrante, que requieren atención y protección específica por constituir grupos más vulnerables como víctimas de trata de personas y del tráfico ilícito de migrantes. </w:t>
      </w: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Otras Políticas inclusivas </w:t>
      </w:r>
    </w:p>
    <w:p w:rsidR="0048010F" w:rsidRPr="00981E15" w:rsidRDefault="0048010F" w:rsidP="0048010F">
      <w:pPr>
        <w:pStyle w:val="SingleTxt"/>
        <w:spacing w:after="0" w:line="120" w:lineRule="exact"/>
        <w:rPr>
          <w:sz w:val="10"/>
        </w:rPr>
      </w:pPr>
    </w:p>
    <w:p w:rsidR="0048010F" w:rsidRPr="00981E15" w:rsidRDefault="0048010F" w:rsidP="00B764B5">
      <w:pPr>
        <w:pStyle w:val="SingleTxt"/>
        <w:numPr>
          <w:ilvl w:val="0"/>
          <w:numId w:val="12"/>
        </w:numPr>
        <w:tabs>
          <w:tab w:val="clear" w:pos="475"/>
          <w:tab w:val="num" w:pos="1742"/>
        </w:tabs>
        <w:suppressAutoHyphens/>
        <w:ind w:left="1267"/>
      </w:pPr>
      <w:r w:rsidRPr="00981E15">
        <w:t xml:space="preserve">Durante el período 2004- 2007, se pueden mencionar otras Políticas Públicas en las que se incluye la perspectiva de género, tomando en cuenta la diversidad étnico-cultural: </w:t>
      </w:r>
    </w:p>
    <w:p w:rsidR="0048010F" w:rsidRPr="00981E15" w:rsidRDefault="00B764B5" w:rsidP="00B764B5">
      <w:pPr>
        <w:pStyle w:val="SingleTxt"/>
        <w:tabs>
          <w:tab w:val="right" w:pos="1685"/>
        </w:tabs>
        <w:ind w:left="1742" w:hanging="475"/>
      </w:pPr>
      <w:r w:rsidRPr="00981E15">
        <w:tab/>
        <w:t>•</w:t>
      </w:r>
      <w:r w:rsidRPr="00981E15">
        <w:tab/>
      </w:r>
      <w:r w:rsidR="00981E15">
        <w:t>P</w:t>
      </w:r>
      <w:r w:rsidR="00981E15" w:rsidRPr="00981E15">
        <w:t>olítica</w:t>
      </w:r>
      <w:r w:rsidR="0048010F" w:rsidRPr="00981E15">
        <w:t xml:space="preserve"> Nacional de la Juventud. Jóvenes construyendo la unidad en la diversidad, por una nación pluricultural 2005-2015. Bajo la responsabilidad del Consejo Nacional de la Juventud (CONJUVE).</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Política Nacional de Vivienda y Asentamientos Humanos y Estrategia para su implementación (2004).</w:t>
      </w:r>
    </w:p>
    <w:p w:rsidR="0048010F" w:rsidRPr="00981E15" w:rsidRDefault="00B764B5" w:rsidP="00B764B5">
      <w:pPr>
        <w:pStyle w:val="SingleTxt"/>
        <w:tabs>
          <w:tab w:val="right" w:pos="1685"/>
        </w:tabs>
        <w:suppressAutoHyphens/>
        <w:ind w:left="1742" w:hanging="475"/>
      </w:pPr>
      <w:r w:rsidRPr="00981E15">
        <w:tab/>
      </w:r>
      <w:r w:rsidR="0048010F" w:rsidRPr="00981E15">
        <w:t>•</w:t>
      </w:r>
      <w:r w:rsidR="0048010F" w:rsidRPr="00981E15">
        <w:tab/>
        <w:t xml:space="preserve">Política Agropecuaria y Sectorial 2004 – 2007. </w:t>
      </w: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Evaluación y actualización de políticas públicas </w:t>
      </w:r>
    </w:p>
    <w:p w:rsidR="0048010F" w:rsidRPr="00981E15" w:rsidRDefault="0048010F" w:rsidP="0048010F">
      <w:pPr>
        <w:pStyle w:val="SingleTxt"/>
        <w:spacing w:after="0" w:line="120" w:lineRule="exact"/>
        <w:rPr>
          <w:sz w:val="10"/>
        </w:rPr>
      </w:pPr>
    </w:p>
    <w:p w:rsidR="0048010F" w:rsidRPr="00981E15" w:rsidRDefault="0048010F" w:rsidP="00B764B5">
      <w:pPr>
        <w:pStyle w:val="SingleTxt"/>
        <w:numPr>
          <w:ilvl w:val="0"/>
          <w:numId w:val="12"/>
        </w:numPr>
        <w:tabs>
          <w:tab w:val="clear" w:pos="475"/>
          <w:tab w:val="num" w:pos="1742"/>
        </w:tabs>
        <w:suppressAutoHyphens/>
        <w:ind w:left="1267"/>
      </w:pPr>
      <w:r w:rsidRPr="00981E15">
        <w:t>La Secretaría Presidencial de la Mujer, en coordinación con la Defensoría de la Mujer Indígena, condujo un proceso de evaluación de la Política, el cual se inició en a finales de 2005 y se completó en marzo de 2007, con el propósito de evaluar el cumplimiento de la aplicación de la Política Nacional de Promoción y Desarrollo de las Mujeres Guatemaltecas (PNPDMG) y el Plan de Equidad de Oportunidades 2001-2006, en las unidades ejecutoras del Gobierno.</w:t>
      </w:r>
    </w:p>
    <w:p w:rsidR="0048010F" w:rsidRPr="00981E15" w:rsidRDefault="0048010F" w:rsidP="00B764B5">
      <w:pPr>
        <w:pStyle w:val="SingleTxt"/>
        <w:numPr>
          <w:ilvl w:val="0"/>
          <w:numId w:val="12"/>
        </w:numPr>
        <w:tabs>
          <w:tab w:val="clear" w:pos="475"/>
          <w:tab w:val="num" w:pos="1742"/>
        </w:tabs>
        <w:suppressAutoHyphens/>
        <w:ind w:left="1267"/>
      </w:pPr>
      <w:r w:rsidRPr="00981E15">
        <w:t>La decisión de la SEPREM de evaluar la política de las mujeres se fundamenta en:</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El mandato contenido en la Ley de Dignificación y Promoción Integral de la Mujer Decreto 7-1999, cuyo artículo 5º establece que “las políticas deberán ser evaluadas y actualizadas periódicamente”.</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El propio documento de la PNPDMG, plantea la necesidad de una evaluación.</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Conclusión del período de vigencia del Plan de Equidad de Oportunidades 2001-2006.</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Necesidad de encuadrar la Política Nacional de la Mujer en el marco del proceso de descentralización, ya que cuando se elaboró, aún no se había aprobado el nuevo marco jurídico de la descentralización que, al incorporar la equidad de género como uno de sus principios rectores, genera nuevos mecanismos de la mujer a nivel local.</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 xml:space="preserve">Redimensionar en el nuevo documento de Política el enfoque de identidad y derechos de las mujeres indígenas y afrodescendientes de Guatemala (hasta ahora el contenido para afrodescendientes no está desarrollado). </w:t>
      </w:r>
    </w:p>
    <w:p w:rsidR="0048010F" w:rsidRPr="00981E15" w:rsidRDefault="0048010F" w:rsidP="00B764B5">
      <w:pPr>
        <w:pStyle w:val="SingleTxt"/>
        <w:numPr>
          <w:ilvl w:val="0"/>
          <w:numId w:val="12"/>
        </w:numPr>
        <w:tabs>
          <w:tab w:val="clear" w:pos="475"/>
          <w:tab w:val="num" w:pos="1742"/>
        </w:tabs>
        <w:suppressAutoHyphens/>
        <w:ind w:left="1267"/>
      </w:pPr>
      <w:r w:rsidRPr="00981E15">
        <w:t>Es importante considerar que la evaluación de la política de las mujeres constituye una actividad pionera en el campo de las políticas públicas en Guatemala, cuyos resultados significan un precedente en la historia institucional de la evaluación de las políticas públicas en el Estado y en la propia SEPREM, aportando valiosos elementos de juicio para el proceso de modernización del Estado y al propósito de gobernar por medio de políticas públicas. Así mismo ha permitido:</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 xml:space="preserve">Visibilizar ante todas las instituciones del Organismo Ejecutivo la importancia que tiene la evaluación para la armonización de las políticas públicas con la realidad que se vive en su ámbito de aplicación. </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 xml:space="preserve">Incorporar en la administración pública acciones afirmativas en distintos sectores para promover la equidad de género y étnica. </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Tomando el carácter transversal de la Política, reconocer la necesidad de que las instituciones del Estado articulen sus acciones y esfuerzos teniendo como ejes transversales la equidad de género y étnica.</w:t>
      </w:r>
    </w:p>
    <w:p w:rsidR="0048010F" w:rsidRPr="00981E15" w:rsidRDefault="00B764B5" w:rsidP="00B764B5">
      <w:pPr>
        <w:pStyle w:val="SingleTxt"/>
        <w:tabs>
          <w:tab w:val="right" w:pos="1685"/>
        </w:tabs>
        <w:ind w:left="1742" w:hanging="475"/>
      </w:pPr>
      <w:r w:rsidRPr="00981E15">
        <w:tab/>
      </w:r>
      <w:r w:rsidR="0048010F" w:rsidRPr="00981E15">
        <w:t>•</w:t>
      </w:r>
      <w:r w:rsidR="0048010F" w:rsidRPr="00981E15">
        <w:tab/>
        <w:t xml:space="preserve">Derivado del protagonismo y demandas planteadas por las mujeres, evidenciar la necesidad de que los sectores que no han incluido en sus políticas y planes institucionales el enfoque de género y étnica, las readecuen para dar respuesta a la demanda de servicios actualmente exigidos. </w:t>
      </w:r>
    </w:p>
    <w:p w:rsidR="0048010F" w:rsidRPr="00981E15" w:rsidRDefault="0048010F" w:rsidP="00B764B5">
      <w:pPr>
        <w:pStyle w:val="SingleTxt"/>
        <w:numPr>
          <w:ilvl w:val="0"/>
          <w:numId w:val="12"/>
        </w:numPr>
        <w:tabs>
          <w:tab w:val="clear" w:pos="475"/>
          <w:tab w:val="num" w:pos="1742"/>
        </w:tabs>
        <w:suppressAutoHyphens/>
        <w:ind w:left="1267"/>
      </w:pPr>
      <w:r w:rsidRPr="00981E15">
        <w:t>Durante su actualización contó con la participación activa de representantes de instituciones del Estado, redes y coordinaciones de organizaciones de mujeres y de comunidades lingüísticas de los pueblos maya, garífuna, xinca y mestizo, quienes conforman el Comité Nacional de Actualización (CNA). Este Comité es una instancia de concertación entre gobierno y sociedad civil, para apoyar la elaboración de un documento de política de las mujeres actualizada a ser aprobado por el Gobierno de la República. Ésta servirá de referente, en materia de equidad de género y promoción de la mujer al nuevo Gobierno electo para la formulación del Plan de Equidad de Oportunidades a ser ejecutado durante el período 2008-2012, de acuerdo con sus prioridades y con las instituciones responsables de su implementación.</w:t>
      </w:r>
    </w:p>
    <w:p w:rsidR="0048010F" w:rsidRPr="00981E15" w:rsidRDefault="0048010F" w:rsidP="00B764B5">
      <w:pPr>
        <w:pStyle w:val="SingleTxt"/>
        <w:numPr>
          <w:ilvl w:val="0"/>
          <w:numId w:val="12"/>
        </w:numPr>
        <w:tabs>
          <w:tab w:val="clear" w:pos="475"/>
          <w:tab w:val="num" w:pos="1742"/>
        </w:tabs>
        <w:suppressAutoHyphens/>
        <w:ind w:left="1267"/>
      </w:pPr>
      <w:r w:rsidRPr="00981E15">
        <w:t xml:space="preserve">Uno de los aportes más significativos que tiene el proceso de actualización de la Política es la iniciativa que diversas organizaciones de mujeres indígenas han realizado: una agenda articulada de las mujeres indígenas que constituye un insumo trascendental que nutrirá en el contenido del proceso de actualización de la Política. </w:t>
      </w:r>
    </w:p>
    <w:p w:rsidR="0048010F" w:rsidRPr="00981E15" w:rsidRDefault="0048010F" w:rsidP="00B764B5">
      <w:pPr>
        <w:pStyle w:val="SingleTxt"/>
        <w:numPr>
          <w:ilvl w:val="0"/>
          <w:numId w:val="12"/>
        </w:numPr>
        <w:tabs>
          <w:tab w:val="clear" w:pos="475"/>
          <w:tab w:val="num" w:pos="1742"/>
        </w:tabs>
        <w:suppressAutoHyphens/>
        <w:ind w:left="1267"/>
      </w:pPr>
      <w:r w:rsidRPr="00981E15">
        <w:t>Sobre la base de la experiencia, los resultados y las recomendaciones de la evaluación realizada, se procedió a realizar un proceso de actualización de dicha política, en alianza estratégica de la SEPREM y la DEMI y en coordinación con el Foro Nacional de la Mujer. Este proceso fue completado en diciembre de 2007, con la presentación pública de la Política Nacional de Promoción y Desarrollo Integral de las Mujeres, la cual fue sancionada por Acuerdo Gubernativo No. 570-2007. Un logro importante es que a la vez contó con el respaldo de los Organismos Legislativo y Judicial.</w:t>
      </w:r>
    </w:p>
    <w:p w:rsidR="0048010F" w:rsidRPr="00981E15" w:rsidRDefault="0048010F" w:rsidP="00B764B5">
      <w:pPr>
        <w:pStyle w:val="SingleTxt"/>
        <w:numPr>
          <w:ilvl w:val="0"/>
          <w:numId w:val="12"/>
        </w:numPr>
        <w:tabs>
          <w:tab w:val="clear" w:pos="475"/>
          <w:tab w:val="num" w:pos="1742"/>
        </w:tabs>
        <w:suppressAutoHyphens/>
        <w:ind w:left="1267"/>
      </w:pPr>
      <w:r w:rsidRPr="00981E15">
        <w:t xml:space="preserve">Por tanto, el proceso de actualización ha hecho hincapié en la importancia de asumir el desafío de incorporar de manera explícita la diversidad étnico-cultural de las mujeres, a fin de visibilizar las necesidades y expectativas de las mujeres indígenas. A la vez, se ha considerado clave el abordaje de la participación de las mujeres en el proceso de descentralización, especialmente en los espacios institucionalizados, como son los Consejos de Desarrollo. </w:t>
      </w:r>
    </w:p>
    <w:p w:rsidR="0048010F" w:rsidRPr="00981E15" w:rsidRDefault="0048010F" w:rsidP="0048010F">
      <w:pPr>
        <w:pStyle w:val="SingleTxt"/>
        <w:spacing w:after="0" w:line="120" w:lineRule="exact"/>
        <w:rPr>
          <w:sz w:val="10"/>
        </w:rPr>
      </w:pPr>
    </w:p>
    <w:p w:rsidR="0048010F" w:rsidRPr="00981E15" w:rsidRDefault="0048010F" w:rsidP="0048010F">
      <w:pPr>
        <w:pStyle w:val="SingleTxt"/>
        <w:spacing w:after="0" w:line="120" w:lineRule="exact"/>
        <w:rPr>
          <w:sz w:val="10"/>
        </w:rPr>
      </w:pPr>
    </w:p>
    <w:p w:rsidR="0048010F" w:rsidRPr="00981E15" w:rsidRDefault="0048010F" w:rsidP="004801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Medidas legislativas</w:t>
      </w:r>
    </w:p>
    <w:p w:rsidR="0048010F" w:rsidRPr="00981E15" w:rsidRDefault="0048010F" w:rsidP="0048010F">
      <w:pPr>
        <w:pStyle w:val="SingleTxt"/>
        <w:spacing w:after="0" w:line="120" w:lineRule="exact"/>
        <w:rPr>
          <w:sz w:val="10"/>
        </w:rPr>
      </w:pPr>
    </w:p>
    <w:p w:rsidR="0048010F" w:rsidRPr="00981E15" w:rsidRDefault="0048010F" w:rsidP="0048010F">
      <w:pPr>
        <w:pStyle w:val="SingleTxt"/>
        <w:spacing w:after="0" w:line="120" w:lineRule="exact"/>
        <w:rPr>
          <w:sz w:val="10"/>
        </w:rPr>
      </w:pPr>
    </w:p>
    <w:p w:rsidR="0048010F" w:rsidRPr="00981E15" w:rsidRDefault="0048010F" w:rsidP="0048010F">
      <w:pPr>
        <w:pStyle w:val="SingleTxt"/>
        <w:suppressAutoHyphens/>
        <w:rPr>
          <w:b/>
        </w:rPr>
      </w:pPr>
      <w:r w:rsidRPr="00981E15">
        <w:rPr>
          <w:b/>
        </w:rPr>
        <w:t>Recomendaciones del Comité de Expertas de la CEDAW</w:t>
      </w:r>
    </w:p>
    <w:p w:rsidR="0048010F" w:rsidRPr="00981E15" w:rsidRDefault="0048010F" w:rsidP="0048010F">
      <w:pPr>
        <w:pStyle w:val="SingleTxt"/>
        <w:rPr>
          <w:b/>
        </w:rPr>
      </w:pPr>
      <w:r w:rsidRPr="00981E15">
        <w:rPr>
          <w:b/>
        </w:rPr>
        <w:t xml:space="preserve">La definición de discriminación que figura en el Decreto 57-2002 que reforma el Código Penal no es conforme al artículo 1 de la Convención (6) </w:t>
      </w:r>
    </w:p>
    <w:p w:rsidR="0048010F" w:rsidRPr="00981E15" w:rsidRDefault="0048010F" w:rsidP="0048010F">
      <w:pPr>
        <w:pStyle w:val="SingleTxt"/>
        <w:rPr>
          <w:b/>
        </w:rPr>
      </w:pPr>
      <w:r w:rsidRPr="00981E15">
        <w:rPr>
          <w:b/>
        </w:rPr>
        <w:t>La definición de discriminación que figura en dicho decreto tampoco es conforme al artículo 2, que requiere explícitamente la adopción de medidas para eliminar la discriminación de los agentes privados contra la mujer (6)</w:t>
      </w:r>
    </w:p>
    <w:p w:rsidR="0048010F" w:rsidRPr="00981E15" w:rsidRDefault="0048010F" w:rsidP="0048010F">
      <w:pPr>
        <w:pStyle w:val="SingleTxt"/>
        <w:rPr>
          <w:b/>
        </w:rPr>
      </w:pPr>
      <w:r w:rsidRPr="00981E15">
        <w:rPr>
          <w:b/>
        </w:rPr>
        <w:t>Reflejar en todas las leyes apropiadas una definición de discriminación que la abarque de manera tanto directa como indirecta (6)</w:t>
      </w:r>
    </w:p>
    <w:p w:rsidR="0048010F" w:rsidRPr="00981E15" w:rsidRDefault="0048010F" w:rsidP="0048010F">
      <w:pPr>
        <w:pStyle w:val="SingleTxt"/>
        <w:rPr>
          <w:b/>
        </w:rPr>
      </w:pPr>
      <w:r w:rsidRPr="00981E15">
        <w:rPr>
          <w:b/>
        </w:rPr>
        <w:t>Incluir sanciones eficaces y recursos en caso de violación de derechos por entidades</w:t>
      </w:r>
      <w:r w:rsidR="00330C96">
        <w:rPr>
          <w:b/>
        </w:rPr>
        <w:t xml:space="preserve"> y agentes públicos y privados </w:t>
      </w:r>
      <w:r w:rsidRPr="00981E15">
        <w:rPr>
          <w:b/>
        </w:rPr>
        <w:t>(6)</w:t>
      </w:r>
    </w:p>
    <w:p w:rsidR="0048010F" w:rsidRPr="00981E15" w:rsidRDefault="0048010F" w:rsidP="0048010F">
      <w:pPr>
        <w:pStyle w:val="SingleTxt"/>
        <w:rPr>
          <w:b/>
        </w:rPr>
      </w:pPr>
      <w:r w:rsidRPr="00981E15">
        <w:rPr>
          <w:b/>
        </w:rPr>
        <w:t>Existe falta de conciencia acerca de los derechos humanos de las mujeres entre los miembros del Parlamento (6)</w:t>
      </w:r>
    </w:p>
    <w:p w:rsidR="0048010F" w:rsidRPr="00981E15" w:rsidRDefault="0048010F" w:rsidP="0048010F">
      <w:pPr>
        <w:pStyle w:val="SingleTxt"/>
        <w:rPr>
          <w:b/>
        </w:rPr>
      </w:pPr>
      <w:r w:rsidRPr="00981E15">
        <w:rPr>
          <w:b/>
        </w:rPr>
        <w:t xml:space="preserve">Aunque se han aprobado diversas leyes y decretos para proteger a mujeres y niñas (en particular el Decreto 81-2002 para promover la eliminación de la discriminación por raza y género en todos los ministerios del Estado), existe falta de observancia y coordinación de las leyes y los decretos, y hay una ineficaz aplicación y supervisión. Es preciso tomar medidas para asegurar la observancia, aplicación y evaluación eficaces de las leyes y decretos dirigidos a proteger a las mujeres y las niñas y recoger esas medidas en su próximo informe periódico (6) </w:t>
      </w:r>
    </w:p>
    <w:p w:rsidR="0048010F" w:rsidRPr="00981E15" w:rsidRDefault="0048010F" w:rsidP="0048010F">
      <w:pPr>
        <w:pStyle w:val="SingleTxt"/>
        <w:rPr>
          <w:b/>
        </w:rPr>
      </w:pPr>
      <w:r w:rsidRPr="00981E15">
        <w:rPr>
          <w:b/>
        </w:rPr>
        <w:t>Existe un desequilibrio entre los poderes del Estado, cuya consecuencia es la resistencia a aprobar y reformar leyes destinadas a proteger los derechos humanos de las mujeres (6)</w:t>
      </w:r>
    </w:p>
    <w:p w:rsidR="0048010F" w:rsidRPr="00981E15" w:rsidRDefault="0048010F" w:rsidP="0048010F">
      <w:pPr>
        <w:pStyle w:val="SingleTxt"/>
        <w:rPr>
          <w:b/>
        </w:rPr>
      </w:pPr>
      <w:r w:rsidRPr="00981E15">
        <w:rPr>
          <w:b/>
        </w:rPr>
        <w:t>Insta al Estado Parte a que armonice su legislación con el artículo 11 de la Convención y ratifique el Convenio 155 de la OIT sobre Salud y Seguridad Ocupacio</w:t>
      </w:r>
      <w:r w:rsidR="00330C96">
        <w:rPr>
          <w:b/>
        </w:rPr>
        <w:t>nal y Medio Ambiente de Trabajo</w:t>
      </w:r>
      <w:r w:rsidRPr="00981E15">
        <w:rPr>
          <w:b/>
        </w:rPr>
        <w:t xml:space="preserve"> (6)</w:t>
      </w:r>
    </w:p>
    <w:p w:rsidR="0048010F" w:rsidRPr="00981E15" w:rsidRDefault="0048010F" w:rsidP="0048010F">
      <w:pPr>
        <w:pStyle w:val="SingleTxt"/>
        <w:rPr>
          <w:b/>
        </w:rPr>
      </w:pPr>
      <w:r w:rsidRPr="00981E15">
        <w:rPr>
          <w:b/>
        </w:rPr>
        <w:t>Se pide al Estado Parte que acelere la sanción de legislación sobre el acoso sexual (6)</w:t>
      </w:r>
    </w:p>
    <w:p w:rsidR="0048010F" w:rsidRPr="00981E15" w:rsidRDefault="0048010F" w:rsidP="0048010F">
      <w:pPr>
        <w:pStyle w:val="SingleTxt"/>
        <w:rPr>
          <w:b/>
        </w:rPr>
      </w:pPr>
      <w:r w:rsidRPr="00981E15">
        <w:rPr>
          <w:b/>
        </w:rPr>
        <w:t xml:space="preserve">Existe ambigüedad de las leyes relativas a la prostitución, especialmente la prostitución infantil, ya que éstas la prohíben pero no establecen sanciones proporcionales a la gravedad de los delitos, y </w:t>
      </w:r>
      <w:r w:rsidR="00BB6807">
        <w:rPr>
          <w:b/>
        </w:rPr>
        <w:t>hay preocupación por la elevada </w:t>
      </w:r>
      <w:r w:rsidRPr="00981E15">
        <w:rPr>
          <w:b/>
        </w:rPr>
        <w:t>incidencia de la prostitución infantil y la explot</w:t>
      </w:r>
      <w:r w:rsidR="00E563B3" w:rsidRPr="00981E15">
        <w:rPr>
          <w:b/>
        </w:rPr>
        <w:t>ación sexual de menores (3, 4, </w:t>
      </w:r>
      <w:r w:rsidRPr="00981E15">
        <w:rPr>
          <w:b/>
        </w:rPr>
        <w:t>5)</w:t>
      </w:r>
    </w:p>
    <w:p w:rsidR="0048010F" w:rsidRPr="00981E15" w:rsidRDefault="0048010F" w:rsidP="0048010F">
      <w:pPr>
        <w:pStyle w:val="SingleTxt"/>
        <w:rPr>
          <w:b/>
        </w:rPr>
      </w:pPr>
      <w:r w:rsidRPr="00981E15">
        <w:rPr>
          <w:b/>
        </w:rPr>
        <w:t>El Comité recomienda al Estado Parte que examine la legislación vigente relativa a la tipificación como delito de la prostitución infantil y la explotación sexual de menores y que adopte medidas para aplicar el Plan Nacional de Acción contra la Explotación Sexual Comercial de Niñas, Niños y Adolescentes en Guatemala (3, 4, 5)</w:t>
      </w:r>
    </w:p>
    <w:p w:rsidR="0048010F" w:rsidRPr="00981E15" w:rsidRDefault="0048010F" w:rsidP="0048010F">
      <w:pPr>
        <w:pStyle w:val="SingleTxt"/>
        <w:rPr>
          <w:b/>
        </w:rPr>
      </w:pPr>
      <w:r w:rsidRPr="00981E15">
        <w:rPr>
          <w:b/>
        </w:rPr>
        <w:t>El Comité insta al Estado Parte a que adopte medidas para subsanar la disparidad entre la edad legal a la que los hombres y mujeres pueden contraer matrimonio (3, 4, 5) y a que tome medidas para elevar la edad mínima correspondiente a las jóvenes, de conformidad con el artículo 1 de la Convención sobre los Derechos del Niño en el que se entiende por Niño a todo ser humano menor de 18 años de edad (3, 4, 5)</w:t>
      </w:r>
    </w:p>
    <w:p w:rsidR="0048010F" w:rsidRPr="00981E15" w:rsidRDefault="0048010F" w:rsidP="0048010F">
      <w:pPr>
        <w:pStyle w:val="SingleTxt"/>
        <w:spacing w:after="0" w:line="120" w:lineRule="exact"/>
        <w:rPr>
          <w:sz w:val="10"/>
        </w:rPr>
      </w:pPr>
    </w:p>
    <w:p w:rsidR="0048010F" w:rsidRPr="00981E15" w:rsidRDefault="0048010F" w:rsidP="0089094F">
      <w:pPr>
        <w:pStyle w:val="SingleTxt"/>
        <w:numPr>
          <w:ilvl w:val="0"/>
          <w:numId w:val="12"/>
        </w:numPr>
        <w:tabs>
          <w:tab w:val="clear" w:pos="475"/>
          <w:tab w:val="num" w:pos="1742"/>
        </w:tabs>
        <w:suppressAutoHyphens/>
        <w:ind w:left="1267"/>
      </w:pPr>
      <w:r w:rsidRPr="00981E15">
        <w:t>La ratificación de la CEDAW por parte del Estado de Guatemala en 1982, abrió el camino para reconceptualizar el principio de igualdad formal entre las personas. Por lo que en Asamblea Nacional Constituyente de 1985 se consagró en la Constitución de la República de Guatemala en el artículo 4º: “</w:t>
      </w:r>
      <w:r w:rsidRPr="00981E15">
        <w:rPr>
          <w:b/>
        </w:rPr>
        <w:t>Libertad e igualdad</w:t>
      </w:r>
      <w:r w:rsidRPr="00981E15">
        <w:t xml:space="preserve">. En Guatemala todos los seres humanos son libres e iguales en dignidad y derechos. El hombre y la mujer, cualquiera que sea su estado civil, tienen iguales oportunidades y responsabilidades. Ninguna persona puede ser sometida a servidumbre ni a otra condición que menoscabe su dignidad. Los seres humanos deben guardar conducta fraternal entre sí.” </w:t>
      </w:r>
    </w:p>
    <w:p w:rsidR="0048010F" w:rsidRPr="00981E15" w:rsidRDefault="0048010F" w:rsidP="0089094F">
      <w:pPr>
        <w:pStyle w:val="SingleTxt"/>
        <w:numPr>
          <w:ilvl w:val="0"/>
          <w:numId w:val="12"/>
        </w:numPr>
        <w:tabs>
          <w:tab w:val="clear" w:pos="475"/>
          <w:tab w:val="num" w:pos="1742"/>
        </w:tabs>
        <w:suppressAutoHyphens/>
        <w:ind w:left="1267"/>
      </w:pPr>
      <w:r w:rsidRPr="00981E15">
        <w:t xml:space="preserve">Los procesos para eliminar sesgos androcéntricos de la legislación nacional han sido lentos y difíciles, pues el proceso y fenómeno jurídico es un producto social en el que las necesidades y los intereses particulares de las mujeres son persistentemente invisibilizados. Ya que la discriminación se produce tanto en el origen como en la letra misma de la norma, cuando se restringe o anula un derecho a la mujer, así como cuando ese efecto es el resultado de la interpretación de la norma por parte de quienes administran justicia. El cambio en el lenguaje andrócentrico en los instrumentos jurídicos es un paso importante en este proceso, por lo que por parte de las instituciones del Estado se está avanzando en acciones sistemáticas de alfabetización desde el sistema educativo hasta las personas operadoras de justicia sobre los principios que sustentan la normativa internacional y el contenido y alcances de los instrumentos específicos de derechos humanos de las mujeres. </w:t>
      </w:r>
    </w:p>
    <w:p w:rsidR="0048010F" w:rsidRPr="00981E15" w:rsidRDefault="0048010F" w:rsidP="0089094F">
      <w:pPr>
        <w:pStyle w:val="SingleTxt"/>
        <w:numPr>
          <w:ilvl w:val="0"/>
          <w:numId w:val="12"/>
        </w:numPr>
        <w:tabs>
          <w:tab w:val="clear" w:pos="475"/>
          <w:tab w:val="num" w:pos="1742"/>
        </w:tabs>
        <w:suppressAutoHyphens/>
        <w:ind w:left="1267"/>
      </w:pPr>
      <w:r w:rsidRPr="00981E15">
        <w:t xml:space="preserve">Durante el período considerado por este informe, se aprobaron varias leyes específicas y se reformaron otras ya existentes. </w:t>
      </w:r>
    </w:p>
    <w:p w:rsidR="0048010F" w:rsidRPr="00981E15" w:rsidRDefault="0048010F" w:rsidP="0048010F">
      <w:pPr>
        <w:pStyle w:val="SingleTxt"/>
        <w:spacing w:after="0" w:line="120" w:lineRule="exact"/>
        <w:rPr>
          <w:sz w:val="10"/>
        </w:rPr>
      </w:pPr>
    </w:p>
    <w:p w:rsidR="0048010F" w:rsidRPr="00981E15" w:rsidRDefault="0048010F" w:rsidP="0048010F">
      <w:pPr>
        <w:pStyle w:val="SingleTxt"/>
        <w:spacing w:after="0" w:line="120" w:lineRule="exact"/>
        <w:rPr>
          <w:sz w:val="10"/>
        </w:rPr>
      </w:pPr>
    </w:p>
    <w:p w:rsidR="0048010F" w:rsidRPr="00981E15" w:rsidRDefault="0048010F" w:rsidP="004801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Reformas y avances legislativos</w:t>
      </w:r>
    </w:p>
    <w:p w:rsidR="0048010F" w:rsidRPr="00981E15" w:rsidRDefault="0048010F" w:rsidP="0048010F">
      <w:pPr>
        <w:pStyle w:val="SingleTxt"/>
        <w:spacing w:after="0" w:line="120" w:lineRule="exact"/>
        <w:rPr>
          <w:sz w:val="10"/>
        </w:rPr>
      </w:pP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Materia Penal</w:t>
      </w:r>
    </w:p>
    <w:p w:rsidR="0048010F" w:rsidRPr="00981E15" w:rsidRDefault="0048010F" w:rsidP="0048010F">
      <w:pPr>
        <w:pStyle w:val="SingleTxt"/>
        <w:spacing w:after="0" w:line="120" w:lineRule="exact"/>
        <w:rPr>
          <w:sz w:val="10"/>
        </w:rPr>
      </w:pPr>
    </w:p>
    <w:p w:rsidR="0048010F" w:rsidRPr="00981E15" w:rsidRDefault="0048010F" w:rsidP="006E477B">
      <w:pPr>
        <w:pStyle w:val="SingleTxt"/>
        <w:numPr>
          <w:ilvl w:val="0"/>
          <w:numId w:val="12"/>
        </w:numPr>
        <w:tabs>
          <w:tab w:val="clear" w:pos="475"/>
          <w:tab w:val="num" w:pos="1742"/>
        </w:tabs>
        <w:suppressAutoHyphens/>
        <w:ind w:left="1267"/>
      </w:pPr>
      <w:r w:rsidRPr="00981E15">
        <w:rPr>
          <w:b/>
          <w:i/>
        </w:rPr>
        <w:t>Decreto 14-2005. Reforma del artículo 194 del Código Penal</w:t>
      </w:r>
      <w:r w:rsidRPr="00981E15">
        <w:t xml:space="preserve">. Anteriormente el artículo refería la “trata de blancas”, lo cual era discriminatorio contra las mujeres porque se les visualizaba como objetos sexuales. Esta reforma ha sido adecuada al Convenio de Palermo en el sentido de la inclusión de otras modalidades de trata. Y se regula de la siguiente forma: “Artículo 194. Trata de Personas. Quien en cualquier forma promueva, induzca, facilite, financie, colabore o participe en la captación, transporte, traslado, acogida o recepción de una o más personas recurriendo a la amenaza, al uso de la fuerza u otras formas de coacción, al rapto, al fraude, al engaño, al abuso de poder, al plagio o secuestro, o de una situación de vulnerabilidad o a la concesión o recepción de pagos o beneficios para obtener el consentimiento de una persona que tenga autoridad sobre otra, con fines de explotación sexual, será sancionado con pena de seis a doce años de prisión.” </w:t>
      </w:r>
    </w:p>
    <w:p w:rsidR="0048010F" w:rsidRPr="00981E15" w:rsidRDefault="0048010F" w:rsidP="006E477B">
      <w:pPr>
        <w:pStyle w:val="SingleTxt"/>
        <w:numPr>
          <w:ilvl w:val="0"/>
          <w:numId w:val="12"/>
        </w:numPr>
        <w:tabs>
          <w:tab w:val="clear" w:pos="475"/>
          <w:tab w:val="num" w:pos="1742"/>
        </w:tabs>
        <w:suppressAutoHyphens/>
        <w:ind w:left="1267"/>
      </w:pPr>
      <w:r w:rsidRPr="00981E15">
        <w:rPr>
          <w:b/>
          <w:i/>
        </w:rPr>
        <w:t>Derogación del artículo 200 del Código Penal</w:t>
      </w:r>
      <w:r w:rsidRPr="00981E15">
        <w:t>. En agosto de 2006 se derogó este artículo que regulaba la extinción de la acción penal al autor de los delitos de índole sexual, por motivo de matrimonio con la víctima. Este artículo fue derogado por una acción de inconstitucionalidad promovida por la Procuradora adjunta de Derechos Humanos.</w:t>
      </w: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Legislación específica con implicaciones de género</w:t>
      </w:r>
    </w:p>
    <w:p w:rsidR="0048010F" w:rsidRPr="00981E15" w:rsidRDefault="0048010F" w:rsidP="0048010F">
      <w:pPr>
        <w:pStyle w:val="SingleTxt"/>
        <w:spacing w:after="0" w:line="120" w:lineRule="exact"/>
        <w:rPr>
          <w:sz w:val="10"/>
        </w:rPr>
      </w:pPr>
    </w:p>
    <w:p w:rsidR="0048010F" w:rsidRPr="00981E15" w:rsidRDefault="0048010F" w:rsidP="00744346">
      <w:pPr>
        <w:pStyle w:val="SingleTxt"/>
        <w:numPr>
          <w:ilvl w:val="0"/>
          <w:numId w:val="12"/>
        </w:numPr>
        <w:tabs>
          <w:tab w:val="clear" w:pos="475"/>
          <w:tab w:val="num" w:pos="1742"/>
        </w:tabs>
        <w:suppressAutoHyphens/>
        <w:ind w:left="1267"/>
      </w:pPr>
      <w:r w:rsidRPr="00981E15">
        <w:rPr>
          <w:b/>
        </w:rPr>
        <w:t>Decreto 26-2007, Ley del Consejo Nacional de Atención al Migrante Guatemalteco</w:t>
      </w:r>
      <w:r w:rsidRPr="00981E15">
        <w:t xml:space="preserve">. A través de esta Ley se crea el Consejo Nacional de Atención al Migrante de Guatemala, que se podrá denominar CONAMIGUA. Se convierte en el ente gubernamental encargado de coordinar, definir, supervisar y fiscalizar las acciones y actividades de los Órganos y entidades del Estado tendientes a proteger, atender y brindar asistencia y auxilio a los migrantes guatemaltecos y sus familias, así como los migrantes de otras nacionalidades que se encuentren en el territorio nacional. Entre los principios que regirán el CONAMIGUA están, el respeto a los derechos humanos de los guatemaltecos y las guatemaltecas en el extranjero, así como el cumplimiento de los compromisos Internacionales, multilaterales o binacionales, que nuestro país ha suscrito con Organismos de protección a los derechos del Migrante y otros Estados donde vivan connacionales. </w:t>
      </w:r>
    </w:p>
    <w:p w:rsidR="0048010F" w:rsidRPr="00981E15" w:rsidRDefault="0048010F" w:rsidP="00744346">
      <w:pPr>
        <w:pStyle w:val="SingleTxt"/>
        <w:numPr>
          <w:ilvl w:val="0"/>
          <w:numId w:val="12"/>
        </w:numPr>
        <w:tabs>
          <w:tab w:val="clear" w:pos="475"/>
          <w:tab w:val="num" w:pos="1742"/>
        </w:tabs>
        <w:suppressAutoHyphens/>
        <w:ind w:left="1267"/>
      </w:pPr>
      <w:r w:rsidRPr="00981E15">
        <w:t xml:space="preserve">Decreto 35-2007, Acuerdo entre la Organización de Naciones Unidas y el Estado de Guatemala, relativo al establecimiento de una Comisión Internacional Contra la Impunidad en Guatemala (CICIG), suscrito en la Ciudad de Nueva York el 12 de diciembre de 2006. En la parte considerativa indica que en la actualidad los cuerpos ilegales y aparatos clandestinos de seguridad atentan gravemente contra los derechos humanos a través de acciones delictivas, provocando impunidad en la sociedad guatemalteca. El objetivo de la CICIG es fortalecer y coadyuvar a las instituciones encargadas de la investigación y la persecución penal de los delitos presuntamente cometidos con ocasión de la actividad de los cuerpos ilegales de seguridad y cualquier otra conducta delictiva conexa con estos que operan en el país. El decreto en cuestión fue aprobado en agosto de 2007 por el Congreso de la República. La CICIG constituye un mecanismo para combatir la impunidad que podría tener un efecto positivo en la investigación de los crímenes en contra de las mujeres. </w:t>
      </w:r>
    </w:p>
    <w:p w:rsidR="0048010F" w:rsidRPr="00981E15" w:rsidRDefault="0048010F" w:rsidP="00744346">
      <w:pPr>
        <w:pStyle w:val="SingleTxt"/>
        <w:numPr>
          <w:ilvl w:val="0"/>
          <w:numId w:val="12"/>
        </w:numPr>
        <w:tabs>
          <w:tab w:val="clear" w:pos="475"/>
          <w:tab w:val="num" w:pos="1742"/>
        </w:tabs>
        <w:suppressAutoHyphens/>
        <w:ind w:left="1267"/>
      </w:pPr>
      <w:r w:rsidRPr="00981E15">
        <w:t xml:space="preserve">Decreto Número 31-2007, que aprueba el Convenio Relativo a la Protección del Niño y a la Cooperación en Materia de Adopción Internacional. El Estado de Guatemala ratifica y se adhiere al Convenio de La Haya sobre Adopciones, el cual establece mayores y mejores controles para otorgar en adopción a un menor de edad. El convenio privilegia, además, las adopciones de guatemaltecos sobre las de extranjeros, y que el consentimiento de la madre no haya sido obtenido mediante pago o compensación. Este decreto fue aprobado en mayo de 2007, cobrará vigencia en diciembre de 2007. </w:t>
      </w:r>
    </w:p>
    <w:p w:rsidR="0048010F" w:rsidRPr="00981E15" w:rsidRDefault="0048010F" w:rsidP="00744346">
      <w:pPr>
        <w:pStyle w:val="SingleTxt"/>
        <w:numPr>
          <w:ilvl w:val="0"/>
          <w:numId w:val="12"/>
        </w:numPr>
        <w:tabs>
          <w:tab w:val="clear" w:pos="475"/>
          <w:tab w:val="num" w:pos="1742"/>
        </w:tabs>
        <w:suppressAutoHyphens/>
        <w:ind w:left="1267"/>
      </w:pPr>
      <w:r w:rsidRPr="00981E15">
        <w:t xml:space="preserve">Decreto Número 77-2007. </w:t>
      </w:r>
      <w:r w:rsidRPr="00981E15">
        <w:rPr>
          <w:i/>
        </w:rPr>
        <w:t>Ley de Adopciones</w:t>
      </w:r>
      <w:r w:rsidRPr="00981E15">
        <w:t>, la ley entrará en vigencia a partir del 31 de diciembre de 2007. Esta ley regula lo relativo a las adopciones fraudulentas, considerando que las mismas constituyen trata de personas y son consideradas como una forma severa de los derechos humanos de las niñas y niños. Establece que el proceso de adopción debe ser dictado por un juez de la niñez y adolescencia luego de un proceso que examine los aspectos sociales, psicológicos y médicos del niño o niña y de haber establecido la imposibilidad de la reunificación del niño o niña con su familia. La ley también establece que la situación de pobreza o extrema pobreza de la madre o el padre no es motivo suficiente para dar en adopción al niño. Debido a que la adopción es una institución social se prohíbe la obtención de beneficios indebidos, materiales o de otra clase, para las personas, instituciones y autoridades involucradas en el proceso de adopción; incluyendo a los familiares dentro de los grados de ley del adoptante o del adoptado.</w:t>
      </w:r>
    </w:p>
    <w:p w:rsidR="0048010F" w:rsidRPr="00981E15" w:rsidRDefault="0048010F" w:rsidP="00744346">
      <w:pPr>
        <w:pStyle w:val="SingleTxt"/>
        <w:numPr>
          <w:ilvl w:val="0"/>
          <w:numId w:val="12"/>
        </w:numPr>
        <w:tabs>
          <w:tab w:val="clear" w:pos="475"/>
          <w:tab w:val="num" w:pos="1742"/>
        </w:tabs>
        <w:suppressAutoHyphens/>
        <w:ind w:left="1267"/>
      </w:pPr>
      <w:r w:rsidRPr="00981E15">
        <w:rPr>
          <w:i/>
        </w:rPr>
        <w:t>Decreto 33-2006. Ley del Sistema Penitenciario</w:t>
      </w:r>
      <w:r w:rsidRPr="00981E15">
        <w:t xml:space="preserve">, entró en vigencia el 5 de octubre del año 2006. Esta Ley reforma lo relativo a redención de penas y cambia el paradigma del sistema penitenciario y establece que la función del sistema es la resocialización y reeducación de las personas privadas de libertad. </w:t>
      </w:r>
    </w:p>
    <w:p w:rsidR="0048010F" w:rsidRPr="00981E15" w:rsidRDefault="0048010F" w:rsidP="00744346">
      <w:pPr>
        <w:pStyle w:val="SingleTxt"/>
        <w:numPr>
          <w:ilvl w:val="0"/>
          <w:numId w:val="12"/>
        </w:numPr>
        <w:tabs>
          <w:tab w:val="clear" w:pos="475"/>
          <w:tab w:val="num" w:pos="1742"/>
        </w:tabs>
        <w:suppressAutoHyphens/>
        <w:ind w:left="1267"/>
      </w:pPr>
      <w:r w:rsidRPr="00981E15">
        <w:t xml:space="preserve">Decreto 32-2006. Creación del Instituto Nacional de Ciencias Forenses (INACIF), que tiene como finalidad principal la prestación del servicio de investigación científica de forma independiente, emitiendo dictámenes técnicos científicos y con competencia a nivel nacional. Entre otros aspectos fortalecerá las investigaciones de delitos contra mujeres. </w:t>
      </w:r>
    </w:p>
    <w:p w:rsidR="0048010F" w:rsidRPr="00981E15" w:rsidRDefault="0048010F" w:rsidP="00744346">
      <w:pPr>
        <w:pStyle w:val="SingleTxt"/>
        <w:numPr>
          <w:ilvl w:val="0"/>
          <w:numId w:val="12"/>
        </w:numPr>
        <w:tabs>
          <w:tab w:val="clear" w:pos="475"/>
          <w:tab w:val="num" w:pos="1742"/>
        </w:tabs>
        <w:suppressAutoHyphens/>
        <w:ind w:left="1267"/>
      </w:pPr>
      <w:r w:rsidRPr="00981E15">
        <w:rPr>
          <w:i/>
        </w:rPr>
        <w:t>Decreto 32- 2005. Ley del Sistema de Seguridad Alimentaria y Nutricional</w:t>
      </w:r>
      <w:r w:rsidRPr="00981E15">
        <w:t>. Entró en vigencia en abril de 2005. Esta ley crea el Consejo Nacional de Seguridad Alimentaria y Nutricional (CONSAN), el cual es el ente rector del Sistema Nacional de Seguridad Alimentaria y Nutricional.</w:t>
      </w:r>
    </w:p>
    <w:p w:rsidR="0048010F" w:rsidRPr="00981E15" w:rsidRDefault="0048010F" w:rsidP="00744346">
      <w:pPr>
        <w:pStyle w:val="SingleTxt"/>
        <w:numPr>
          <w:ilvl w:val="0"/>
          <w:numId w:val="12"/>
        </w:numPr>
        <w:tabs>
          <w:tab w:val="clear" w:pos="475"/>
          <w:tab w:val="num" w:pos="1742"/>
        </w:tabs>
        <w:suppressAutoHyphens/>
        <w:ind w:left="1267"/>
      </w:pPr>
      <w:r w:rsidRPr="00981E15">
        <w:t xml:space="preserve">Decreto 40-2005. En mayo de 2005, el Congreso de la República aprueba el </w:t>
      </w:r>
      <w:r w:rsidRPr="00981E15">
        <w:rPr>
          <w:i/>
        </w:rPr>
        <w:t>Acuerdo entre el Alto Comisionado de las Naciones Unidas para los Derechos Humanos y el Gobierno de la República de Guatemala, relativo al establecimiento de una oficina en Guatemala</w:t>
      </w:r>
      <w:r w:rsidRPr="00981E15">
        <w:t xml:space="preserve">, suscrito en Nueva York, el 10 de Enero de 2005. </w:t>
      </w:r>
    </w:p>
    <w:p w:rsidR="0048010F" w:rsidRPr="00981E15" w:rsidRDefault="0048010F" w:rsidP="00744346">
      <w:pPr>
        <w:pStyle w:val="SingleTxt"/>
        <w:numPr>
          <w:ilvl w:val="0"/>
          <w:numId w:val="12"/>
        </w:numPr>
        <w:tabs>
          <w:tab w:val="clear" w:pos="475"/>
          <w:tab w:val="num" w:pos="1742"/>
        </w:tabs>
        <w:suppressAutoHyphens/>
        <w:ind w:left="1267"/>
      </w:pPr>
      <w:r w:rsidRPr="00981E15">
        <w:rPr>
          <w:b/>
          <w:i/>
        </w:rPr>
        <w:t>Decreto 41-2005. Ley del Registro de Información Catastral</w:t>
      </w:r>
      <w:r w:rsidRPr="00981E15">
        <w:t xml:space="preserve">. Esta Ley busca otorgar seguridad jurídica de la tenencia de la tierra y propiciar el desarrollo rural. </w:t>
      </w:r>
    </w:p>
    <w:p w:rsidR="0048010F" w:rsidRPr="00981E15" w:rsidRDefault="0048010F" w:rsidP="00744346">
      <w:pPr>
        <w:pStyle w:val="SingleTxt"/>
        <w:numPr>
          <w:ilvl w:val="0"/>
          <w:numId w:val="12"/>
        </w:numPr>
        <w:tabs>
          <w:tab w:val="clear" w:pos="475"/>
          <w:tab w:val="num" w:pos="1742"/>
        </w:tabs>
        <w:suppressAutoHyphens/>
        <w:ind w:left="1267"/>
      </w:pPr>
      <w:r w:rsidRPr="00981E15">
        <w:rPr>
          <w:b/>
          <w:i/>
        </w:rPr>
        <w:t>Decreto 52-2005. Ley Marco de los Acuerdos de Paz</w:t>
      </w:r>
      <w:r w:rsidRPr="00981E15">
        <w:t xml:space="preserve">. Es aprobada en agosto de 2005, la cual obliga al Estado a cumplir con los Acuerdos de Paz, en específico el Acuerdo Global sobre Derechos Humanos, de Identidad y Derecho de los Pueblos Indígenas. Dicha Ley hace obligatorio el compromiso del Estado de Guatemala de aplicar los preceptos constitucionales de conformidad al artículo 4, sobre libertad e igualdad. </w:t>
      </w:r>
    </w:p>
    <w:p w:rsidR="0048010F" w:rsidRPr="00981E15" w:rsidRDefault="0048010F" w:rsidP="00744346">
      <w:pPr>
        <w:pStyle w:val="SingleTxt"/>
        <w:numPr>
          <w:ilvl w:val="0"/>
          <w:numId w:val="12"/>
        </w:numPr>
        <w:tabs>
          <w:tab w:val="clear" w:pos="475"/>
          <w:tab w:val="num" w:pos="1742"/>
        </w:tabs>
        <w:suppressAutoHyphens/>
        <w:ind w:left="1267"/>
      </w:pPr>
      <w:r w:rsidRPr="00981E15">
        <w:rPr>
          <w:b/>
          <w:i/>
        </w:rPr>
        <w:t xml:space="preserve">Decreto 85-2005. Ley del Programa de Aporte Económico del Adulto Mayor. </w:t>
      </w:r>
      <w:r w:rsidRPr="00981E15">
        <w:t xml:space="preserve">Entró en vigencia en marzo de 2006. Esta ley dispone crear un programa de ayuda económica mensual para guatemaltecos y guatemaltecas mayores de 65 años. El beneficio se dará previo estudio socioeconómico. A los que tengan alguna enfermedad seria, se les incluirá automáticamente. Se establecerá con base en el 40 por ciento del salario mínimo para los trabajadores del sector agrícola, que es de Q42.26 por día, lo que representará unos Q509.52 mensuales. Se encuentra pendiente su aplicación. </w:t>
      </w:r>
    </w:p>
    <w:p w:rsidR="0048010F" w:rsidRPr="00981E15" w:rsidRDefault="0048010F" w:rsidP="00744346">
      <w:pPr>
        <w:pStyle w:val="SingleTxt"/>
        <w:numPr>
          <w:ilvl w:val="0"/>
          <w:numId w:val="12"/>
        </w:numPr>
        <w:tabs>
          <w:tab w:val="clear" w:pos="475"/>
          <w:tab w:val="num" w:pos="1742"/>
        </w:tabs>
        <w:ind w:left="1267"/>
      </w:pPr>
      <w:r w:rsidRPr="00981E15">
        <w:rPr>
          <w:b/>
          <w:i/>
        </w:rPr>
        <w:t>Decreto 87-2005. Ley de Acceso Universal y Equitativo de Servicios de Planificación Familiar y su Integración al Programa de Salud Reproductiva.</w:t>
      </w:r>
      <w:r w:rsidRPr="00981E15">
        <w:t xml:space="preserve"> Aprobada en el año 2005, surge como cumplimiento de la protección, promoción y fortalecimiento de los derechos sexuales y reproductivos. El objeto de la Ley es asegurar el acceso de la población a los servicios de planificación familiar, que incluye la información, consejería, educación sobre salud sexual y reproductiva a las personas y provisión de métodos de planificación familiar. Además establece mecanismos dirigidos a la consecución de nuevas fuentes de financiamiento local, reduciendo la dependencia histórica de los servicios de planificación familiar, de donantes internacionales. </w:t>
      </w:r>
    </w:p>
    <w:p w:rsidR="0048010F" w:rsidRPr="00981E15" w:rsidRDefault="0048010F" w:rsidP="00744346">
      <w:pPr>
        <w:pStyle w:val="SingleTxt"/>
        <w:numPr>
          <w:ilvl w:val="0"/>
          <w:numId w:val="12"/>
        </w:numPr>
        <w:tabs>
          <w:tab w:val="clear" w:pos="475"/>
          <w:tab w:val="num" w:pos="1742"/>
        </w:tabs>
        <w:ind w:left="1267"/>
      </w:pPr>
      <w:r w:rsidRPr="00981E15">
        <w:rPr>
          <w:b/>
          <w:i/>
        </w:rPr>
        <w:t>Instrumento de adhesión del Protocolo Contra el Tráfico Ilícito de Migrantes por Tierra, Mar y Aire</w:t>
      </w:r>
      <w:r w:rsidRPr="00981E15">
        <w:t xml:space="preserve">. El 5 de mayo de 2004, el Gobierno de Guatemala firma el instrumento de adhesión que complementa la Convención de las Naciones Unidas contra la Delincuencia Organizada Transnacional. </w:t>
      </w:r>
    </w:p>
    <w:p w:rsidR="0048010F" w:rsidRPr="00981E15" w:rsidRDefault="0048010F" w:rsidP="00744346">
      <w:pPr>
        <w:pStyle w:val="SingleTxt"/>
        <w:numPr>
          <w:ilvl w:val="0"/>
          <w:numId w:val="12"/>
        </w:numPr>
        <w:tabs>
          <w:tab w:val="clear" w:pos="475"/>
          <w:tab w:val="num" w:pos="1742"/>
        </w:tabs>
        <w:ind w:left="1267"/>
      </w:pPr>
      <w:r w:rsidRPr="00981E15">
        <w:rPr>
          <w:b/>
          <w:i/>
        </w:rPr>
        <w:t>Acuerdo 16-2005</w:t>
      </w:r>
      <w:r w:rsidRPr="00981E15">
        <w:t>. Publicado el 18 de marzo de 2005. Fija como plazo perentorio antes que cobre vigencia el Tratado de Libre Comercio entre República Dominicana, Centroamérica y Estados Unidos de América, la aprobación de varias Iniciativas de Ley que permitan crear los marcos legales como compensadores sociales para amortiguar los efectos del Tratado de Libre Comercio. Principalmente en el ámbito laboral, en materia de seguridad jurídica y sanitaria para todos y todas las trabajadora</w:t>
      </w:r>
      <w:r w:rsidR="00C23CEA" w:rsidRPr="00981E15">
        <w:t>s.</w:t>
      </w:r>
    </w:p>
    <w:p w:rsidR="0048010F" w:rsidRPr="00981E15" w:rsidRDefault="0048010F" w:rsidP="00744346">
      <w:pPr>
        <w:pStyle w:val="SingleTxt"/>
        <w:numPr>
          <w:ilvl w:val="0"/>
          <w:numId w:val="12"/>
        </w:numPr>
        <w:tabs>
          <w:tab w:val="clear" w:pos="475"/>
          <w:tab w:val="num" w:pos="1742"/>
        </w:tabs>
        <w:ind w:left="1267"/>
      </w:pPr>
      <w:r w:rsidRPr="00981E15">
        <w:rPr>
          <w:b/>
          <w:i/>
        </w:rPr>
        <w:t>Acuerdo Ministerial SPM-1799-2007</w:t>
      </w:r>
      <w:r w:rsidRPr="00981E15">
        <w:t xml:space="preserve">, de fecha 31 de julio de 2007. Declara el mes de agosto de cada año como mes de la salud reproductiva, con el cual se persigue que todas las instancias que realizan acciones en pro de la salud reproductiva, impulsen en agosto de cada año acciones concernientes a promocionar y fortalecer la salud reproductiva de mujeres y hombres de los diferentes grupos etarios. Esta iniciativa fue impulsada por la Secretaría Presidencial de la Mujer en el marco del trabajo realizado por la Red Nacional de Paternidad y Maternidad Responsable. </w:t>
      </w:r>
    </w:p>
    <w:p w:rsidR="0048010F" w:rsidRPr="00981E15" w:rsidRDefault="0048010F" w:rsidP="0048010F">
      <w:pPr>
        <w:pStyle w:val="SingleTxt"/>
        <w:spacing w:after="0" w:line="120" w:lineRule="exact"/>
        <w:rPr>
          <w:sz w:val="10"/>
        </w:rPr>
      </w:pPr>
    </w:p>
    <w:p w:rsidR="0048010F" w:rsidRPr="00981E15" w:rsidRDefault="0048010F" w:rsidP="0048010F">
      <w:pPr>
        <w:pStyle w:val="SingleTxt"/>
        <w:spacing w:after="0" w:line="120" w:lineRule="exact"/>
        <w:rPr>
          <w:sz w:val="10"/>
        </w:rPr>
      </w:pPr>
    </w:p>
    <w:p w:rsidR="0048010F" w:rsidRPr="00981E15" w:rsidRDefault="0048010F" w:rsidP="004801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Proyectos de ley pendientes y reformas requeridas</w:t>
      </w:r>
    </w:p>
    <w:p w:rsidR="0048010F" w:rsidRPr="00981E15" w:rsidRDefault="0048010F" w:rsidP="0048010F">
      <w:pPr>
        <w:pStyle w:val="SingleTxt"/>
        <w:spacing w:after="0" w:line="120" w:lineRule="exact"/>
        <w:rPr>
          <w:sz w:val="10"/>
        </w:rPr>
      </w:pPr>
    </w:p>
    <w:p w:rsidR="0048010F" w:rsidRPr="00981E15" w:rsidRDefault="0048010F" w:rsidP="0048010F">
      <w:pPr>
        <w:pStyle w:val="SingleTxt"/>
        <w:spacing w:after="0" w:line="120" w:lineRule="exact"/>
        <w:rPr>
          <w:sz w:val="10"/>
        </w:rPr>
      </w:pPr>
    </w:p>
    <w:p w:rsidR="0048010F" w:rsidRPr="00981E15" w:rsidRDefault="0048010F" w:rsidP="00C23CEA">
      <w:pPr>
        <w:pStyle w:val="SingleTxt"/>
        <w:numPr>
          <w:ilvl w:val="0"/>
          <w:numId w:val="12"/>
        </w:numPr>
        <w:tabs>
          <w:tab w:val="clear" w:pos="475"/>
          <w:tab w:val="num" w:pos="1742"/>
        </w:tabs>
        <w:suppressAutoHyphens/>
        <w:ind w:left="1267"/>
      </w:pPr>
      <w:r w:rsidRPr="00981E15">
        <w:t xml:space="preserve">Existen áreas que aún se requiere mejorar, algunas de las cuales están contempladas en proyectos de ley presentados ante el Congreso de la República. Estas iniciativas consensuadas por organizaciones de mujeres de la sociedad civil con instituciones del Estado, y propuestas por diferentes instancias, muchas de ellas se encuentran archivadas, están por archivarse o esperando a ser discutidas en el pleno del Congreso de la República. </w:t>
      </w:r>
    </w:p>
    <w:p w:rsidR="0048010F" w:rsidRPr="00981E15" w:rsidRDefault="0048010F" w:rsidP="00C23CEA">
      <w:pPr>
        <w:pStyle w:val="SingleTxt"/>
        <w:numPr>
          <w:ilvl w:val="0"/>
          <w:numId w:val="12"/>
        </w:numPr>
        <w:tabs>
          <w:tab w:val="clear" w:pos="475"/>
          <w:tab w:val="num" w:pos="1742"/>
        </w:tabs>
        <w:suppressAutoHyphens/>
        <w:ind w:left="1267"/>
      </w:pPr>
      <w:r w:rsidRPr="00981E15">
        <w:t>Un aspecto que se debe considerar es que la Ley Orgánica del Congreso de la República establece en el artículo 45 que si transcurre un período legislativo (que inicia cada 14 de enero) sin que una iniciativa de ley hubiere sido objeto de dictamen por la respectiva Comisión, salvo que algún Diputado al Congreso de la República de la nueva legislatura que se instale reclame la emisión del dictamen dentro de los 60 días de instalada ésta, la iniciativa de ley se considerara desechada y se archivará el expediente. Esta situación deberá considerarse por la nueva legislatura que asumirá funciones en el mes de enero de 2008.</w:t>
      </w:r>
    </w:p>
    <w:p w:rsidR="0048010F" w:rsidRPr="00981E15" w:rsidRDefault="0048010F" w:rsidP="00C23CEA">
      <w:pPr>
        <w:pStyle w:val="SingleTxt"/>
        <w:numPr>
          <w:ilvl w:val="0"/>
          <w:numId w:val="12"/>
        </w:numPr>
        <w:tabs>
          <w:tab w:val="clear" w:pos="475"/>
          <w:tab w:val="num" w:pos="1742"/>
        </w:tabs>
        <w:suppressAutoHyphens/>
        <w:ind w:left="1267"/>
      </w:pPr>
      <w:r w:rsidRPr="00981E15">
        <w:t>El proceso de formulación de leyes se plantea en cuadro anexo.</w:t>
      </w: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Propuestas de reformas en materia penal</w:t>
      </w:r>
    </w:p>
    <w:p w:rsidR="0048010F" w:rsidRPr="00981E15" w:rsidRDefault="0048010F" w:rsidP="0048010F">
      <w:pPr>
        <w:pStyle w:val="SingleTxt"/>
        <w:spacing w:after="0" w:line="120" w:lineRule="exact"/>
        <w:rPr>
          <w:sz w:val="10"/>
        </w:rPr>
      </w:pPr>
    </w:p>
    <w:p w:rsidR="0048010F" w:rsidRPr="00981E15" w:rsidRDefault="0048010F" w:rsidP="00C23CEA">
      <w:pPr>
        <w:pStyle w:val="SingleTxt"/>
        <w:numPr>
          <w:ilvl w:val="0"/>
          <w:numId w:val="12"/>
        </w:numPr>
        <w:tabs>
          <w:tab w:val="clear" w:pos="475"/>
          <w:tab w:val="num" w:pos="1742"/>
        </w:tabs>
        <w:suppressAutoHyphens/>
        <w:ind w:left="1267"/>
      </w:pPr>
      <w:r w:rsidRPr="00981E15">
        <w:rPr>
          <w:b/>
          <w:i/>
        </w:rPr>
        <w:t>Iniciativa 2630</w:t>
      </w:r>
      <w:r w:rsidRPr="00981E15">
        <w:t xml:space="preserve">. Esta iniciativa fue elaborada mediante el esfuerzo conjunto de las organizaciones de mujeres con el acompañamiento de instancias gubernamentales a favor de las mujeres y el sector niñez, elaborada dentro del marco de la CEDAW y la Convención Belem Do Pará, entre otros instrumentos internacionales. La iniciativa busca adecuar la normativa penal sustantiva y eliminar las normas discriminatorias hacia las mujeres, así como regular entre otros tipos penales la violencia intrafamiliar, la explotación sexual comercial y adopciones fraudulentas. Esta iniciativa cuenta con dictamen favorable por las Comisiones de la Mujer, La Niñez, Legislación y Puntos Constitucionales del 23 de marzo de 2006. En el período legislativo de 2006 llegó a segunda lectura en el Congreso de la República, pero no fue aprobada en lectura definitiva para que cobrara vigencia. </w:t>
      </w:r>
    </w:p>
    <w:p w:rsidR="0048010F" w:rsidRPr="00981E15" w:rsidRDefault="0048010F" w:rsidP="00C23CEA">
      <w:pPr>
        <w:pStyle w:val="SingleTxt"/>
        <w:numPr>
          <w:ilvl w:val="0"/>
          <w:numId w:val="12"/>
        </w:numPr>
        <w:tabs>
          <w:tab w:val="clear" w:pos="475"/>
          <w:tab w:val="num" w:pos="1742"/>
        </w:tabs>
        <w:suppressAutoHyphens/>
        <w:ind w:left="1267"/>
      </w:pPr>
      <w:r w:rsidRPr="00981E15">
        <w:rPr>
          <w:b/>
          <w:i/>
        </w:rPr>
        <w:t>Iniciativa 3503</w:t>
      </w:r>
      <w:r w:rsidRPr="00981E15">
        <w:t xml:space="preserve">. </w:t>
      </w:r>
      <w:r w:rsidRPr="00981E15">
        <w:rPr>
          <w:b/>
        </w:rPr>
        <w:t>Ley del femenicidio</w:t>
      </w:r>
      <w:r w:rsidRPr="00981E15">
        <w:t xml:space="preserve">. En el 2007 la Comisión de Derechos Humanos del Congreso de la República aprobó en primera lectura esta iniciativa que persigue crear ciertos delitos a favor de las mujeres y fortalecer institucionalmente las instancias que velan por los derechos humanos de las mujeres. Derivado del seguimiento dado a esta propuesta por parte de organizaciones de mujeres de la sociedad civil, mecanismos de la mujer en el Estado y la Defensoría de la Mujer Indígena se conformó un grupo consultivo integrado por sociedad civil y Estado, coordinados por Convergencia Cívico Política de Mujeres, y con la participación de la Defensoría de la Mujer Indígena, la Coordinadora Nacional para la Prevención de la Violencia Intrafamiliar y contra las Mujeres (CONAPREVI) y la Secretaría Presidencial de la Mujer. El propósito fundamental fue elaborar una propuesta inclusiva de las necesidades de las mujeres en materia de seguridad, en el marco de la normativa internacional y nacional de protección de los derechos de las mujeres. </w:t>
      </w:r>
    </w:p>
    <w:p w:rsidR="0048010F" w:rsidRPr="00981E15" w:rsidRDefault="0048010F" w:rsidP="00C23CEA">
      <w:pPr>
        <w:pStyle w:val="SingleTxt"/>
        <w:numPr>
          <w:ilvl w:val="0"/>
          <w:numId w:val="12"/>
        </w:numPr>
        <w:tabs>
          <w:tab w:val="clear" w:pos="475"/>
          <w:tab w:val="num" w:pos="1742"/>
        </w:tabs>
        <w:suppressAutoHyphens/>
        <w:ind w:left="1267"/>
      </w:pPr>
      <w:r w:rsidRPr="00981E15">
        <w:t xml:space="preserve">Una vez realizado el análisis respectivo a la iniciativa 3503 se elaboró la propuesta de “Ley marco de violencia contra las mujeres”, con la asesoría técnica de las instituciones mencionadas anteriormente. Esta propuesta desarrolla los contenidos de las convenciones a favor de las mujeres para garantizarles una vida libre de violencia y discriminación. La propuesta de la ley marco fue presentada ante la Comisión de los Derechos humanos (ponente de la iniciativa 3503. Ley del femenicidio) y la Comisión de la Mujer. </w:t>
      </w:r>
    </w:p>
    <w:p w:rsidR="0048010F" w:rsidRPr="00981E15" w:rsidRDefault="0048010F" w:rsidP="00C23CEA">
      <w:pPr>
        <w:pStyle w:val="SingleTxt"/>
        <w:numPr>
          <w:ilvl w:val="0"/>
          <w:numId w:val="12"/>
        </w:numPr>
        <w:tabs>
          <w:tab w:val="clear" w:pos="475"/>
          <w:tab w:val="num" w:pos="1742"/>
        </w:tabs>
        <w:suppressAutoHyphens/>
        <w:ind w:left="1267"/>
      </w:pPr>
      <w:r w:rsidRPr="00981E15">
        <w:t xml:space="preserve">La iniciativa 3503, ley del femenicidio ya ha sido conocida en el pleno del Congreso de la República y se encuentra pendiente de la tercera lectura (la última). </w:t>
      </w: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Propuestas de reformas en materia laboral</w:t>
      </w:r>
    </w:p>
    <w:p w:rsidR="0048010F" w:rsidRPr="00981E15" w:rsidRDefault="0048010F" w:rsidP="0048010F">
      <w:pPr>
        <w:pStyle w:val="SingleTxt"/>
        <w:spacing w:after="0" w:line="120" w:lineRule="exact"/>
        <w:rPr>
          <w:sz w:val="10"/>
        </w:rPr>
      </w:pPr>
    </w:p>
    <w:p w:rsidR="0048010F" w:rsidRPr="00981E15" w:rsidRDefault="0048010F" w:rsidP="00C23CEA">
      <w:pPr>
        <w:pStyle w:val="SingleTxt"/>
        <w:numPr>
          <w:ilvl w:val="0"/>
          <w:numId w:val="12"/>
        </w:numPr>
        <w:tabs>
          <w:tab w:val="clear" w:pos="475"/>
          <w:tab w:val="num" w:pos="1742"/>
        </w:tabs>
        <w:suppressAutoHyphens/>
        <w:ind w:left="1267"/>
      </w:pPr>
      <w:r w:rsidRPr="00981E15">
        <w:t xml:space="preserve">La ley debe adecuarse a la realidad socioeconómica de los y las ciudadanas de un país. La división de género del mercado laboral hace que el impacto de las normas sea diferente para mujeres y hombres, de acuerdo a la inserción en la economía formal e informal en el mercado de trabajo en Guatemala. </w:t>
      </w:r>
    </w:p>
    <w:p w:rsidR="0048010F" w:rsidRPr="00981E15" w:rsidRDefault="0048010F" w:rsidP="00C23CEA">
      <w:pPr>
        <w:pStyle w:val="SingleTxt"/>
        <w:numPr>
          <w:ilvl w:val="0"/>
          <w:numId w:val="12"/>
        </w:numPr>
        <w:tabs>
          <w:tab w:val="clear" w:pos="475"/>
          <w:tab w:val="num" w:pos="1742"/>
        </w:tabs>
        <w:suppressAutoHyphens/>
        <w:ind w:left="1267"/>
      </w:pPr>
      <w:r w:rsidRPr="00981E15">
        <w:t xml:space="preserve">El punto de partida son las propuestas de reforma al Código de Trabajo, consensuadas con las organizaciones de mujeres y presentadas desde la Oficina Nacional de la Mujer hace varios años con 37 propuestas específicas ante el Congreso de la República y a otras leyes elaboradas por organizaciones de mujeres como Centro de Apoyo para las Trabajadoras de Casa Particular (CENTRACAP), Convergencia Cívico Política, e instituciones públicas o privadas de Guatemala. </w:t>
      </w:r>
    </w:p>
    <w:p w:rsidR="0048010F" w:rsidRPr="00981E15" w:rsidRDefault="0048010F" w:rsidP="00C23CEA">
      <w:pPr>
        <w:pStyle w:val="SingleTxt"/>
        <w:numPr>
          <w:ilvl w:val="0"/>
          <w:numId w:val="12"/>
        </w:numPr>
        <w:tabs>
          <w:tab w:val="clear" w:pos="475"/>
          <w:tab w:val="num" w:pos="1742"/>
        </w:tabs>
        <w:suppressAutoHyphens/>
        <w:ind w:left="1267"/>
      </w:pPr>
      <w:r w:rsidRPr="00981E15">
        <w:rPr>
          <w:b/>
          <w:i/>
        </w:rPr>
        <w:t>Iniciativa 3566</w:t>
      </w:r>
      <w:r w:rsidRPr="00981E15">
        <w:t xml:space="preserve">. Busca establecer la regulación del acoso y hostigamiento sexual entendido como cualquier conducta sexual indeseable. Mediante esta iniciativa, además de legislar para la armonización las leyes internas con instrumentos internacionales de derechos de las mujeres en el tema de acoso y hostigamiento sexual, se busca cumplir con el Acuerdo de Paz sobre Identidad y Derechos de los Pueblos Indígenas. El pleno del Congreso de la República la conoció el 27 de noviembre de 2006, sin embargo al no aprobarse, se encuentra pendiente de dictamen por las Comisiones Legislación y Puntos Resolutivos, de la Mujer y de Derechos Humanos. </w:t>
      </w:r>
    </w:p>
    <w:p w:rsidR="0048010F" w:rsidRPr="00981E15" w:rsidRDefault="0048010F" w:rsidP="00C23CEA">
      <w:pPr>
        <w:pStyle w:val="SingleTxt"/>
        <w:numPr>
          <w:ilvl w:val="0"/>
          <w:numId w:val="12"/>
        </w:numPr>
        <w:tabs>
          <w:tab w:val="clear" w:pos="475"/>
          <w:tab w:val="num" w:pos="1742"/>
        </w:tabs>
        <w:suppressAutoHyphens/>
        <w:ind w:left="1267"/>
      </w:pPr>
      <w:r w:rsidRPr="00981E15">
        <w:rPr>
          <w:b/>
          <w:i/>
        </w:rPr>
        <w:t>Iniciativa 3525</w:t>
      </w:r>
      <w:r w:rsidRPr="00981E15">
        <w:t xml:space="preserve">. Se orienta a reformar el Código de Trabajo para dar respuesta a las recomendaciones vertidas por expertos internacionales orientadas a proteger y garantizar los derechos laborales de las mujeres y es coadyuvante de la paternidad responsable, regulando licencias a los padres de familia. Regula y da respuesta al Convenio 101 de la Organización Internacional del Trabajo, en cuanto a la protección de la maternidad. Refiere la regulación del trabajo en casa particular y la sanción del acoso en el ámbito laboral y educativo. La conoció el pleno del Congreso el 21 de septiembre de 2006 y se encuentra nuevamente pendiente de dictamen por las Comisiones de la Mujer y de Trabajo. </w:t>
      </w:r>
    </w:p>
    <w:p w:rsidR="0048010F" w:rsidRPr="00981E15" w:rsidRDefault="0048010F" w:rsidP="00C23CEA">
      <w:pPr>
        <w:pStyle w:val="SingleTxt"/>
        <w:numPr>
          <w:ilvl w:val="0"/>
          <w:numId w:val="12"/>
        </w:numPr>
        <w:tabs>
          <w:tab w:val="clear" w:pos="475"/>
          <w:tab w:val="num" w:pos="1742"/>
        </w:tabs>
        <w:suppressAutoHyphens/>
        <w:ind w:left="1267"/>
      </w:pPr>
      <w:r w:rsidRPr="00981E15">
        <w:t xml:space="preserve">En noviembre de 2006 la Comisión de Trabajo del Congreso de la República previo a emitir dictamen, solicitó al Ministerio de Trabajo y Previsión Social su opinión respecto a la iniciativa de la ley. A la fecha, en el Congreso de la República no hay ningún documento en donde aparezca la respuesta a la solicitud realizada. </w:t>
      </w:r>
    </w:p>
    <w:p w:rsidR="0048010F" w:rsidRPr="00981E15" w:rsidRDefault="0048010F" w:rsidP="00C23CEA">
      <w:pPr>
        <w:pStyle w:val="SingleTxt"/>
        <w:numPr>
          <w:ilvl w:val="0"/>
          <w:numId w:val="12"/>
        </w:numPr>
        <w:tabs>
          <w:tab w:val="clear" w:pos="475"/>
          <w:tab w:val="num" w:pos="1742"/>
        </w:tabs>
        <w:suppressAutoHyphens/>
        <w:ind w:left="1267"/>
      </w:pPr>
      <w:r w:rsidRPr="00981E15">
        <w:rPr>
          <w:b/>
          <w:i/>
        </w:rPr>
        <w:t>Iniciativa 3467</w:t>
      </w:r>
      <w:r w:rsidRPr="00981E15">
        <w:t xml:space="preserve">. Pretende regular el trabajo en casa particular, a través de la creación de la Ley Reguladora del Trabajo de Casa Particular. Supliendo a través de esta propuesta la ausencia de legislación a favor de las mujeres trabajadoras de casa particular. Actualmente el trabajo en casa particular no está sujeto a salario mínimo, a horario ni contrato de trabajo. La conoció el pleno del Congreso el 25 de marzo de 2006 y se encuentra nuevamente pendiente de dictamen por las Comisiones de Trabajo, Legislación y Puntos Resolutivos y de Previsión y Seguridad Social. </w:t>
      </w: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Propuestas de reforma en materia civil</w:t>
      </w:r>
    </w:p>
    <w:p w:rsidR="0048010F" w:rsidRPr="00981E15" w:rsidRDefault="0048010F" w:rsidP="0048010F">
      <w:pPr>
        <w:pStyle w:val="SingleTxt"/>
        <w:spacing w:after="0" w:line="120" w:lineRule="exact"/>
        <w:rPr>
          <w:sz w:val="10"/>
        </w:rPr>
      </w:pPr>
    </w:p>
    <w:p w:rsidR="0048010F" w:rsidRPr="00981E15" w:rsidRDefault="0048010F" w:rsidP="00856F29">
      <w:pPr>
        <w:pStyle w:val="SingleTxt"/>
        <w:numPr>
          <w:ilvl w:val="0"/>
          <w:numId w:val="12"/>
        </w:numPr>
        <w:tabs>
          <w:tab w:val="clear" w:pos="475"/>
          <w:tab w:val="num" w:pos="1742"/>
        </w:tabs>
        <w:suppressAutoHyphens/>
        <w:ind w:left="1267"/>
      </w:pPr>
      <w:r w:rsidRPr="00981E15">
        <w:t>En el desarrollo del Artículo 16 de este Informe se describen las reformas al Código Civil que regulan derechos y obligaciones dentro del matrimonio.</w:t>
      </w:r>
    </w:p>
    <w:p w:rsidR="0048010F" w:rsidRPr="00981E15" w:rsidRDefault="0048010F" w:rsidP="0048010F">
      <w:pPr>
        <w:pStyle w:val="SingleTxt"/>
        <w:spacing w:after="0" w:line="120" w:lineRule="exact"/>
        <w:rPr>
          <w:sz w:val="10"/>
        </w:rPr>
      </w:pPr>
    </w:p>
    <w:p w:rsidR="0048010F" w:rsidRPr="00981E15" w:rsidRDefault="0048010F" w:rsidP="0048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Medidas pendientes de las recomendaciones del Comité de Expertas </w:t>
      </w:r>
      <w:r w:rsidR="00856F29" w:rsidRPr="00981E15">
        <w:br/>
      </w:r>
      <w:r w:rsidRPr="00981E15">
        <w:t xml:space="preserve">de la CEDAW </w:t>
      </w:r>
    </w:p>
    <w:p w:rsidR="0048010F" w:rsidRPr="00981E15" w:rsidRDefault="0048010F" w:rsidP="0048010F">
      <w:pPr>
        <w:pStyle w:val="SingleTxt"/>
        <w:spacing w:after="0" w:line="120" w:lineRule="exact"/>
        <w:rPr>
          <w:sz w:val="10"/>
        </w:rPr>
      </w:pPr>
    </w:p>
    <w:p w:rsidR="0048010F" w:rsidRPr="00981E15" w:rsidRDefault="0048010F" w:rsidP="00856F29">
      <w:pPr>
        <w:pStyle w:val="SingleTxt"/>
        <w:numPr>
          <w:ilvl w:val="0"/>
          <w:numId w:val="12"/>
        </w:numPr>
        <w:tabs>
          <w:tab w:val="clear" w:pos="475"/>
          <w:tab w:val="num" w:pos="1742"/>
        </w:tabs>
        <w:suppressAutoHyphens/>
        <w:ind w:left="1267"/>
      </w:pPr>
      <w:r w:rsidRPr="00981E15">
        <w:t>El Estado de Guatemala es consciente de que el marco legal puede contribuir a transformar las relaciones de inequidad o a reforzarlas, por lo que este punto merece especial atención. La existencia o no de leyes afectan las diferentes esferas, desde la participación política y los derechos económicos hasta la maternidad y la paternidad, por lo que es de suma importancia que el sistema legal refleje los valores del Estado, y salvaguarde los derechos de las personas con independencia de su sexo, etnia, ubicación geográfica, y otras características de adscripción u opciones de las personas sujeto de derecho.</w:t>
      </w:r>
    </w:p>
    <w:p w:rsidR="0048010F" w:rsidRPr="00981E15" w:rsidRDefault="0048010F" w:rsidP="00856F29">
      <w:pPr>
        <w:pStyle w:val="SingleTxt"/>
        <w:numPr>
          <w:ilvl w:val="0"/>
          <w:numId w:val="12"/>
        </w:numPr>
        <w:tabs>
          <w:tab w:val="clear" w:pos="475"/>
          <w:tab w:val="num" w:pos="1742"/>
        </w:tabs>
        <w:suppressAutoHyphens/>
        <w:ind w:left="1267"/>
      </w:pPr>
      <w:r w:rsidRPr="00981E15">
        <w:t>El marco legal guatemalteco no ha avanzado hacia la salvaguarda de los derechos de las mujeres y de la igualdad de género en los puntos que se exponen a continuación, mencionados en las recomendaciones del Comité de Expertas de la CEDAW al Estado de Guatemala, en sucesivas ocasiones en respuesta a los informes presentados por el Estado:</w:t>
      </w:r>
    </w:p>
    <w:p w:rsidR="0048010F" w:rsidRPr="00981E15" w:rsidRDefault="00856F29" w:rsidP="00FF46E7">
      <w:pPr>
        <w:pStyle w:val="SingleTxt"/>
        <w:tabs>
          <w:tab w:val="right" w:pos="1685"/>
        </w:tabs>
        <w:ind w:left="1742" w:hanging="475"/>
      </w:pPr>
      <w:r w:rsidRPr="00981E15">
        <w:tab/>
      </w:r>
      <w:r w:rsidR="0048010F" w:rsidRPr="00981E15">
        <w:t>•</w:t>
      </w:r>
      <w:r w:rsidR="0048010F" w:rsidRPr="00981E15">
        <w:tab/>
        <w:t>Definición de discriminación en el Código Penal que sea conforme al artículo 1 de la Convención, e incluya medidas para eliminar la discriminación de agentes privados, así como la discriminación efectuada de manera directa y de manera indirecta.</w:t>
      </w:r>
    </w:p>
    <w:p w:rsidR="00FF46E7" w:rsidRPr="00981E15" w:rsidRDefault="00FF46E7" w:rsidP="00FF46E7">
      <w:pPr>
        <w:pStyle w:val="SingleTxt"/>
        <w:tabs>
          <w:tab w:val="right" w:pos="1685"/>
        </w:tabs>
        <w:ind w:left="1742" w:hanging="475"/>
      </w:pPr>
      <w:r w:rsidRPr="00981E15">
        <w:tab/>
        <w:t>•</w:t>
      </w:r>
      <w:r w:rsidRPr="00981E15">
        <w:tab/>
      </w:r>
      <w:r w:rsidR="006A757E" w:rsidRPr="00981E15">
        <w:t xml:space="preserve">No se ha aprobado una ley que </w:t>
      </w:r>
      <w:r w:rsidR="00981E15" w:rsidRPr="00981E15">
        <w:t>proteja</w:t>
      </w:r>
      <w:r w:rsidR="006A757E" w:rsidRPr="00981E15">
        <w:t xml:space="preserve"> del acoso sexual a las personas, siendo en su inmensa mayoría mujeres quienes la sufren.</w:t>
      </w:r>
    </w:p>
    <w:p w:rsidR="0048010F" w:rsidRPr="00981E15" w:rsidRDefault="00856F29" w:rsidP="00FF46E7">
      <w:pPr>
        <w:pStyle w:val="SingleTxt"/>
        <w:tabs>
          <w:tab w:val="right" w:pos="1685"/>
        </w:tabs>
        <w:ind w:left="1742" w:hanging="475"/>
      </w:pPr>
      <w:r w:rsidRPr="00981E15">
        <w:tab/>
      </w:r>
      <w:r w:rsidR="0048010F" w:rsidRPr="00981E15">
        <w:t>•</w:t>
      </w:r>
      <w:r w:rsidR="0048010F" w:rsidRPr="00981E15">
        <w:tab/>
        <w:t>No se ha aprobado una ley que proteja del acoso sexual a las personas, siendo en su inmensa mayoría mujeres quienes la sufren.</w:t>
      </w:r>
    </w:p>
    <w:p w:rsidR="0048010F" w:rsidRPr="00981E15" w:rsidRDefault="00856F29" w:rsidP="00FF46E7">
      <w:pPr>
        <w:pStyle w:val="SingleTxt"/>
        <w:tabs>
          <w:tab w:val="right" w:pos="1685"/>
        </w:tabs>
        <w:ind w:left="1742" w:hanging="475"/>
      </w:pPr>
      <w:r w:rsidRPr="00981E15">
        <w:tab/>
      </w:r>
      <w:r w:rsidR="0048010F" w:rsidRPr="00981E15">
        <w:t>•</w:t>
      </w:r>
      <w:r w:rsidR="0048010F" w:rsidRPr="00981E15">
        <w:tab/>
        <w:t>Continúa la ambigüedad en las leyes sobre prostitución, especialmente prostitución infantil, habiendo una reconocida falta de proporcionalidad entre el delito, el daño ocasionado a las víctimas y la sanción legal a las personas que perpetran el delito. La legislación actual establece que en el caso de explotación sexual infantil es de entre 1,000 y 5,000 quetzales y en caso de trata, entre 1 y 3 años, que son conmutables en ocasiones por ejemplo con trabajo comunitario.</w:t>
      </w:r>
    </w:p>
    <w:p w:rsidR="0048010F" w:rsidRPr="00981E15" w:rsidRDefault="00856F29" w:rsidP="00FF46E7">
      <w:pPr>
        <w:pStyle w:val="SingleTxt"/>
        <w:tabs>
          <w:tab w:val="right" w:pos="1685"/>
        </w:tabs>
        <w:ind w:left="1742" w:hanging="475"/>
      </w:pPr>
      <w:r w:rsidRPr="00981E15">
        <w:tab/>
      </w:r>
      <w:r w:rsidR="0048010F" w:rsidRPr="00981E15">
        <w:t>•</w:t>
      </w:r>
      <w:r w:rsidR="0048010F" w:rsidRPr="00981E15">
        <w:tab/>
        <w:t>Continúa vigente la diferencia de edad legal entre hombres y mujeres para contraer matrimonio, siendo ésta de 16 y 14 años respectivamente.</w:t>
      </w:r>
    </w:p>
    <w:p w:rsidR="0048010F" w:rsidRPr="00981E15" w:rsidRDefault="00FF46E7" w:rsidP="00FF46E7">
      <w:pPr>
        <w:pStyle w:val="SingleTxt"/>
        <w:tabs>
          <w:tab w:val="right" w:pos="1685"/>
        </w:tabs>
        <w:ind w:left="1742" w:hanging="475"/>
      </w:pPr>
      <w:r w:rsidRPr="00981E15">
        <w:tab/>
      </w:r>
      <w:r w:rsidR="0048010F" w:rsidRPr="00981E15">
        <w:t>•</w:t>
      </w:r>
      <w:r w:rsidR="0048010F" w:rsidRPr="00981E15">
        <w:tab/>
        <w:t>No se han revisado las inconsistencias entre los Códigos Civil, Penal y Laboral con respecto a la CEDAW.</w:t>
      </w:r>
    </w:p>
    <w:p w:rsidR="0048010F" w:rsidRPr="00981E15" w:rsidRDefault="00FF46E7" w:rsidP="00FF46E7">
      <w:pPr>
        <w:pStyle w:val="SingleTxt"/>
        <w:tabs>
          <w:tab w:val="right" w:pos="1685"/>
        </w:tabs>
        <w:ind w:left="1742" w:hanging="475"/>
      </w:pPr>
      <w:r w:rsidRPr="00981E15">
        <w:tab/>
      </w:r>
      <w:r w:rsidR="0048010F" w:rsidRPr="00981E15">
        <w:t>•</w:t>
      </w:r>
      <w:r w:rsidR="0048010F" w:rsidRPr="00981E15">
        <w:tab/>
        <w:t xml:space="preserve">No existen medidas concretas para garantizar la observancia y aplicación de las leyes y decretos. </w:t>
      </w:r>
    </w:p>
    <w:p w:rsidR="0048010F" w:rsidRPr="00981E15" w:rsidRDefault="00FF46E7" w:rsidP="00FF46E7">
      <w:pPr>
        <w:pStyle w:val="SingleTxt"/>
        <w:tabs>
          <w:tab w:val="right" w:pos="1685"/>
        </w:tabs>
        <w:ind w:left="1742" w:hanging="475"/>
      </w:pPr>
      <w:r w:rsidRPr="00981E15">
        <w:tab/>
      </w:r>
      <w:r w:rsidR="0048010F" w:rsidRPr="00981E15">
        <w:t>•</w:t>
      </w:r>
      <w:r w:rsidR="0048010F" w:rsidRPr="00981E15">
        <w:tab/>
        <w:t>No se ha aprobado una ley de dignificación e igualdad para el trabajo efectuado por las trabajadoras de casa particular, ya que en la actualidad la legislación que rige su trabajo es discriminatoria con respecto a diferentes aspectos que aplican en la legislación laboral para el resto de trabajadores y trabajadoras.</w:t>
      </w:r>
    </w:p>
    <w:p w:rsidR="0048010F" w:rsidRPr="00981E15" w:rsidRDefault="00FF46E7" w:rsidP="00FF46E7">
      <w:pPr>
        <w:pStyle w:val="SingleTxt"/>
        <w:tabs>
          <w:tab w:val="right" w:pos="1685"/>
        </w:tabs>
        <w:ind w:left="1742" w:hanging="475"/>
      </w:pPr>
      <w:r w:rsidRPr="00981E15">
        <w:tab/>
      </w:r>
      <w:r w:rsidR="0048010F" w:rsidRPr="00981E15">
        <w:t>•</w:t>
      </w:r>
      <w:r w:rsidR="0048010F" w:rsidRPr="00981E15">
        <w:tab/>
        <w:t xml:space="preserve">La legislación laboral no ha sido revisada, y contiene disposiciones incompatibles con la legislación internacional y el artículo 4 de la constitución que consagra la igualdad entre mujeres y hombres en Guatemala. </w:t>
      </w:r>
    </w:p>
    <w:p w:rsidR="0048010F" w:rsidRPr="00981E15" w:rsidRDefault="0048010F" w:rsidP="009F0ED5">
      <w:pPr>
        <w:pStyle w:val="SingleTxt"/>
        <w:numPr>
          <w:ilvl w:val="0"/>
          <w:numId w:val="12"/>
        </w:numPr>
        <w:tabs>
          <w:tab w:val="clear" w:pos="475"/>
          <w:tab w:val="num" w:pos="1742"/>
        </w:tabs>
        <w:suppressAutoHyphens/>
        <w:ind w:left="1267"/>
      </w:pPr>
      <w:r w:rsidRPr="00981E15">
        <w:t>Así también existen otras reformas legales pendientes, de suma importancia para la equidad e igualdad de género. Tal es el caso de la tipificación de la violencia intrafamiliar, ya que actualmente se le da trámite por la vía penal a este tipo de casos en razón de las lesiones sufridas por las víctimas; o la reforma referida al delito de violación, ya que ahora sólo es considerada como tal cuando se produce penetración genital, pero los hechos sólo se consideran “abusos” cuando la violación es anal o con introducción de objetos.</w:t>
      </w:r>
    </w:p>
    <w:p w:rsidR="0048010F" w:rsidRPr="00981E15" w:rsidRDefault="0048010F" w:rsidP="0048010F">
      <w:pPr>
        <w:pStyle w:val="SingleTxt"/>
        <w:spacing w:after="0" w:line="120" w:lineRule="exact"/>
        <w:rPr>
          <w:sz w:val="10"/>
        </w:rPr>
      </w:pPr>
    </w:p>
    <w:p w:rsidR="0048010F" w:rsidRPr="00981E15" w:rsidRDefault="0048010F" w:rsidP="0054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Desafíos a futuro </w:t>
      </w:r>
    </w:p>
    <w:p w:rsidR="00547A98" w:rsidRPr="00981E15" w:rsidRDefault="00547A98" w:rsidP="00547A98">
      <w:pPr>
        <w:pStyle w:val="SingleTxt"/>
        <w:suppressAutoHyphens/>
        <w:spacing w:after="0" w:line="120" w:lineRule="exact"/>
        <w:rPr>
          <w:sz w:val="10"/>
        </w:rPr>
      </w:pPr>
    </w:p>
    <w:p w:rsidR="0048010F" w:rsidRPr="00981E15" w:rsidRDefault="0048010F" w:rsidP="00547A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Priorizar la equidad de género en la agenda legislativa</w:t>
      </w:r>
    </w:p>
    <w:p w:rsidR="0048010F" w:rsidRPr="00981E15" w:rsidRDefault="0048010F" w:rsidP="0048010F">
      <w:pPr>
        <w:pStyle w:val="SingleTxt"/>
        <w:spacing w:after="0" w:line="120" w:lineRule="exact"/>
        <w:rPr>
          <w:sz w:val="10"/>
        </w:rPr>
      </w:pPr>
    </w:p>
    <w:p w:rsidR="0048010F" w:rsidRPr="00981E15" w:rsidRDefault="0048010F" w:rsidP="00547A98">
      <w:pPr>
        <w:pStyle w:val="SingleTxt"/>
        <w:numPr>
          <w:ilvl w:val="0"/>
          <w:numId w:val="12"/>
        </w:numPr>
        <w:tabs>
          <w:tab w:val="clear" w:pos="475"/>
          <w:tab w:val="num" w:pos="1742"/>
        </w:tabs>
        <w:suppressAutoHyphens/>
        <w:ind w:left="1267"/>
      </w:pPr>
      <w:r w:rsidRPr="00981E15">
        <w:t xml:space="preserve">La mayoría de propuestas y reformas de leyes con medidas “correctoras” de sesgos androcéntricos, para promover la equidad de género y avanzar hacia la igualdad jurídica de mujeres y hombres no han avanzado en el período parlamentario 2004-2007. </w:t>
      </w:r>
    </w:p>
    <w:p w:rsidR="0048010F" w:rsidRPr="00981E15" w:rsidRDefault="0048010F" w:rsidP="00547A98">
      <w:pPr>
        <w:pStyle w:val="SingleTxt"/>
        <w:numPr>
          <w:ilvl w:val="0"/>
          <w:numId w:val="12"/>
        </w:numPr>
        <w:tabs>
          <w:tab w:val="clear" w:pos="475"/>
          <w:tab w:val="num" w:pos="1742"/>
        </w:tabs>
        <w:suppressAutoHyphens/>
        <w:ind w:left="1267"/>
      </w:pPr>
      <w:r w:rsidRPr="00981E15">
        <w:t xml:space="preserve">Tanto las instituciones gubernamentales como las organizaciones de mujeres han venido trabajando desde hace varios años en una agenda legislativa pendiente a favor de las mujeres. Entre éstas se destacan las modificaciones propuestas al Código Laboral, consensuadas y presentadas por la Oficina Nacional de la Mujer (ONAM) al Congreso de la República. </w:t>
      </w:r>
    </w:p>
    <w:p w:rsidR="0048010F" w:rsidRPr="00981E15" w:rsidRDefault="0048010F" w:rsidP="00547A98">
      <w:pPr>
        <w:pStyle w:val="SingleTxt"/>
        <w:numPr>
          <w:ilvl w:val="0"/>
          <w:numId w:val="12"/>
        </w:numPr>
        <w:tabs>
          <w:tab w:val="clear" w:pos="475"/>
          <w:tab w:val="num" w:pos="1742"/>
        </w:tabs>
        <w:suppressAutoHyphens/>
        <w:ind w:left="1267"/>
      </w:pPr>
      <w:r w:rsidRPr="00981E15">
        <w:t xml:space="preserve">La priorización de las propuestas legales en el corto, mediano y largo plazo, y su adecuación técnica con las recomendaciones de instancias internacionales, son pasos tan importantes como establecer medidas especiales y/o medidas afirmativas para las mujeres. </w:t>
      </w:r>
    </w:p>
    <w:p w:rsidR="0048010F" w:rsidRPr="00981E15" w:rsidRDefault="0048010F" w:rsidP="00547A98">
      <w:pPr>
        <w:pStyle w:val="SingleTxt"/>
        <w:numPr>
          <w:ilvl w:val="0"/>
          <w:numId w:val="12"/>
        </w:numPr>
        <w:tabs>
          <w:tab w:val="clear" w:pos="475"/>
          <w:tab w:val="num" w:pos="1742"/>
        </w:tabs>
        <w:suppressAutoHyphens/>
        <w:ind w:left="1267"/>
      </w:pPr>
      <w:r w:rsidRPr="00981E15">
        <w:t xml:space="preserve">La recopilación de leyes y propuestas de reformas es una de las acciones contempladas en la Política Nacional de Promoción y Desarrollo de las Mujeres Guatemaltecas (PNPDMG). Para personas externas al Organismo Legislativo es difícil encontrar sistematizadas las iniciativas de ley y las propuestas de reforma en general, excepto las propuestas de leyes y reformas en el ámbito laboral, presentadas por la ONAM. La actualización e información periódicas sobre el proceso de las mismas se hace a través de los y las interesadas y una misma propuesta se puede presentar ante varias Comisiones en el Congreso de la República. </w:t>
      </w:r>
    </w:p>
    <w:p w:rsidR="0048010F" w:rsidRPr="00981E15" w:rsidRDefault="0048010F" w:rsidP="00547A98">
      <w:pPr>
        <w:pStyle w:val="SingleTxt"/>
        <w:numPr>
          <w:ilvl w:val="0"/>
          <w:numId w:val="12"/>
        </w:numPr>
        <w:tabs>
          <w:tab w:val="clear" w:pos="475"/>
          <w:tab w:val="num" w:pos="1742"/>
        </w:tabs>
        <w:suppressAutoHyphens/>
        <w:ind w:left="1267"/>
      </w:pPr>
      <w:r w:rsidRPr="00981E15">
        <w:t>La Oficina Nacional de la Mujer y el Departamento de Mujer Trabajadora de la Dirección de Previsión Social del Ministerio de Trabajo y Previsión Social, realizaron el “Diagnóstico Situacional sobre reformas a leyes a favor de las mujeres” durante 2006 y 2007. A través de este diagnóstico se estableció el avance y las necesidades de reformulación de 10 propuestas de reformas a leyes con enfoque de género, elaboradas por ONAM con el apoyo de las mujeres pertenecientes a organizaciones gubernamentales y no gubernamentales, las cuales fueron presentadas al Congreso de la República en el período de tiempo comprendido entre 1996 al 2006. Las propuestas analizadas son:</w:t>
      </w:r>
    </w:p>
    <w:p w:rsidR="0048010F" w:rsidRPr="00981E15" w:rsidRDefault="00547A98" w:rsidP="00547A98">
      <w:pPr>
        <w:pStyle w:val="SingleTxt"/>
        <w:tabs>
          <w:tab w:val="right" w:pos="1685"/>
        </w:tabs>
        <w:ind w:left="1742" w:hanging="475"/>
      </w:pPr>
      <w:r w:rsidRPr="00981E15">
        <w:tab/>
      </w:r>
      <w:r w:rsidR="0048010F" w:rsidRPr="00981E15">
        <w:t>•</w:t>
      </w:r>
      <w:r w:rsidR="0048010F" w:rsidRPr="00981E15">
        <w:tab/>
        <w:t>Reformas a la Ley Electoral y de Partidos Políticos</w:t>
      </w:r>
    </w:p>
    <w:p w:rsidR="0048010F" w:rsidRPr="00981E15" w:rsidRDefault="00547A98" w:rsidP="00547A98">
      <w:pPr>
        <w:pStyle w:val="SingleTxt"/>
        <w:tabs>
          <w:tab w:val="right" w:pos="1685"/>
        </w:tabs>
        <w:ind w:left="1742" w:hanging="475"/>
      </w:pPr>
      <w:r w:rsidRPr="00981E15">
        <w:tab/>
      </w:r>
      <w:r w:rsidR="0048010F" w:rsidRPr="00981E15">
        <w:t>•</w:t>
      </w:r>
      <w:r w:rsidR="0048010F" w:rsidRPr="00981E15">
        <w:tab/>
        <w:t>Reformas al Código Civil</w:t>
      </w:r>
    </w:p>
    <w:p w:rsidR="0048010F" w:rsidRPr="00981E15" w:rsidRDefault="00547A98" w:rsidP="00547A98">
      <w:pPr>
        <w:pStyle w:val="SingleTxt"/>
        <w:tabs>
          <w:tab w:val="right" w:pos="1685"/>
        </w:tabs>
        <w:ind w:left="1742" w:hanging="475"/>
      </w:pPr>
      <w:r w:rsidRPr="00981E15">
        <w:tab/>
      </w:r>
      <w:r w:rsidR="0048010F" w:rsidRPr="00981E15">
        <w:t>•</w:t>
      </w:r>
      <w:r w:rsidR="0048010F" w:rsidRPr="00981E15">
        <w:tab/>
        <w:t>Reformas al Código de Trabajo</w:t>
      </w:r>
    </w:p>
    <w:p w:rsidR="0048010F" w:rsidRPr="00981E15" w:rsidRDefault="00547A98" w:rsidP="00547A98">
      <w:pPr>
        <w:pStyle w:val="SingleTxt"/>
        <w:tabs>
          <w:tab w:val="right" w:pos="1685"/>
        </w:tabs>
        <w:ind w:left="1742" w:hanging="475"/>
      </w:pPr>
      <w:r w:rsidRPr="00981E15">
        <w:tab/>
      </w:r>
      <w:r w:rsidR="0048010F" w:rsidRPr="00981E15">
        <w:t>•</w:t>
      </w:r>
      <w:r w:rsidR="0048010F" w:rsidRPr="00981E15">
        <w:tab/>
        <w:t>Ley de Creación del Instituto Nacional de la Mujer</w:t>
      </w:r>
    </w:p>
    <w:p w:rsidR="0048010F" w:rsidRPr="00981E15" w:rsidRDefault="00547A98" w:rsidP="00547A98">
      <w:pPr>
        <w:pStyle w:val="SingleTxt"/>
        <w:tabs>
          <w:tab w:val="right" w:pos="1685"/>
        </w:tabs>
        <w:ind w:left="1742" w:hanging="475"/>
      </w:pPr>
      <w:r w:rsidRPr="00981E15">
        <w:tab/>
      </w:r>
      <w:r w:rsidR="0048010F" w:rsidRPr="00981E15">
        <w:t>•</w:t>
      </w:r>
      <w:r w:rsidR="0048010F" w:rsidRPr="00981E15">
        <w:tab/>
        <w:t>Iniciativa de Ley de Protección para Trabajadoras de Casa Particular</w:t>
      </w:r>
    </w:p>
    <w:p w:rsidR="0048010F" w:rsidRPr="00981E15" w:rsidRDefault="00547A98" w:rsidP="00547A98">
      <w:pPr>
        <w:pStyle w:val="SingleTxt"/>
        <w:tabs>
          <w:tab w:val="right" w:pos="1685"/>
        </w:tabs>
        <w:ind w:left="1742" w:hanging="475"/>
      </w:pPr>
      <w:r w:rsidRPr="00981E15">
        <w:tab/>
      </w:r>
      <w:r w:rsidR="0048010F" w:rsidRPr="00981E15">
        <w:t>•</w:t>
      </w:r>
      <w:r w:rsidR="0048010F" w:rsidRPr="00981E15">
        <w:tab/>
        <w:t>Reformas a la Ley de Educación</w:t>
      </w:r>
    </w:p>
    <w:p w:rsidR="0048010F" w:rsidRPr="00981E15" w:rsidRDefault="00547A98" w:rsidP="00547A98">
      <w:pPr>
        <w:pStyle w:val="SingleTxt"/>
        <w:tabs>
          <w:tab w:val="right" w:pos="1685"/>
        </w:tabs>
        <w:ind w:left="1742" w:hanging="475"/>
      </w:pPr>
      <w:r w:rsidRPr="00981E15">
        <w:tab/>
      </w:r>
      <w:r w:rsidR="0048010F" w:rsidRPr="00981E15">
        <w:t>•</w:t>
      </w:r>
      <w:r w:rsidR="0048010F" w:rsidRPr="00981E15">
        <w:tab/>
        <w:t xml:space="preserve">Ley Reguladora del Trabajo en Casa Particular </w:t>
      </w:r>
    </w:p>
    <w:p w:rsidR="0048010F" w:rsidRPr="00981E15" w:rsidRDefault="0048010F" w:rsidP="00547A98">
      <w:pPr>
        <w:pStyle w:val="SingleTxt"/>
        <w:numPr>
          <w:ilvl w:val="0"/>
          <w:numId w:val="12"/>
        </w:numPr>
        <w:tabs>
          <w:tab w:val="clear" w:pos="475"/>
          <w:tab w:val="num" w:pos="1742"/>
        </w:tabs>
        <w:suppressAutoHyphens/>
        <w:ind w:left="1267"/>
      </w:pPr>
      <w:r w:rsidRPr="00981E15">
        <w:t>Además de las prioridades consignadas en los ejes de la PNPDMG, especialmente en el de equidad jurídica, en el siguiente recuadro se resumen las principales reformas algunas de ellas propuestas y consensuadas por las mujeres en diversos ámbitos de derecho, o presentadas por instituciones gubernamentales que se formulan como una respuesta a la invisibilidad de las mujeres sujetas explícitas de derechos en las normas.</w:t>
      </w:r>
    </w:p>
    <w:p w:rsidR="007A06D3" w:rsidRPr="00981E15" w:rsidRDefault="007A06D3" w:rsidP="007A06D3">
      <w:pPr>
        <w:pStyle w:val="SingleTxt"/>
        <w:tabs>
          <w:tab w:val="clear" w:pos="1742"/>
        </w:tabs>
        <w:spacing w:after="0" w:line="120" w:lineRule="exact"/>
        <w:rPr>
          <w:sz w:val="10"/>
        </w:rPr>
      </w:pPr>
    </w:p>
    <w:p w:rsidR="007A06D3" w:rsidRPr="00981E15" w:rsidRDefault="007A06D3" w:rsidP="007A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Recuadro 1</w:t>
      </w:r>
      <w:r w:rsidRPr="00981E15">
        <w:t xml:space="preserve"> </w:t>
      </w:r>
      <w:r w:rsidRPr="00981E15">
        <w:br/>
        <w:t>Resumen de las principales reformas y propuestas legislativas consensuadas</w:t>
      </w:r>
    </w:p>
    <w:p w:rsidR="007A06D3" w:rsidRPr="00981E15" w:rsidRDefault="007A06D3" w:rsidP="007A06D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51"/>
        <w:gridCol w:w="5169"/>
      </w:tblGrid>
      <w:tr w:rsidR="007A06D3" w:rsidRPr="00981E15">
        <w:tblPrEx>
          <w:tblCellMar>
            <w:top w:w="0" w:type="dxa"/>
            <w:bottom w:w="0" w:type="dxa"/>
          </w:tblCellMar>
        </w:tblPrEx>
        <w:tc>
          <w:tcPr>
            <w:tcW w:w="2151" w:type="dxa"/>
            <w:vMerge w:val="restart"/>
            <w:tcBorders>
              <w:top w:val="single" w:sz="4" w:space="0" w:color="auto"/>
            </w:tcBorders>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Derecho Civil</w:t>
            </w:r>
          </w:p>
        </w:tc>
        <w:tc>
          <w:tcPr>
            <w:tcW w:w="5169" w:type="dxa"/>
            <w:tcBorders>
              <w:top w:val="single" w:sz="4" w:space="0" w:color="auto"/>
            </w:tcBorders>
            <w:shd w:val="clear" w:color="auto" w:fill="auto"/>
          </w:tcPr>
          <w:p w:rsidR="007A06D3" w:rsidRPr="00981E15" w:rsidRDefault="007A06D3" w:rsidP="00B518F0">
            <w:pPr>
              <w:tabs>
                <w:tab w:val="left" w:pos="288"/>
                <w:tab w:val="left" w:pos="576"/>
                <w:tab w:val="left" w:pos="864"/>
                <w:tab w:val="left" w:pos="1152"/>
              </w:tabs>
              <w:spacing w:before="40" w:after="80"/>
              <w:ind w:right="43"/>
            </w:pPr>
            <w:r w:rsidRPr="00981E15">
              <w:t>Reformas al Código Civil, incluyendo herencia y sucesión</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Electoral y de Partidos Políticos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Ciudadanía para las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Igualdad</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maternidad y paternidad responsable</w:t>
            </w:r>
          </w:p>
        </w:tc>
      </w:tr>
      <w:tr w:rsidR="007A06D3" w:rsidRPr="00981E15">
        <w:tblPrEx>
          <w:tblCellMar>
            <w:top w:w="0" w:type="dxa"/>
            <w:bottom w:w="0" w:type="dxa"/>
          </w:tblCellMar>
        </w:tblPrEx>
        <w:tc>
          <w:tcPr>
            <w:tcW w:w="2151" w:type="dxa"/>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Derecho Laboral</w:t>
            </w: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Acelerar la propuesta de reformas consensuadas al Código de Trabajo</w:t>
            </w:r>
          </w:p>
        </w:tc>
      </w:tr>
      <w:tr w:rsidR="007A06D3" w:rsidRPr="00981E15">
        <w:tblPrEx>
          <w:tblCellMar>
            <w:top w:w="0" w:type="dxa"/>
            <w:bottom w:w="0" w:type="dxa"/>
          </w:tblCellMar>
        </w:tblPrEx>
        <w:tc>
          <w:tcPr>
            <w:tcW w:w="2151" w:type="dxa"/>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sobre acoso sexual en el trabajo</w:t>
            </w:r>
          </w:p>
        </w:tc>
      </w:tr>
      <w:tr w:rsidR="007A06D3" w:rsidRPr="00981E15">
        <w:tblPrEx>
          <w:tblCellMar>
            <w:top w:w="0" w:type="dxa"/>
            <w:bottom w:w="0" w:type="dxa"/>
          </w:tblCellMar>
        </w:tblPrEx>
        <w:tc>
          <w:tcPr>
            <w:tcW w:w="2151" w:type="dxa"/>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Trabajadoras en condiciones especiales</w:t>
            </w:r>
          </w:p>
        </w:tc>
      </w:tr>
      <w:tr w:rsidR="007A06D3" w:rsidRPr="00981E15">
        <w:tblPrEx>
          <w:tblCellMar>
            <w:top w:w="0" w:type="dxa"/>
            <w:bottom w:w="0" w:type="dxa"/>
          </w:tblCellMar>
        </w:tblPrEx>
        <w:tc>
          <w:tcPr>
            <w:tcW w:w="2151" w:type="dxa"/>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trabajadoras de casa particular</w:t>
            </w:r>
          </w:p>
        </w:tc>
      </w:tr>
      <w:tr w:rsidR="007A06D3" w:rsidRPr="00981E15">
        <w:tblPrEx>
          <w:tblCellMar>
            <w:top w:w="0" w:type="dxa"/>
            <w:bottom w:w="0" w:type="dxa"/>
          </w:tblCellMar>
        </w:tblPrEx>
        <w:tc>
          <w:tcPr>
            <w:tcW w:w="2151" w:type="dxa"/>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y reglamento del seguro social</w:t>
            </w:r>
          </w:p>
        </w:tc>
      </w:tr>
      <w:tr w:rsidR="007A06D3" w:rsidRPr="00981E15">
        <w:tblPrEx>
          <w:tblCellMar>
            <w:top w:w="0" w:type="dxa"/>
            <w:bottom w:w="0" w:type="dxa"/>
          </w:tblCellMar>
        </w:tblPrEx>
        <w:tc>
          <w:tcPr>
            <w:tcW w:w="2151" w:type="dxa"/>
            <w:shd w:val="clear" w:color="auto" w:fill="auto"/>
          </w:tcPr>
          <w:p w:rsidR="007A06D3" w:rsidRPr="00981E15" w:rsidRDefault="007A06D3" w:rsidP="00B518F0">
            <w:pPr>
              <w:keepNext/>
              <w:keepLines/>
              <w:tabs>
                <w:tab w:val="left" w:pos="288"/>
                <w:tab w:val="left" w:pos="576"/>
                <w:tab w:val="left" w:pos="864"/>
                <w:tab w:val="left" w:pos="1152"/>
              </w:tabs>
              <w:spacing w:before="40" w:after="80"/>
              <w:ind w:right="43"/>
              <w:rPr>
                <w:b/>
              </w:rPr>
            </w:pPr>
            <w:r w:rsidRPr="00981E15">
              <w:rPr>
                <w:b/>
              </w:rPr>
              <w:t>Derecho Comercial/Mercantil</w:t>
            </w:r>
          </w:p>
        </w:tc>
        <w:tc>
          <w:tcPr>
            <w:tcW w:w="5169" w:type="dxa"/>
            <w:shd w:val="clear" w:color="auto" w:fill="auto"/>
          </w:tcPr>
          <w:p w:rsidR="007A06D3" w:rsidRPr="00981E15" w:rsidRDefault="007A06D3" w:rsidP="00B518F0">
            <w:pPr>
              <w:keepNext/>
              <w:keepLines/>
              <w:tabs>
                <w:tab w:val="left" w:pos="288"/>
                <w:tab w:val="left" w:pos="576"/>
                <w:tab w:val="left" w:pos="864"/>
                <w:tab w:val="left" w:pos="1152"/>
              </w:tabs>
              <w:spacing w:before="40" w:after="80"/>
              <w:ind w:right="43"/>
            </w:pPr>
            <w:r w:rsidRPr="00981E15">
              <w:t>Ley de protección a la micro, pequeña y mediana empresa</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B518F0">
            <w:pPr>
              <w:keepNext/>
              <w:keepLines/>
              <w:tabs>
                <w:tab w:val="left" w:pos="288"/>
                <w:tab w:val="left" w:pos="576"/>
                <w:tab w:val="left" w:pos="864"/>
                <w:tab w:val="left" w:pos="1152"/>
              </w:tabs>
              <w:spacing w:before="40" w:after="80"/>
              <w:ind w:right="43"/>
              <w:rPr>
                <w:b/>
              </w:rPr>
            </w:pPr>
            <w:r w:rsidRPr="00981E15">
              <w:rPr>
                <w:b/>
              </w:rPr>
              <w:t>Derecho Agrario</w:t>
            </w:r>
          </w:p>
        </w:tc>
        <w:tc>
          <w:tcPr>
            <w:tcW w:w="5169" w:type="dxa"/>
            <w:shd w:val="clear" w:color="auto" w:fill="auto"/>
          </w:tcPr>
          <w:p w:rsidR="007A06D3" w:rsidRPr="00981E15" w:rsidRDefault="007A06D3" w:rsidP="00B518F0">
            <w:pPr>
              <w:keepNext/>
              <w:keepLines/>
              <w:tabs>
                <w:tab w:val="left" w:pos="288"/>
                <w:tab w:val="left" w:pos="576"/>
                <w:tab w:val="left" w:pos="864"/>
                <w:tab w:val="left" w:pos="1152"/>
              </w:tabs>
              <w:spacing w:before="40" w:after="80"/>
              <w:ind w:right="43"/>
            </w:pPr>
            <w:r w:rsidRPr="00981E15">
              <w:t>Ley marco del desarrollo rural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sobre el trabajo agrícola y ganadero</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para el pequeño y mediano agricultor</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incentivos para la diversificación de la agricultura</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Leyes complementarias</w:t>
            </w: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Reglamentación Ley Marco de los Acuerdos de Paz</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Reglamentación Ley del Registro de Información Catastral</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rPr>
                <w:b/>
              </w:rPr>
              <w:t>Leyes Acuerdo 16</w:t>
            </w:r>
            <w:r w:rsidRPr="00981E15">
              <w:rPr>
                <w:b/>
              </w:rPr>
              <w:noBreakHyphen/>
              <w:t>2005</w:t>
            </w: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Conocidas como “compensadores sociales”.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 xml:space="preserve">Aprobación de varias Iniciativas de Ley que permitan crear los marcos legales como compensadores sociales para amortiguar los efectos del Tratado de Libre Comercio: </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Marco de Desarrollo Rural.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Incentivos Para la Diversificación de la Agricultura.</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Intermediación Financiera no Bancaria.</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Institucionalización del Pacto Fiscal.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Protección al Mediano y Pequeño Agricultor.</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Ley de Protección a la Micro, Pequeña y Mediana Empresa.</w:t>
            </w:r>
          </w:p>
        </w:tc>
      </w:tr>
      <w:tr w:rsidR="007A06D3" w:rsidRPr="00981E15">
        <w:tblPrEx>
          <w:tblCellMar>
            <w:top w:w="0" w:type="dxa"/>
            <w:bottom w:w="0" w:type="dxa"/>
          </w:tblCellMar>
        </w:tblPrEx>
        <w:tc>
          <w:tcPr>
            <w:tcW w:w="2151" w:type="dxa"/>
            <w:vMerge/>
            <w:tcBorders>
              <w:bottom w:val="single" w:sz="12" w:space="0" w:color="auto"/>
            </w:tcBorders>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tcBorders>
              <w:bottom w:val="single" w:sz="12" w:space="0" w:color="auto"/>
            </w:tcBorders>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Reforma Integral al Código de Trabajo.</w:t>
            </w:r>
          </w:p>
        </w:tc>
      </w:tr>
    </w:tbl>
    <w:p w:rsidR="007A06D3" w:rsidRPr="00981E15" w:rsidRDefault="007A06D3" w:rsidP="008112DC">
      <w:pPr>
        <w:pStyle w:val="SingleTxt"/>
        <w:spacing w:after="0" w:line="120" w:lineRule="exact"/>
        <w:rPr>
          <w:sz w:val="10"/>
        </w:rPr>
      </w:pPr>
    </w:p>
    <w:p w:rsidR="007A06D3" w:rsidRPr="00981E15" w:rsidRDefault="007A06D3" w:rsidP="008112DC">
      <w:pPr>
        <w:pStyle w:val="SingleTxt"/>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Agenda legislativa pro-igualdad de género</w:t>
      </w:r>
    </w:p>
    <w:p w:rsidR="007A06D3" w:rsidRPr="00981E15" w:rsidRDefault="007A06D3" w:rsidP="008112DC">
      <w:pPr>
        <w:pStyle w:val="SingleTxt"/>
        <w:spacing w:after="0" w:line="120" w:lineRule="exact"/>
        <w:rPr>
          <w:sz w:val="10"/>
        </w:rPr>
      </w:pPr>
    </w:p>
    <w:p w:rsidR="007A06D3" w:rsidRPr="00981E15" w:rsidRDefault="007A06D3" w:rsidP="007A06D3">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81E15">
        <w:t>Es necesario desarrollar una agenda mínima legislativa pro-igualdad de género, que contenga demandas legales definidas y concretas para el Código Civil, Penal y Laboral, que armonicen la legislación guatemalteca con las convenciones, tratados, y acuerdos suscritos por el país, en particular con la CEDAW.</w:t>
      </w:r>
    </w:p>
    <w:p w:rsidR="007A06D3" w:rsidRPr="00981E15" w:rsidRDefault="007A06D3" w:rsidP="007A06D3">
      <w:pPr>
        <w:pStyle w:val="SingleTxt"/>
        <w:numPr>
          <w:ilvl w:val="0"/>
          <w:numId w:val="1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81E15">
        <w:t>Para avanzar dicha agenda se requerirá diseñar un Plan de Acción que considere:</w:t>
      </w:r>
    </w:p>
    <w:p w:rsidR="007A06D3" w:rsidRPr="00981E15" w:rsidRDefault="007A06D3" w:rsidP="008112DC">
      <w:pPr>
        <w:pStyle w:val="SingleTxt"/>
        <w:tabs>
          <w:tab w:val="right" w:pos="1685"/>
        </w:tabs>
        <w:suppressAutoHyphens/>
        <w:ind w:left="1742" w:hanging="475"/>
      </w:pPr>
      <w:r w:rsidRPr="00981E15">
        <w:tab/>
        <w:t>•</w:t>
      </w:r>
      <w:r w:rsidRPr="00981E15">
        <w:tab/>
        <w:t>Trabajar y establecer un acuerdo en consenso entre los tres organismos del Estado sobre política pública y legislación pro-igualdad.</w:t>
      </w:r>
    </w:p>
    <w:p w:rsidR="007A06D3" w:rsidRPr="00981E15" w:rsidRDefault="007A06D3" w:rsidP="008112DC">
      <w:pPr>
        <w:pStyle w:val="SingleTxt"/>
        <w:tabs>
          <w:tab w:val="right" w:pos="1685"/>
        </w:tabs>
        <w:suppressAutoHyphens/>
        <w:ind w:left="1742" w:hanging="475"/>
      </w:pPr>
      <w:r w:rsidRPr="00981E15">
        <w:tab/>
        <w:t>•</w:t>
      </w:r>
      <w:r w:rsidRPr="00981E15">
        <w:tab/>
        <w:t>Generar alianzas con instituciones de derechos humanos y las organizaciones de mujeres de la sociedad civil.</w:t>
      </w:r>
    </w:p>
    <w:p w:rsidR="007A06D3" w:rsidRPr="00981E15" w:rsidRDefault="007A06D3" w:rsidP="008112DC">
      <w:pPr>
        <w:pStyle w:val="SingleTxt"/>
        <w:tabs>
          <w:tab w:val="right" w:pos="1685"/>
        </w:tabs>
        <w:suppressAutoHyphens/>
        <w:ind w:left="1742" w:hanging="475"/>
      </w:pPr>
      <w:r w:rsidRPr="00981E15">
        <w:tab/>
        <w:t>•</w:t>
      </w:r>
      <w:r w:rsidRPr="00981E15">
        <w:tab/>
        <w:t>Generar alianzas con los medios de comunicación y crear un clima de opinión informado pro-igualdad en el país.</w:t>
      </w:r>
    </w:p>
    <w:p w:rsidR="007A06D3" w:rsidRPr="00981E15" w:rsidRDefault="007A06D3" w:rsidP="008112DC">
      <w:pPr>
        <w:pStyle w:val="SingleTxt"/>
        <w:tabs>
          <w:tab w:val="right" w:pos="1685"/>
        </w:tabs>
        <w:suppressAutoHyphens/>
        <w:ind w:left="1742" w:hanging="475"/>
      </w:pPr>
      <w:r w:rsidRPr="00981E15">
        <w:tab/>
        <w:t>•</w:t>
      </w:r>
      <w:r w:rsidRPr="00981E15">
        <w:tab/>
        <w:t>Desarrollar alianzas con la cooperación internacional.</w:t>
      </w:r>
    </w:p>
    <w:p w:rsidR="007A06D3" w:rsidRPr="00981E15" w:rsidRDefault="007A06D3" w:rsidP="008112DC">
      <w:pPr>
        <w:pStyle w:val="SingleTxt"/>
        <w:tabs>
          <w:tab w:val="right" w:pos="1685"/>
        </w:tabs>
        <w:suppressAutoHyphens/>
        <w:ind w:left="1742" w:hanging="475"/>
      </w:pPr>
      <w:r w:rsidRPr="00981E15">
        <w:tab/>
        <w:t>•</w:t>
      </w:r>
      <w:r w:rsidRPr="00981E15">
        <w:tab/>
        <w:t>Acordar una agenda con plazos definidos para el avance de la agenda en cuestión.</w:t>
      </w:r>
    </w:p>
    <w:p w:rsidR="007A06D3" w:rsidRPr="00981E15" w:rsidRDefault="007A06D3" w:rsidP="007A06D3">
      <w:pPr>
        <w:pStyle w:val="SingleTxt"/>
        <w:numPr>
          <w:ilvl w:val="0"/>
          <w:numId w:val="14"/>
        </w:numPr>
        <w:tabs>
          <w:tab w:val="clear" w:pos="475"/>
          <w:tab w:val="num" w:pos="1742"/>
        </w:tabs>
        <w:suppressAutoHyphens/>
        <w:ind w:left="1267"/>
      </w:pPr>
      <w:r w:rsidRPr="00981E15">
        <w:t>Para promover el avance de dicha agenda sería fundamental impulsar la participación de mujeres en mayores porcentajes que existen actualmente en los organismos e instancias de toma de decisión, en particular en el Organismo Legislativo y fortalecer las instituciones pro-igualdad de la mujer, en particular la Secretaría Presidencial de la Mujer. Para apoyar la participación de las mujeres se podría impulsar la observancia de la Ley de Dignificación y Promoción Integral de la Mujer (Decreto 7-1999), que incluye la mención de acciones positivas temporales.</w:t>
      </w:r>
    </w:p>
    <w:p w:rsidR="007A06D3" w:rsidRPr="00981E15" w:rsidRDefault="007A06D3" w:rsidP="008112DC">
      <w:pPr>
        <w:pStyle w:val="SingleTxt"/>
        <w:spacing w:after="0" w:line="120" w:lineRule="exact"/>
        <w:rPr>
          <w:sz w:val="10"/>
        </w:rPr>
      </w:pPr>
    </w:p>
    <w:p w:rsidR="007A06D3" w:rsidRPr="00981E15" w:rsidRDefault="007A06D3" w:rsidP="008112DC">
      <w:pPr>
        <w:pStyle w:val="SingleTxt"/>
        <w:spacing w:after="0" w:line="120" w:lineRule="exact"/>
        <w:rPr>
          <w:sz w:val="10"/>
        </w:rPr>
      </w:pPr>
    </w:p>
    <w:p w:rsidR="007A06D3" w:rsidRPr="00981E15" w:rsidRDefault="007A06D3" w:rsidP="008112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Mecanismos especializados de la Mujer</w:t>
      </w:r>
    </w:p>
    <w:p w:rsidR="007A06D3" w:rsidRPr="00981E15" w:rsidRDefault="007A06D3" w:rsidP="008112DC">
      <w:pPr>
        <w:pStyle w:val="SingleTxt"/>
        <w:spacing w:after="0" w:line="120" w:lineRule="exact"/>
        <w:rPr>
          <w:sz w:val="10"/>
        </w:rPr>
      </w:pPr>
    </w:p>
    <w:p w:rsidR="007A06D3" w:rsidRPr="00981E15" w:rsidRDefault="007A06D3" w:rsidP="008112DC">
      <w:pPr>
        <w:pStyle w:val="SingleTxt"/>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Recomendaciones del Comité de Expertas de la CEDAW</w:t>
      </w:r>
    </w:p>
    <w:p w:rsidR="007A06D3" w:rsidRPr="00981E15" w:rsidRDefault="007A06D3" w:rsidP="008112DC">
      <w:pPr>
        <w:pStyle w:val="SingleTxt"/>
        <w:spacing w:after="0" w:line="120" w:lineRule="exact"/>
        <w:rPr>
          <w:sz w:val="10"/>
        </w:rPr>
      </w:pPr>
    </w:p>
    <w:p w:rsidR="007A06D3" w:rsidRPr="00981E15" w:rsidRDefault="007A06D3" w:rsidP="008112DC">
      <w:pPr>
        <w:pStyle w:val="SingleTxt"/>
        <w:suppressAutoHyphens/>
        <w:rPr>
          <w:b/>
        </w:rPr>
      </w:pPr>
      <w:r w:rsidRPr="00981E15">
        <w:rPr>
          <w:b/>
        </w:rPr>
        <w:t>El Comité recomienda al Estado parte que refuerce los mecanismos nacionales, especialmente la Secretaría Presidencial de la Mujer, dotándolos de las competencias y los recursos humanos y financieros necesarios para mejorar su eficiencia en el cumplimiento de su mandato a todos los niveles, en particular de la capacidad adecuada para lograr una cooperación mejor y más eficaz entre todas las entidades gubernamentales encargadas de aplicar la Convención. (6)</w:t>
      </w:r>
    </w:p>
    <w:p w:rsidR="007A06D3" w:rsidRPr="00981E15" w:rsidRDefault="007A06D3" w:rsidP="008112DC">
      <w:pPr>
        <w:pStyle w:val="SingleTxt"/>
        <w:suppressAutoHyphens/>
        <w:rPr>
          <w:b/>
        </w:rPr>
      </w:pPr>
      <w:r w:rsidRPr="00981E15">
        <w:rPr>
          <w:b/>
        </w:rPr>
        <w:t>El Comité alienta al Estado parte a que asuma claramente la responsabilidad de cumplir todas las obligaciones que le incumben en virtud de la Convención. También alienta al Estado parte a que mejore la colaboración con los grupos y las organizaciones de mujeres, pero sin delegar en esos interesados las responsabilidades que le competen con respecto a la aplicación de la Convención.</w:t>
      </w:r>
    </w:p>
    <w:p w:rsidR="007A06D3" w:rsidRPr="00981E15" w:rsidRDefault="007A06D3" w:rsidP="008112DC">
      <w:pPr>
        <w:pStyle w:val="SingleTxt"/>
        <w:suppressAutoHyphens/>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Secretaría Presidencial de la Mujer (SEPREM)</w:t>
      </w:r>
    </w:p>
    <w:p w:rsidR="007A06D3" w:rsidRPr="00981E15" w:rsidRDefault="007A06D3" w:rsidP="008112DC">
      <w:pPr>
        <w:pStyle w:val="SingleTxt"/>
        <w:spacing w:after="0" w:line="120" w:lineRule="exact"/>
        <w:rPr>
          <w:sz w:val="10"/>
        </w:rPr>
      </w:pPr>
    </w:p>
    <w:p w:rsidR="007A06D3" w:rsidRPr="00981E15" w:rsidRDefault="007A06D3" w:rsidP="007A06D3">
      <w:pPr>
        <w:pStyle w:val="SingleTxt"/>
        <w:numPr>
          <w:ilvl w:val="0"/>
          <w:numId w:val="14"/>
        </w:numPr>
        <w:tabs>
          <w:tab w:val="clear" w:pos="475"/>
          <w:tab w:val="num" w:pos="1742"/>
        </w:tabs>
        <w:suppressAutoHyphens/>
        <w:ind w:left="1267"/>
      </w:pPr>
      <w:r w:rsidRPr="00981E15">
        <w:t>Es la entidad asesora y coordinadora de políticas públicas responsable de promover el desarrollo integral de las mujeres guatemaltecas y el fomento de una cultura democrática. Funciona bajo la dirección inmediata del Presidente de la República y es la entidad al más alto nivel del Organismo Ejecutivo, encargada de los temas relacionados con la promoción de la mujer y la incorporación de la equidad de género. Participa en los gabinetes de gobierno General, Social y de Desarrollo Rural. La Secretaria Presidencial de la Mujer, como titular de la SEPREM tiene el rango de Ministra de Estado.</w:t>
      </w:r>
    </w:p>
    <w:p w:rsidR="007A06D3" w:rsidRPr="00981E15" w:rsidRDefault="007A06D3" w:rsidP="007A06D3">
      <w:pPr>
        <w:pStyle w:val="SingleTxt"/>
        <w:numPr>
          <w:ilvl w:val="0"/>
          <w:numId w:val="14"/>
        </w:numPr>
        <w:tabs>
          <w:tab w:val="clear" w:pos="475"/>
          <w:tab w:val="num" w:pos="1742"/>
        </w:tabs>
        <w:suppressAutoHyphens/>
        <w:ind w:left="1267"/>
      </w:pPr>
      <w:r w:rsidRPr="00981E15">
        <w:t>Entre las facultades de la SEPREM, establecidas en el artículo 2 del Acuerdo Gubernativo 200-2000, destacan las relacionadas con velar por el cumplimiento de las leyes, convenios y tratados y la coordinación interinstitucional. El Reglamento Interno de la SEPREM le requiere adoptar mecanismos de interlocución y diálogo con las organizaciones de mujeres.</w:t>
      </w:r>
    </w:p>
    <w:p w:rsidR="007A06D3" w:rsidRPr="00981E15" w:rsidRDefault="007A06D3" w:rsidP="007A06D3">
      <w:pPr>
        <w:pStyle w:val="SingleTxt"/>
        <w:numPr>
          <w:ilvl w:val="0"/>
          <w:numId w:val="14"/>
        </w:numPr>
        <w:tabs>
          <w:tab w:val="clear" w:pos="475"/>
          <w:tab w:val="num" w:pos="1742"/>
        </w:tabs>
        <w:suppressAutoHyphens/>
        <w:ind w:left="1267"/>
      </w:pPr>
      <w:r w:rsidRPr="00981E15">
        <w:t>En octubre de 2007 por medio del Acuerdo Gubernativo número 471-2007, se reforma el Reglamento Orgánico Interno de la SEPREM. Con esta reforma se establece como una nueva función la formulación, monitoreo, evaluación y actualización de la política de la mujer. Así también se reforma la estructura organizacional para fortalecer sus funciones de la siguiente forma:</w:t>
      </w:r>
    </w:p>
    <w:p w:rsidR="007A06D3" w:rsidRPr="00981E15" w:rsidRDefault="007A06D3" w:rsidP="008112DC">
      <w:pPr>
        <w:pStyle w:val="SingleTxt"/>
        <w:tabs>
          <w:tab w:val="clear" w:pos="2218"/>
          <w:tab w:val="right" w:pos="1685"/>
        </w:tabs>
        <w:suppressAutoHyphens/>
      </w:pPr>
      <w:r w:rsidRPr="00981E15">
        <w:tab/>
        <w:t>•</w:t>
      </w:r>
      <w:r w:rsidRPr="00981E15">
        <w:tab/>
        <w:t>Dirección Superior</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Despacho de la Secretaría Presidencial de la Mujer</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Despacho de la Subsecretaria Presidencial de la Mujer</w:t>
      </w:r>
    </w:p>
    <w:p w:rsidR="007A06D3" w:rsidRPr="00981E15" w:rsidRDefault="007A06D3" w:rsidP="008112DC">
      <w:pPr>
        <w:pStyle w:val="SingleTxt"/>
        <w:tabs>
          <w:tab w:val="clear" w:pos="2218"/>
          <w:tab w:val="right" w:pos="1685"/>
        </w:tabs>
        <w:suppressAutoHyphens/>
      </w:pPr>
      <w:r w:rsidRPr="00981E15">
        <w:tab/>
        <w:t>•</w:t>
      </w:r>
      <w:r w:rsidRPr="00981E15">
        <w:tab/>
        <w:t>Asesoría</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Consejo Consultivo</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Asesoría Jurídica</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Asesoría Técnica</w:t>
      </w:r>
    </w:p>
    <w:p w:rsidR="007A06D3" w:rsidRPr="00981E15" w:rsidRDefault="007A06D3" w:rsidP="008112DC">
      <w:pPr>
        <w:pStyle w:val="SingleTxt"/>
        <w:tabs>
          <w:tab w:val="clear" w:pos="2218"/>
          <w:tab w:val="right" w:pos="1685"/>
        </w:tabs>
        <w:suppressAutoHyphens/>
      </w:pPr>
      <w:r w:rsidRPr="00981E15">
        <w:tab/>
        <w:t>•</w:t>
      </w:r>
      <w:r w:rsidRPr="00981E15">
        <w:tab/>
        <w:t>Control Interno</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Unidad de Auditoría Interna</w:t>
      </w:r>
    </w:p>
    <w:p w:rsidR="007A06D3" w:rsidRPr="00981E15" w:rsidRDefault="007A06D3" w:rsidP="008112DC">
      <w:pPr>
        <w:pStyle w:val="SingleTxt"/>
        <w:tabs>
          <w:tab w:val="clear" w:pos="2218"/>
          <w:tab w:val="right" w:pos="1685"/>
        </w:tabs>
        <w:suppressAutoHyphens/>
      </w:pPr>
      <w:r w:rsidRPr="00981E15">
        <w:tab/>
        <w:t>•</w:t>
      </w:r>
      <w:r w:rsidRPr="00981E15">
        <w:tab/>
        <w:t>Administración General</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Dirección Administrativa y de Recursos Humanos</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Dirección de Planificación, Programación, Monitoreo y Evaluación</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Dirección Financiera</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Dirección de Cooperación y Relaciones Internacionales</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Dirección de Promoción y Participación de la Mujer</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Dirección de Fortalecimiento Institucional</w:t>
      </w:r>
    </w:p>
    <w:p w:rsidR="007A06D3" w:rsidRPr="00981E15" w:rsidRDefault="007A06D3" w:rsidP="008112DC">
      <w:pPr>
        <w:pStyle w:val="SingleTxt"/>
        <w:tabs>
          <w:tab w:val="clear" w:pos="1742"/>
          <w:tab w:val="clear" w:pos="2218"/>
          <w:tab w:val="clear" w:pos="2693"/>
          <w:tab w:val="right" w:pos="2160"/>
          <w:tab w:val="left" w:pos="2187"/>
        </w:tabs>
        <w:suppressAutoHyphens/>
      </w:pPr>
      <w:r w:rsidRPr="00981E15">
        <w:tab/>
        <w:t>•</w:t>
      </w:r>
      <w:r w:rsidRPr="00981E15">
        <w:tab/>
        <w:t>Dirección de Comunicación Social y Relaciones Públicas</w:t>
      </w:r>
    </w:p>
    <w:p w:rsidR="007A06D3" w:rsidRPr="00981E15" w:rsidRDefault="007A06D3" w:rsidP="007A06D3">
      <w:pPr>
        <w:pStyle w:val="SingleTxt"/>
        <w:numPr>
          <w:ilvl w:val="0"/>
          <w:numId w:val="14"/>
        </w:numPr>
        <w:tabs>
          <w:tab w:val="clear" w:pos="475"/>
          <w:tab w:val="num" w:pos="1742"/>
        </w:tabs>
        <w:suppressAutoHyphens/>
        <w:ind w:left="1267"/>
      </w:pPr>
      <w:r w:rsidRPr="00981E15">
        <w:t>La SEPREM representa al Estado de Guatemala internacionalmente en materia de derechos de las mujeres. Entre otros ante la Comisión Interamericana de Mujeres (CIM) de la Organización de Estados Americanos (OEA), en la Conferencia Regional sobre la Mujer de América Latina y el Caribe de la Comisión Económica para América Latina (CEPAL) y el Consejo de Ministras de la Mujer de Centro América (COMMCA). La SEPREM cuenta con un Consejo Consultivo, el cual forma parte de su estructura y está integrado por representantes de los Ministerios, Secretarías de Estado y Fondos Sociales, considerado un importante mecanismo de coordinación interinstitucional.</w:t>
      </w: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El presupuesto </w:t>
      </w:r>
      <w:r w:rsidR="001D0DED">
        <w:t>de la SEPREM se incrementó de 4,</w:t>
      </w:r>
      <w:r w:rsidRPr="00981E15">
        <w:t>8 millones de quetzales (Q7.5/$1) en el año 2004, a 17.65 millones de quetzales en 2007, que representa el 367,8% de incremento</w:t>
      </w:r>
      <w:r w:rsidRPr="00981E15">
        <w:rPr>
          <w:rStyle w:val="FootnoteReference"/>
        </w:rPr>
        <w:footnoteReference w:id="1"/>
      </w:r>
      <w:r w:rsidRPr="00981E15">
        <w:t>. El Congreso de la República aprobó un presupuesto de 20</w:t>
      </w:r>
      <w:r w:rsidR="00902D41">
        <w:t>,</w:t>
      </w:r>
      <w:r w:rsidRPr="00981E15">
        <w:t>5 millones de quetzales para el año 2008. El incremento obtenido ha permitido el fortalecimiento territorial a través de la contratación de 10 mujeres que se desempeñan como representantes regionales en 8 regiones del país, así como la promoción, asesoría y acompañamiento de organizaciones de mujeres de los Consejos de Desarrollo Urbano y Rural en el nivel departamental; proporcionar financiamiento a la Fundación Red de Sobrevivientes de la Violencia; incrementar el financiamiento de la CONAPREVI; fortalecer la coordinación interinstitucional y la inclusión del enfoque de equidad de género en políticas e instrumentos.</w:t>
      </w: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Consciente de que la transversalización sistemática y eficaz de la perspectiva pro-igualdad de género demanda transformaciones en las dinámicas y las estructuras de gobierno, la SEPREM ha desarrollado el Programa Multianual 2006-2009 para la “institucionalización de la Política Nacional de Promoción y Desarrollo de las Mujeres Guatemaltecas y del Plan de Equidad de Género en los Procesos Prioritarios del Gobierno y en las Estructuras del Organismo Ejecutivo”. </w:t>
      </w:r>
    </w:p>
    <w:p w:rsidR="007A06D3" w:rsidRPr="00981E15" w:rsidRDefault="007A06D3" w:rsidP="007A06D3">
      <w:pPr>
        <w:pStyle w:val="SingleTxt"/>
        <w:numPr>
          <w:ilvl w:val="0"/>
          <w:numId w:val="14"/>
        </w:numPr>
        <w:tabs>
          <w:tab w:val="clear" w:pos="475"/>
          <w:tab w:val="num" w:pos="1742"/>
        </w:tabs>
        <w:suppressAutoHyphens/>
        <w:ind w:left="1267"/>
      </w:pPr>
      <w:r w:rsidRPr="00981E15">
        <w:t>El Programa Multianual recoge a su vez dos prioridades marcadas en las recomendaciones de las Expertas de la CEDAW: 1) el monitoreo de las políticas públicas y 2) la evaluación del impacto de género, considerando la situación de desventaja de las mujeres indígenas. En este sentido el programa multianual ha considerado la primera de sus dos áreas de acción el “monitoreo, evaluación, actualización e institucionalización de la Política Nacional de Promoción y Desarrollo de las Mujeres Guatemaltecas con pertinencia étnica”. Este objetivo plantea incorporar la perspectiva de género en las estructuras y funciones de los entes que por estratégicos han sido priorizados por la SEPREM, como lo son: La Secretaría de Planificación y Programación de la Presidencia, SEGEPLAN, el Instituto Nacional de Estadística, INE, el Instituto Nacional de Administración Pública, INAP, y el Ministerio de Finanzas, MINFIN. La segunda área de acción considerada en el programa multianual, contribuye a la transversalización de género en las políticas públicas por medio de la “</w:t>
      </w:r>
      <w:r w:rsidRPr="00981E15">
        <w:rPr>
          <w:i/>
        </w:rPr>
        <w:t>eficientación de los mecanismos de actuación de la SEPREM</w:t>
      </w:r>
      <w:r w:rsidRPr="00981E15">
        <w:t>”.</w:t>
      </w:r>
    </w:p>
    <w:p w:rsidR="007A06D3" w:rsidRPr="00981E15" w:rsidRDefault="007A06D3" w:rsidP="007A06D3">
      <w:pPr>
        <w:pStyle w:val="SingleTxt"/>
        <w:numPr>
          <w:ilvl w:val="0"/>
          <w:numId w:val="14"/>
        </w:numPr>
        <w:tabs>
          <w:tab w:val="clear" w:pos="475"/>
          <w:tab w:val="num" w:pos="1742"/>
        </w:tabs>
        <w:suppressAutoHyphens/>
        <w:ind w:left="1267"/>
      </w:pPr>
      <w:r w:rsidRPr="00981E15">
        <w:t>La SEPREM ha profundizado su papel de órgano rector de políticas para la igualdad y equidad de género e incluso ha sido pionero como organismo del Estado en la reflexión auto-crítica sobre estructura y función, así como en su capacidad de propuesta para su propio fortalecimiento. En este sentido podemos citar los siguientes aspectos:</w:t>
      </w:r>
    </w:p>
    <w:p w:rsidR="007A06D3" w:rsidRPr="00981E15" w:rsidRDefault="007A06D3" w:rsidP="008112DC">
      <w:pPr>
        <w:pStyle w:val="SingleTxt"/>
        <w:tabs>
          <w:tab w:val="right" w:pos="1685"/>
        </w:tabs>
        <w:suppressAutoHyphens/>
        <w:ind w:left="1742" w:hanging="475"/>
      </w:pPr>
      <w:r w:rsidRPr="00981E15">
        <w:tab/>
        <w:t>•</w:t>
      </w:r>
      <w:r w:rsidRPr="00981E15">
        <w:tab/>
        <w:t xml:space="preserve">Realización de una evaluación de la Política Nacional de Promoción y Desarrollo de las Mujeres Guatemaltecas y el Plan de Equidad de Oportunidades 2001-2006, cuya coordinación para la implementación está a cargo de la SEPREM. El propósito de la evaluación fue conocer avances, limitantes y lecciones aprendidas sobre el diseño, implementación y resultados alcanzados en las instituciones de Gobierno responsables de su implementación. </w:t>
      </w:r>
    </w:p>
    <w:p w:rsidR="007A06D3" w:rsidRPr="00981E15" w:rsidRDefault="007A06D3" w:rsidP="008112DC">
      <w:pPr>
        <w:pStyle w:val="SingleTxt"/>
        <w:tabs>
          <w:tab w:val="right" w:pos="1685"/>
        </w:tabs>
        <w:suppressAutoHyphens/>
        <w:ind w:left="1742" w:hanging="475"/>
      </w:pPr>
      <w:r w:rsidRPr="00981E15">
        <w:tab/>
        <w:t>•</w:t>
      </w:r>
      <w:r w:rsidRPr="00981E15">
        <w:tab/>
        <w:t>Sistematización de la experiencia de la Secretaría Presidencial de la Mujer, así como una propuesta de respuesta política a las recomendaciones del Comité de CEDAW. Para ello la SEPREM ha promovido la realización de entrevistas a organismos de gobierno y de la sociedad civil con distintos grados de afinidad con el Organismo Ejecutivo.</w:t>
      </w:r>
    </w:p>
    <w:p w:rsidR="007A06D3" w:rsidRPr="00981E15" w:rsidRDefault="007A06D3" w:rsidP="008112DC">
      <w:pPr>
        <w:pStyle w:val="SingleTxt"/>
        <w:tabs>
          <w:tab w:val="right" w:pos="1685"/>
        </w:tabs>
        <w:suppressAutoHyphens/>
        <w:ind w:left="1742" w:hanging="475"/>
      </w:pPr>
      <w:r w:rsidRPr="00981E15">
        <w:tab/>
        <w:t>•</w:t>
      </w:r>
      <w:r w:rsidRPr="00981E15">
        <w:tab/>
        <w:t>Trabajo conjunto con el Instituto Nacional de Estadística para la definición de indicadores con enfoque de género que permitan visibilizar la situación y condición de las mujeres y que son relevantes para la definición de las prioridades de política pública.</w:t>
      </w:r>
    </w:p>
    <w:p w:rsidR="007A06D3" w:rsidRPr="00981E15" w:rsidRDefault="007A06D3" w:rsidP="008112DC">
      <w:pPr>
        <w:pStyle w:val="SingleTxt"/>
        <w:tabs>
          <w:tab w:val="right" w:pos="1685"/>
        </w:tabs>
        <w:suppressAutoHyphens/>
        <w:ind w:left="1742" w:hanging="475"/>
      </w:pPr>
      <w:r w:rsidRPr="00981E15">
        <w:tab/>
        <w:t>•</w:t>
      </w:r>
      <w:r w:rsidRPr="00981E15">
        <w:tab/>
        <w:t>Establecimiento de un foro de cooperantes en materia de igualdad y equidad de género, para coordinar esfuerzos hacia la institucionalización de la PNPDMG en los procesos prioritarios del gobierno y en las estructuras del Organismo Ejecutivo.</w:t>
      </w:r>
    </w:p>
    <w:p w:rsidR="007A06D3" w:rsidRPr="00981E15" w:rsidRDefault="007A06D3" w:rsidP="008112DC">
      <w:pPr>
        <w:pStyle w:val="SingleTxt"/>
        <w:tabs>
          <w:tab w:val="right" w:pos="1685"/>
        </w:tabs>
        <w:suppressAutoHyphens/>
        <w:ind w:left="1742" w:hanging="475"/>
      </w:pPr>
      <w:r w:rsidRPr="00981E15">
        <w:tab/>
        <w:t>•</w:t>
      </w:r>
      <w:r w:rsidRPr="00981E15">
        <w:tab/>
        <w:t>Planteamiento de la necesidad de inclusión progresiva de la temática de las mujeres rurales e indígenas, coordinación y alianza creciente con la Defensoría de la Mujer Indígena.</w:t>
      </w:r>
    </w:p>
    <w:p w:rsidR="007A06D3" w:rsidRPr="00981E15" w:rsidRDefault="007A06D3" w:rsidP="008112DC">
      <w:pPr>
        <w:pStyle w:val="SingleTxt"/>
        <w:tabs>
          <w:tab w:val="right" w:pos="1685"/>
        </w:tabs>
        <w:suppressAutoHyphens/>
        <w:ind w:left="1742" w:hanging="475"/>
      </w:pPr>
      <w:r w:rsidRPr="00981E15">
        <w:tab/>
        <w:t>•</w:t>
      </w:r>
      <w:r w:rsidRPr="00981E15">
        <w:tab/>
        <w:t xml:space="preserve">Trabajo sistemático con el Consejo Consultivo de la SEPREM, en el cual se reúnen periódicamente representantes de los diferentes Ministerios y Secretarías, para apoyar procesos que fortalezcan la inclusión institucional de género. </w:t>
      </w:r>
    </w:p>
    <w:p w:rsidR="007A06D3" w:rsidRPr="00981E15" w:rsidRDefault="007A06D3" w:rsidP="008112DC">
      <w:pPr>
        <w:pStyle w:val="SingleTxt"/>
        <w:tabs>
          <w:tab w:val="right" w:pos="1685"/>
        </w:tabs>
        <w:suppressAutoHyphens/>
        <w:ind w:left="1742" w:hanging="475"/>
      </w:pPr>
      <w:r w:rsidRPr="00981E15">
        <w:tab/>
        <w:t>•</w:t>
      </w:r>
      <w:r w:rsidRPr="00981E15">
        <w:tab/>
        <w:t>Fortalecimiento territorial de SEPREM mediante la contratación de 10 mujeres que se desempeñan como representantes regionales en 8 regiones del país y asesoría y acompañamiento a las organizaciones de mujeres representadas en los Consejos de Desarrollo para la incidencia en los procesos de formulación y gestión de propuestas de proyectos dirigidos a mujeres.</w:t>
      </w:r>
    </w:p>
    <w:p w:rsidR="007A06D3" w:rsidRPr="00981E15" w:rsidRDefault="007A06D3" w:rsidP="008112DC">
      <w:pPr>
        <w:pStyle w:val="SingleTxt"/>
        <w:tabs>
          <w:tab w:val="right" w:pos="1685"/>
        </w:tabs>
        <w:suppressAutoHyphens/>
        <w:ind w:left="1742" w:hanging="475"/>
      </w:pPr>
      <w:r w:rsidRPr="00981E15">
        <w:tab/>
        <w:t>•</w:t>
      </w:r>
      <w:r w:rsidRPr="00981E15">
        <w:tab/>
        <w:t>Integrante de la mesa de diálogo para la formulación de la política de desarrollo rural con enfoque de género y multiculturalidad.</w:t>
      </w:r>
    </w:p>
    <w:p w:rsidR="007A06D3" w:rsidRPr="00981E15" w:rsidRDefault="007A06D3" w:rsidP="008112DC">
      <w:pPr>
        <w:pStyle w:val="SingleTxt"/>
        <w:tabs>
          <w:tab w:val="right" w:pos="1685"/>
        </w:tabs>
        <w:suppressAutoHyphens/>
        <w:ind w:left="1742" w:hanging="475"/>
      </w:pPr>
      <w:r w:rsidRPr="00981E15">
        <w:tab/>
        <w:t>•</w:t>
      </w:r>
      <w:r w:rsidRPr="00981E15">
        <w:tab/>
        <w:t>Designación por los tres presidentes de los Organismos del Estado, como coordinadora de la Comisión para el Abordaje del Femicidio.</w:t>
      </w: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Los puntos mencionados indican desarrollos en diferentes etapas de implementación, a la vez que enuncian tendencias que contribuyen a la definición y fortalecimiento de la SEPREM como una instancia política con identidad propia e incluso, con capacidad de innovación en el Estado Guatemalteco. </w:t>
      </w:r>
    </w:p>
    <w:p w:rsidR="007A06D3" w:rsidRPr="00981E15" w:rsidRDefault="007A06D3" w:rsidP="007A06D3">
      <w:pPr>
        <w:pStyle w:val="SingleTxt"/>
        <w:numPr>
          <w:ilvl w:val="0"/>
          <w:numId w:val="14"/>
        </w:numPr>
        <w:tabs>
          <w:tab w:val="clear" w:pos="475"/>
          <w:tab w:val="num" w:pos="1742"/>
        </w:tabs>
        <w:suppressAutoHyphens/>
        <w:ind w:left="1267"/>
      </w:pPr>
      <w:r w:rsidRPr="00981E15">
        <w:t>La SEPREM y el Foro Nacional de la Mujer (FNM) elaboraron de manera conjunta el Plan de Acción para la Plena Participación de las Mujeres Guatemaltecas 2002-2006. En correspondencia con los ejes estratégicos de este Plan se diseño e implementó el Programa de Capacitación para Mujeres en los Consejos de Desarrollo Urbano y Rural. El Programa cuenta con ocho módulos de capacitación sobre los temas de: 1) descentralización, 2) participación, 3) políticas públicas, 4) El Plan, 5) Diagnóstico participativo de género, 6) el Proyecto, 7) Los recursos y 8) auditoria social.</w:t>
      </w:r>
    </w:p>
    <w:p w:rsidR="009F3A5B" w:rsidRPr="00981E15" w:rsidRDefault="009F3A5B" w:rsidP="009F3A5B">
      <w:pPr>
        <w:pStyle w:val="SingleTxt"/>
        <w:suppressAutoHyphens/>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Desarrollo de una agenda económica de las mujeres</w:t>
      </w:r>
    </w:p>
    <w:p w:rsidR="007A06D3" w:rsidRPr="00981E15" w:rsidRDefault="007A06D3" w:rsidP="008112DC">
      <w:pPr>
        <w:pStyle w:val="SingleTxt"/>
        <w:spacing w:after="0" w:line="120" w:lineRule="exact"/>
        <w:rPr>
          <w:sz w:val="10"/>
        </w:rPr>
      </w:pPr>
    </w:p>
    <w:p w:rsidR="007A06D3" w:rsidRPr="00981E15" w:rsidRDefault="007A06D3" w:rsidP="007A06D3">
      <w:pPr>
        <w:pStyle w:val="SingleTxt"/>
        <w:numPr>
          <w:ilvl w:val="0"/>
          <w:numId w:val="14"/>
        </w:numPr>
        <w:tabs>
          <w:tab w:val="clear" w:pos="475"/>
          <w:tab w:val="num" w:pos="1742"/>
        </w:tabs>
        <w:suppressAutoHyphens/>
        <w:ind w:left="1267"/>
      </w:pPr>
      <w:r w:rsidRPr="00981E15">
        <w:t>En el área económica destacan las investigaciones realizadas en el marco del Proyecto la Agenda Económica de las Mujeres (AGEM) apoyada por UNIFEM, con el propósito de conocer el grado de inserción de las mujeres a la economía e identificar las áreas potenciales de investigación y acción. La AGEM promueve el empoderamiento de las mujeres y la igualdad de derechos, que es uno de los Objetivos de Desarrollo de la Cumbre del Milenio. Los objetivos principales de la AGEM son:</w:t>
      </w:r>
    </w:p>
    <w:p w:rsidR="007A06D3" w:rsidRPr="00981E15" w:rsidRDefault="007A06D3" w:rsidP="008112DC">
      <w:pPr>
        <w:pStyle w:val="SingleTxt"/>
        <w:tabs>
          <w:tab w:val="right" w:pos="1685"/>
        </w:tabs>
        <w:suppressAutoHyphens/>
        <w:ind w:left="1742" w:hanging="475"/>
      </w:pPr>
      <w:r w:rsidRPr="00981E15">
        <w:tab/>
        <w:t>•</w:t>
      </w:r>
      <w:r w:rsidRPr="00981E15">
        <w:tab/>
        <w:t>Contribuir a posicionar el tema de la equidad de género en la agenda económica de la región y en los escenarios donde se debaten y negocian las políticas públicas.</w:t>
      </w:r>
    </w:p>
    <w:p w:rsidR="007A06D3" w:rsidRPr="00981E15" w:rsidRDefault="007A06D3" w:rsidP="008112DC">
      <w:pPr>
        <w:pStyle w:val="SingleTxt"/>
        <w:tabs>
          <w:tab w:val="right" w:pos="1685"/>
        </w:tabs>
        <w:suppressAutoHyphens/>
        <w:ind w:left="1742" w:hanging="475"/>
      </w:pPr>
      <w:r w:rsidRPr="00981E15">
        <w:tab/>
        <w:t>•</w:t>
      </w:r>
      <w:r w:rsidRPr="00981E15">
        <w:tab/>
        <w:t>Diseñar políticas económicas que orienten hacia la eliminación de la desigualdad existente entre mujeres y hombres.</w:t>
      </w:r>
    </w:p>
    <w:p w:rsidR="007A06D3" w:rsidRPr="00981E15" w:rsidRDefault="007A06D3" w:rsidP="008112DC">
      <w:pPr>
        <w:pStyle w:val="SingleTxt"/>
        <w:tabs>
          <w:tab w:val="right" w:pos="1685"/>
        </w:tabs>
        <w:suppressAutoHyphens/>
        <w:ind w:left="1742" w:hanging="475"/>
      </w:pPr>
      <w:r w:rsidRPr="00981E15">
        <w:tab/>
        <w:t>•</w:t>
      </w:r>
      <w:r w:rsidRPr="00981E15">
        <w:tab/>
        <w:t>Apoyar el fortalecimiento de capacidades para el análisis de género de las economías de la región.</w:t>
      </w:r>
    </w:p>
    <w:p w:rsidR="007A06D3" w:rsidRPr="00981E15" w:rsidRDefault="007A06D3" w:rsidP="008112DC">
      <w:pPr>
        <w:pStyle w:val="SingleTxt"/>
        <w:tabs>
          <w:tab w:val="right" w:pos="1685"/>
        </w:tabs>
        <w:suppressAutoHyphens/>
        <w:ind w:left="1742" w:hanging="475"/>
      </w:pPr>
      <w:r w:rsidRPr="00981E15">
        <w:tab/>
        <w:t>•</w:t>
      </w:r>
      <w:r w:rsidRPr="00981E15">
        <w:tab/>
        <w:t>Crear condiciones para identificar la agenda de las mujeres en el proceso de apertura comercial y los componentes de una estrategia de incidencia en las políticas públicas.</w:t>
      </w:r>
    </w:p>
    <w:p w:rsidR="007A06D3" w:rsidRPr="00981E15" w:rsidRDefault="007A06D3" w:rsidP="008112DC">
      <w:pPr>
        <w:pStyle w:val="SingleTxt"/>
        <w:tabs>
          <w:tab w:val="right" w:pos="1685"/>
        </w:tabs>
        <w:suppressAutoHyphens/>
        <w:ind w:left="1742" w:hanging="475"/>
      </w:pPr>
      <w:r w:rsidRPr="00981E15">
        <w:tab/>
        <w:t>•</w:t>
      </w:r>
      <w:r w:rsidRPr="00981E15">
        <w:tab/>
        <w:t xml:space="preserve">Definir una agenda de incidencia de las mujeres centroamericanas. </w:t>
      </w: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Con estos fines, SEPREM centró su atención en la realización de varias investigaciones: </w:t>
      </w:r>
    </w:p>
    <w:p w:rsidR="007A06D3" w:rsidRPr="00981E15" w:rsidRDefault="007A06D3" w:rsidP="008112DC">
      <w:pPr>
        <w:pStyle w:val="SingleTxt"/>
        <w:tabs>
          <w:tab w:val="right" w:pos="1685"/>
        </w:tabs>
        <w:suppressAutoHyphens/>
        <w:ind w:left="1742" w:hanging="475"/>
      </w:pPr>
      <w:r w:rsidRPr="00981E15">
        <w:tab/>
        <w:t>•</w:t>
      </w:r>
      <w:r w:rsidRPr="00981E15">
        <w:tab/>
        <w:t>“</w:t>
      </w:r>
      <w:r w:rsidRPr="00981E15">
        <w:rPr>
          <w:i/>
        </w:rPr>
        <w:t>El perfil de género en la economía guatemalteca (2004)</w:t>
      </w:r>
      <w:r w:rsidRPr="00981E15">
        <w:t xml:space="preserve">” que aporta al conocimiento de las características de la participación de las mujeres en las diferentes actividades productivas y reproductivas a nivel nacional y a la vez muestra que el enfoque de género en las políticas económicas es de los aspectos menos abordados y la necesidad de reorientarlas asegurando la inclusión del enfoque de género. </w:t>
      </w:r>
    </w:p>
    <w:p w:rsidR="007A06D3" w:rsidRPr="00981E15" w:rsidRDefault="007A06D3" w:rsidP="008112DC">
      <w:pPr>
        <w:pStyle w:val="SingleTxt"/>
        <w:tabs>
          <w:tab w:val="right" w:pos="1685"/>
        </w:tabs>
        <w:suppressAutoHyphens/>
        <w:ind w:left="1742" w:hanging="475"/>
      </w:pPr>
      <w:r w:rsidRPr="00981E15">
        <w:tab/>
        <w:t>•</w:t>
      </w:r>
      <w:r w:rsidRPr="00981E15">
        <w:tab/>
        <w:t>Estudios de caso sobre salud ocupacional en las maquilas, la industria agroexportadora de berries y el turismo (2004) que documentan las condiciones de trabajo de las mujeres en esos sectores o áreas de la economía nacional. “</w:t>
      </w:r>
      <w:r w:rsidRPr="00981E15">
        <w:rPr>
          <w:i/>
        </w:rPr>
        <w:t>El Milagro que aparece y desaparece</w:t>
      </w:r>
      <w:r w:rsidRPr="00981E15">
        <w:t>” (2004), estudio relacionado con la participación de las mujeres en la cadena productiva de exportación de berries, revela las exigencias que este mercado impone a la calidad del producto y por ende las consecuencias que trae para las mujeres al dedicarse a este trabajo. A la vez, señala los bajos salarios y las largas jornadas de trabajo a que son sometidas.</w:t>
      </w:r>
    </w:p>
    <w:p w:rsidR="007A06D3" w:rsidRPr="00981E15" w:rsidRDefault="007A06D3" w:rsidP="008112DC">
      <w:pPr>
        <w:pStyle w:val="SingleTxt"/>
        <w:tabs>
          <w:tab w:val="right" w:pos="1685"/>
        </w:tabs>
        <w:suppressAutoHyphens/>
        <w:ind w:left="1742" w:hanging="475"/>
      </w:pPr>
      <w:r w:rsidRPr="00981E15">
        <w:tab/>
        <w:t>•</w:t>
      </w:r>
      <w:r w:rsidRPr="00981E15">
        <w:tab/>
        <w:t>“</w:t>
      </w:r>
      <w:r w:rsidRPr="00981E15">
        <w:rPr>
          <w:i/>
        </w:rPr>
        <w:t>Mapeo institucional en el ámbito económico</w:t>
      </w:r>
      <w:r w:rsidRPr="00981E15">
        <w:t xml:space="preserve"> – U</w:t>
      </w:r>
      <w:r w:rsidRPr="00981E15">
        <w:rPr>
          <w:i/>
        </w:rPr>
        <w:t>na indagación acerca de la incorporación de la perspectiva de género (2006)</w:t>
      </w:r>
      <w:r w:rsidRPr="00981E15">
        <w:t xml:space="preserve">”, identifica las instituciones gubernamentales responsables de la formulación y ejecución de la política económica, así como las iniciativas del sector empresarial y de organizaciones no gubernamentales que realizan proyectos dirigidos a las mujeres en el campo económico. Asimismo, documenta los obstáculos que se interponen en la internalización del enfoque de equidad de género y el tratamiento aún marginal que se hace de la problemática en el ámbito institucional y social. </w:t>
      </w:r>
    </w:p>
    <w:p w:rsidR="007A06D3" w:rsidRPr="00981E15" w:rsidRDefault="007A06D3" w:rsidP="008112DC">
      <w:pPr>
        <w:pStyle w:val="SingleTxt"/>
        <w:tabs>
          <w:tab w:val="right" w:pos="1685"/>
        </w:tabs>
        <w:suppressAutoHyphens/>
        <w:ind w:left="1742" w:hanging="475"/>
      </w:pPr>
      <w:r w:rsidRPr="00981E15">
        <w:tab/>
        <w:t>•</w:t>
      </w:r>
      <w:r w:rsidRPr="00981E15">
        <w:tab/>
        <w:t>“</w:t>
      </w:r>
      <w:r w:rsidRPr="00981E15">
        <w:rPr>
          <w:i/>
        </w:rPr>
        <w:t>Acceso de las mujeres emprendedoras a los servicios financieros en Guatemala, con énfasis en Huehuetenango y Chiquimula (2006)</w:t>
      </w:r>
      <w:r w:rsidRPr="00981E15">
        <w:t>” evidencia las oportunidades y dificultades que enfrentan las mujeres para lograr acceso al crédito y los servicios financieros tanto en el sector financiero formal como informal. Se indica que la estimación de demanda de crédito es de 942,000 mujeres, y en cuanto a la oferta se analizó el papel de los diferentes actores: bancos, cooperativas y organizaciones de desarrollo especializadas en micro finanzas. Se concluyó que el número de mujeres que acceden a financiamiento, asciende a 194.965, lo que representa un nivel de acceso de 20,69% de la demanda potencial estimada. El estudio reveló que es una prioridad que la mujer sea considerada sujeta de crédito, debido a su participación en la economía informal, en la que se ubican alrededor de un 80% de micro negocios.</w:t>
      </w: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Estos estudios permitieron concluir que independientemente del tema que se aborde, las mujeres no superan la condición de vulnerabilidad frente a los desafíos que representan los cambios profundos de la realidad económica y social, derivados de la globalización y la apertura comercial concretada en la ratificación de Tratados de Libre Comercio y el alto desarrollo tecnológico, entre otras iniciativas. </w:t>
      </w:r>
    </w:p>
    <w:p w:rsidR="007A06D3" w:rsidRPr="00981E15" w:rsidRDefault="007A06D3" w:rsidP="007A06D3">
      <w:pPr>
        <w:pStyle w:val="SingleTxt"/>
        <w:numPr>
          <w:ilvl w:val="0"/>
          <w:numId w:val="14"/>
        </w:numPr>
        <w:tabs>
          <w:tab w:val="clear" w:pos="475"/>
          <w:tab w:val="num" w:pos="1742"/>
        </w:tabs>
        <w:suppressAutoHyphens/>
        <w:ind w:left="1267"/>
      </w:pPr>
      <w:r w:rsidRPr="00981E15">
        <w:t>Se encuentran en proceso otras importantes investigaciones:</w:t>
      </w:r>
    </w:p>
    <w:p w:rsidR="007A06D3" w:rsidRPr="00981E15" w:rsidRDefault="007A06D3" w:rsidP="008112DC">
      <w:pPr>
        <w:pStyle w:val="SingleTxt"/>
        <w:tabs>
          <w:tab w:val="right" w:pos="1685"/>
        </w:tabs>
        <w:suppressAutoHyphens/>
        <w:ind w:left="1742" w:hanging="475"/>
      </w:pPr>
      <w:r w:rsidRPr="00981E15">
        <w:tab/>
        <w:t>•</w:t>
      </w:r>
      <w:r w:rsidRPr="00981E15">
        <w:tab/>
        <w:t>Estudio exploratorio que incluye el análisis macro del sector turismo que muestra la dinámica del mismo y las actividades económicas y sectores vinculados, en los últimos 5 años.</w:t>
      </w:r>
    </w:p>
    <w:p w:rsidR="007A06D3" w:rsidRPr="00981E15" w:rsidRDefault="007A06D3" w:rsidP="008112DC">
      <w:pPr>
        <w:pStyle w:val="SingleTxt"/>
        <w:tabs>
          <w:tab w:val="right" w:pos="1685"/>
        </w:tabs>
        <w:suppressAutoHyphens/>
        <w:ind w:left="1742" w:hanging="475"/>
      </w:pPr>
      <w:r w:rsidRPr="00981E15">
        <w:tab/>
        <w:t>•</w:t>
      </w:r>
      <w:r w:rsidRPr="00981E15">
        <w:tab/>
        <w:t xml:space="preserve">Análisis comparativo de la información estadística desagregada por sexo generada en las Encuestas de Condiciones de Vida: 2000 y 2006. </w:t>
      </w:r>
    </w:p>
    <w:p w:rsidR="007A06D3" w:rsidRPr="00981E15" w:rsidRDefault="007A06D3" w:rsidP="008112DC">
      <w:pPr>
        <w:pStyle w:val="SingleTxt"/>
        <w:tabs>
          <w:tab w:val="right" w:pos="1685"/>
        </w:tabs>
        <w:suppressAutoHyphens/>
        <w:ind w:left="1742" w:hanging="475"/>
      </w:pPr>
      <w:r w:rsidRPr="00981E15">
        <w:tab/>
        <w:t>•</w:t>
      </w:r>
      <w:r w:rsidRPr="00981E15">
        <w:tab/>
        <w:t>Estudio sobre el Trabajo Doméstico Remunerado en el país, como parte de la investigación centroamericana encargada por el Consejo de Ministras de la Mujer de Centro América (COMMCA). Finalizará en abril de 2008.</w:t>
      </w:r>
    </w:p>
    <w:p w:rsidR="007A06D3" w:rsidRPr="00981E15" w:rsidRDefault="007A06D3" w:rsidP="008112DC">
      <w:pPr>
        <w:pStyle w:val="SingleTxt"/>
        <w:suppressAutoHyphens/>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981E15">
        <w:rPr>
          <w:b w:val="0"/>
        </w:rPr>
        <w:t>Recuadro 2</w:t>
      </w:r>
      <w:r w:rsidRPr="00981E15">
        <w:t xml:space="preserve"> </w:t>
      </w:r>
      <w:r w:rsidRPr="00981E15">
        <w:br/>
        <w:t>Compromisos desarrollados por SEPREM en el marco de la Política Nacional de Promoción y Desarrollo de las Mujeres Guatemaltecas</w:t>
      </w:r>
    </w:p>
    <w:p w:rsidR="007A06D3" w:rsidRPr="00981E15" w:rsidRDefault="007A06D3" w:rsidP="008112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51"/>
        <w:gridCol w:w="5169"/>
      </w:tblGrid>
      <w:tr w:rsidR="007A06D3" w:rsidRPr="00981E15">
        <w:tblPrEx>
          <w:tblCellMar>
            <w:top w:w="0" w:type="dxa"/>
            <w:bottom w:w="0" w:type="dxa"/>
          </w:tblCellMar>
        </w:tblPrEx>
        <w:trPr>
          <w:trHeight w:hRule="exact" w:val="115"/>
          <w:tblHeader/>
        </w:trPr>
        <w:tc>
          <w:tcPr>
            <w:tcW w:w="2151" w:type="dxa"/>
            <w:tcBorders>
              <w:top w:val="single" w:sz="4" w:space="0" w:color="auto"/>
            </w:tcBorders>
            <w:shd w:val="clear" w:color="auto" w:fill="auto"/>
            <w:vAlign w:val="bottom"/>
          </w:tcPr>
          <w:p w:rsidR="007A06D3" w:rsidRPr="00981E15" w:rsidRDefault="007A06D3" w:rsidP="008112DC">
            <w:pPr>
              <w:tabs>
                <w:tab w:val="left" w:pos="288"/>
                <w:tab w:val="left" w:pos="576"/>
                <w:tab w:val="left" w:pos="864"/>
                <w:tab w:val="left" w:pos="1152"/>
              </w:tabs>
              <w:spacing w:before="40" w:after="80"/>
              <w:ind w:right="40"/>
            </w:pPr>
          </w:p>
        </w:tc>
        <w:tc>
          <w:tcPr>
            <w:tcW w:w="5169" w:type="dxa"/>
            <w:tcBorders>
              <w:top w:val="single" w:sz="4" w:space="0" w:color="auto"/>
            </w:tcBorders>
            <w:shd w:val="clear" w:color="auto" w:fill="auto"/>
            <w:vAlign w:val="bottom"/>
          </w:tcPr>
          <w:p w:rsidR="007A06D3" w:rsidRPr="00981E15" w:rsidRDefault="007A06D3" w:rsidP="008112DC">
            <w:pPr>
              <w:tabs>
                <w:tab w:val="left" w:pos="288"/>
                <w:tab w:val="left" w:pos="576"/>
                <w:tab w:val="left" w:pos="864"/>
                <w:tab w:val="left" w:pos="1152"/>
              </w:tabs>
              <w:spacing w:before="40" w:after="80"/>
              <w:ind w:right="40"/>
            </w:pP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de mecanismos institucionales para el avance de las mujeres</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Seguimiento a 19 Comisiones de la Mujer de los Consejos Departamentales de Desarrollo y 51 a nivel municipal. Se asesoró a las mismas en la elaboración de planes operativos, planes estratégicos, reglamentos y propuestas políticas y técnicas.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Se asesoró a las Oficinas Municipales de la Mujer en la elaboración de planes de trabajo y su accionar en el espacio municipal.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Se acompañó a comisiones y oficinas municipales de la mujer en el marco de la atención a los efectos de la Tormenta Stan, relacionado con la recuperación de documentos, siendo un total de 3118 mujeres y 1320 hombres entre 2005 y 2006.</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económico</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Propuestas de proyectos que reflejan intereses estratégicos y necesidades prácticas que fueron promovidas de forma conjunta con las organizaciones de mujeres y las comisiones de la mujer a nivel departamental, tendientes a incidir en la inversión pública hacia las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En el 2006 sumaron 31 los proyectos asesorados por las representantes regionales de SEPREM en municipios de 9 departamentos del país.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Inclusión del eje de Autonomía Económica de las Mujeres en el Plan Estratégico 2006-2009 y su respectivo Plan de Acción del COMMCA.</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I y II Encuentro Género y Economía, realizados en noviembre de 2005 y 2007 respectivamente. El objetivo del primero fue abrir un espacio de reflexión y discusión sobre la articulación entre los temas de género y economía, para posicionar el tema en la agenda pública. Se convocó a la academia, sector público y sociedad civil a nivel centroamericano. El segundo se enfocó a conocer los avances sobre los temas de género, economía y desarrollo local en los dos últimos años.</w:t>
            </w:r>
          </w:p>
          <w:p w:rsidR="002E3535" w:rsidRPr="00981E15" w:rsidRDefault="002E3535" w:rsidP="008112DC">
            <w:pPr>
              <w:tabs>
                <w:tab w:val="left" w:pos="288"/>
                <w:tab w:val="right" w:pos="360"/>
                <w:tab w:val="left" w:pos="576"/>
                <w:tab w:val="left" w:pos="864"/>
                <w:tab w:val="left" w:pos="1152"/>
              </w:tabs>
              <w:spacing w:before="40" w:after="80"/>
              <w:ind w:left="475" w:right="40" w:hanging="475"/>
            </w:pP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Se capacitó a 150 encuestadores de la Encuesta de Empleo y Desempleo del Instituto Nacional de Estadística en julio de 2007, en coordinación con la SEPREM y la Agenda Económica de las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Seminarios-Talleres sobre el Sistema de integración Centroamericana-SICA- y el papel de la Sociedad Civil en la Integración Regional con el objetivo de dar a conocer a la sociedad civil guatemalteca, la constitución, organización, planes y perspectivas del Sistema de Integración Regional Centroamericana; así como los fines y objetivos del POA-CCSICA y el grado de avance de las Negociaciones del Acuerdo de Asociación con la Unión Europea (ADA).</w:t>
            </w:r>
          </w:p>
        </w:tc>
      </w:tr>
      <w:tr w:rsidR="007A06D3" w:rsidRPr="00981E15">
        <w:tblPrEx>
          <w:tblCellMar>
            <w:top w:w="0" w:type="dxa"/>
            <w:bottom w:w="0" w:type="dxa"/>
          </w:tblCellMar>
        </w:tblPrEx>
        <w:tc>
          <w:tcPr>
            <w:tcW w:w="2151" w:type="dxa"/>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de salud</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Se brindó asesoría para la elaboración de planes departamentales para la reducción de la mortalidad materna. Este proceso se desarrolló de forma distinta en cada departamento, los cuales presentan diferentes niveles de avance.</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violencia contra la mujer</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Se fomentó la construcción de albergues para víctimas de violencia intrafamiliar y contra la mujer en los departamentos de Quiché y Alta Verapaz. El primero está en ejecución, y el segundo está aprobado y será priorizado en la lista geográfica del 2007 para ser ejecutado en el 2008.</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Sobre la seguridad de las mujeres y ante la problemática de la violencia que viven las mujeres, la SEPREM elaboró la propuesta de Pacto Nacional por la Seguridad de las Mujeres. Que se desarrolla en el artículo 2 de este Informe.</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de participación sociopolítica</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Convocatoria y proceso de elección de representantes de organizacione</w:t>
            </w:r>
            <w:r w:rsidR="002E3535">
              <w:t xml:space="preserve">s de mujeres en cumplimiento de </w:t>
            </w:r>
            <w:r w:rsidRPr="00981E15">
              <w:t>la</w:t>
            </w:r>
            <w:r w:rsidR="002E3535">
              <w:t xml:space="preserve"> </w:t>
            </w:r>
            <w:r w:rsidRPr="00981E15">
              <w:t>Ley de Consejos de Desarrollo en los 22</w:t>
            </w:r>
            <w:r w:rsidR="002E3535">
              <w:t xml:space="preserve"> </w:t>
            </w:r>
            <w:r w:rsidRPr="00981E15">
              <w:t>departamentos del país, logrando la elección de</w:t>
            </w:r>
            <w:r w:rsidR="002E3535">
              <w:t xml:space="preserve"> </w:t>
            </w:r>
            <w:r w:rsidRPr="00981E15">
              <w:t>dos</w:t>
            </w:r>
            <w:r w:rsidR="002E3535">
              <w:t xml:space="preserve"> </w:t>
            </w:r>
            <w:r w:rsidRPr="002E3535">
              <w:rPr>
                <w:spacing w:val="2"/>
              </w:rPr>
              <w:t xml:space="preserve">mujeres en cada uno de los Consejos Departamentales </w:t>
            </w:r>
            <w:r w:rsidRPr="00981E15">
              <w:t>de Desarrollo, lo que hace un total de 44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Fortalecimiento de las capacidades de las mujeres por medio del Programa de Capacitación para Mujeres en Consejos de Desarrollo, en conjunto con el Foro Nacional de la Mujer: se capacitó un total de 5549 personas de las cuales 5366 son mujeres y 183</w:t>
            </w:r>
            <w:r w:rsidR="002E3535">
              <w:t> </w:t>
            </w:r>
            <w:r w:rsidRPr="00981E15">
              <w:t>hombres.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El proceso de capacitación aún sigue en marcha. Existe una tendencia creciente de capacitación a mujeres lideresas formadas en el plan piloto, quienes utilizan las guías y los módulos temáticos replicando los contenidos a nivel local.</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de estrategia comunicacional</w:t>
            </w: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En la divulgación de los derechos de las mujeres como uno de los compromisos internacionales del Estado de Guatemala, se desarrollaron acciones tendientes a dar a conocer los derechos promovidos por la CEDAW, su protocolo facultativo, así como las recomendaciones a los informes presentados por el Estado (1-6) dirigidos a funcionarios públicos del Estado y a través del Sistema de Consejos de Desarrollo por medio de las representantes regionales de SEPREM.</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Se elaboró una publicación escrita y se produjeron y transmitieron durante marzo de 2006 cuñas radiales sobre los derechos de las mujeres por la Radio TGW.</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Se produjo una cuña radial con la palabra “mujer” en 11 idiomas nacionales con la colaboración de CODISRA, DEMI y FODIGUA, con el objetivo de resaltar la importancia de las mujeres en la sociedad con enfoque étnico, multilingüe y pluricultural. Esta cuña se transmitió en marzo de 2006, en 11 radios en suroccidente y nororiente, en seis idiomas.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Se elaboraron materiales promocionales, incluyendo mantas y botones con la frase “Que la violencia no te sea familiar” y se distribuyeron en ocasión del Día Internacional de la No Violencia contra la Mujer.</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Se elaboró, publicó y distribuyó un suplemento con el objetivo de conmemorar el Día Internacional de la Mujer y el Día internacional contra el Racismo y la Discriminación. Esta actividad contó con el apoyo de COPREDEH y el Diario de Centro América.</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Se editó un video sobre la situación de las mujeres guatemaltecas.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Se informó y se presentó de manera oficial las recomendaciones de las Expertas de la CEDAW al Estado de Guatemala ante los medios de comunicación y a la población en general.</w:t>
            </w:r>
          </w:p>
        </w:tc>
      </w:tr>
      <w:tr w:rsidR="007A06D3" w:rsidRPr="00981E15">
        <w:tblPrEx>
          <w:tblCellMar>
            <w:top w:w="0" w:type="dxa"/>
            <w:bottom w:w="0" w:type="dxa"/>
          </w:tblCellMar>
        </w:tblPrEx>
        <w:tc>
          <w:tcPr>
            <w:tcW w:w="2151" w:type="dxa"/>
            <w:vMerge/>
            <w:tcBorders>
              <w:bottom w:val="single" w:sz="12" w:space="0" w:color="auto"/>
            </w:tcBorders>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tcBorders>
              <w:bottom w:val="single" w:sz="12" w:space="0" w:color="auto"/>
            </w:tcBorders>
            <w:shd w:val="clear" w:color="auto" w:fill="auto"/>
          </w:tcPr>
          <w:p w:rsidR="007A06D3" w:rsidRPr="00981E15" w:rsidRDefault="007A06D3" w:rsidP="008112DC">
            <w:pPr>
              <w:tabs>
                <w:tab w:val="left" w:pos="288"/>
                <w:tab w:val="left" w:pos="576"/>
                <w:tab w:val="left" w:pos="864"/>
                <w:tab w:val="left" w:pos="1152"/>
              </w:tabs>
              <w:spacing w:before="40" w:after="80"/>
              <w:ind w:right="40"/>
            </w:pPr>
            <w:r w:rsidRPr="00981E15">
              <w:t>Se publicó y distribuyó el folleto que contiene la CEDAW, su Protocolo Facultativo y las recomendaciones del Comité de Expertas de la CEDAW al Estado de Guatemala de los seis informes presentados, el cual ha sido reeditado tres veces, completando una publicación de 3000 ejemplares en total.</w:t>
            </w:r>
          </w:p>
        </w:tc>
      </w:tr>
    </w:tbl>
    <w:p w:rsidR="007A06D3" w:rsidRPr="00981E15" w:rsidRDefault="007A06D3" w:rsidP="008112DC">
      <w:pPr>
        <w:pStyle w:val="SingleTxt"/>
        <w:spacing w:after="0" w:line="120" w:lineRule="exact"/>
        <w:rPr>
          <w:sz w:val="10"/>
        </w:rPr>
      </w:pPr>
    </w:p>
    <w:p w:rsidR="00D60BF4" w:rsidRPr="00981E15" w:rsidRDefault="00D60BF4" w:rsidP="008112DC">
      <w:pPr>
        <w:pStyle w:val="SingleTxt"/>
        <w:spacing w:after="0" w:line="120" w:lineRule="exact"/>
        <w:rPr>
          <w:sz w:val="10"/>
        </w:rPr>
      </w:pPr>
    </w:p>
    <w:p w:rsidR="007A06D3" w:rsidRDefault="007A06D3" w:rsidP="00D60BF4">
      <w:pPr>
        <w:pStyle w:val="SingleTxt"/>
        <w:suppressAutoHyphens/>
      </w:pPr>
    </w:p>
    <w:p w:rsidR="007A06D3" w:rsidRPr="00981E15" w:rsidRDefault="002E3535" w:rsidP="002E35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7A06D3" w:rsidRPr="00981E15">
        <w:tab/>
      </w:r>
      <w:r w:rsidR="007A06D3" w:rsidRPr="00981E15">
        <w:tab/>
        <w:t>Relación y sinergias entre SEPREM y sociedad civil</w:t>
      </w:r>
    </w:p>
    <w:p w:rsidR="007A06D3" w:rsidRPr="00981E15" w:rsidRDefault="007A06D3" w:rsidP="008112DC">
      <w:pPr>
        <w:pStyle w:val="SingleTxt"/>
        <w:spacing w:after="0" w:line="120" w:lineRule="exact"/>
        <w:rPr>
          <w:sz w:val="10"/>
        </w:rPr>
      </w:pP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Las relaciones entre la institucionalidad pública y las organizaciones de mujeres de sociedad civil son un proceso en construcción en la sociedad guatemalteca que exige, para ser comprendido, abordar temas sensibles relacionados con la interlocución Estado-sociedad civil, los roles diferenciados de la institucionalidad y la sociedad civil, así como la identidad y derechos de las mujeres indígenas en una sociedad multicultural, plurilingüe y multiétnica. Aún persiste la dificultad de ver y reconocer en las instituciones del Estado un posible aliado, </w:t>
      </w:r>
      <w:r w:rsidR="002D1B60">
        <w:t>—</w:t>
      </w:r>
      <w:r w:rsidRPr="00981E15">
        <w:t>un aliado al que las organizaciones de sociedad civil también tienen la función de fiscalizar</w:t>
      </w:r>
      <w:r w:rsidR="002D1B60">
        <w:t>—</w:t>
      </w:r>
      <w:r w:rsidRPr="00981E15">
        <w:t xml:space="preserve">, que trabaja, desempeñando un rol específico aunque diferente pero dirigido hacia objetivos compartidos. </w:t>
      </w:r>
    </w:p>
    <w:p w:rsidR="007A06D3" w:rsidRPr="00981E15" w:rsidRDefault="007A06D3" w:rsidP="007A06D3">
      <w:pPr>
        <w:pStyle w:val="SingleTxt"/>
        <w:numPr>
          <w:ilvl w:val="0"/>
          <w:numId w:val="14"/>
        </w:numPr>
        <w:tabs>
          <w:tab w:val="clear" w:pos="475"/>
          <w:tab w:val="num" w:pos="1742"/>
        </w:tabs>
        <w:suppressAutoHyphens/>
        <w:ind w:left="1267"/>
      </w:pPr>
      <w:r w:rsidRPr="00981E15">
        <w:t>Al ser la institucionalidad pública pro-igualdad y equidad de género consecuencia de la demanda y presión ejercida por el movimiento de mujeres al Estado, hay expectativas en ocasiones de que la misma represente una punta de lanza o prolongación de las organizaciones en la estructura del Estado, y deudora en primera instancia de dichas organizaciones. Esta percepción puede redundar en unas expectativas de SEPREM, en materia de discurso público y estrategia, que no se corresponden con aquellas que encauzan la acción pública desde el Estado.</w:t>
      </w:r>
    </w:p>
    <w:p w:rsidR="007A06D3" w:rsidRPr="00981E15" w:rsidRDefault="007A06D3" w:rsidP="007A06D3">
      <w:pPr>
        <w:pStyle w:val="SingleTxt"/>
        <w:numPr>
          <w:ilvl w:val="0"/>
          <w:numId w:val="14"/>
        </w:numPr>
        <w:tabs>
          <w:tab w:val="clear" w:pos="475"/>
          <w:tab w:val="num" w:pos="1742"/>
        </w:tabs>
        <w:suppressAutoHyphens/>
        <w:ind w:left="1267"/>
      </w:pPr>
      <w:r w:rsidRPr="00981E15">
        <w:t>Subsanar este hiato en la comunicación y las expectativas es de vital importancia para el Estado para que no se produzca una oposición o distanciamiento entre instancias pro-igualdad insertas en el Estado y aquellas de la sociedad civil, -que en definitiva contribuirían al debilitamiento de ambas-, sino apuntar a construir sinergias hacia dicho objetivo. Situación por la que el objetivo de fortalecer la comunicación entre sociedad civil y Estado se ha considerado en el Programa Multianual 2006-2009 de la SEPREM.</w:t>
      </w:r>
    </w:p>
    <w:p w:rsidR="007A06D3" w:rsidRPr="00981E15" w:rsidRDefault="007A06D3" w:rsidP="007A06D3">
      <w:pPr>
        <w:pStyle w:val="SingleTxt"/>
        <w:numPr>
          <w:ilvl w:val="0"/>
          <w:numId w:val="14"/>
        </w:numPr>
        <w:tabs>
          <w:tab w:val="clear" w:pos="475"/>
          <w:tab w:val="num" w:pos="1742"/>
        </w:tabs>
        <w:suppressAutoHyphens/>
        <w:ind w:left="1267"/>
      </w:pPr>
      <w:r w:rsidRPr="00981E15">
        <w:t>Como se desarrolla a lo largo del presente Informe, el Estado se encuentra dando cumplimiento a sus obligaciones y responsabilidades de acuerdo a sus capacidades para proteger los derechos de las mujeres y proveer los bienes y servicios. En determinados espacios el Estado ha coordinado esfuerzos con organizaciones de sociedad civil, sin delegar en ellas las responsabilidades del Estado, tal y como se menciona en las recomendaciones del Comité al Sexto Informe.</w:t>
      </w:r>
    </w:p>
    <w:p w:rsidR="007A06D3" w:rsidRPr="00981E15" w:rsidRDefault="007A06D3" w:rsidP="008112DC">
      <w:pPr>
        <w:pStyle w:val="SingleTxt"/>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Defensoría de la Mujer Indígena (DEMI)</w:t>
      </w:r>
    </w:p>
    <w:p w:rsidR="007A06D3" w:rsidRPr="00981E15" w:rsidRDefault="007A06D3" w:rsidP="008112DC">
      <w:pPr>
        <w:pStyle w:val="SingleTxt"/>
        <w:spacing w:after="0" w:line="120" w:lineRule="exact"/>
        <w:rPr>
          <w:sz w:val="10"/>
        </w:rPr>
      </w:pP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Hasta septiembre del 2007, la Defensoría de la Mujer Indígena dependía técnica, financiera y administrativamente de la Comisión Presidencial Coordinadora de la Política del Ejecutivo en materia de Derechos Humanos (COPREDEH). Con el fin de su fortalecimiento institucional se constituye, por medio del Acuerdo Gubernativo 442-2007, como una dependencia de la Presidencia de la República, con capacidad de gestión administrativa, técnica y financiera, con el fin de atender las particulares situaciones de vulnerabilidad, indefensión y discriminación de la mujer indígena. La DEMI trabaja en la definición, desarrollo e implementación de acciones, estrategias y procesos para el reconocimiento, respeto, promoción y cumplimiento de los derechos de las mujeres indígenas y la incidencia política en las políticas públicas y proyectos de ley. </w:t>
      </w:r>
    </w:p>
    <w:p w:rsidR="007A06D3" w:rsidRPr="00981E15" w:rsidRDefault="007A06D3" w:rsidP="008C5363">
      <w:pPr>
        <w:pStyle w:val="SingleTxt"/>
        <w:numPr>
          <w:ilvl w:val="0"/>
          <w:numId w:val="14"/>
        </w:numPr>
        <w:tabs>
          <w:tab w:val="clear" w:pos="475"/>
          <w:tab w:val="num" w:pos="1742"/>
        </w:tabs>
        <w:suppressAutoHyphens/>
        <w:ind w:left="1267"/>
      </w:pPr>
      <w:r w:rsidRPr="00981E15">
        <w:t>El presupuesto de la Defensoría de la Mujer Indígena, se incrementó de Q1, 774,009.00 en el año 2004 a Q 4,555,240.00 en el año 2007. Este aumento le permitió:</w:t>
      </w:r>
    </w:p>
    <w:p w:rsidR="007A06D3" w:rsidRPr="00981E15" w:rsidRDefault="007A06D3" w:rsidP="008112DC">
      <w:pPr>
        <w:pStyle w:val="SingleTxt"/>
        <w:tabs>
          <w:tab w:val="right" w:pos="1685"/>
        </w:tabs>
        <w:ind w:left="1742" w:hanging="475"/>
      </w:pPr>
      <w:r w:rsidRPr="00981E15">
        <w:tab/>
        <w:t>•</w:t>
      </w:r>
      <w:r w:rsidRPr="00981E15">
        <w:tab/>
        <w:t>La creación de la Unidad Psicológica,</w:t>
      </w:r>
    </w:p>
    <w:p w:rsidR="007A06D3" w:rsidRPr="00981E15" w:rsidRDefault="007A06D3" w:rsidP="008112DC">
      <w:pPr>
        <w:pStyle w:val="SingleTxt"/>
        <w:tabs>
          <w:tab w:val="right" w:pos="1685"/>
        </w:tabs>
        <w:ind w:left="1742" w:hanging="475"/>
      </w:pPr>
      <w:r w:rsidRPr="00981E15">
        <w:tab/>
        <w:t>•</w:t>
      </w:r>
      <w:r w:rsidRPr="00981E15">
        <w:tab/>
        <w:t>La creación de la Unidad de Incidencia Política,</w:t>
      </w:r>
    </w:p>
    <w:p w:rsidR="007A06D3" w:rsidRPr="00981E15" w:rsidRDefault="007A06D3" w:rsidP="008112DC">
      <w:pPr>
        <w:pStyle w:val="SingleTxt"/>
        <w:tabs>
          <w:tab w:val="right" w:pos="1685"/>
        </w:tabs>
        <w:ind w:left="1742" w:hanging="475"/>
      </w:pPr>
      <w:r w:rsidRPr="00981E15">
        <w:tab/>
        <w:t>•</w:t>
      </w:r>
      <w:r w:rsidRPr="00981E15">
        <w:tab/>
        <w:t>El incremento del recurso humano: una representante de la DEMI en cada región del país y la ampliación de las instalaciones e implementación de equipo en cada sede regional, priorizando las oficinas regionales de Quetzaltenango, Petén Huehuetenango, y Suchitepéquez.</w:t>
      </w:r>
    </w:p>
    <w:p w:rsidR="007A06D3" w:rsidRPr="00981E15" w:rsidRDefault="007A06D3" w:rsidP="008112DC">
      <w:pPr>
        <w:pStyle w:val="SingleTxt"/>
      </w:pPr>
      <w:r w:rsidRPr="00981E15">
        <w:t>Para 2008 se ha designado un presupuesto de Q. 9,251,440.00.</w:t>
      </w:r>
    </w:p>
    <w:p w:rsidR="007A06D3" w:rsidRPr="00981E15" w:rsidRDefault="007A06D3" w:rsidP="007A06D3">
      <w:pPr>
        <w:pStyle w:val="SingleTxt"/>
        <w:numPr>
          <w:ilvl w:val="0"/>
          <w:numId w:val="14"/>
        </w:numPr>
        <w:tabs>
          <w:tab w:val="clear" w:pos="475"/>
          <w:tab w:val="num" w:pos="1742"/>
        </w:tabs>
        <w:suppressAutoHyphens/>
        <w:ind w:left="1267"/>
      </w:pPr>
      <w:r w:rsidRPr="00981E15">
        <w:t>La estructura institucional actual de la DEMI, es la siguiente:</w:t>
      </w:r>
    </w:p>
    <w:p w:rsidR="007A06D3" w:rsidRPr="00981E15" w:rsidRDefault="007A06D3" w:rsidP="008112DC">
      <w:pPr>
        <w:pStyle w:val="SingleTxt"/>
        <w:tabs>
          <w:tab w:val="right" w:pos="1685"/>
        </w:tabs>
        <w:ind w:left="1742" w:hanging="475"/>
      </w:pPr>
      <w:r w:rsidRPr="00981E15">
        <w:tab/>
        <w:t>•</w:t>
      </w:r>
      <w:r w:rsidRPr="00981E15">
        <w:tab/>
      </w:r>
      <w:r w:rsidRPr="00981E15">
        <w:rPr>
          <w:i/>
        </w:rPr>
        <w:t>Defensora Nacional de la Mujer Indígena</w:t>
      </w:r>
      <w:r w:rsidRPr="00981E15">
        <w:t>. Representa y coordina las acciones a nivel nacional y regional para el logro de los objetivos institucionales.</w:t>
      </w:r>
    </w:p>
    <w:p w:rsidR="007A06D3" w:rsidRPr="00981E15" w:rsidRDefault="007A06D3" w:rsidP="008112DC">
      <w:pPr>
        <w:pStyle w:val="SingleTxt"/>
        <w:tabs>
          <w:tab w:val="right" w:pos="1685"/>
        </w:tabs>
        <w:ind w:left="1742" w:hanging="475"/>
      </w:pPr>
      <w:r w:rsidRPr="00981E15">
        <w:tab/>
        <w:t>•</w:t>
      </w:r>
      <w:r w:rsidRPr="00981E15">
        <w:tab/>
      </w:r>
      <w:r w:rsidRPr="00981E15">
        <w:rPr>
          <w:i/>
        </w:rPr>
        <w:t>Junta Coordinadora</w:t>
      </w:r>
      <w:r w:rsidRPr="00981E15">
        <w:t>. Conformada por ocho mujeres indígenas representantes electas en Asamblea del Consejo Consultivo. Sus atribuciones se centran en asesorar a la Defensora de la Mujer Indígena en las acciones, programas y proyectos para propiciar la prevención, defensa y pleno respeto de tales derechos de su región.</w:t>
      </w:r>
    </w:p>
    <w:p w:rsidR="007A06D3" w:rsidRPr="00981E15" w:rsidRDefault="007A06D3" w:rsidP="008112DC">
      <w:pPr>
        <w:pStyle w:val="SingleTxt"/>
        <w:tabs>
          <w:tab w:val="right" w:pos="1685"/>
        </w:tabs>
        <w:ind w:left="1742" w:hanging="475"/>
      </w:pPr>
      <w:r w:rsidRPr="00981E15">
        <w:tab/>
        <w:t>•</w:t>
      </w:r>
      <w:r w:rsidRPr="00981E15">
        <w:tab/>
      </w:r>
      <w:r w:rsidRPr="00981E15">
        <w:rPr>
          <w:i/>
        </w:rPr>
        <w:t>Consejo Consultivo</w:t>
      </w:r>
      <w:r w:rsidRPr="00981E15">
        <w:t>. Integrado por una representante de cada comunidad lingüística del país. Discute, propone e informa a las comunidades lingüísticas sobre los planes de la Defensoría.</w:t>
      </w:r>
    </w:p>
    <w:p w:rsidR="007A06D3" w:rsidRPr="00981E15" w:rsidRDefault="007A06D3" w:rsidP="008112DC">
      <w:pPr>
        <w:pStyle w:val="SingleTxt"/>
        <w:tabs>
          <w:tab w:val="right" w:pos="1685"/>
        </w:tabs>
        <w:ind w:left="1742" w:hanging="475"/>
      </w:pPr>
      <w:r w:rsidRPr="00981E15">
        <w:tab/>
        <w:t>•</w:t>
      </w:r>
      <w:r w:rsidRPr="00981E15">
        <w:tab/>
      </w:r>
      <w:r w:rsidRPr="00981E15">
        <w:rPr>
          <w:i/>
        </w:rPr>
        <w:t>Delegadas Regionales</w:t>
      </w:r>
      <w:r w:rsidRPr="00981E15">
        <w:t>. La DEMI, actualmente cuenta con seis delegadas regionales, quienes son representantes de la Defensora de la Mujer Indígena en las regiones donde tiene presencia la DEMI. Su responsabilidad consiste en coordinar acciones para el logro de los objetivos institucionales.</w:t>
      </w:r>
    </w:p>
    <w:p w:rsidR="007A06D3" w:rsidRPr="00981E15" w:rsidRDefault="007A06D3" w:rsidP="007A06D3">
      <w:pPr>
        <w:pStyle w:val="SingleTxt"/>
        <w:numPr>
          <w:ilvl w:val="0"/>
          <w:numId w:val="14"/>
        </w:numPr>
        <w:tabs>
          <w:tab w:val="clear" w:pos="475"/>
          <w:tab w:val="num" w:pos="1742"/>
        </w:tabs>
        <w:suppressAutoHyphens/>
        <w:ind w:left="1267"/>
      </w:pPr>
      <w:r w:rsidRPr="00981E15">
        <w:t>Las Oficinas regionales de la DEMI están integradas por una representante de la Defensora (Delegada Regional), un o una asesora jurídica, el área social y las/los auxiliares lingüísticos de conformidad con la región. Actualmente la DEMI se encuentra desarrollando su trabajo a través de las siguientes áreas:</w:t>
      </w: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Incidencia Política</w:t>
      </w:r>
    </w:p>
    <w:p w:rsidR="007A06D3" w:rsidRPr="00981E15" w:rsidRDefault="007A06D3" w:rsidP="008112DC">
      <w:pPr>
        <w:pStyle w:val="SingleTxt"/>
        <w:spacing w:after="0" w:line="120" w:lineRule="exact"/>
        <w:rPr>
          <w:sz w:val="10"/>
        </w:rPr>
      </w:pPr>
    </w:p>
    <w:p w:rsidR="007A06D3" w:rsidRPr="00981E15" w:rsidRDefault="007A06D3" w:rsidP="007A06D3">
      <w:pPr>
        <w:pStyle w:val="SingleTxt"/>
        <w:numPr>
          <w:ilvl w:val="0"/>
          <w:numId w:val="14"/>
        </w:numPr>
        <w:tabs>
          <w:tab w:val="clear" w:pos="475"/>
          <w:tab w:val="num" w:pos="1742"/>
        </w:tabs>
        <w:suppressAutoHyphens/>
        <w:ind w:left="1267"/>
      </w:pPr>
      <w:r w:rsidRPr="00981E15">
        <w:t>En materia de incidencia política la DEMI ha incidido a favor de las mujeres indígenas en los siguientes espacios:</w:t>
      </w:r>
    </w:p>
    <w:p w:rsidR="007A06D3" w:rsidRPr="00981E15" w:rsidRDefault="007A06D3" w:rsidP="008112DC">
      <w:pPr>
        <w:pStyle w:val="SingleTxt"/>
        <w:tabs>
          <w:tab w:val="right" w:pos="1685"/>
        </w:tabs>
        <w:ind w:left="1742" w:hanging="475"/>
      </w:pPr>
      <w:r w:rsidRPr="00981E15">
        <w:tab/>
        <w:t>•</w:t>
      </w:r>
      <w:r w:rsidRPr="00981E15">
        <w:tab/>
        <w:t>Apoyo a políticas públicas y/o leyes a favor de mujeres indígenas, discusión, análisis de diagnósticos, estudios, programas, consultas que se diseñan a favor de mujeres y pueblos indígenas.</w:t>
      </w:r>
    </w:p>
    <w:p w:rsidR="007A06D3" w:rsidRPr="00981E15" w:rsidRDefault="007A06D3" w:rsidP="008112DC">
      <w:pPr>
        <w:pStyle w:val="SingleTxt"/>
        <w:tabs>
          <w:tab w:val="right" w:pos="1685"/>
        </w:tabs>
        <w:ind w:left="1742" w:hanging="475"/>
      </w:pPr>
      <w:r w:rsidRPr="00981E15">
        <w:tab/>
        <w:t>•</w:t>
      </w:r>
      <w:r w:rsidRPr="00981E15">
        <w:tab/>
        <w:t xml:space="preserve">Convenio político institucional con el Centro Nacional de Trabajadoras de Casa Particular (CENTRACAP), para fortalecer la incidencia en el anteproyecto de la Ley de Trabajadoras de Casa Particular. </w:t>
      </w:r>
    </w:p>
    <w:p w:rsidR="007A06D3" w:rsidRPr="00981E15" w:rsidRDefault="007A06D3" w:rsidP="008112DC">
      <w:pPr>
        <w:pStyle w:val="SingleTxt"/>
        <w:tabs>
          <w:tab w:val="right" w:pos="1685"/>
        </w:tabs>
        <w:ind w:left="1742" w:hanging="475"/>
      </w:pPr>
      <w:r w:rsidRPr="00981E15">
        <w:tab/>
        <w:t>•</w:t>
      </w:r>
      <w:r w:rsidRPr="00981E15">
        <w:tab/>
        <w:t xml:space="preserve">Participación en la revisión de la Propuesta de Política Pública de atención al Migrante. </w:t>
      </w:r>
    </w:p>
    <w:p w:rsidR="007A06D3" w:rsidRPr="00981E15" w:rsidRDefault="007A06D3" w:rsidP="008112DC">
      <w:pPr>
        <w:pStyle w:val="SingleTxt"/>
        <w:tabs>
          <w:tab w:val="right" w:pos="1685"/>
        </w:tabs>
        <w:ind w:left="1742" w:hanging="475"/>
      </w:pPr>
      <w:r w:rsidRPr="00981E15">
        <w:tab/>
        <w:t>•</w:t>
      </w:r>
      <w:r w:rsidRPr="00981E15">
        <w:tab/>
        <w:t>La DEMI conjuntamente con la SEPREM participa en el proceso de evaluación y actualización de la Política de Promoción y Desarrollo de las Mujeres Guatemaltecas y el Plan de Oportunidades 2001-2006, para visibilizar las situaciones particulares de vulnerabilidad, indefensión y discriminación de las mujeres indígenas y brindar aportes para mejorar el nivel de su calidad de vida.</w:t>
      </w:r>
    </w:p>
    <w:p w:rsidR="007A06D3" w:rsidRPr="00981E15" w:rsidRDefault="007A06D3" w:rsidP="008112DC">
      <w:pPr>
        <w:pStyle w:val="SingleTxt"/>
        <w:tabs>
          <w:tab w:val="right" w:pos="1685"/>
        </w:tabs>
        <w:ind w:left="1742" w:hanging="475"/>
      </w:pPr>
      <w:r w:rsidRPr="00981E15">
        <w:tab/>
        <w:t>•</w:t>
      </w:r>
      <w:r w:rsidRPr="00981E15">
        <w:tab/>
        <w:t>La DEMI brinda asesoría y acompañamiento a mujeres indígenas que participan activamente en los Consejos de Desarrollo local, municipal y departamental. Así como las que participan en las Comisiones de la Mujer para lograr la aprobación de proyectos que beneficien a las mujeres.</w:t>
      </w:r>
    </w:p>
    <w:p w:rsidR="007A06D3" w:rsidRPr="00981E15" w:rsidRDefault="007A06D3" w:rsidP="007A06D3">
      <w:pPr>
        <w:pStyle w:val="SingleTxt"/>
        <w:numPr>
          <w:ilvl w:val="0"/>
          <w:numId w:val="14"/>
        </w:numPr>
        <w:tabs>
          <w:tab w:val="clear" w:pos="475"/>
          <w:tab w:val="num" w:pos="1742"/>
        </w:tabs>
        <w:suppressAutoHyphens/>
        <w:ind w:left="1267"/>
      </w:pPr>
      <w:r w:rsidRPr="00981E15">
        <w:t>Se han realizado actividades de divulgación, sensibilización y capacitación en coordinación con organizaciones de mujeres y pueblos indígenas, consistentes en foros públicos y conversatorios en varios departamentos del país sobre derechos de las mujeres trabajadoras de casa particular, derechos de las mujeres indígenas, mujeres mayas y políticas públicas en la región, discriminación y racismo. La DEMI realizó un proceso de formación y comunicación para la prevención de la violencia contra las mujeres, así como el Congreso Nacional de Mujeres Indígenas en septiembre de 2006.</w:t>
      </w: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Así también, la DEMI facilitó la elaboración de la </w:t>
      </w:r>
      <w:r w:rsidRPr="00981E15">
        <w:rPr>
          <w:i/>
        </w:rPr>
        <w:t>Agenda Articulada de las Mujeres Mayas, Garífunas y Xinkas (2007)</w:t>
      </w:r>
      <w:r w:rsidRPr="00981E15">
        <w:t xml:space="preserve">, que integra un conjunto de estrategias transversales y líneas de acción para el avance de las mujeres indígenas de Guatemala. Participaron en su elaboración lideresas y representantes de organizaciones de mujeres indígenas y de instituciones del Estado. La agenda articulada recoge e integra las principales propuestas y demandas de las organizaciones de mujeres mayas, garífunas y xinkas, planteadas para contribuir el mejoramiento de sus condiciones de vida. </w:t>
      </w:r>
    </w:p>
    <w:p w:rsidR="007A06D3" w:rsidRPr="00981E15" w:rsidRDefault="007A06D3" w:rsidP="007A06D3">
      <w:pPr>
        <w:pStyle w:val="SingleTxt"/>
        <w:numPr>
          <w:ilvl w:val="0"/>
          <w:numId w:val="14"/>
        </w:numPr>
        <w:tabs>
          <w:tab w:val="clear" w:pos="475"/>
          <w:tab w:val="num" w:pos="1742"/>
        </w:tabs>
        <w:suppressAutoHyphens/>
        <w:ind w:left="1267"/>
      </w:pPr>
      <w:r w:rsidRPr="00981E15">
        <w:t xml:space="preserve">Esta Agenda Articulada tiene como objetivos: </w:t>
      </w:r>
    </w:p>
    <w:p w:rsidR="007A06D3" w:rsidRPr="00981E15" w:rsidRDefault="007A06D3" w:rsidP="008112DC">
      <w:pPr>
        <w:pStyle w:val="SingleTxt"/>
        <w:tabs>
          <w:tab w:val="right" w:pos="1685"/>
        </w:tabs>
        <w:ind w:left="1742" w:hanging="475"/>
      </w:pPr>
      <w:r w:rsidRPr="00981E15">
        <w:tab/>
        <w:t>•</w:t>
      </w:r>
      <w:r w:rsidRPr="00981E15">
        <w:tab/>
        <w:t>Visibilizar la situación específica de exclusión y discriminación de las mujeres indígenas y fomentar la equidad de género y respeto a su identidad cultural para mejorar su calidad de vida en los ámbitos público y privado, a partir de la implementación por parte del Estado de estrategias transversales y estrategias por ejes temáticos.</w:t>
      </w:r>
    </w:p>
    <w:p w:rsidR="007A06D3" w:rsidRPr="00981E15" w:rsidRDefault="007A06D3" w:rsidP="008112DC">
      <w:pPr>
        <w:pStyle w:val="SingleTxt"/>
        <w:tabs>
          <w:tab w:val="right" w:pos="1685"/>
        </w:tabs>
        <w:ind w:left="1742" w:hanging="475"/>
      </w:pPr>
      <w:r w:rsidRPr="00981E15">
        <w:tab/>
        <w:t>•</w:t>
      </w:r>
      <w:r w:rsidRPr="00981E15">
        <w:tab/>
        <w:t>Reconocer y valorar el aporte de las mujeres mayas, garífunas y xinkas a la preservación de la cultura, a la construcción de la paz, la democracia y el desarrollo integral del país.</w:t>
      </w:r>
    </w:p>
    <w:p w:rsidR="007A06D3" w:rsidRPr="00981E15" w:rsidRDefault="007A06D3" w:rsidP="007A06D3">
      <w:pPr>
        <w:pStyle w:val="SingleTxt"/>
        <w:numPr>
          <w:ilvl w:val="0"/>
          <w:numId w:val="14"/>
        </w:numPr>
        <w:tabs>
          <w:tab w:val="clear" w:pos="475"/>
          <w:tab w:val="num" w:pos="1742"/>
        </w:tabs>
        <w:suppressAutoHyphens/>
        <w:ind w:left="1267"/>
      </w:pPr>
      <w:r w:rsidRPr="00981E15">
        <w:t>Los ejes temáticos que desarrolla la Agenda Articulada, para satisfacer las demandas específicas de las mujeres Mayas, Garífunas y Xinkas, son:</w:t>
      </w:r>
    </w:p>
    <w:p w:rsidR="007A06D3" w:rsidRPr="00981E15" w:rsidRDefault="007A06D3" w:rsidP="008112DC">
      <w:pPr>
        <w:pStyle w:val="SingleTxt"/>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981E15">
        <w:rPr>
          <w:b w:val="0"/>
        </w:rPr>
        <w:t>Recuadro 3</w:t>
      </w:r>
      <w:r w:rsidRPr="00981E15">
        <w:t xml:space="preserve"> </w:t>
      </w:r>
      <w:r w:rsidRPr="00981E15">
        <w:br/>
        <w:t xml:space="preserve">Ejes temáticos de la Agenda Articulada de las Mujeres Mayas, </w:t>
      </w:r>
      <w:r w:rsidR="007B31D5" w:rsidRPr="00981E15">
        <w:br/>
      </w:r>
      <w:r w:rsidRPr="00981E15">
        <w:t>Garífunas y Xinkas</w:t>
      </w:r>
    </w:p>
    <w:p w:rsidR="007A06D3" w:rsidRPr="00981E15" w:rsidRDefault="007A06D3" w:rsidP="008112DC">
      <w:pPr>
        <w:pStyle w:val="SingleTxt"/>
        <w:spacing w:after="0" w:line="120" w:lineRule="exact"/>
        <w:rPr>
          <w:sz w:val="10"/>
        </w:rPr>
      </w:pPr>
    </w:p>
    <w:p w:rsidR="007A06D3" w:rsidRPr="00981E15" w:rsidRDefault="007A06D3" w:rsidP="008112D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51"/>
        <w:gridCol w:w="5169"/>
      </w:tblGrid>
      <w:tr w:rsidR="007A06D3" w:rsidRPr="00981E15">
        <w:tblPrEx>
          <w:tblCellMar>
            <w:top w:w="0" w:type="dxa"/>
            <w:bottom w:w="0" w:type="dxa"/>
          </w:tblCellMar>
        </w:tblPrEx>
        <w:trPr>
          <w:tblHeader/>
        </w:trPr>
        <w:tc>
          <w:tcPr>
            <w:tcW w:w="2151" w:type="dxa"/>
            <w:tcBorders>
              <w:top w:val="single" w:sz="4" w:space="0" w:color="auto"/>
              <w:bottom w:val="single" w:sz="12" w:space="0" w:color="auto"/>
            </w:tcBorders>
            <w:shd w:val="clear" w:color="auto" w:fill="auto"/>
            <w:vAlign w:val="bottom"/>
          </w:tcPr>
          <w:p w:rsidR="007A06D3" w:rsidRPr="00981E15" w:rsidRDefault="007A06D3" w:rsidP="008112DC">
            <w:pPr>
              <w:tabs>
                <w:tab w:val="left" w:pos="288"/>
                <w:tab w:val="left" w:pos="576"/>
                <w:tab w:val="left" w:pos="864"/>
                <w:tab w:val="left" w:pos="1152"/>
              </w:tabs>
              <w:spacing w:before="80" w:after="80" w:line="160" w:lineRule="exact"/>
              <w:ind w:right="40"/>
              <w:rPr>
                <w:i/>
                <w:sz w:val="14"/>
              </w:rPr>
            </w:pPr>
            <w:r w:rsidRPr="00981E15">
              <w:rPr>
                <w:i/>
                <w:sz w:val="14"/>
              </w:rPr>
              <w:t>Ejes</w:t>
            </w:r>
          </w:p>
        </w:tc>
        <w:tc>
          <w:tcPr>
            <w:tcW w:w="5169" w:type="dxa"/>
            <w:tcBorders>
              <w:top w:val="single" w:sz="4" w:space="0" w:color="auto"/>
              <w:bottom w:val="single" w:sz="12" w:space="0" w:color="auto"/>
            </w:tcBorders>
            <w:shd w:val="clear" w:color="auto" w:fill="auto"/>
            <w:vAlign w:val="bottom"/>
          </w:tcPr>
          <w:p w:rsidR="007A06D3" w:rsidRPr="00981E15" w:rsidRDefault="007A06D3" w:rsidP="008112DC">
            <w:pPr>
              <w:tabs>
                <w:tab w:val="left" w:pos="288"/>
                <w:tab w:val="left" w:pos="576"/>
                <w:tab w:val="left" w:pos="864"/>
                <w:tab w:val="left" w:pos="1152"/>
              </w:tabs>
              <w:spacing w:before="80" w:after="80" w:line="160" w:lineRule="exact"/>
              <w:ind w:right="40"/>
              <w:rPr>
                <w:i/>
                <w:sz w:val="14"/>
              </w:rPr>
            </w:pPr>
            <w:r w:rsidRPr="00981E15">
              <w:rPr>
                <w:i/>
                <w:sz w:val="14"/>
              </w:rPr>
              <w:t>Estrategias</w:t>
            </w:r>
          </w:p>
        </w:tc>
      </w:tr>
      <w:tr w:rsidR="007A06D3" w:rsidRPr="00981E15">
        <w:tblPrEx>
          <w:tblCellMar>
            <w:top w:w="0" w:type="dxa"/>
            <w:bottom w:w="0" w:type="dxa"/>
          </w:tblCellMar>
        </w:tblPrEx>
        <w:trPr>
          <w:trHeight w:hRule="exact" w:val="115"/>
          <w:tblHeader/>
        </w:trPr>
        <w:tc>
          <w:tcPr>
            <w:tcW w:w="2151" w:type="dxa"/>
            <w:tcBorders>
              <w:top w:val="single" w:sz="12" w:space="0" w:color="auto"/>
            </w:tcBorders>
            <w:shd w:val="clear" w:color="auto" w:fill="auto"/>
            <w:vAlign w:val="bottom"/>
          </w:tcPr>
          <w:p w:rsidR="007A06D3" w:rsidRPr="00981E15" w:rsidRDefault="007A06D3" w:rsidP="008112DC">
            <w:pPr>
              <w:tabs>
                <w:tab w:val="left" w:pos="288"/>
                <w:tab w:val="left" w:pos="576"/>
                <w:tab w:val="left" w:pos="864"/>
                <w:tab w:val="left" w:pos="1152"/>
              </w:tabs>
              <w:spacing w:before="40" w:after="80"/>
              <w:ind w:right="40"/>
            </w:pPr>
          </w:p>
        </w:tc>
        <w:tc>
          <w:tcPr>
            <w:tcW w:w="5169" w:type="dxa"/>
            <w:tcBorders>
              <w:top w:val="single" w:sz="12" w:space="0" w:color="auto"/>
            </w:tcBorders>
            <w:shd w:val="clear" w:color="auto" w:fill="auto"/>
            <w:vAlign w:val="bottom"/>
          </w:tcPr>
          <w:p w:rsidR="007A06D3" w:rsidRPr="00981E15" w:rsidRDefault="007A06D3" w:rsidP="008112DC">
            <w:pPr>
              <w:tabs>
                <w:tab w:val="left" w:pos="288"/>
                <w:tab w:val="left" w:pos="576"/>
                <w:tab w:val="left" w:pos="864"/>
                <w:tab w:val="left" w:pos="1152"/>
              </w:tabs>
              <w:spacing w:before="40" w:after="80"/>
              <w:ind w:right="40"/>
            </w:pP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1. Economía, trabajo y migración</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Políticas económicas para reconocer y visualizar el trabajo de las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Inversión productiva.</w:t>
            </w:r>
          </w:p>
          <w:p w:rsidR="007B31D5" w:rsidRPr="00981E15" w:rsidRDefault="007B31D5" w:rsidP="008112DC">
            <w:pPr>
              <w:tabs>
                <w:tab w:val="left" w:pos="288"/>
                <w:tab w:val="right" w:pos="360"/>
                <w:tab w:val="left" w:pos="576"/>
                <w:tab w:val="left" w:pos="864"/>
                <w:tab w:val="left" w:pos="1152"/>
              </w:tabs>
              <w:spacing w:before="40" w:after="80"/>
              <w:ind w:left="475" w:right="40" w:hanging="475"/>
            </w:pP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Programas y proyectos para la generación de empleos locales.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Garantías legales, sociales y económicas en el ámbito laboral para las mujeres en condiciones de equidad.</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Garantizar atención integral y protección a las mujeres migrantes.</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2. Educación desde la Identidad cultural</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Integrar al sistema educativo nacional la filosofía, los principios y valores de la cultura de los Pueblos Indígenas la aportación de las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Fortalecer el Vice-Ministerio de Educación Bilingüe e Intercultural con participación de las Mujeres Mayas, Garífunas y Xinkas.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Acceso y permanencia de las mujeres en todos los niveles de formación del sistema educativo nacional.</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3. Salud integral desde la identidad cultural</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Acceso permanente a los servicios de salud integral para mujeres, basándose en su identidad cultural.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Implementación y rescate de la medicina tradicional.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Programas de salud mental para mujeres víctimas del conflicto armado interno.</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Programas para la reducción de la mortalidad materno-infantil.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r>
            <w:r w:rsidRPr="00981E15">
              <w:tab/>
              <w:t>•</w:t>
            </w:r>
            <w:r w:rsidRPr="00981E15">
              <w:tab/>
              <w:t>Programas de salud sexual y reproductiva.</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4. Tierra, vivienda y recursos naturales</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Diseñar una política agraria con identidad cultural y equidad de género.</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Acceso de mujeres a la tierra, territorio y financiamiento productivo.</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Acceso a una vivienda propia con equidad de género y respeto a la identidad cultural.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Política para el respeto de los recursos naturales y la relación con los pueblos indígenas.</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5. Participación política</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Crear el Instituto Autónomo de formación política de la Mujer Indígena.</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Participación política activa de mujeres en espacios de toma de decisiones en el ámbito local, municipal, departamental regional y nacional.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Efectiva participación de las mujeres en la formulación de políticas públicas.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Promover la participación de las mujeres en auditoria social de programas y proyectos del Estado.</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6. Acceso a la justicia</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Acceso a la justicia a las mujeres basada en su identidad cultural.</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Reconocer y respetar los derechos específicos de las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Garantizar los derechos de las mujeres indígenas recluidas en centros carcelarios.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Resarcimiento a las víctimas del conflicto interno, especial énfasis en mujeres.</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Promover la denuncia en actos de discriminación y violación a los derechos de las mujeres indígenas.</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7. Abordaje del racismo y violencia contra la mujer</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Transformar modelos de conducta sociales fundamentados en el racismo y la discriminación.</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Prevenir, sancionar y erradicar toda forma de violencia contra la mujer.</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Garantizar la seguridad ciudadana de mujeres.</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8. Espiritualidad y lugares sagrados</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Fomentar e implementar mecanismos de rescate, respeto y cuidado de los lugares sagrados y la espiritualidad Maya, Garífuna y Xinka.</w:t>
            </w:r>
          </w:p>
        </w:tc>
      </w:tr>
      <w:tr w:rsidR="007A06D3" w:rsidRPr="00981E15">
        <w:tblPrEx>
          <w:tblCellMar>
            <w:top w:w="0" w:type="dxa"/>
            <w:bottom w:w="0" w:type="dxa"/>
          </w:tblCellMar>
        </w:tblPrEx>
        <w:tc>
          <w:tcPr>
            <w:tcW w:w="2151" w:type="dxa"/>
            <w:vMerge/>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Fomentar la identidad cultural desde la cosmovisión propia de las mujeres Mayas, Garífunas y Xinkas.</w:t>
            </w:r>
          </w:p>
        </w:tc>
      </w:tr>
      <w:tr w:rsidR="007A06D3" w:rsidRPr="00981E15">
        <w:tblPrEx>
          <w:tblCellMar>
            <w:top w:w="0" w:type="dxa"/>
            <w:bottom w:w="0" w:type="dxa"/>
          </w:tblCellMar>
        </w:tblPrEx>
        <w:tc>
          <w:tcPr>
            <w:tcW w:w="2151" w:type="dxa"/>
            <w:vMerge w:val="restart"/>
            <w:shd w:val="clear" w:color="auto" w:fill="auto"/>
          </w:tcPr>
          <w:p w:rsidR="007A06D3" w:rsidRPr="00981E15" w:rsidRDefault="007A06D3" w:rsidP="008112DC">
            <w:pPr>
              <w:tabs>
                <w:tab w:val="left" w:pos="288"/>
                <w:tab w:val="left" w:pos="576"/>
                <w:tab w:val="left" w:pos="864"/>
                <w:tab w:val="left" w:pos="1152"/>
              </w:tabs>
              <w:spacing w:before="40" w:after="80"/>
              <w:ind w:right="40"/>
              <w:rPr>
                <w:b/>
              </w:rPr>
            </w:pPr>
            <w:r w:rsidRPr="00981E15">
              <w:rPr>
                <w:b/>
              </w:rPr>
              <w:t>Eje 9. Mecanismos institucionales para la protección y desarrollo de las mujeres Mayas, Garífunas y Xinkas</w:t>
            </w:r>
          </w:p>
        </w:tc>
        <w:tc>
          <w:tcPr>
            <w:tcW w:w="5169" w:type="dxa"/>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Fortalecer financiera, técnica y política a la Defensoría de la Mujer Indígena.</w:t>
            </w:r>
          </w:p>
        </w:tc>
      </w:tr>
      <w:tr w:rsidR="007A06D3" w:rsidRPr="00981E15">
        <w:tblPrEx>
          <w:tblCellMar>
            <w:top w:w="0" w:type="dxa"/>
            <w:bottom w:w="0" w:type="dxa"/>
          </w:tblCellMar>
        </w:tblPrEx>
        <w:tc>
          <w:tcPr>
            <w:tcW w:w="2151" w:type="dxa"/>
            <w:vMerge/>
            <w:tcBorders>
              <w:bottom w:val="single" w:sz="12" w:space="0" w:color="auto"/>
            </w:tcBorders>
            <w:shd w:val="clear" w:color="auto" w:fill="auto"/>
          </w:tcPr>
          <w:p w:rsidR="007A06D3" w:rsidRPr="00981E15" w:rsidRDefault="007A06D3" w:rsidP="008112DC">
            <w:pPr>
              <w:tabs>
                <w:tab w:val="left" w:pos="288"/>
                <w:tab w:val="left" w:pos="576"/>
                <w:tab w:val="left" w:pos="864"/>
                <w:tab w:val="left" w:pos="1152"/>
              </w:tabs>
              <w:spacing w:before="40" w:after="80"/>
              <w:ind w:right="40"/>
            </w:pPr>
          </w:p>
        </w:tc>
        <w:tc>
          <w:tcPr>
            <w:tcW w:w="5169" w:type="dxa"/>
            <w:tcBorders>
              <w:bottom w:val="single" w:sz="12" w:space="0" w:color="auto"/>
            </w:tcBorders>
            <w:shd w:val="clear" w:color="auto" w:fill="auto"/>
          </w:tcPr>
          <w:p w:rsidR="007A06D3" w:rsidRPr="00981E15" w:rsidRDefault="007A06D3" w:rsidP="008112DC">
            <w:pPr>
              <w:tabs>
                <w:tab w:val="left" w:pos="288"/>
                <w:tab w:val="right" w:pos="360"/>
                <w:tab w:val="left" w:pos="576"/>
                <w:tab w:val="left" w:pos="864"/>
                <w:tab w:val="left" w:pos="1152"/>
              </w:tabs>
              <w:spacing w:before="40" w:after="80"/>
              <w:ind w:left="475" w:right="40" w:hanging="475"/>
            </w:pPr>
            <w:r w:rsidRPr="00981E15">
              <w:tab/>
              <w:t>•</w:t>
            </w:r>
            <w:r w:rsidRPr="00981E15">
              <w:tab/>
              <w:t>Fortalecer a la Secretaría Presidencial de la Mujer, para brindar atención adecuada a las mujeres Mayas, Garífunas y Xinkas.</w:t>
            </w:r>
          </w:p>
        </w:tc>
      </w:tr>
    </w:tbl>
    <w:p w:rsidR="007A06D3" w:rsidRPr="00981E15" w:rsidRDefault="007A06D3" w:rsidP="008112DC">
      <w:pPr>
        <w:pStyle w:val="SingleTxt"/>
        <w:spacing w:after="0" w:line="120" w:lineRule="exact"/>
        <w:rPr>
          <w:sz w:val="10"/>
        </w:rPr>
      </w:pPr>
    </w:p>
    <w:p w:rsidR="007A06D3" w:rsidRPr="00981E15" w:rsidRDefault="007A06D3" w:rsidP="008112DC">
      <w:pPr>
        <w:pStyle w:val="SingleTxt"/>
        <w:spacing w:after="0" w:line="120" w:lineRule="exact"/>
        <w:rPr>
          <w:sz w:val="10"/>
        </w:rPr>
      </w:pPr>
    </w:p>
    <w:p w:rsidR="007A06D3" w:rsidRPr="00981E15" w:rsidRDefault="007A06D3" w:rsidP="00811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Formación y comunicación para la prevención</w:t>
      </w:r>
    </w:p>
    <w:p w:rsidR="007A06D3" w:rsidRPr="00981E15" w:rsidRDefault="007A06D3" w:rsidP="008112DC">
      <w:pPr>
        <w:pStyle w:val="SingleTxt"/>
        <w:spacing w:after="0" w:line="120" w:lineRule="exact"/>
        <w:rPr>
          <w:sz w:val="10"/>
        </w:rPr>
      </w:pPr>
    </w:p>
    <w:p w:rsidR="007A06D3" w:rsidRPr="00981E15" w:rsidRDefault="007A06D3" w:rsidP="007A06D3">
      <w:pPr>
        <w:pStyle w:val="SingleTxt"/>
        <w:numPr>
          <w:ilvl w:val="0"/>
          <w:numId w:val="14"/>
        </w:numPr>
        <w:tabs>
          <w:tab w:val="clear" w:pos="475"/>
          <w:tab w:val="num" w:pos="1742"/>
        </w:tabs>
        <w:suppressAutoHyphens/>
        <w:ind w:left="1267"/>
      </w:pPr>
      <w:r w:rsidRPr="00981E15">
        <w:t>La DEMI desarrolla iniciativas propias de formación, promoción, divulgación y sensibilización a grupos de mujeres indígenas sobre sus derechos específicos y mecanismos de protección para empoderarlas. En 2005 se diseñó un módulo sobre “Multiculturalidad con enfoque de género”, así como la coedición del módulo sobre “Derechos Cívicos y Políticos de las Mujeres” con el Foro Nacional de la Mujer.</w:t>
      </w:r>
    </w:p>
    <w:p w:rsidR="007A06D3" w:rsidRPr="00981E15" w:rsidRDefault="007A06D3" w:rsidP="007A06D3">
      <w:pPr>
        <w:pStyle w:val="SingleTxt"/>
        <w:numPr>
          <w:ilvl w:val="0"/>
          <w:numId w:val="14"/>
        </w:numPr>
        <w:tabs>
          <w:tab w:val="clear" w:pos="475"/>
          <w:tab w:val="num" w:pos="1742"/>
        </w:tabs>
        <w:suppressAutoHyphens/>
        <w:ind w:left="1267"/>
      </w:pPr>
      <w:r w:rsidRPr="00981E15">
        <w:t>Se diseñó la estrategia de comunicación institucional para visibilizar el trabajo de la DEMI, lo cual implicó: 1) Diseño e impresión de material de promoción de los servicios de la institución (afiches, trifoliares, carpetas, mantas vinílicas). 2) Producción de 10 cuñas radiofónicas sobre derechos de las mujeres indígenas. 3) Producción de 10 microprogramas sobre derechos de las mujeres indígenas. Esta estrategia ha resultado positiva a nivel de la población de mujeres indígenas, ya que en los últimos dos años el número de mujeres que acuden a solicitar apoyo ha ido en aumento gradual.</w:t>
      </w:r>
    </w:p>
    <w:p w:rsidR="00B023C1" w:rsidRPr="00981E15" w:rsidRDefault="00B023C1" w:rsidP="00B023C1">
      <w:pPr>
        <w:pStyle w:val="SingleTxt"/>
        <w:tabs>
          <w:tab w:val="clear" w:pos="1742"/>
        </w:tabs>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Estudios e informes elaborados</w:t>
      </w:r>
    </w:p>
    <w:p w:rsidR="00B023C1" w:rsidRPr="00981E15" w:rsidRDefault="00B023C1" w:rsidP="00B023C1">
      <w:pPr>
        <w:pStyle w:val="SingleTxt"/>
        <w:spacing w:after="0" w:line="120" w:lineRule="exact"/>
        <w:rPr>
          <w:sz w:val="10"/>
        </w:rPr>
      </w:pPr>
    </w:p>
    <w:p w:rsidR="00B023C1" w:rsidRPr="00981E15" w:rsidRDefault="00B023C1" w:rsidP="00B023C1">
      <w:pPr>
        <w:pStyle w:val="SingleTxt"/>
        <w:numPr>
          <w:ilvl w:val="0"/>
          <w:numId w:val="16"/>
        </w:numPr>
        <w:tabs>
          <w:tab w:val="clear" w:pos="475"/>
          <w:tab w:val="num" w:pos="1742"/>
        </w:tabs>
        <w:ind w:left="1267"/>
      </w:pPr>
      <w:r w:rsidRPr="00981E15">
        <w:t xml:space="preserve">Segundo Informe temático </w:t>
      </w:r>
      <w:r w:rsidRPr="00981E15">
        <w:rPr>
          <w:i/>
        </w:rPr>
        <w:t>“Acceso de las Mujeres Indígenas al Sistema de Justicia Oficial (2005-2006</w:t>
      </w:r>
      <w:r w:rsidRPr="00981E15">
        <w:t>), presentado en el 2007. El objetivo principal de este informe se centra en identificar y valorar los problemas que enfrentan las mujeres indígenas para acceder a la justicia, así como las causas y efectos principales de dichos problemas.</w:t>
      </w:r>
    </w:p>
    <w:p w:rsidR="00B023C1" w:rsidRPr="00981E15" w:rsidRDefault="00B023C1" w:rsidP="00B023C1">
      <w:pPr>
        <w:pStyle w:val="SingleTxt"/>
        <w:numPr>
          <w:ilvl w:val="0"/>
          <w:numId w:val="16"/>
        </w:numPr>
        <w:tabs>
          <w:tab w:val="clear" w:pos="475"/>
          <w:tab w:val="num" w:pos="1742"/>
        </w:tabs>
        <w:ind w:left="1267"/>
        <w:rPr>
          <w:b/>
        </w:rPr>
      </w:pPr>
      <w:r w:rsidRPr="00981E15">
        <w:rPr>
          <w:i/>
        </w:rPr>
        <w:t>Estudio Sobre violencia doméstica hacía las mujeres indígenas.</w:t>
      </w:r>
      <w:r w:rsidR="004C5F48" w:rsidRPr="00981E15">
        <w:t xml:space="preserve"> </w:t>
      </w:r>
      <w:r w:rsidRPr="00981E15">
        <w:t>Este estudio tiene como final</w:t>
      </w:r>
      <w:r w:rsidRPr="00981E15">
        <w:t>i</w:t>
      </w:r>
      <w:r w:rsidRPr="00981E15">
        <w:t>dad profundizar en el conocimiento de las causas, manifestaciones, consecuencias y factores que al</w:t>
      </w:r>
      <w:r w:rsidRPr="00981E15">
        <w:t>i</w:t>
      </w:r>
      <w:r w:rsidRPr="00981E15">
        <w:t>mentan el círculo de violencia doméstica para generar propuestas y estrategias de incidencia para la prevención y erradicación de la violencia contra las mujeres indígenas.</w:t>
      </w:r>
    </w:p>
    <w:p w:rsidR="00B023C1" w:rsidRPr="00981E15" w:rsidRDefault="00B023C1" w:rsidP="00B023C1">
      <w:pPr>
        <w:pStyle w:val="SingleTxt"/>
        <w:numPr>
          <w:ilvl w:val="0"/>
          <w:numId w:val="16"/>
        </w:numPr>
        <w:tabs>
          <w:tab w:val="clear" w:pos="475"/>
          <w:tab w:val="num" w:pos="1742"/>
        </w:tabs>
        <w:ind w:left="1267"/>
        <w:rPr>
          <w:b/>
        </w:rPr>
      </w:pPr>
      <w:r w:rsidRPr="00981E15">
        <w:rPr>
          <w:i/>
        </w:rPr>
        <w:t xml:space="preserve">“Las necesidades y problemas de las mujeres indígenas privadas de libertad en cumplimiento de su condena” </w:t>
      </w:r>
      <w:r w:rsidRPr="00981E15">
        <w:t>(pendiente publicación). La DEMI en coordinación con la Unidad de la Mujer del Instit</w:t>
      </w:r>
      <w:r w:rsidRPr="00981E15">
        <w:t>u</w:t>
      </w:r>
      <w:r w:rsidRPr="00981E15">
        <w:t>to de la Defensa Pública Penal, realizaron el diagnóstico con el objetivo de generar información que permita plantear propuestas de apoyo al sistema penitenciario y tomar medidas que contribuyan al mejoramiento de la situación de las mujeres indígenas dentro del Centro de Orientación Femenina (COF).</w:t>
      </w:r>
      <w:r w:rsidR="004C5F48" w:rsidRPr="00981E15">
        <w:t xml:space="preserve"> </w:t>
      </w:r>
      <w:r w:rsidRPr="00981E15">
        <w:t>Así como también para definir políticas con enfoque intercultural y de género que promuevan la equidad y respeto de las mismas.</w:t>
      </w: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Atención de casos</w:t>
      </w:r>
    </w:p>
    <w:p w:rsidR="00B023C1" w:rsidRPr="00981E15" w:rsidRDefault="00B023C1" w:rsidP="00B023C1">
      <w:pPr>
        <w:pStyle w:val="SingleTxt"/>
        <w:spacing w:after="0" w:line="120" w:lineRule="exact"/>
        <w:rPr>
          <w:sz w:val="10"/>
        </w:rPr>
      </w:pPr>
    </w:p>
    <w:p w:rsidR="00B023C1" w:rsidRPr="00981E15" w:rsidRDefault="00B023C1" w:rsidP="00B023C1">
      <w:pPr>
        <w:pStyle w:val="SingleTxt"/>
        <w:numPr>
          <w:ilvl w:val="0"/>
          <w:numId w:val="16"/>
        </w:numPr>
        <w:tabs>
          <w:tab w:val="clear" w:pos="475"/>
          <w:tab w:val="num" w:pos="1742"/>
        </w:tabs>
        <w:ind w:left="1267"/>
      </w:pPr>
      <w:r w:rsidRPr="00981E15">
        <w:t>La DEMI desarrolla un modelo de atención, asesoría y seguimiento integral a mujeres indígenas violentadas en sus derechos, proporcionándoles servicio social, psicológico y jurídico gratuito.</w:t>
      </w:r>
      <w:r w:rsidR="004C5F48" w:rsidRPr="00981E15">
        <w:t xml:space="preserve"> </w:t>
      </w:r>
      <w:r w:rsidRPr="00981E15">
        <w:t>Las acciones que se desarrollan en este marco son: atención inicial, asesoría, acompañamiento, conciliación y/o mediación, apoyo psicológico, auxilio, procuración y gestión social a mujeres indígenas que han sido víctimas de violaciones a sus derechos fundamentales, principalmente por su situación y condición de género y etnia.</w:t>
      </w:r>
      <w:r w:rsidR="004C5F48" w:rsidRPr="00981E15">
        <w:t xml:space="preserve"> </w:t>
      </w:r>
      <w:r w:rsidRPr="00981E15">
        <w:t>Dicha atención integral se realiza en su idioma materno.</w:t>
      </w:r>
    </w:p>
    <w:p w:rsidR="00B023C1" w:rsidRPr="00981E15" w:rsidRDefault="00B023C1" w:rsidP="00B023C1">
      <w:pPr>
        <w:pStyle w:val="SingleTxt"/>
        <w:numPr>
          <w:ilvl w:val="0"/>
          <w:numId w:val="16"/>
        </w:numPr>
        <w:tabs>
          <w:tab w:val="clear" w:pos="475"/>
          <w:tab w:val="num" w:pos="1742"/>
        </w:tabs>
        <w:ind w:left="1267"/>
      </w:pPr>
      <w:r w:rsidRPr="00981E15">
        <w:t>Para ello, se han diseñado e implementado modelos de atención concebidos desde los elementos culturales de los pueblos indígenas.</w:t>
      </w: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rPr>
          <w:b w:val="0"/>
        </w:rPr>
        <w:tab/>
      </w:r>
      <w:r w:rsidRPr="00981E15">
        <w:rPr>
          <w:b w:val="0"/>
        </w:rPr>
        <w:tab/>
        <w:t>Cuadro 1</w:t>
      </w:r>
      <w:r w:rsidRPr="00981E15">
        <w:rPr>
          <w:b w:val="0"/>
        </w:rPr>
        <w:br/>
      </w:r>
      <w:r w:rsidRPr="00981E15">
        <w:t>Cantidad de Casos atendidos por las Unidades de la DEMI</w:t>
      </w:r>
    </w:p>
    <w:p w:rsidR="00B023C1" w:rsidRPr="00981E15" w:rsidRDefault="00B023C1" w:rsidP="00B023C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75"/>
        <w:gridCol w:w="1361"/>
        <w:gridCol w:w="1361"/>
        <w:gridCol w:w="1361"/>
        <w:gridCol w:w="1362"/>
      </w:tblGrid>
      <w:tr w:rsidR="00B023C1" w:rsidRPr="00981E15">
        <w:tblPrEx>
          <w:tblCellMar>
            <w:top w:w="0" w:type="dxa"/>
            <w:bottom w:w="0" w:type="dxa"/>
          </w:tblCellMar>
        </w:tblPrEx>
        <w:trPr>
          <w:tblHeader/>
        </w:trPr>
        <w:tc>
          <w:tcPr>
            <w:tcW w:w="1875"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0" w:after="80"/>
              <w:ind w:right="40"/>
              <w:rPr>
                <w:i/>
                <w:sz w:val="14"/>
              </w:rPr>
            </w:pPr>
            <w:r w:rsidRPr="00981E15">
              <w:rPr>
                <w:i/>
                <w:sz w:val="14"/>
              </w:rPr>
              <w:t>Servicio brindado</w:t>
            </w:r>
          </w:p>
        </w:tc>
        <w:tc>
          <w:tcPr>
            <w:tcW w:w="1361"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0" w:after="80"/>
              <w:ind w:right="40"/>
              <w:jc w:val="right"/>
              <w:rPr>
                <w:i/>
                <w:sz w:val="14"/>
              </w:rPr>
            </w:pPr>
            <w:r w:rsidRPr="00981E15">
              <w:rPr>
                <w:i/>
                <w:sz w:val="14"/>
              </w:rPr>
              <w:t>2004</w:t>
            </w:r>
          </w:p>
        </w:tc>
        <w:tc>
          <w:tcPr>
            <w:tcW w:w="1361"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0" w:after="80"/>
              <w:ind w:right="40"/>
              <w:jc w:val="right"/>
              <w:rPr>
                <w:i/>
                <w:sz w:val="14"/>
              </w:rPr>
            </w:pPr>
            <w:r w:rsidRPr="00981E15">
              <w:rPr>
                <w:i/>
                <w:sz w:val="14"/>
              </w:rPr>
              <w:t>2005</w:t>
            </w:r>
          </w:p>
        </w:tc>
        <w:tc>
          <w:tcPr>
            <w:tcW w:w="1361"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0" w:after="80"/>
              <w:ind w:right="40"/>
              <w:jc w:val="right"/>
              <w:rPr>
                <w:i/>
                <w:sz w:val="14"/>
              </w:rPr>
            </w:pPr>
            <w:r w:rsidRPr="00981E15">
              <w:rPr>
                <w:i/>
                <w:sz w:val="14"/>
              </w:rPr>
              <w:t>2006</w:t>
            </w:r>
          </w:p>
        </w:tc>
        <w:tc>
          <w:tcPr>
            <w:tcW w:w="1362"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0" w:after="80"/>
              <w:ind w:right="40"/>
              <w:jc w:val="right"/>
              <w:rPr>
                <w:i/>
                <w:sz w:val="14"/>
              </w:rPr>
            </w:pPr>
            <w:r w:rsidRPr="00981E15">
              <w:rPr>
                <w:i/>
                <w:sz w:val="14"/>
              </w:rPr>
              <w:t>2007*</w:t>
            </w:r>
          </w:p>
        </w:tc>
      </w:tr>
      <w:tr w:rsidR="00B023C1" w:rsidRPr="00981E15">
        <w:tblPrEx>
          <w:tblCellMar>
            <w:top w:w="0" w:type="dxa"/>
            <w:bottom w:w="0" w:type="dxa"/>
          </w:tblCellMar>
        </w:tblPrEx>
        <w:trPr>
          <w:trHeight w:hRule="exact" w:val="115"/>
          <w:tblHeader/>
        </w:trPr>
        <w:tc>
          <w:tcPr>
            <w:tcW w:w="1875"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rPr>
                <w:sz w:val="17"/>
              </w:rPr>
            </w:pPr>
          </w:p>
        </w:tc>
        <w:tc>
          <w:tcPr>
            <w:tcW w:w="1361"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p>
        </w:tc>
        <w:tc>
          <w:tcPr>
            <w:tcW w:w="1361"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p>
        </w:tc>
        <w:tc>
          <w:tcPr>
            <w:tcW w:w="1361"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p>
        </w:tc>
        <w:tc>
          <w:tcPr>
            <w:tcW w:w="1362"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p>
        </w:tc>
      </w:tr>
      <w:tr w:rsidR="00B023C1" w:rsidRPr="00981E15">
        <w:tblPrEx>
          <w:tblCellMar>
            <w:top w:w="0" w:type="dxa"/>
            <w:bottom w:w="0" w:type="dxa"/>
          </w:tblCellMar>
        </w:tblPrEx>
        <w:tc>
          <w:tcPr>
            <w:tcW w:w="1875"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Unidad Jurídica</w:t>
            </w:r>
          </w:p>
        </w:tc>
        <w:tc>
          <w:tcPr>
            <w:tcW w:w="1361"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766</w:t>
            </w:r>
          </w:p>
        </w:tc>
        <w:tc>
          <w:tcPr>
            <w:tcW w:w="1361"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455</w:t>
            </w:r>
            <w:r w:rsidRPr="00981E15">
              <w:rPr>
                <w:sz w:val="17"/>
              </w:rPr>
              <w:tab/>
            </w:r>
          </w:p>
        </w:tc>
        <w:tc>
          <w:tcPr>
            <w:tcW w:w="1361"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605</w:t>
            </w:r>
          </w:p>
        </w:tc>
        <w:tc>
          <w:tcPr>
            <w:tcW w:w="1362"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505</w:t>
            </w:r>
          </w:p>
        </w:tc>
      </w:tr>
      <w:tr w:rsidR="00B023C1" w:rsidRPr="00981E15">
        <w:tblPrEx>
          <w:tblCellMar>
            <w:top w:w="0" w:type="dxa"/>
            <w:bottom w:w="0" w:type="dxa"/>
          </w:tblCellMar>
        </w:tblPrEx>
        <w:tc>
          <w:tcPr>
            <w:tcW w:w="1875"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Unidad Psicológica</w:t>
            </w:r>
          </w:p>
        </w:tc>
        <w:tc>
          <w:tcPr>
            <w:tcW w:w="1361"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40</w:t>
            </w:r>
          </w:p>
        </w:tc>
        <w:tc>
          <w:tcPr>
            <w:tcW w:w="1361"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184</w:t>
            </w:r>
          </w:p>
        </w:tc>
        <w:tc>
          <w:tcPr>
            <w:tcW w:w="1361"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0</w:t>
            </w:r>
          </w:p>
        </w:tc>
        <w:tc>
          <w:tcPr>
            <w:tcW w:w="1362"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7</w:t>
            </w:r>
          </w:p>
        </w:tc>
      </w:tr>
      <w:tr w:rsidR="00B023C1" w:rsidRPr="00981E15">
        <w:tblPrEx>
          <w:tblCellMar>
            <w:top w:w="0" w:type="dxa"/>
            <w:bottom w:w="0" w:type="dxa"/>
          </w:tblCellMar>
        </w:tblPrEx>
        <w:tc>
          <w:tcPr>
            <w:tcW w:w="1875" w:type="dxa"/>
            <w:tcBorders>
              <w:bottom w:val="single" w:sz="4"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81"/>
              <w:ind w:right="40"/>
              <w:rPr>
                <w:sz w:val="17"/>
              </w:rPr>
            </w:pPr>
            <w:r w:rsidRPr="00981E15">
              <w:rPr>
                <w:sz w:val="17"/>
              </w:rPr>
              <w:t>Unidad Social</w:t>
            </w:r>
          </w:p>
        </w:tc>
        <w:tc>
          <w:tcPr>
            <w:tcW w:w="1361" w:type="dxa"/>
            <w:tcBorders>
              <w:bottom w:val="single" w:sz="4"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81"/>
              <w:ind w:right="40"/>
              <w:jc w:val="right"/>
              <w:rPr>
                <w:sz w:val="17"/>
              </w:rPr>
            </w:pPr>
            <w:r w:rsidRPr="00981E15">
              <w:rPr>
                <w:sz w:val="17"/>
              </w:rPr>
              <w:t>566</w:t>
            </w:r>
          </w:p>
        </w:tc>
        <w:tc>
          <w:tcPr>
            <w:tcW w:w="1361" w:type="dxa"/>
            <w:tcBorders>
              <w:bottom w:val="single" w:sz="4"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81"/>
              <w:ind w:right="40"/>
              <w:jc w:val="right"/>
              <w:rPr>
                <w:sz w:val="17"/>
              </w:rPr>
            </w:pPr>
            <w:r w:rsidRPr="00981E15">
              <w:rPr>
                <w:sz w:val="17"/>
              </w:rPr>
              <w:t>1367</w:t>
            </w:r>
          </w:p>
        </w:tc>
        <w:tc>
          <w:tcPr>
            <w:tcW w:w="1361" w:type="dxa"/>
            <w:tcBorders>
              <w:bottom w:val="single" w:sz="4"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81"/>
              <w:ind w:right="40"/>
              <w:jc w:val="right"/>
              <w:rPr>
                <w:sz w:val="17"/>
              </w:rPr>
            </w:pPr>
            <w:r w:rsidRPr="00981E15">
              <w:rPr>
                <w:sz w:val="17"/>
              </w:rPr>
              <w:t>902</w:t>
            </w:r>
          </w:p>
        </w:tc>
        <w:tc>
          <w:tcPr>
            <w:tcW w:w="1362" w:type="dxa"/>
            <w:tcBorders>
              <w:bottom w:val="single" w:sz="4"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81"/>
              <w:ind w:right="40"/>
              <w:jc w:val="right"/>
              <w:rPr>
                <w:sz w:val="17"/>
              </w:rPr>
            </w:pPr>
            <w:r w:rsidRPr="00981E15">
              <w:rPr>
                <w:sz w:val="17"/>
              </w:rPr>
              <w:t>604</w:t>
            </w:r>
          </w:p>
        </w:tc>
      </w:tr>
      <w:tr w:rsidR="00B023C1" w:rsidRPr="00981E15">
        <w:tblPrEx>
          <w:tblCellMar>
            <w:top w:w="0" w:type="dxa"/>
            <w:bottom w:w="0" w:type="dxa"/>
          </w:tblCellMar>
        </w:tblPrEx>
        <w:tc>
          <w:tcPr>
            <w:tcW w:w="1875"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1" w:after="81"/>
              <w:ind w:right="40"/>
              <w:rPr>
                <w:b/>
                <w:sz w:val="17"/>
              </w:rPr>
            </w:pPr>
            <w:r w:rsidRPr="00981E15">
              <w:rPr>
                <w:b/>
                <w:sz w:val="17"/>
              </w:rPr>
              <w:tab/>
              <w:t>Total</w:t>
            </w:r>
          </w:p>
        </w:tc>
        <w:tc>
          <w:tcPr>
            <w:tcW w:w="1361"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1" w:after="81"/>
              <w:ind w:right="40"/>
              <w:jc w:val="right"/>
              <w:rPr>
                <w:b/>
                <w:sz w:val="17"/>
              </w:rPr>
            </w:pPr>
            <w:r w:rsidRPr="00981E15">
              <w:rPr>
                <w:b/>
                <w:sz w:val="17"/>
              </w:rPr>
              <w:t>1 372</w:t>
            </w:r>
          </w:p>
        </w:tc>
        <w:tc>
          <w:tcPr>
            <w:tcW w:w="1361"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1" w:after="81"/>
              <w:ind w:right="40"/>
              <w:jc w:val="right"/>
              <w:rPr>
                <w:b/>
                <w:sz w:val="17"/>
              </w:rPr>
            </w:pPr>
            <w:r w:rsidRPr="00981E15">
              <w:rPr>
                <w:b/>
                <w:sz w:val="17"/>
              </w:rPr>
              <w:t>2 006</w:t>
            </w:r>
          </w:p>
        </w:tc>
        <w:tc>
          <w:tcPr>
            <w:tcW w:w="1361"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1" w:after="81"/>
              <w:ind w:right="40"/>
              <w:jc w:val="right"/>
              <w:rPr>
                <w:b/>
                <w:sz w:val="17"/>
              </w:rPr>
            </w:pPr>
            <w:r w:rsidRPr="00981E15">
              <w:rPr>
                <w:b/>
                <w:sz w:val="17"/>
              </w:rPr>
              <w:t>1 507</w:t>
            </w:r>
          </w:p>
        </w:tc>
        <w:tc>
          <w:tcPr>
            <w:tcW w:w="1362"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1" w:after="81"/>
              <w:ind w:right="40"/>
              <w:jc w:val="right"/>
              <w:rPr>
                <w:b/>
                <w:sz w:val="17"/>
              </w:rPr>
            </w:pPr>
            <w:r w:rsidRPr="00981E15">
              <w:rPr>
                <w:b/>
                <w:sz w:val="17"/>
              </w:rPr>
              <w:t>1 116</w:t>
            </w:r>
          </w:p>
        </w:tc>
      </w:tr>
    </w:tbl>
    <w:p w:rsidR="00406BB1" w:rsidRPr="00981E15" w:rsidRDefault="00406BB1" w:rsidP="00406BB1">
      <w:pPr>
        <w:pStyle w:val="SingleTxt"/>
        <w:suppressAutoHyphens/>
        <w:spacing w:after="0" w:line="120" w:lineRule="exact"/>
        <w:rPr>
          <w:sz w:val="10"/>
        </w:rPr>
      </w:pPr>
    </w:p>
    <w:p w:rsidR="00B023C1" w:rsidRPr="00981E15" w:rsidRDefault="00B023C1" w:rsidP="00406BB1">
      <w:pPr>
        <w:pStyle w:val="FootnoteText"/>
        <w:tabs>
          <w:tab w:val="clear" w:pos="418"/>
          <w:tab w:val="right" w:pos="1476"/>
          <w:tab w:val="left" w:pos="1548"/>
          <w:tab w:val="right" w:pos="1836"/>
          <w:tab w:val="left" w:pos="1908"/>
        </w:tabs>
        <w:ind w:left="1548" w:right="1267" w:hanging="288"/>
        <w:rPr>
          <w:w w:val="103"/>
        </w:rPr>
      </w:pPr>
      <w:r w:rsidRPr="00981E15">
        <w:rPr>
          <w:w w:val="103"/>
        </w:rPr>
        <w:tab/>
      </w:r>
      <w:r w:rsidRPr="00981E15">
        <w:rPr>
          <w:w w:val="103"/>
        </w:rPr>
        <w:tab/>
        <w:t>No incluyen asesorías puntuales brindadas en una sola ocasión a petición de la parte interesada.</w:t>
      </w:r>
    </w:p>
    <w:p w:rsidR="00406BB1" w:rsidRPr="00981E15" w:rsidRDefault="00406BB1" w:rsidP="00406BB1">
      <w:pPr>
        <w:pStyle w:val="SingleTxt"/>
        <w:suppressAutoHyphens/>
        <w:spacing w:after="0" w:line="120" w:lineRule="exact"/>
        <w:rPr>
          <w:sz w:val="10"/>
        </w:rPr>
      </w:pPr>
    </w:p>
    <w:p w:rsidR="00B023C1" w:rsidRPr="00981E15" w:rsidRDefault="00B023C1" w:rsidP="00406BB1">
      <w:pPr>
        <w:pStyle w:val="FootnoteText"/>
        <w:tabs>
          <w:tab w:val="clear" w:pos="418"/>
          <w:tab w:val="right" w:pos="1476"/>
          <w:tab w:val="left" w:pos="1548"/>
          <w:tab w:val="right" w:pos="1836"/>
          <w:tab w:val="left" w:pos="1908"/>
        </w:tabs>
        <w:ind w:left="1548" w:right="1267" w:hanging="288"/>
        <w:rPr>
          <w:w w:val="103"/>
        </w:rPr>
      </w:pPr>
      <w:r w:rsidRPr="00981E15">
        <w:rPr>
          <w:w w:val="103"/>
        </w:rPr>
        <w:tab/>
        <w:t>*</w:t>
      </w:r>
      <w:r w:rsidR="00406BB1" w:rsidRPr="00981E15">
        <w:rPr>
          <w:w w:val="103"/>
        </w:rPr>
        <w:tab/>
      </w:r>
      <w:r w:rsidRPr="00981E15">
        <w:rPr>
          <w:w w:val="103"/>
        </w:rPr>
        <w:tab/>
        <w:t xml:space="preserve">Enero-septiembre </w:t>
      </w:r>
      <w:r w:rsidR="009C33BB" w:rsidRPr="00981E15">
        <w:rPr>
          <w:w w:val="103"/>
        </w:rPr>
        <w:t xml:space="preserve">de </w:t>
      </w:r>
      <w:r w:rsidRPr="00981E15">
        <w:rPr>
          <w:w w:val="103"/>
        </w:rPr>
        <w:t>2</w:t>
      </w:r>
      <w:r w:rsidR="00406BB1" w:rsidRPr="00981E15">
        <w:rPr>
          <w:w w:val="103"/>
        </w:rPr>
        <w:t>007</w:t>
      </w:r>
      <w:r w:rsidRPr="00981E15">
        <w:rPr>
          <w:w w:val="103"/>
        </w:rPr>
        <w:t>/</w:t>
      </w:r>
      <w:r w:rsidRPr="00981E15">
        <w:rPr>
          <w:i/>
          <w:w w:val="103"/>
        </w:rPr>
        <w:t>Fuente</w:t>
      </w:r>
      <w:r w:rsidRPr="00981E15">
        <w:rPr>
          <w:w w:val="103"/>
        </w:rPr>
        <w:t>: Unidad Social DEMI</w:t>
      </w:r>
      <w:r w:rsidR="00406BB1" w:rsidRPr="00981E15">
        <w:rPr>
          <w:w w:val="103"/>
        </w:rPr>
        <w:t>.</w:t>
      </w:r>
    </w:p>
    <w:p w:rsidR="00B023C1" w:rsidRPr="00981E15" w:rsidRDefault="00B023C1" w:rsidP="00B023C1">
      <w:pPr>
        <w:pStyle w:val="SingleTxt"/>
        <w:spacing w:after="0" w:line="120" w:lineRule="exact"/>
        <w:rPr>
          <w:sz w:val="10"/>
        </w:rPr>
      </w:pP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Asistencia Psicológica</w:t>
      </w:r>
    </w:p>
    <w:p w:rsidR="00B023C1" w:rsidRPr="00981E15" w:rsidRDefault="00B023C1" w:rsidP="00B023C1">
      <w:pPr>
        <w:pStyle w:val="SingleTxt"/>
        <w:spacing w:after="0" w:line="120" w:lineRule="exact"/>
        <w:rPr>
          <w:sz w:val="10"/>
        </w:rPr>
      </w:pPr>
    </w:p>
    <w:p w:rsidR="00B023C1" w:rsidRPr="00981E15" w:rsidRDefault="00B023C1" w:rsidP="00D66AAC">
      <w:pPr>
        <w:pStyle w:val="SingleTxt"/>
        <w:numPr>
          <w:ilvl w:val="0"/>
          <w:numId w:val="16"/>
        </w:numPr>
        <w:tabs>
          <w:tab w:val="clear" w:pos="475"/>
          <w:tab w:val="num" w:pos="1742"/>
        </w:tabs>
        <w:suppressAutoHyphens/>
        <w:ind w:left="1267"/>
      </w:pPr>
      <w:r w:rsidRPr="00981E15">
        <w:t>Esta Unidad se implementó a mediados del año 2004.</w:t>
      </w:r>
      <w:r w:rsidR="004C5F48" w:rsidRPr="00981E15">
        <w:t xml:space="preserve"> </w:t>
      </w:r>
      <w:r w:rsidRPr="00981E15">
        <w:t>Cuenta con un diseño de atención psicológica con pertinencia cultural dirigida a mujeres indígenas violentadas en sus derechos fundamentales, específ</w:t>
      </w:r>
      <w:r w:rsidRPr="00981E15">
        <w:t>i</w:t>
      </w:r>
      <w:r w:rsidRPr="00981E15">
        <w:t>camente de violencia intrafamiliar. Ha implementado lineamientos básicos de orientación desde la co</w:t>
      </w:r>
      <w:r w:rsidRPr="00981E15">
        <w:t>s</w:t>
      </w:r>
      <w:r w:rsidRPr="00981E15">
        <w:t>movisión indígenas para promover la prevención, reivindicación de sus valores y principios culturales, contribuyendo a mejorar su calidad de vida. La incorporación de saberes y técnicas indígenas incluye además elementos culturales, idioma y espiritualidad de los pueblos indígenas.</w:t>
      </w:r>
    </w:p>
    <w:p w:rsidR="00B023C1" w:rsidRPr="00981E15" w:rsidRDefault="00B023C1" w:rsidP="00D66AAC">
      <w:pPr>
        <w:pStyle w:val="SingleTxt"/>
        <w:numPr>
          <w:ilvl w:val="0"/>
          <w:numId w:val="16"/>
        </w:numPr>
        <w:tabs>
          <w:tab w:val="clear" w:pos="475"/>
          <w:tab w:val="num" w:pos="1742"/>
        </w:tabs>
        <w:suppressAutoHyphens/>
        <w:ind w:left="1267"/>
      </w:pPr>
      <w:r w:rsidRPr="00981E15">
        <w:t>La atención psicológica se ha brindado en las regiones de Alta Verapaz, El Quiché, Quetzalt</w:t>
      </w:r>
      <w:r w:rsidRPr="00981E15">
        <w:t>e</w:t>
      </w:r>
      <w:r w:rsidRPr="00981E15">
        <w:t>nango, Huehuetenango, Suchitepéquez, El Petén y la Ciudad de Guatemala.</w:t>
      </w:r>
      <w:r w:rsidR="004C5F48" w:rsidRPr="00981E15">
        <w:t xml:space="preserve"> </w:t>
      </w:r>
      <w:r w:rsidRPr="00981E15">
        <w:t>Los casos se atienden y se les da seguimiento hasta su eventual cierre.</w:t>
      </w: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Asistencia Social</w:t>
      </w:r>
    </w:p>
    <w:p w:rsidR="00B023C1" w:rsidRPr="00981E15" w:rsidRDefault="00B023C1" w:rsidP="00B023C1">
      <w:pPr>
        <w:pStyle w:val="SingleTxt"/>
        <w:spacing w:after="0" w:line="120" w:lineRule="exact"/>
        <w:rPr>
          <w:sz w:val="10"/>
        </w:rPr>
      </w:pPr>
    </w:p>
    <w:p w:rsidR="00B023C1" w:rsidRPr="00981E15" w:rsidRDefault="00B023C1" w:rsidP="00D66AAC">
      <w:pPr>
        <w:pStyle w:val="SingleTxt"/>
        <w:numPr>
          <w:ilvl w:val="0"/>
          <w:numId w:val="16"/>
        </w:numPr>
        <w:tabs>
          <w:tab w:val="clear" w:pos="475"/>
          <w:tab w:val="num" w:pos="1742"/>
        </w:tabs>
        <w:suppressAutoHyphens/>
        <w:ind w:left="1267"/>
      </w:pPr>
      <w:r w:rsidRPr="00981E15">
        <w:t>En esta unidad se da el primer acercamiento que se le brinda a la usuaria para conocer su problemática y poder darle una atención específica en sus necesidades.</w:t>
      </w:r>
      <w:r w:rsidR="004C5F48" w:rsidRPr="00981E15">
        <w:t xml:space="preserve"> </w:t>
      </w:r>
      <w:r w:rsidRPr="00981E15">
        <w:t>Abarca procedimientos y gesti</w:t>
      </w:r>
      <w:r w:rsidRPr="00981E15">
        <w:t>o</w:t>
      </w:r>
      <w:r w:rsidRPr="00981E15">
        <w:t>nes para resolver su situación a corto plazo y conlleva el análisis del caso, acompañamiento, asesoría (que se da en todos los casos), solicitud de medidas de protección ante las instancias respectivas y en los casos que amerite mediación y conciliación, o bien transferencia para iniciar un proceso jurídico en el que la mujeres fortalezcan su capacidad de denuncia.</w:t>
      </w: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Coordinadora Nacional para la Prevención de la Violencia Intrafamiliar</w:t>
      </w:r>
      <w:r w:rsidRPr="00981E15">
        <w:br/>
        <w:t>y contra las Mujeres (CONAPREVI)</w:t>
      </w:r>
    </w:p>
    <w:p w:rsidR="00B023C1" w:rsidRPr="00981E15" w:rsidRDefault="00B023C1" w:rsidP="00B023C1">
      <w:pPr>
        <w:pStyle w:val="SingleTxt"/>
        <w:spacing w:after="0" w:line="120" w:lineRule="exact"/>
        <w:rPr>
          <w:sz w:val="10"/>
        </w:rPr>
      </w:pPr>
    </w:p>
    <w:p w:rsidR="00B023C1" w:rsidRPr="00981E15" w:rsidRDefault="00B023C1" w:rsidP="00D66AAC">
      <w:pPr>
        <w:pStyle w:val="SingleTxt"/>
        <w:numPr>
          <w:ilvl w:val="0"/>
          <w:numId w:val="16"/>
        </w:numPr>
        <w:tabs>
          <w:tab w:val="clear" w:pos="475"/>
          <w:tab w:val="num" w:pos="1742"/>
        </w:tabs>
        <w:suppressAutoHyphens/>
        <w:ind w:left="1267"/>
      </w:pPr>
      <w:r w:rsidRPr="00981E15">
        <w:t>Para dar cumplimiento a la obligación del Estado de Guatemala de la implementación y segu</w:t>
      </w:r>
      <w:r w:rsidRPr="00981E15">
        <w:t>i</w:t>
      </w:r>
      <w:r w:rsidRPr="00981E15">
        <w:t>miento de las disposiciones de la Convención sobre la Eliminación de todas las formas de Discrimin</w:t>
      </w:r>
      <w:r w:rsidRPr="00981E15">
        <w:t>a</w:t>
      </w:r>
      <w:r w:rsidRPr="00981E15">
        <w:t>ción contra la Mujer (CEDAW) y de la Convención Interamericana</w:t>
      </w:r>
      <w:r w:rsidR="004C5F48" w:rsidRPr="00981E15">
        <w:t xml:space="preserve"> </w:t>
      </w:r>
      <w:r w:rsidRPr="00981E15">
        <w:t>para Prevenir, Sancionar y Erradicar la Violencia Contra las Mujeres, entre otros instrumentos jurídicos surge la Coordinadora Nacional para la Prevención de la Violencia Intrafamiliar y contra las Mujeres (CONAPREVI), creada</w:t>
      </w:r>
      <w:r w:rsidR="004C5F48" w:rsidRPr="00981E15">
        <w:t xml:space="preserve"> </w:t>
      </w:r>
      <w:r w:rsidRPr="00981E15">
        <w:t>legalmente como ente coordinador, asesor e impulsor de políticas públicas para prevenir,</w:t>
      </w:r>
      <w:r w:rsidR="004C5F48" w:rsidRPr="00981E15">
        <w:t xml:space="preserve"> </w:t>
      </w:r>
      <w:r w:rsidRPr="00981E15">
        <w:t>atender, sancionar y erradicar la violencia intrafamiliar y contra las mujeres.</w:t>
      </w:r>
    </w:p>
    <w:p w:rsidR="00B023C1" w:rsidRPr="00981E15" w:rsidRDefault="00B023C1" w:rsidP="00D66AAC">
      <w:pPr>
        <w:pStyle w:val="SingleTxt"/>
        <w:numPr>
          <w:ilvl w:val="0"/>
          <w:numId w:val="16"/>
        </w:numPr>
        <w:tabs>
          <w:tab w:val="clear" w:pos="475"/>
          <w:tab w:val="num" w:pos="1742"/>
        </w:tabs>
        <w:suppressAutoHyphens/>
        <w:ind w:left="1267"/>
      </w:pPr>
      <w:r w:rsidRPr="00981E15">
        <w:t>Esta instancia estatal está constituida por los organismos e instituciones del sector público que tienen responsabilidad del abordaje de la violencia contra las mujeres y la sociedad civil:</w:t>
      </w:r>
      <w:r w:rsidR="004C5F48" w:rsidRPr="00981E15">
        <w:t xml:space="preserve"> </w:t>
      </w:r>
      <w:r w:rsidRPr="00981E15">
        <w:t>1) El Presidente de la República, representado por la SEPREM; 2) el Fiscal General de la República o su representante; 3) el Presidente del Organismo Judicial o su representante; 4) el Presidente de la Junta Directiva del Instituto Nacional de Estadística o su representante; 5) Una representante del Programa de Prevención y Erradicación de la Violencia Intrafamiliar (PROPEVI); 6) Por parte del m</w:t>
      </w:r>
      <w:r w:rsidRPr="00981E15">
        <w:t>o</w:t>
      </w:r>
      <w:r w:rsidRPr="00981E15">
        <w:t>vimiento de mujeres se delegó su representación en tres miembros de la Red de la No Violencia en contra de las Mujeres.</w:t>
      </w:r>
    </w:p>
    <w:p w:rsidR="00B023C1" w:rsidRPr="00981E15" w:rsidRDefault="00B023C1" w:rsidP="00D66AAC">
      <w:pPr>
        <w:pStyle w:val="SingleTxt"/>
        <w:numPr>
          <w:ilvl w:val="0"/>
          <w:numId w:val="16"/>
        </w:numPr>
        <w:tabs>
          <w:tab w:val="clear" w:pos="475"/>
          <w:tab w:val="num" w:pos="1742"/>
        </w:tabs>
        <w:suppressAutoHyphens/>
        <w:ind w:left="1267"/>
      </w:pPr>
      <w:r w:rsidRPr="00981E15">
        <w:t>La composición mixta de CONAPREVI, en la que coinciden instituciones estatales y de la soci</w:t>
      </w:r>
      <w:r w:rsidRPr="00981E15">
        <w:t>e</w:t>
      </w:r>
      <w:r w:rsidRPr="00981E15">
        <w:t>dad civil, representa en principio un valor agregado para su institucionalización.</w:t>
      </w:r>
      <w:r w:rsidR="004C5F48" w:rsidRPr="00981E15">
        <w:t xml:space="preserve"> </w:t>
      </w:r>
      <w:r w:rsidRPr="00981E15">
        <w:t>En primer lugar, porque contribuye a atenuar la tradicional desconfianza que ha caracterizado las relaciones entre el sector público y las organizaci</w:t>
      </w:r>
      <w:r w:rsidRPr="00981E15">
        <w:t>o</w:t>
      </w:r>
      <w:r w:rsidRPr="00981E15">
        <w:t>nes sociales, al mismo tiempo que brinda oportunidades para mejorar dicha relación, dentro de una perspectiva de colaboración y coordinación a favor de un tema que preocupa a ambos y que está ob</w:t>
      </w:r>
      <w:r w:rsidRPr="00981E15">
        <w:t>s</w:t>
      </w:r>
      <w:r w:rsidRPr="00981E15">
        <w:t>taculizando la construcción de una democracia con otras calidades y contenidos.</w:t>
      </w:r>
      <w:r w:rsidR="004C5F48" w:rsidRPr="00981E15">
        <w:t xml:space="preserve"> </w:t>
      </w:r>
    </w:p>
    <w:p w:rsidR="00B023C1" w:rsidRPr="00981E15" w:rsidRDefault="00B023C1" w:rsidP="00D66AAC">
      <w:pPr>
        <w:pStyle w:val="SingleTxt"/>
        <w:numPr>
          <w:ilvl w:val="0"/>
          <w:numId w:val="16"/>
        </w:numPr>
        <w:tabs>
          <w:tab w:val="clear" w:pos="475"/>
          <w:tab w:val="num" w:pos="1742"/>
        </w:tabs>
        <w:suppressAutoHyphens/>
        <w:ind w:left="1267"/>
      </w:pPr>
      <w:r w:rsidRPr="00981E15">
        <w:t>La CONAPREVI se ha fortalecido técnica y financieramente por medio del incremento presupuestario obtenido.</w:t>
      </w:r>
      <w:r w:rsidR="004C5F48" w:rsidRPr="00981E15">
        <w:t xml:space="preserve"> </w:t>
      </w:r>
      <w:r w:rsidRPr="00981E15">
        <w:t>Su presupuesto se incrementó de Q 187,650.00 en el 2004 a Q 1,703,100.00 en el 2007, correspondiendo a un 700% de aumento–aunque no siempre suf</w:t>
      </w:r>
      <w:r w:rsidRPr="00981E15">
        <w:t>i</w:t>
      </w:r>
      <w:r w:rsidRPr="00981E15">
        <w:t>ciente-.</w:t>
      </w:r>
      <w:r w:rsidR="004C5F48" w:rsidRPr="00981E15">
        <w:t xml:space="preserve"> </w:t>
      </w:r>
      <w:r w:rsidRPr="00981E15">
        <w:t>Este aumento permitió incrementar su personal, contando actualmente con una asesora jurídica y asesoras específicas para atender la problemática de violencia contra las mujeres, de acuerdo a las áreas estratég</w:t>
      </w:r>
      <w:r w:rsidRPr="00981E15">
        <w:t>i</w:t>
      </w:r>
      <w:r w:rsidRPr="00981E15">
        <w:t>cas del Plan Nacional de la Prevención de la Violencia Intrafamiliar y contra la Mujer 2004-2014 (PLANOVI 2004-2014). El presupuesto aprobado para 2008 es de Q. 2.3 millones.</w:t>
      </w:r>
    </w:p>
    <w:p w:rsidR="00B023C1" w:rsidRPr="00981E15" w:rsidRDefault="00B023C1" w:rsidP="00D66AAC">
      <w:pPr>
        <w:pStyle w:val="SingleTxt"/>
        <w:numPr>
          <w:ilvl w:val="0"/>
          <w:numId w:val="16"/>
        </w:numPr>
        <w:tabs>
          <w:tab w:val="clear" w:pos="475"/>
          <w:tab w:val="num" w:pos="1742"/>
        </w:tabs>
        <w:suppressAutoHyphens/>
        <w:ind w:left="1267"/>
      </w:pPr>
      <w:r w:rsidRPr="00981E15">
        <w:t>El compromiso de las instituciones integrantes de la CONAPREVI, el aumento signif</w:t>
      </w:r>
      <w:r w:rsidRPr="00981E15">
        <w:t>i</w:t>
      </w:r>
      <w:r w:rsidRPr="00981E15">
        <w:t>cativo del presupuesto por parte del Estado para esta coordinadora, los apoyos técnicos y financieros de la cooperación internacional, así como las acciones de incidencia que CONAPREVI ha realizado desde su instalación, conforman un marco de condiciones posit</w:t>
      </w:r>
      <w:r w:rsidRPr="00981E15">
        <w:t>i</w:t>
      </w:r>
      <w:r w:rsidRPr="00981E15">
        <w:t>vas que favorece que otras instituciones del Estado y de la sociedad civil, asuman su responsabilidad en la ejecución del PLANOVI y con ello, adquiera la autoridad plena para el ejercicio de sus funciones:</w:t>
      </w:r>
      <w:r w:rsidR="004C5F48" w:rsidRPr="00981E15">
        <w:t xml:space="preserve"> </w:t>
      </w:r>
      <w:r w:rsidRPr="00981E15">
        <w:t>asesorar e impulsar políticas públicas para erradicar la violencia intrafamiliar y co</w:t>
      </w:r>
      <w:r w:rsidRPr="00981E15">
        <w:t>n</w:t>
      </w:r>
      <w:r w:rsidRPr="00981E15">
        <w:t>tra las mujeres; así como coordinar con instituciones públicas y privadas para atender, prevenir, sa</w:t>
      </w:r>
      <w:r w:rsidRPr="00981E15">
        <w:t>n</w:t>
      </w:r>
      <w:r w:rsidRPr="00981E15">
        <w:t>cionar y erradicar la violencia intrafamiliar y contra las mujeres.</w:t>
      </w:r>
    </w:p>
    <w:p w:rsidR="00B023C1" w:rsidRPr="00981E15" w:rsidRDefault="00B023C1" w:rsidP="00D66AAC">
      <w:pPr>
        <w:pStyle w:val="SingleTxt"/>
        <w:numPr>
          <w:ilvl w:val="0"/>
          <w:numId w:val="16"/>
        </w:numPr>
        <w:tabs>
          <w:tab w:val="clear" w:pos="475"/>
          <w:tab w:val="num" w:pos="1742"/>
        </w:tabs>
        <w:suppressAutoHyphens/>
        <w:ind w:left="1267"/>
      </w:pPr>
      <w:r w:rsidRPr="00981E15">
        <w:t>Durante los primeros años de vida de CONAPREVI, los esfuerzos se han encaminado hacia su consolidación e institucionalización, proceso que constituye un logro significativo, en especial con la formulación y el inicio de la ejecución del Plan Nacional para la Prevención de la Violencia Intrafamiliar y contra las Mujeres 2004-2014.</w:t>
      </w:r>
      <w:r w:rsidR="004C5F48" w:rsidRPr="00981E15">
        <w:t xml:space="preserve"> </w:t>
      </w:r>
      <w:r w:rsidRPr="00981E15">
        <w:t>Este Plan está formulado como estrategia nacional para la aplicación de la Política Nacional de Promoción y Desarrollo de las Mujeres Guatemaltecas y Plan de Equidad de Oportunidades 2001-2006, en el eje de violencia intrafamiliar y contra las mujeres. Está integrado por cuatro áreas e</w:t>
      </w:r>
      <w:r w:rsidRPr="00981E15">
        <w:t>s</w:t>
      </w:r>
      <w:r w:rsidRPr="00981E15">
        <w:t>tratégicas: 1) Fortalecimiento institucional del Estado y de la CONAPREVI, 2) Análisis e investigación estadística, 3) Atención integral y 4) Prevención.</w:t>
      </w:r>
    </w:p>
    <w:p w:rsidR="00B023C1" w:rsidRPr="00981E15" w:rsidRDefault="00B023C1" w:rsidP="00D66AAC">
      <w:pPr>
        <w:pStyle w:val="SingleTxt"/>
        <w:numPr>
          <w:ilvl w:val="0"/>
          <w:numId w:val="16"/>
        </w:numPr>
        <w:tabs>
          <w:tab w:val="clear" w:pos="475"/>
          <w:tab w:val="num" w:pos="1742"/>
        </w:tabs>
        <w:suppressAutoHyphens/>
        <w:ind w:left="1267"/>
      </w:pPr>
      <w:r w:rsidRPr="00981E15">
        <w:t>La relevancia del PLANOVI 2004-2014 radica en que su carácter propositivo y articulador de los esfuerzos nacionales conlleva claridad en los objetivos de largo plazo y conocimiento en la forma que se cumplirá con ellos.</w:t>
      </w:r>
      <w:r w:rsidR="004C5F48" w:rsidRPr="00981E15">
        <w:t xml:space="preserve"> </w:t>
      </w:r>
      <w:r w:rsidRPr="00981E15">
        <w:t>Éste es producto del trabajo y experiencia en el estudio y la atención de la violencia contra las mujeres de quienes integran CONAPREVI. Sin embargo, su mayor acierto constituye que se involucra al Estado en una iniciativa de esta naturaleza y se asignan fondos alternativos de la cooper</w:t>
      </w:r>
      <w:r w:rsidRPr="00981E15">
        <w:t>a</w:t>
      </w:r>
      <w:r w:rsidRPr="00981E15">
        <w:t>ción internacional que durante cuatro años impulsarán esta estrategia de largo plazo dirigida específ</w:t>
      </w:r>
      <w:r w:rsidRPr="00981E15">
        <w:t>i</w:t>
      </w:r>
      <w:r w:rsidRPr="00981E15">
        <w:t>camente a frenar la violencia contra las mujeres.</w:t>
      </w:r>
    </w:p>
    <w:p w:rsidR="00B023C1" w:rsidRPr="00981E15" w:rsidRDefault="00B023C1" w:rsidP="00D66AAC">
      <w:pPr>
        <w:pStyle w:val="SingleTxt"/>
        <w:numPr>
          <w:ilvl w:val="0"/>
          <w:numId w:val="16"/>
        </w:numPr>
        <w:tabs>
          <w:tab w:val="clear" w:pos="475"/>
          <w:tab w:val="num" w:pos="1742"/>
        </w:tabs>
        <w:suppressAutoHyphens/>
        <w:ind w:left="1267"/>
      </w:pPr>
      <w:r w:rsidRPr="00981E15">
        <w:t>Los objetivos definidos para la etapa de los primeros cuatro años para el impulso del PLANOVI son: 1) Contribuir a la prevención y la erradicación de la violencia intrafamiliar y contra las mujeres mediante el fortalecimiento del marco político institucional estatal que aborde de manera eficaz la problemática de la violencia contra las mujeres en Guatemala. 2) Fijar directrices políticas y acciones concertadas, con instituciones del Estado y de sociedad civil, con el fin de prevenir, atender, sancionar y reducir la violencia intrafamiliar y contra las mujeres, en seis departamentos de Guatemala y en un período de 4 años.</w:t>
      </w:r>
    </w:p>
    <w:p w:rsidR="00B023C1" w:rsidRPr="00981E15" w:rsidRDefault="00B023C1" w:rsidP="00D66AAC">
      <w:pPr>
        <w:pStyle w:val="SingleTxt"/>
        <w:numPr>
          <w:ilvl w:val="0"/>
          <w:numId w:val="16"/>
        </w:numPr>
        <w:tabs>
          <w:tab w:val="clear" w:pos="475"/>
          <w:tab w:val="num" w:pos="1742"/>
        </w:tabs>
        <w:suppressAutoHyphens/>
        <w:ind w:left="1267"/>
      </w:pPr>
      <w:r w:rsidRPr="00981E15">
        <w:t>La aprobación y posicionamiento del Plan Nacional de Prevención y Erradicación de la Violencia Intrafamiliar y Contra las Mujeres (PLANOVI 2004-2014), constituye el mecanismo específico para la atención del problema de violencia en contra de las mujeres, con enfoque integral y estratégico.</w:t>
      </w:r>
    </w:p>
    <w:p w:rsidR="00B023C1" w:rsidRPr="00981E15" w:rsidRDefault="00B023C1" w:rsidP="00D66AAC">
      <w:pPr>
        <w:pStyle w:val="SingleTxt"/>
        <w:numPr>
          <w:ilvl w:val="0"/>
          <w:numId w:val="16"/>
        </w:numPr>
        <w:tabs>
          <w:tab w:val="clear" w:pos="475"/>
          <w:tab w:val="num" w:pos="1742"/>
        </w:tabs>
        <w:suppressAutoHyphens/>
        <w:ind w:left="1267"/>
      </w:pPr>
      <w:r w:rsidRPr="00981E15">
        <w:t>Dentro de los avances de la CONAPREVI, en el marco de la operativización del PLANOVI, se e</w:t>
      </w:r>
      <w:r w:rsidRPr="00981E15">
        <w:t>n</w:t>
      </w:r>
      <w:r w:rsidRPr="00981E15">
        <w:t>cuentran:</w:t>
      </w:r>
      <w:r w:rsidR="004C5F48" w:rsidRPr="00981E15">
        <w:t xml:space="preserve"> </w:t>
      </w:r>
    </w:p>
    <w:p w:rsidR="00B023C1" w:rsidRPr="00981E15" w:rsidRDefault="00B023C1" w:rsidP="00B023C1">
      <w:pPr>
        <w:pStyle w:val="SingleTxt"/>
        <w:tabs>
          <w:tab w:val="right" w:pos="1685"/>
        </w:tabs>
        <w:ind w:left="1742" w:hanging="475"/>
      </w:pPr>
      <w:r w:rsidRPr="00981E15">
        <w:tab/>
        <w:t>•</w:t>
      </w:r>
      <w:r w:rsidRPr="00981E15">
        <w:tab/>
        <w:t xml:space="preserve">El Diagnóstico Nacional sobre la Atención Institucional a la problemática de Violencia Intrafamiliar y Contra las Mujeres y socialización del mismo. </w:t>
      </w:r>
    </w:p>
    <w:p w:rsidR="00B023C1" w:rsidRPr="00981E15" w:rsidRDefault="00B023C1" w:rsidP="00B023C1">
      <w:pPr>
        <w:pStyle w:val="SingleTxt"/>
        <w:tabs>
          <w:tab w:val="right" w:pos="1685"/>
        </w:tabs>
        <w:ind w:left="1742" w:hanging="475"/>
      </w:pPr>
      <w:r w:rsidRPr="00981E15">
        <w:tab/>
        <w:t>•</w:t>
      </w:r>
      <w:r w:rsidRPr="00981E15">
        <w:tab/>
        <w:t>La implementación de la Boleta única de registro de denuncias de violencia intrafamiliar y contra las mujeres.</w:t>
      </w:r>
    </w:p>
    <w:p w:rsidR="00B023C1" w:rsidRPr="00981E15" w:rsidRDefault="00B023C1" w:rsidP="00B023C1">
      <w:pPr>
        <w:pStyle w:val="SingleTxt"/>
        <w:tabs>
          <w:tab w:val="right" w:pos="1685"/>
        </w:tabs>
        <w:ind w:left="1742" w:hanging="475"/>
      </w:pPr>
      <w:r w:rsidRPr="00981E15">
        <w:tab/>
        <w:t>•</w:t>
      </w:r>
      <w:r w:rsidRPr="00981E15">
        <w:tab/>
        <w:t>La elaboración de una propuesta de Modelo de Atención a Sobrevivientes de violencia intrafam</w:t>
      </w:r>
      <w:r w:rsidRPr="00981E15">
        <w:t>i</w:t>
      </w:r>
      <w:r w:rsidRPr="00981E15">
        <w:t>liar y violencia contra las mujeres.</w:t>
      </w:r>
    </w:p>
    <w:p w:rsidR="00B023C1" w:rsidRPr="00981E15" w:rsidRDefault="00B023C1" w:rsidP="00B023C1">
      <w:pPr>
        <w:pStyle w:val="SingleTxt"/>
        <w:tabs>
          <w:tab w:val="right" w:pos="1685"/>
        </w:tabs>
        <w:ind w:left="1742" w:hanging="475"/>
      </w:pPr>
      <w:r w:rsidRPr="00981E15">
        <w:tab/>
        <w:t>•</w:t>
      </w:r>
      <w:r w:rsidRPr="00981E15">
        <w:tab/>
        <w:t>Socialización del PLANOVI en los 22 departamentos, dirigida hacia autoridades locales, municip</w:t>
      </w:r>
      <w:r w:rsidRPr="00981E15">
        <w:t>a</w:t>
      </w:r>
      <w:r w:rsidRPr="00981E15">
        <w:t>les, instituciones del Estado y organizaciones de sociedad civil que atienden casos de violencia i</w:t>
      </w:r>
      <w:r w:rsidRPr="00981E15">
        <w:t>n</w:t>
      </w:r>
      <w:r w:rsidRPr="00981E15">
        <w:t>trafamiliar y contra las mujeres.</w:t>
      </w:r>
    </w:p>
    <w:p w:rsidR="00B023C1" w:rsidRPr="00981E15" w:rsidRDefault="00B023C1" w:rsidP="00B023C1">
      <w:pPr>
        <w:pStyle w:val="SingleTxt"/>
        <w:tabs>
          <w:tab w:val="right" w:pos="1685"/>
        </w:tabs>
        <w:ind w:left="1742" w:hanging="475"/>
      </w:pPr>
      <w:r w:rsidRPr="00981E15">
        <w:tab/>
        <w:t>•</w:t>
      </w:r>
      <w:r w:rsidRPr="00981E15">
        <w:tab/>
        <w:t>La evaluación del Plan Estratégico de la CONAPREVI 2001-2006 y diseño del Plan Estratégico 2007-2012.</w:t>
      </w:r>
    </w:p>
    <w:p w:rsidR="00B023C1" w:rsidRPr="00981E15" w:rsidRDefault="00B023C1" w:rsidP="00B023C1">
      <w:pPr>
        <w:pStyle w:val="SingleTxt"/>
        <w:tabs>
          <w:tab w:val="right" w:pos="1685"/>
        </w:tabs>
        <w:ind w:left="1742" w:hanging="475"/>
      </w:pPr>
      <w:r w:rsidRPr="00981E15">
        <w:tab/>
        <w:t>•</w:t>
      </w:r>
      <w:r w:rsidRPr="00981E15">
        <w:tab/>
        <w:t>Suscripción de convenios entre la CONAPREVI y el Instituto Nacional de Estadísticas, el Org</w:t>
      </w:r>
      <w:r w:rsidRPr="00981E15">
        <w:t>a</w:t>
      </w:r>
      <w:r w:rsidRPr="00981E15">
        <w:t>nismo Judicial, la Policía Nacional Civil (PNC), la Procuraduría de los Derechos Humanos y la Procuraduría General de la Nación, en torno a la implementación del PLANOVI.</w:t>
      </w:r>
    </w:p>
    <w:p w:rsidR="00B023C1" w:rsidRPr="00981E15" w:rsidRDefault="00B023C1" w:rsidP="00B023C1">
      <w:pPr>
        <w:pStyle w:val="SingleTxt"/>
        <w:tabs>
          <w:tab w:val="right" w:pos="1685"/>
        </w:tabs>
        <w:ind w:left="1742" w:hanging="475"/>
      </w:pPr>
      <w:r w:rsidRPr="00981E15">
        <w:tab/>
        <w:t>•</w:t>
      </w:r>
      <w:r w:rsidRPr="00981E15">
        <w:tab/>
        <w:t>Se estableció un espacio de coordinación con la Policía Nacional Civil, el Ministerio Público y C</w:t>
      </w:r>
      <w:r w:rsidRPr="00981E15">
        <w:t>O</w:t>
      </w:r>
      <w:r w:rsidRPr="00981E15">
        <w:t>NAPREVI, para impulsar un plan a corto plazo para la prevención e investigación de los femicidios.</w:t>
      </w:r>
    </w:p>
    <w:p w:rsidR="00B023C1" w:rsidRPr="00981E15" w:rsidRDefault="00B023C1" w:rsidP="00B023C1">
      <w:pPr>
        <w:pStyle w:val="SingleTxt"/>
        <w:tabs>
          <w:tab w:val="right" w:pos="1685"/>
        </w:tabs>
        <w:ind w:left="1742" w:hanging="475"/>
      </w:pPr>
      <w:r w:rsidRPr="00981E15">
        <w:tab/>
        <w:t>•</w:t>
      </w:r>
      <w:r w:rsidRPr="00981E15">
        <w:tab/>
        <w:t>Capacitación al personal de la PNC para dar respuesta en una línea telefónica de emergencia, y a los Comisarios de la PNC sobre violencia contra las mujeres y femicidios.</w:t>
      </w:r>
    </w:p>
    <w:p w:rsidR="00B023C1" w:rsidRPr="00981E15" w:rsidRDefault="00B023C1" w:rsidP="00B023C1">
      <w:pPr>
        <w:pStyle w:val="SingleTxt"/>
        <w:tabs>
          <w:tab w:val="right" w:pos="1685"/>
        </w:tabs>
        <w:ind w:left="1742" w:hanging="475"/>
      </w:pPr>
      <w:r w:rsidRPr="00981E15">
        <w:tab/>
        <w:t>•</w:t>
      </w:r>
      <w:r w:rsidRPr="00981E15">
        <w:tab/>
        <w:t>Se encuentra en proceso la construcción y sistematización del modelo sobre la escena del crimen en coordinación con el Ministerio de Gobernación, PNC y el Ministerio Público.</w:t>
      </w:r>
    </w:p>
    <w:p w:rsidR="00B023C1" w:rsidRPr="00981E15" w:rsidRDefault="00B023C1" w:rsidP="00B023C1">
      <w:pPr>
        <w:pStyle w:val="SingleTxt"/>
        <w:tabs>
          <w:tab w:val="right" w:pos="1685"/>
        </w:tabs>
        <w:ind w:left="1742" w:hanging="475"/>
      </w:pPr>
      <w:r w:rsidRPr="00981E15">
        <w:tab/>
        <w:t>•</w:t>
      </w:r>
      <w:r w:rsidRPr="00981E15">
        <w:tab/>
        <w:t>Coordinación con el Instituto de la Defensa Pública Penal (IDPP), para la planificación e implementación de las acciones en el marco del convenio tripartito IDPP-Defensoría de la Mujer Indígena y CON</w:t>
      </w:r>
      <w:r w:rsidRPr="00981E15">
        <w:t>A</w:t>
      </w:r>
      <w:r w:rsidRPr="00981E15">
        <w:t>PREVI, que busca fortalecer un servicio de atención y acompañamiento legal a mujeres sobrev</w:t>
      </w:r>
      <w:r w:rsidRPr="00981E15">
        <w:t>i</w:t>
      </w:r>
      <w:r w:rsidRPr="00981E15">
        <w:t>vientes de violencia, en el marco de la defensa pública penal.</w:t>
      </w:r>
    </w:p>
    <w:p w:rsidR="00B023C1" w:rsidRPr="00981E15" w:rsidRDefault="00B023C1" w:rsidP="00B023C1">
      <w:pPr>
        <w:pStyle w:val="SingleTxt"/>
        <w:tabs>
          <w:tab w:val="right" w:pos="1685"/>
        </w:tabs>
        <w:ind w:left="1742" w:hanging="475"/>
      </w:pPr>
      <w:r w:rsidRPr="00981E15">
        <w:tab/>
        <w:t>•</w:t>
      </w:r>
      <w:r w:rsidRPr="00981E15">
        <w:tab/>
        <w:t>Coordinación con organizaciones de mujeres y de derechos humanos para la formulación y su</w:t>
      </w:r>
      <w:r w:rsidRPr="00981E15">
        <w:t>s</w:t>
      </w:r>
      <w:r w:rsidRPr="00981E15">
        <w:t xml:space="preserve">cripción de convenios específicos con CONAPREVI en el marco del PLANOVI. </w:t>
      </w:r>
    </w:p>
    <w:p w:rsidR="00B023C1" w:rsidRPr="00981E15" w:rsidRDefault="00B023C1" w:rsidP="00B023C1">
      <w:pPr>
        <w:pStyle w:val="SingleTxt"/>
        <w:spacing w:after="0" w:line="120" w:lineRule="exact"/>
        <w:rPr>
          <w:sz w:val="10"/>
        </w:rPr>
      </w:pPr>
    </w:p>
    <w:p w:rsidR="00B023C1" w:rsidRPr="00981E15" w:rsidRDefault="004C5F48"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noProof/>
          <w:spacing w:val="4"/>
        </w:rPr>
      </w:pPr>
      <w:r w:rsidRPr="00981E15">
        <w:rPr>
          <w:noProof/>
          <w:spacing w:val="4"/>
        </w:rPr>
        <w:br w:type="page"/>
      </w:r>
      <w:r w:rsidR="00B023C1" w:rsidRPr="00981E15">
        <w:rPr>
          <w:noProof/>
          <w:spacing w:val="4"/>
        </w:rPr>
        <w:tab/>
      </w:r>
      <w:r w:rsidR="00B023C1" w:rsidRPr="00981E15">
        <w:rPr>
          <w:noProof/>
          <w:spacing w:val="4"/>
        </w:rPr>
        <w:tab/>
        <w:t>Foro Nacional de la Mujer (FNM)</w:t>
      </w:r>
    </w:p>
    <w:p w:rsidR="00B023C1" w:rsidRPr="00981E15" w:rsidRDefault="00B023C1" w:rsidP="00B023C1">
      <w:pPr>
        <w:pStyle w:val="SingleTxt"/>
        <w:spacing w:after="0" w:line="120" w:lineRule="exact"/>
        <w:rPr>
          <w:sz w:val="10"/>
        </w:rPr>
      </w:pPr>
    </w:p>
    <w:p w:rsidR="00B023C1" w:rsidRPr="00981E15" w:rsidRDefault="00B023C1" w:rsidP="0032303B">
      <w:pPr>
        <w:pStyle w:val="SingleTxt"/>
        <w:numPr>
          <w:ilvl w:val="0"/>
          <w:numId w:val="16"/>
        </w:numPr>
        <w:tabs>
          <w:tab w:val="clear" w:pos="475"/>
          <w:tab w:val="num" w:pos="1742"/>
        </w:tabs>
        <w:suppressAutoHyphens/>
        <w:ind w:left="1267"/>
        <w:rPr>
          <w:noProof/>
        </w:rPr>
      </w:pPr>
      <w:r w:rsidRPr="00981E15">
        <w:rPr>
          <w:noProof/>
        </w:rPr>
        <w:t>Al FNM</w:t>
      </w:r>
      <w:r w:rsidR="004C5F48" w:rsidRPr="00981E15">
        <w:rPr>
          <w:noProof/>
        </w:rPr>
        <w:t xml:space="preserve"> </w:t>
      </w:r>
      <w:r w:rsidRPr="00981E15">
        <w:rPr>
          <w:noProof/>
        </w:rPr>
        <w:t>se le asignan los objetivos de promover la participación de las mujeres de manera a viabilizar la conciliación y el seguimiento de propuestas que incidan en las políticas nacionales de desarrollo humano integral, en el cumplimiento de los Acuerdos de Paz, Convenciones y Tratados Internacionales a favor de las mujeres ratificados por Guatemala.</w:t>
      </w:r>
    </w:p>
    <w:p w:rsidR="00B023C1" w:rsidRPr="00981E15" w:rsidRDefault="00B023C1" w:rsidP="0032303B">
      <w:pPr>
        <w:pStyle w:val="SingleTxt"/>
        <w:numPr>
          <w:ilvl w:val="0"/>
          <w:numId w:val="16"/>
        </w:numPr>
        <w:tabs>
          <w:tab w:val="clear" w:pos="475"/>
          <w:tab w:val="num" w:pos="1742"/>
        </w:tabs>
        <w:suppressAutoHyphens/>
        <w:ind w:left="1267"/>
        <w:rPr>
          <w:noProof/>
        </w:rPr>
      </w:pPr>
      <w:r w:rsidRPr="00981E15">
        <w:rPr>
          <w:noProof/>
        </w:rPr>
        <w:t>El FNM se constituyó en tres niveles de participación y representación con instituciones del Estado y organizaciones de mujeres: 1) local, con representantes de aldeas y municipios, integradas a las comunidades lingüisticas y multisectoriales departamentales. 2) Regional, con las representantes de las comunidades lingüisticas y multisectoriales de la región; y 3) Nacional, con representantes de las estructuras del Foro y las integrantes de la Comisión Coordinadora.</w:t>
      </w:r>
      <w:r w:rsidR="004C5F48" w:rsidRPr="00981E15">
        <w:rPr>
          <w:noProof/>
        </w:rPr>
        <w:t xml:space="preserve"> </w:t>
      </w:r>
      <w:r w:rsidRPr="00981E15">
        <w:rPr>
          <w:noProof/>
        </w:rPr>
        <w:t>De esta manera el Foro permitie una amplia representación territorial de las diversas estructuras y comunidades lingüísticas que lo integran.</w:t>
      </w:r>
      <w:r w:rsidR="004C5F48" w:rsidRPr="00981E15">
        <w:rPr>
          <w:noProof/>
        </w:rPr>
        <w:t xml:space="preserve"> </w:t>
      </w:r>
      <w:r w:rsidRPr="00981E15">
        <w:rPr>
          <w:noProof/>
        </w:rPr>
        <w:t>Se</w:t>
      </w:r>
      <w:r w:rsidR="004C5F48" w:rsidRPr="00981E15">
        <w:rPr>
          <w:noProof/>
        </w:rPr>
        <w:t xml:space="preserve"> </w:t>
      </w:r>
      <w:r w:rsidRPr="00981E15">
        <w:rPr>
          <w:noProof/>
        </w:rPr>
        <w:t>cuenta con la participación de 225 mujeres delegadas titutales, representantes de las 54 estructuras formadas (22 asambleas multisectoriales con representantes de las diferentes organizaciones de mujeres y de organizaciones no gubernamentales (ongs) de cada uno de los departamentos del país y entidades gubernamentales), más las comunidades lingüísticas (con participación de las 23 etnias representadas en la estructura del Foro, con 32 comunidades lingüisticas).</w:t>
      </w:r>
      <w:r w:rsidR="004C5F48" w:rsidRPr="00981E15">
        <w:rPr>
          <w:noProof/>
        </w:rPr>
        <w:t xml:space="preserve"> </w:t>
      </w:r>
      <w:r w:rsidRPr="00981E15">
        <w:rPr>
          <w:noProof/>
        </w:rPr>
        <w:t>De esa forma, el Foro se constituye en una instancia de mujeres amplia, plural, diversa, participativa y de consulta y diálogo permanente, principalmente por su estructura y conformacion de entidades del Estado y organizaciones de mujeres de la sociedad civil.</w:t>
      </w:r>
      <w:r w:rsidR="004C5F48" w:rsidRPr="00981E15">
        <w:rPr>
          <w:noProof/>
        </w:rPr>
        <w:t xml:space="preserve"> </w:t>
      </w:r>
      <w:r w:rsidRPr="00981E15">
        <w:rPr>
          <w:noProof/>
        </w:rPr>
        <w:t xml:space="preserve">En la actualidad el Foro se encuentra en proceso de reestructuración. </w:t>
      </w:r>
    </w:p>
    <w:p w:rsidR="00B023C1" w:rsidRPr="00981E15" w:rsidRDefault="00B023C1" w:rsidP="0032303B">
      <w:pPr>
        <w:pStyle w:val="SingleTxt"/>
        <w:numPr>
          <w:ilvl w:val="0"/>
          <w:numId w:val="16"/>
        </w:numPr>
        <w:tabs>
          <w:tab w:val="clear" w:pos="475"/>
          <w:tab w:val="num" w:pos="1742"/>
        </w:tabs>
        <w:suppressAutoHyphens/>
        <w:ind w:left="1267"/>
        <w:rPr>
          <w:noProof/>
        </w:rPr>
      </w:pPr>
      <w:r w:rsidRPr="00981E15">
        <w:rPr>
          <w:noProof/>
        </w:rPr>
        <w:t>El FNM asume conjuntamente con la SEPREM y la DEMI</w:t>
      </w:r>
      <w:r w:rsidR="004C5F48" w:rsidRPr="00981E15">
        <w:rPr>
          <w:noProof/>
        </w:rPr>
        <w:t xml:space="preserve"> </w:t>
      </w:r>
      <w:r w:rsidRPr="00981E15">
        <w:rPr>
          <w:noProof/>
        </w:rPr>
        <w:t>el cumplimiento específico de los Compromisos de los Acuerdos de Paz números:</w:t>
      </w:r>
      <w:r w:rsidR="004C5F48" w:rsidRPr="00981E15">
        <w:rPr>
          <w:noProof/>
        </w:rPr>
        <w:t xml:space="preserve"> </w:t>
      </w:r>
      <w:r w:rsidRPr="00981E15">
        <w:rPr>
          <w:i/>
          <w:noProof/>
        </w:rPr>
        <w:t>26</w:t>
      </w:r>
      <w:r w:rsidRPr="00981E15">
        <w:rPr>
          <w:noProof/>
        </w:rPr>
        <w:t>,</w:t>
      </w:r>
      <w:r w:rsidR="004C5F48" w:rsidRPr="00981E15">
        <w:rPr>
          <w:noProof/>
        </w:rPr>
        <w:t xml:space="preserve"> </w:t>
      </w:r>
      <w:r w:rsidRPr="00981E15">
        <w:rPr>
          <w:noProof/>
        </w:rPr>
        <w:t>divulgación de la CEDAW;</w:t>
      </w:r>
      <w:r w:rsidR="004C5F48" w:rsidRPr="00981E15">
        <w:rPr>
          <w:noProof/>
        </w:rPr>
        <w:t xml:space="preserve"> </w:t>
      </w:r>
      <w:r w:rsidRPr="00981E15">
        <w:rPr>
          <w:i/>
          <w:noProof/>
        </w:rPr>
        <w:t>84</w:t>
      </w:r>
      <w:r w:rsidRPr="00981E15">
        <w:rPr>
          <w:noProof/>
        </w:rPr>
        <w:t>,</w:t>
      </w:r>
      <w:r w:rsidR="004C5F48" w:rsidRPr="00981E15">
        <w:rPr>
          <w:noProof/>
        </w:rPr>
        <w:t xml:space="preserve"> </w:t>
      </w:r>
      <w:r w:rsidRPr="00981E15">
        <w:rPr>
          <w:noProof/>
        </w:rPr>
        <w:t xml:space="preserve">seguimiento a los Acuerdos relativos a la mujer y </w:t>
      </w:r>
      <w:r w:rsidRPr="00981E15">
        <w:rPr>
          <w:i/>
          <w:noProof/>
        </w:rPr>
        <w:t>85</w:t>
      </w:r>
      <w:r w:rsidRPr="00981E15">
        <w:rPr>
          <w:noProof/>
        </w:rPr>
        <w:t>, realizar evaluación de los avances de la participación de las mujeres y sobre esta base elaborar el Plan de Acción correspondiente.</w:t>
      </w:r>
      <w:r w:rsidR="004C5F48" w:rsidRPr="00981E15">
        <w:rPr>
          <w:noProof/>
        </w:rPr>
        <w:t xml:space="preserve"> </w:t>
      </w:r>
      <w:r w:rsidRPr="00981E15">
        <w:t>El FNM ha dado especial relevancia al cumplimiento del Compromiso 85, logrando institucion</w:t>
      </w:r>
      <w:r w:rsidRPr="00981E15">
        <w:t>a</w:t>
      </w:r>
      <w:r w:rsidRPr="00981E15">
        <w:t>lizar la práctica de realizar evaluaciones periódicas de los avances de la participación de las mujeres.</w:t>
      </w:r>
      <w:r w:rsidR="004C5F48" w:rsidRPr="00981E15">
        <w:t xml:space="preserve"> </w:t>
      </w:r>
    </w:p>
    <w:p w:rsidR="00B023C1" w:rsidRPr="00981E15" w:rsidRDefault="00B023C1" w:rsidP="001736D5">
      <w:pPr>
        <w:pStyle w:val="SingleTxt"/>
        <w:numPr>
          <w:ilvl w:val="0"/>
          <w:numId w:val="16"/>
        </w:numPr>
        <w:tabs>
          <w:tab w:val="clear" w:pos="475"/>
          <w:tab w:val="num" w:pos="1742"/>
        </w:tabs>
        <w:suppressAutoHyphens/>
        <w:ind w:left="1267"/>
      </w:pPr>
      <w:r w:rsidRPr="00981E15">
        <w:t>De manera conjunta con la SEPREM se diseñó e implementó el Programa de Capacitación Además, se desarrolla en forma conjunta FNM y DEMI el Programa de Formación y capacit</w:t>
      </w:r>
      <w:r w:rsidRPr="00981E15">
        <w:t>a</w:t>
      </w:r>
      <w:r w:rsidRPr="00981E15">
        <w:t>ción a Promotoras en Desarrollo local y municipal, con los siguientes módulos: 1) Las mujeres de ayer, hoy y mañana; 2) multiculturalidad e interculturalidad con enfoque de género y 3) hablemos de nuestros derechos.</w:t>
      </w:r>
      <w:r w:rsidR="004C5F48" w:rsidRPr="00981E15">
        <w:t xml:space="preserve"> </w:t>
      </w:r>
      <w:r w:rsidRPr="00981E15">
        <w:t>Este programa está orientado a la creación y fortalecimiento de capacidades para la participación efectiva de las mujeres electas como representantes de sus organizaciones en los diferentes niveles del Sistema de Consejos de Desarrollo.</w:t>
      </w:r>
    </w:p>
    <w:p w:rsidR="00B023C1" w:rsidRPr="00981E15" w:rsidRDefault="00B023C1" w:rsidP="00B023C1">
      <w:pPr>
        <w:pStyle w:val="SingleTxt"/>
        <w:spacing w:after="0" w:line="120" w:lineRule="exact"/>
        <w:rPr>
          <w:noProof/>
          <w:sz w:val="10"/>
        </w:rPr>
      </w:pPr>
    </w:p>
    <w:p w:rsidR="00B023C1" w:rsidRPr="00981E15" w:rsidRDefault="00B023C1" w:rsidP="001736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noProof/>
        </w:rPr>
      </w:pPr>
      <w:r w:rsidRPr="00981E15">
        <w:rPr>
          <w:noProof/>
        </w:rPr>
        <w:tab/>
      </w:r>
      <w:r w:rsidRPr="00981E15">
        <w:rPr>
          <w:noProof/>
        </w:rPr>
        <w:tab/>
        <w:t>Diagnóstico sobre la Participación de las Mujeres Guatemaltecas en</w:t>
      </w:r>
      <w:r w:rsidRPr="00981E15">
        <w:rPr>
          <w:noProof/>
        </w:rPr>
        <w:br/>
        <w:t>el Sistema de Consejos de Desarrollo, elaborado por el Foro Nacional</w:t>
      </w:r>
      <w:r w:rsidRPr="00981E15">
        <w:rPr>
          <w:noProof/>
        </w:rPr>
        <w:br/>
        <w:t>de la Mujer</w:t>
      </w:r>
    </w:p>
    <w:p w:rsidR="00B023C1" w:rsidRPr="00981E15" w:rsidRDefault="00B023C1" w:rsidP="00B023C1">
      <w:pPr>
        <w:pStyle w:val="SingleTxt"/>
        <w:spacing w:after="0" w:line="120" w:lineRule="exact"/>
        <w:rPr>
          <w:sz w:val="10"/>
        </w:rPr>
      </w:pPr>
    </w:p>
    <w:p w:rsidR="00B023C1" w:rsidRPr="00981E15" w:rsidRDefault="00B023C1" w:rsidP="001736D5">
      <w:pPr>
        <w:pStyle w:val="SingleTxt"/>
        <w:numPr>
          <w:ilvl w:val="0"/>
          <w:numId w:val="16"/>
        </w:numPr>
        <w:tabs>
          <w:tab w:val="clear" w:pos="475"/>
          <w:tab w:val="num" w:pos="1742"/>
        </w:tabs>
        <w:suppressAutoHyphens/>
        <w:ind w:left="1267"/>
        <w:rPr>
          <w:noProof/>
        </w:rPr>
      </w:pPr>
      <w:r w:rsidRPr="00981E15">
        <w:rPr>
          <w:noProof/>
        </w:rPr>
        <w:t>Esta iniciativa da cumplimiento al Compromiso 178 de los Acuerdos de Paz que establece “</w:t>
      </w:r>
      <w:r w:rsidRPr="00981E15">
        <w:rPr>
          <w:i/>
          <w:noProof/>
        </w:rPr>
        <w:t>Realizar una evaluación de los avances en la participación de la mujer, y sobre esta base, elaborar el plan de acción correspondiente</w:t>
      </w:r>
      <w:r w:rsidRPr="00981E15">
        <w:rPr>
          <w:noProof/>
        </w:rPr>
        <w:t>”. El FNM se propuso con este Diagnóstico examinar cuál es la realidad de la participación de las mujeres en el Sistema Nacional de Consejos de Desarrollo,</w:t>
      </w:r>
      <w:r w:rsidR="004C5F48" w:rsidRPr="00981E15">
        <w:rPr>
          <w:noProof/>
        </w:rPr>
        <w:t xml:space="preserve"> </w:t>
      </w:r>
      <w:r w:rsidRPr="00981E15">
        <w:rPr>
          <w:noProof/>
        </w:rPr>
        <w:t>a partir de la percepción de las propias mujeres participantes en los Consejos, de las autoridades locales, de los y las representantes gubernamentales y de los hombres y mujeres que integran la sociedad civil local.</w:t>
      </w:r>
      <w:r w:rsidR="004C5F48" w:rsidRPr="00981E15">
        <w:rPr>
          <w:noProof/>
        </w:rPr>
        <w:t xml:space="preserve"> </w:t>
      </w:r>
      <w:r w:rsidRPr="00981E15">
        <w:rPr>
          <w:noProof/>
        </w:rPr>
        <w:t>Su objetivo consiste en identificar los obstáculos y las oportunidades para avanzar de manera efectiva en la implementación del “Plan de Acción 2002-2012 para la Plena Participación de las Mujeres Guatemaltecas”.</w:t>
      </w:r>
    </w:p>
    <w:p w:rsidR="00B023C1" w:rsidRPr="00981E15" w:rsidRDefault="00B023C1" w:rsidP="003A54CD">
      <w:pPr>
        <w:pStyle w:val="SingleTxt"/>
        <w:numPr>
          <w:ilvl w:val="0"/>
          <w:numId w:val="16"/>
        </w:numPr>
        <w:tabs>
          <w:tab w:val="clear" w:pos="475"/>
          <w:tab w:val="num" w:pos="1742"/>
        </w:tabs>
        <w:suppressAutoHyphens/>
        <w:ind w:left="1267"/>
        <w:rPr>
          <w:noProof/>
        </w:rPr>
      </w:pPr>
      <w:r w:rsidRPr="00981E15">
        <w:rPr>
          <w:noProof/>
        </w:rPr>
        <w:t>La Investigación realizada por el FNM, durante los meses de agosto 2005 a enero 2006 tomó como unidad de análisis los Consejos Municipales de Desarrollo (COMUDEs) y los</w:t>
      </w:r>
      <w:r w:rsidR="004C5F48" w:rsidRPr="00981E15">
        <w:rPr>
          <w:noProof/>
        </w:rPr>
        <w:t xml:space="preserve"> </w:t>
      </w:r>
      <w:r w:rsidRPr="00981E15">
        <w:rPr>
          <w:noProof/>
        </w:rPr>
        <w:t>Consejos Comunitarios de Desarrollo (COCODEs), para conocer a través de los propios actores, hombres y mujeres los avances en la participación de las mujeres en estos espacios públicos.</w:t>
      </w:r>
      <w:r w:rsidR="004C5F48" w:rsidRPr="00981E15">
        <w:rPr>
          <w:noProof/>
        </w:rPr>
        <w:t xml:space="preserve"> </w:t>
      </w:r>
      <w:r w:rsidRPr="00981E15">
        <w:rPr>
          <w:noProof/>
        </w:rPr>
        <w:t>También midió el conocimiento de la ciudadania sobre los procesos de cambio institucional que están siendo impulsados y sobre los Consejos de Desarrollo como espacios de participación.</w:t>
      </w:r>
    </w:p>
    <w:p w:rsidR="00B023C1" w:rsidRPr="00981E15" w:rsidRDefault="00B023C1" w:rsidP="003A54CD">
      <w:pPr>
        <w:pStyle w:val="SingleTxt"/>
        <w:numPr>
          <w:ilvl w:val="0"/>
          <w:numId w:val="16"/>
        </w:numPr>
        <w:tabs>
          <w:tab w:val="clear" w:pos="475"/>
          <w:tab w:val="num" w:pos="1742"/>
        </w:tabs>
        <w:suppressAutoHyphens/>
        <w:ind w:left="1267"/>
      </w:pPr>
      <w:r w:rsidRPr="00981E15">
        <w:t>El Diagnóstico permite establecer la línea de base 2006 de la Participación de las Mujeres en el Sistema de Consejos de Desarrollo, siendo el primer estudio cualitativo y cuantitativo que contiene datos de los 22 departamentos y 332 municipios del país.</w:t>
      </w:r>
      <w:r w:rsidR="004C5F48" w:rsidRPr="00981E15">
        <w:t xml:space="preserve"> </w:t>
      </w:r>
      <w:r w:rsidRPr="00981E15">
        <w:t>Queda pendiente, sin embargo completar el esfuerzo con futuros estudios que permitan evaluar tanto los avances o retrocesos que se produzcan en cada uno de los aspectos relevados por el Diagnóstico, como también el alcance de las diferentes intervenciones realizadas por el FNM y por las organizaciones que trabajan</w:t>
      </w:r>
      <w:r w:rsidR="004C5F48" w:rsidRPr="00981E15">
        <w:t xml:space="preserve"> </w:t>
      </w:r>
      <w:r w:rsidRPr="00981E15">
        <w:t>en beneficio de las muj</w:t>
      </w:r>
      <w:r w:rsidRPr="00981E15">
        <w:t>e</w:t>
      </w:r>
      <w:r w:rsidRPr="00981E15">
        <w:t>res.</w:t>
      </w:r>
    </w:p>
    <w:p w:rsidR="00B023C1" w:rsidRPr="00981E15" w:rsidRDefault="00B023C1" w:rsidP="003A54CD">
      <w:pPr>
        <w:pStyle w:val="SingleTxt"/>
        <w:numPr>
          <w:ilvl w:val="0"/>
          <w:numId w:val="16"/>
        </w:numPr>
        <w:tabs>
          <w:tab w:val="clear" w:pos="475"/>
          <w:tab w:val="num" w:pos="1742"/>
        </w:tabs>
        <w:suppressAutoHyphens/>
        <w:ind w:left="1267"/>
      </w:pPr>
      <w:r w:rsidRPr="00981E15">
        <w:t>El diagnóstico ofrece una fotografía del proceso de participación de las mujeres en los Consejos de Desarrollo.</w:t>
      </w:r>
      <w:r w:rsidR="004C5F48" w:rsidRPr="00981E15">
        <w:t xml:space="preserve"> </w:t>
      </w:r>
      <w:r w:rsidRPr="00981E15">
        <w:t>Esta fotografía nos revela que las mujeres se han ido incorporando a estos espacios con suma dificultad y que aún falta camino por recorrer- en algunos departamentos más que en otros- para que sus derechos sean respetados, sus intereses incluidos en la toma de decisiones y aumente su calidad de vida.</w:t>
      </w:r>
      <w:r w:rsidR="004C5F48" w:rsidRPr="00981E15">
        <w:t xml:space="preserve"> </w:t>
      </w:r>
      <w:r w:rsidRPr="00981E15">
        <w:t>Situación que se presenta en y desarrolla en el artículo 14 del presente informe.</w:t>
      </w:r>
    </w:p>
    <w:p w:rsidR="00B023C1" w:rsidRPr="00981E15" w:rsidRDefault="00B023C1" w:rsidP="003A54CD">
      <w:pPr>
        <w:pStyle w:val="SingleTxt"/>
        <w:numPr>
          <w:ilvl w:val="0"/>
          <w:numId w:val="16"/>
        </w:numPr>
        <w:tabs>
          <w:tab w:val="clear" w:pos="475"/>
          <w:tab w:val="num" w:pos="1742"/>
        </w:tabs>
        <w:suppressAutoHyphens/>
        <w:ind w:left="1267"/>
      </w:pPr>
      <w:r w:rsidRPr="00981E15">
        <w:t>Derivado de este Diagnóstico surgen las siguientes propuestas de líneas de acción:</w:t>
      </w: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b w:val="0"/>
          <w:spacing w:val="4"/>
        </w:rPr>
        <w:tab/>
      </w:r>
      <w:r w:rsidRPr="00981E15">
        <w:rPr>
          <w:b w:val="0"/>
          <w:spacing w:val="4"/>
        </w:rPr>
        <w:tab/>
        <w:t>Recuadro 4</w:t>
      </w:r>
      <w:r w:rsidRPr="00981E15">
        <w:rPr>
          <w:b w:val="0"/>
          <w:spacing w:val="4"/>
        </w:rPr>
        <w:br/>
      </w:r>
      <w:r w:rsidRPr="00981E15">
        <w:rPr>
          <w:spacing w:val="4"/>
        </w:rPr>
        <w:t>Líneas de acción propuestas derivadas del Diagnóstico elaborado por el FNM</w:t>
      </w:r>
    </w:p>
    <w:p w:rsidR="00B023C1" w:rsidRPr="00981E15" w:rsidRDefault="00B023C1" w:rsidP="00B023C1">
      <w:pPr>
        <w:pStyle w:val="SingleTxt"/>
        <w:spacing w:after="0" w:line="120" w:lineRule="exact"/>
        <w:rPr>
          <w:sz w:val="10"/>
        </w:rPr>
      </w:pPr>
    </w:p>
    <w:tbl>
      <w:tblPr>
        <w:tblW w:w="4225" w:type="pct"/>
        <w:tblInd w:w="141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890"/>
        <w:gridCol w:w="6616"/>
      </w:tblGrid>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1</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Promover la participación política de las mujeres en los gobiernos locales que se mantienen como espacios masculinizados y con hegemonía masculina.</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 xml:space="preserve">Línea de acción 2 </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Fortalecer la promoción de la participación de las organizaciones de mujeres en procesos de selección de representantes de los COMUDES.</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3</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Estudiar a profundidad el perfil masculinizado de la gestión municipal.</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4</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Revisar y apoyar los procedimientos para los procesos de selección a cargos en los COCODEs.</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5</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Monitorear el funcionamiento de los Consejos Municipales de Desarrollo.</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6</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Promover la articulación entre las agendas de las organizaciones de mujeres y las organizaciones de la sociedad civil.</w:t>
            </w:r>
          </w:p>
        </w:tc>
      </w:tr>
      <w:tr w:rsidR="00B023C1" w:rsidRPr="00981E15">
        <w:tc>
          <w:tcPr>
            <w:tcW w:w="1111" w:type="pct"/>
            <w:shd w:val="clear" w:color="auto" w:fill="auto"/>
          </w:tcPr>
          <w:p w:rsidR="00B023C1" w:rsidRPr="00981E15" w:rsidRDefault="00B023C1" w:rsidP="003A54CD">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3E"/>
                <w:lang w:eastAsia="es-ES"/>
              </w:rPr>
            </w:pPr>
            <w:r w:rsidRPr="00981E15">
              <w:rPr>
                <w:rStyle w:val="TTable3E"/>
                <w:lang w:eastAsia="es-ES"/>
              </w:rPr>
              <w:t>Línea de acción 7</w:t>
            </w:r>
          </w:p>
        </w:tc>
        <w:tc>
          <w:tcPr>
            <w:tcW w:w="3889" w:type="pct"/>
            <w:shd w:val="clear" w:color="auto" w:fill="auto"/>
            <w:vAlign w:val="bottom"/>
          </w:tcPr>
          <w:p w:rsidR="00B023C1" w:rsidRPr="00981E15" w:rsidRDefault="00B023C1" w:rsidP="003A54CD">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3"/>
              <w:rPr>
                <w:rStyle w:val="TTable3E"/>
                <w:lang w:eastAsia="es-ES"/>
              </w:rPr>
            </w:pPr>
            <w:r w:rsidRPr="00981E15">
              <w:rPr>
                <w:rStyle w:val="TTable3E"/>
                <w:lang w:eastAsia="es-ES"/>
              </w:rPr>
              <w:t>Apoyar el proceso de elaboración de propuestas que presentan las mujeres a los Consejos y el proceso de cabildeo con otros sectores</w:t>
            </w:r>
            <w:r w:rsidR="004C5F48" w:rsidRPr="00981E15">
              <w:rPr>
                <w:rStyle w:val="TTable3E"/>
                <w:lang w:eastAsia="es-ES"/>
              </w:rPr>
              <w:t xml:space="preserve"> </w:t>
            </w:r>
            <w:r w:rsidRPr="00981E15">
              <w:rPr>
                <w:rStyle w:val="TTable3E"/>
                <w:lang w:eastAsia="es-ES"/>
              </w:rPr>
              <w:t>para impulsarlas.</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8</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Sensibilizar a las autoridades municipales sobre la asignación de recursos para proyectos que beneficien a las mujeres.</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9</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Fortalecer los procesos de educación en derechos de las mujeres y participación ciudadana.</w:t>
            </w:r>
          </w:p>
        </w:tc>
      </w:tr>
      <w:tr w:rsidR="00B023C1" w:rsidRPr="00981E15">
        <w:tc>
          <w:tcPr>
            <w:tcW w:w="1111" w:type="pct"/>
            <w:shd w:val="clear" w:color="auto" w:fill="auto"/>
          </w:tcPr>
          <w:p w:rsidR="00B023C1" w:rsidRPr="00981E15" w:rsidRDefault="00B023C1" w:rsidP="003A54CD">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Línea de acción 10</w:t>
            </w:r>
          </w:p>
        </w:tc>
        <w:tc>
          <w:tcPr>
            <w:tcW w:w="3889" w:type="pct"/>
            <w:shd w:val="clear" w:color="auto" w:fill="auto"/>
            <w:vAlign w:val="bottom"/>
          </w:tcPr>
          <w:p w:rsidR="00B023C1" w:rsidRPr="00981E15" w:rsidRDefault="00B023C1" w:rsidP="00B023C1">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80"/>
              <w:ind w:right="40"/>
              <w:rPr>
                <w:rStyle w:val="TTable3E"/>
                <w:lang w:eastAsia="es-ES"/>
              </w:rPr>
            </w:pPr>
            <w:r w:rsidRPr="00981E15">
              <w:rPr>
                <w:rStyle w:val="TTable3E"/>
                <w:lang w:eastAsia="es-ES"/>
              </w:rPr>
              <w:t>Establecer un sistema de monitoreo, evaluación y sistematización (SIPES) de la Equidad de Género en el Sector Público.</w:t>
            </w:r>
          </w:p>
        </w:tc>
      </w:tr>
    </w:tbl>
    <w:p w:rsidR="00B023C1" w:rsidRPr="00981E15" w:rsidRDefault="00B023C1" w:rsidP="00B023C1">
      <w:pPr>
        <w:pStyle w:val="SingleTxt"/>
        <w:spacing w:after="0" w:line="120" w:lineRule="exact"/>
        <w:rPr>
          <w:sz w:val="10"/>
        </w:rPr>
      </w:pP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Mecanismos Municipales de la Mujer (MMM)</w:t>
      </w:r>
    </w:p>
    <w:p w:rsidR="00B023C1" w:rsidRPr="00981E15" w:rsidRDefault="00B023C1" w:rsidP="00B023C1">
      <w:pPr>
        <w:pStyle w:val="SingleTxt"/>
        <w:spacing w:after="0" w:line="120" w:lineRule="exact"/>
        <w:rPr>
          <w:sz w:val="10"/>
        </w:rPr>
      </w:pPr>
    </w:p>
    <w:p w:rsidR="00B023C1" w:rsidRPr="00981E15" w:rsidRDefault="00B023C1" w:rsidP="003A54CD">
      <w:pPr>
        <w:pStyle w:val="SingleTxt"/>
        <w:numPr>
          <w:ilvl w:val="0"/>
          <w:numId w:val="16"/>
        </w:numPr>
        <w:tabs>
          <w:tab w:val="clear" w:pos="475"/>
          <w:tab w:val="num" w:pos="1742"/>
        </w:tabs>
        <w:suppressAutoHyphens/>
        <w:ind w:left="1267"/>
      </w:pPr>
      <w:r w:rsidRPr="00981E15">
        <w:t>Si bien la creación de mecanismos institucionales de la mujer se ha concentrado básicamente en el ámbito nacional, particularmente en el gobierno central, en los últimos años se han</w:t>
      </w:r>
      <w:r w:rsidR="004C5F48" w:rsidRPr="00981E15">
        <w:t xml:space="preserve"> </w:t>
      </w:r>
      <w:r w:rsidRPr="00981E15">
        <w:t>promovido estos mecanismos institucionales en el ámbito local.</w:t>
      </w:r>
      <w:r w:rsidR="004C5F48" w:rsidRPr="00981E15">
        <w:t xml:space="preserve"> </w:t>
      </w:r>
      <w:r w:rsidRPr="00981E15">
        <w:t>Derivado de los esfuerzos que involucran a organizaci</w:t>
      </w:r>
      <w:r w:rsidRPr="00981E15">
        <w:t>o</w:t>
      </w:r>
      <w:r w:rsidRPr="00981E15">
        <w:t>nes de mujeres, instituciones públicas como la SEPREM y corporaciones municipales, se</w:t>
      </w:r>
      <w:r w:rsidR="004C5F48" w:rsidRPr="00981E15">
        <w:t xml:space="preserve"> </w:t>
      </w:r>
      <w:r w:rsidRPr="00981E15">
        <w:t xml:space="preserve">logra que el nuevo marco jurídico que rige los gobiernos municipales y las instancias de participación ciudadana en el ámbito municipal incorporaran de manera explícita la creación de las </w:t>
      </w:r>
      <w:r w:rsidRPr="00981E15">
        <w:rPr>
          <w:i/>
        </w:rPr>
        <w:t>Comisiones de la Mujer</w:t>
      </w:r>
      <w:r w:rsidRPr="00981E15">
        <w:t>, como parte de las Comisiones de la Familia, la Mujer y la Niñez, que obligatoriamente deben ser conformadas en las corporaciones municipales.</w:t>
      </w:r>
    </w:p>
    <w:p w:rsidR="00B023C1" w:rsidRPr="00981E15" w:rsidRDefault="00B023C1" w:rsidP="003A54CD">
      <w:pPr>
        <w:pStyle w:val="SingleTxt"/>
        <w:numPr>
          <w:ilvl w:val="0"/>
          <w:numId w:val="16"/>
        </w:numPr>
        <w:tabs>
          <w:tab w:val="clear" w:pos="475"/>
          <w:tab w:val="num" w:pos="1742"/>
        </w:tabs>
        <w:suppressAutoHyphens/>
        <w:ind w:left="1267"/>
      </w:pPr>
      <w:r w:rsidRPr="00981E15">
        <w:t>En efecto, la Ley de Dignificación y Promoción Integral de la Mujer (Decreto 97-1996) tiene el mérito de ser la primera norma jurídica centroamericana que establece la creación de mecanismos institucionales en el ámbito local. Asimismo, la trilogía de leyes de descentralización: Ley de Descentralización, Ley de Consejos de Desarrollo Urbano y Rural y Código Municipal (2002) los consideran.</w:t>
      </w:r>
    </w:p>
    <w:p w:rsidR="00B023C1" w:rsidRPr="00981E15" w:rsidRDefault="00B023C1" w:rsidP="00B023C1">
      <w:pPr>
        <w:pStyle w:val="SingleTxt"/>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Comisiones Municipales de la Mujer (CMM)</w:t>
      </w:r>
    </w:p>
    <w:p w:rsidR="00B023C1" w:rsidRPr="00981E15" w:rsidRDefault="00B023C1" w:rsidP="00B023C1">
      <w:pPr>
        <w:pStyle w:val="SingleTxt"/>
        <w:spacing w:after="0" w:line="120" w:lineRule="exact"/>
        <w:rPr>
          <w:sz w:val="10"/>
        </w:rPr>
      </w:pPr>
    </w:p>
    <w:p w:rsidR="00B023C1" w:rsidRPr="00981E15" w:rsidRDefault="00B023C1" w:rsidP="00185446">
      <w:pPr>
        <w:pStyle w:val="SingleTxt"/>
        <w:numPr>
          <w:ilvl w:val="0"/>
          <w:numId w:val="16"/>
        </w:numPr>
        <w:tabs>
          <w:tab w:val="clear" w:pos="475"/>
          <w:tab w:val="num" w:pos="1742"/>
        </w:tabs>
        <w:suppressAutoHyphens/>
        <w:ind w:left="1267"/>
      </w:pPr>
      <w:r w:rsidRPr="00981E15">
        <w:t>En lo que respecta a las CMM, en el ámbito municipal éstas encuentran su fundamento jurídico en el Código Municipal y en la Ley que regula el funcionamiento del Sistema de Consejos de Desarr</w:t>
      </w:r>
      <w:r w:rsidRPr="00981E15">
        <w:t>o</w:t>
      </w:r>
      <w:r w:rsidRPr="00981E15">
        <w:t>llo.</w:t>
      </w:r>
      <w:r w:rsidR="004C5F48" w:rsidRPr="00981E15">
        <w:t xml:space="preserve"> </w:t>
      </w:r>
      <w:r w:rsidRPr="00981E15">
        <w:t>El artículo 36 del Código Municipal ordena al Consejo Municipal a conformar con carácter oblig</w:t>
      </w:r>
      <w:r w:rsidRPr="00981E15">
        <w:t>a</w:t>
      </w:r>
      <w:r w:rsidRPr="00981E15">
        <w:t>torio entre otras, la Comisión de la Familia, la Mujer y la Niñez, y norma los procedimientos respecto de sus funciones y dictámenes.</w:t>
      </w:r>
    </w:p>
    <w:p w:rsidR="00B023C1" w:rsidRPr="00981E15" w:rsidRDefault="00B023C1" w:rsidP="00185446">
      <w:pPr>
        <w:pStyle w:val="SingleTxt"/>
        <w:numPr>
          <w:ilvl w:val="0"/>
          <w:numId w:val="16"/>
        </w:numPr>
        <w:tabs>
          <w:tab w:val="clear" w:pos="475"/>
          <w:tab w:val="num" w:pos="1742"/>
        </w:tabs>
        <w:suppressAutoHyphens/>
        <w:ind w:left="1267"/>
      </w:pPr>
      <w:r w:rsidRPr="00981E15">
        <w:t>En lo que se refiere a la creación de estos órganos de participación en los Consejos de Desarrollo, la Ley de Consejos de Desarrollo Urbano y Rural establece en su artículo 24 que pueden crearse las Comisiones que se consideren necesarias, las que deben ser acordadas en el Consejo Municipal de Desarrollo</w:t>
      </w:r>
      <w:r w:rsidR="00185446" w:rsidRPr="00981E15">
        <w:t xml:space="preserve"> </w:t>
      </w:r>
      <w:r w:rsidRPr="00981E15">
        <w:t>(COMUDE) y la Corporación Municipal.</w:t>
      </w:r>
      <w:r w:rsidR="004C5F48" w:rsidRPr="00981E15">
        <w:t xml:space="preserve"> </w:t>
      </w:r>
      <w:r w:rsidRPr="00981E15">
        <w:t>El artículo 28 del Reglamento a la Ley, establece que es imprescindible que miembros del COMUDE participen en estas Comisiones y que su coordinador/a sea una persona integrante titular del mismo.</w:t>
      </w:r>
      <w:r w:rsidR="004C5F48" w:rsidRPr="00981E15">
        <w:t xml:space="preserve"> </w:t>
      </w:r>
    </w:p>
    <w:p w:rsidR="00B023C1" w:rsidRPr="00981E15" w:rsidRDefault="00B023C1" w:rsidP="00185446">
      <w:pPr>
        <w:pStyle w:val="SingleTxt"/>
        <w:numPr>
          <w:ilvl w:val="0"/>
          <w:numId w:val="16"/>
        </w:numPr>
        <w:tabs>
          <w:tab w:val="clear" w:pos="475"/>
          <w:tab w:val="num" w:pos="1742"/>
        </w:tabs>
        <w:suppressAutoHyphens/>
        <w:ind w:left="1267"/>
      </w:pPr>
      <w:r w:rsidRPr="00981E15">
        <w:t>Si bien, las CMMs existen en 50% de los municipios del país, el Diagnóstico elaborado por el Foro Nacional de la Mujer,</w:t>
      </w:r>
      <w:r w:rsidR="004C5F48" w:rsidRPr="00981E15">
        <w:t xml:space="preserve"> </w:t>
      </w:r>
      <w:r w:rsidRPr="00981E15">
        <w:t>ha constatado que muchas de estas Comisiones están conformadas por una sola persona, designadas por el Alcalde o Consejo Municipal, y no tienen mayor funcionamiento.</w:t>
      </w:r>
    </w:p>
    <w:p w:rsidR="00185446" w:rsidRPr="00981E15" w:rsidRDefault="00185446" w:rsidP="00185446">
      <w:pPr>
        <w:pStyle w:val="SingleTxt"/>
        <w:suppressAutoHyphens/>
        <w:spacing w:after="0" w:line="120" w:lineRule="exact"/>
        <w:rPr>
          <w:sz w:val="10"/>
        </w:rPr>
      </w:pPr>
    </w:p>
    <w:p w:rsidR="00B023C1" w:rsidRPr="00981E15" w:rsidRDefault="00B023C1" w:rsidP="001854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Oficinas Municipales de la Mujer (OMM)</w:t>
      </w:r>
    </w:p>
    <w:p w:rsidR="00185446" w:rsidRPr="00981E15" w:rsidRDefault="00185446" w:rsidP="00185446">
      <w:pPr>
        <w:pStyle w:val="SingleTxt"/>
        <w:spacing w:after="0" w:line="120" w:lineRule="exact"/>
        <w:rPr>
          <w:sz w:val="10"/>
        </w:rPr>
      </w:pPr>
    </w:p>
    <w:p w:rsidR="00B023C1" w:rsidRPr="00981E15" w:rsidRDefault="00B023C1" w:rsidP="00185446">
      <w:pPr>
        <w:pStyle w:val="SingleTxt"/>
        <w:numPr>
          <w:ilvl w:val="0"/>
          <w:numId w:val="16"/>
        </w:numPr>
        <w:tabs>
          <w:tab w:val="clear" w:pos="475"/>
          <w:tab w:val="num" w:pos="1742"/>
        </w:tabs>
        <w:suppressAutoHyphens/>
        <w:ind w:left="1267"/>
      </w:pPr>
      <w:r w:rsidRPr="00981E15">
        <w:t>Las OMMs a diferencia de las Comisiones de la Mujer no están contempladas explícitamente en el marco legal, pero han sido promovidas por corporaciones municipales e instituciones públicas como la SEPREM y por organizaciones de mujeres.</w:t>
      </w:r>
      <w:r w:rsidR="004C5F48" w:rsidRPr="00981E15">
        <w:t xml:space="preserve"> </w:t>
      </w:r>
      <w:r w:rsidRPr="00981E15">
        <w:t>Su propósito es facilitar la participación política de las mujeres en los gobiernos municipales, vincular las autoridades locales con las mujeres comunitarias y articular a los grupos de mujeres con los organismos cooperantes. Uno de sus principales objetivos es incidir en las políticas, planes y</w:t>
      </w:r>
      <w:r w:rsidR="004C5F48" w:rsidRPr="00981E15">
        <w:t xml:space="preserve"> </w:t>
      </w:r>
      <w:r w:rsidRPr="00981E15">
        <w:t>programas municipales a fin de garantizar la incorporación de la equidad de género en los mismos.</w:t>
      </w:r>
    </w:p>
    <w:p w:rsidR="00B023C1" w:rsidRPr="00981E15" w:rsidRDefault="00B023C1" w:rsidP="00E91F01">
      <w:pPr>
        <w:pStyle w:val="SingleTxt"/>
        <w:numPr>
          <w:ilvl w:val="0"/>
          <w:numId w:val="16"/>
        </w:numPr>
        <w:tabs>
          <w:tab w:val="clear" w:pos="475"/>
          <w:tab w:val="num" w:pos="1742"/>
        </w:tabs>
        <w:suppressAutoHyphens/>
        <w:ind w:left="1267"/>
      </w:pPr>
      <w:r w:rsidRPr="00981E15">
        <w:t>A nivel nacional existen 71 Oficinas Municipales de la Mujer, el 35% de ellas cuentan con recu</w:t>
      </w:r>
      <w:r w:rsidRPr="00981E15">
        <w:t>r</w:t>
      </w:r>
      <w:r w:rsidRPr="00981E15">
        <w:t>sos asignados.</w:t>
      </w:r>
      <w:r w:rsidR="004C5F48" w:rsidRPr="00981E15">
        <w:t xml:space="preserve"> </w:t>
      </w:r>
      <w:r w:rsidRPr="00981E15">
        <w:t>En la mayoría de los casos las asignaciones se limitan al pago de una funcionaria y no contemplan el financiamiento de las operaciones de la Oficina, ni las actividades para fortalecer las capacidades de participación ciudadana de las mujeres en la gestión municipal.</w:t>
      </w:r>
      <w:r w:rsidR="004C5F48" w:rsidRPr="00981E15">
        <w:t xml:space="preserve"> </w:t>
      </w:r>
      <w:r w:rsidRPr="00981E15">
        <w:t>Sólo el 8% de las m</w:t>
      </w:r>
      <w:r w:rsidRPr="00981E15">
        <w:t>u</w:t>
      </w:r>
      <w:r w:rsidRPr="00981E15">
        <w:t>nicipalidades del país han dado muestra de voluntad política para asignar recursos a las OMMs.</w:t>
      </w:r>
    </w:p>
    <w:p w:rsidR="002126B9" w:rsidRPr="00981E15" w:rsidRDefault="002126B9" w:rsidP="002126B9">
      <w:pPr>
        <w:pStyle w:val="SingleTxt"/>
        <w:suppressAutoHyphens/>
        <w:spacing w:after="0" w:line="120" w:lineRule="exact"/>
        <w:rPr>
          <w:sz w:val="10"/>
        </w:rPr>
      </w:pPr>
    </w:p>
    <w:p w:rsidR="002126B9" w:rsidRPr="00981E15" w:rsidRDefault="00B023C1" w:rsidP="00212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981E15">
        <w:rPr>
          <w:b w:val="0"/>
        </w:rPr>
        <w:tab/>
      </w:r>
      <w:r w:rsidRPr="00981E15">
        <w:rPr>
          <w:b w:val="0"/>
        </w:rPr>
        <w:tab/>
        <w:t>Gráfica 1</w:t>
      </w:r>
    </w:p>
    <w:p w:rsidR="002126B9" w:rsidRPr="00981E15" w:rsidRDefault="002126B9" w:rsidP="002126B9">
      <w:pPr>
        <w:pStyle w:val="SingleTxt"/>
        <w:suppressAutoHyphens/>
        <w:spacing w:after="0" w:line="120" w:lineRule="exact"/>
        <w:rPr>
          <w:sz w:val="10"/>
        </w:rPr>
      </w:pPr>
    </w:p>
    <w:p w:rsidR="00B023C1" w:rsidRPr="00981E15" w:rsidRDefault="00B023C1" w:rsidP="002126B9">
      <w:pPr>
        <w:pStyle w:val="SingleTxt"/>
        <w:suppressAutoHyphens/>
        <w:rPr>
          <w:sz w:val="10"/>
        </w:rPr>
      </w:pPr>
    </w:p>
    <w:p w:rsidR="00B023C1" w:rsidRPr="00981E15" w:rsidRDefault="00B023C1" w:rsidP="00CE7BFE">
      <w:pPr>
        <w:pStyle w:val="SingleTxt"/>
        <w:tabs>
          <w:tab w:val="clear" w:pos="1742"/>
        </w:tabs>
        <w:spacing w:line="240" w:lineRule="auto"/>
      </w:pPr>
      <w:r w:rsidRPr="00981E15">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75pt;height:230.25pt">
            <v:imagedata r:id="rId14" o:title="" grayscale="t"/>
          </v:shape>
        </w:pict>
      </w:r>
    </w:p>
    <w:p w:rsidR="00B023C1" w:rsidRPr="00981E15" w:rsidRDefault="00B023C1" w:rsidP="00B023C1">
      <w:pPr>
        <w:pStyle w:val="SingleTxt"/>
        <w:spacing w:after="0" w:line="120" w:lineRule="exact"/>
        <w:rPr>
          <w:sz w:val="10"/>
        </w:rPr>
      </w:pPr>
    </w:p>
    <w:p w:rsidR="00B023C1" w:rsidRPr="00981E15" w:rsidRDefault="00B023C1" w:rsidP="00445C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Balance Nacional de Mecanismos Municipales de la Mujer (MMMs)</w:t>
      </w:r>
    </w:p>
    <w:p w:rsidR="00B023C1" w:rsidRPr="00981E15" w:rsidRDefault="00B023C1" w:rsidP="00B023C1">
      <w:pPr>
        <w:pStyle w:val="SingleTxt"/>
        <w:spacing w:after="0" w:line="120" w:lineRule="exact"/>
        <w:rPr>
          <w:sz w:val="10"/>
        </w:rPr>
      </w:pPr>
    </w:p>
    <w:p w:rsidR="00B023C1" w:rsidRPr="00981E15" w:rsidRDefault="00B023C1" w:rsidP="00445C91">
      <w:pPr>
        <w:pStyle w:val="SingleTxt"/>
        <w:numPr>
          <w:ilvl w:val="0"/>
          <w:numId w:val="16"/>
        </w:numPr>
        <w:tabs>
          <w:tab w:val="clear" w:pos="475"/>
          <w:tab w:val="num" w:pos="1742"/>
        </w:tabs>
        <w:suppressAutoHyphens/>
        <w:ind w:left="1267"/>
      </w:pPr>
      <w:r w:rsidRPr="00981E15">
        <w:t>Como resultado del “</w:t>
      </w:r>
      <w:r w:rsidRPr="00981E15">
        <w:rPr>
          <w:i/>
        </w:rPr>
        <w:t>Diagnóstico de la Participación de la Mujer en los Consejos de Desarrollo”</w:t>
      </w:r>
      <w:r w:rsidRPr="00981E15">
        <w:t>, elaborado por el Foro Nacional de la Mujer, se pudo establecer la existencia de un total de 326 Mec</w:t>
      </w:r>
      <w:r w:rsidRPr="00981E15">
        <w:t>a</w:t>
      </w:r>
      <w:r w:rsidRPr="00981E15">
        <w:t>nismos Municipales de la Mujer (MMMs) a nivel nacional, con desiguales niveles de avance.</w:t>
      </w:r>
      <w:r w:rsidR="004C5F48" w:rsidRPr="00981E15">
        <w:t xml:space="preserve"> </w:t>
      </w:r>
    </w:p>
    <w:p w:rsidR="00B023C1" w:rsidRPr="00981E15" w:rsidRDefault="00B023C1" w:rsidP="00445C91">
      <w:pPr>
        <w:pStyle w:val="SingleTxt"/>
        <w:numPr>
          <w:ilvl w:val="0"/>
          <w:numId w:val="16"/>
        </w:numPr>
        <w:tabs>
          <w:tab w:val="clear" w:pos="475"/>
          <w:tab w:val="num" w:pos="1742"/>
        </w:tabs>
        <w:suppressAutoHyphens/>
        <w:ind w:left="1267"/>
      </w:pPr>
      <w:r w:rsidRPr="00981E15">
        <w:t>La suma de OMMs, CMMs, CMCs da un total de 326 Mecanismos Institucionales de la Mujer existentes en el ámbito municipal. De estos 326 mecanismos, 236 pertenecen a las Corporaciones Municip</w:t>
      </w:r>
      <w:r w:rsidRPr="00981E15">
        <w:t>a</w:t>
      </w:r>
      <w:r w:rsidRPr="00981E15">
        <w:t>les y 90 a los COMUDEs.</w:t>
      </w:r>
      <w:r w:rsidR="004C5F48" w:rsidRPr="00981E15">
        <w:t xml:space="preserve"> </w:t>
      </w:r>
      <w:r w:rsidRPr="00981E15">
        <w:t>De las primeras, 165 son Comisiones Municipales de la Mujer (CMMs) y 71 son Oficinas Municipales de la Mujer (OMMs),</w:t>
      </w:r>
      <w:r w:rsidR="004C5F48" w:rsidRPr="00981E15">
        <w:t xml:space="preserve"> </w:t>
      </w:r>
      <w:r w:rsidRPr="00981E15">
        <w:t>lo cual indica que las Corporaciones Municipales muestran más observancia del Código M</w:t>
      </w:r>
      <w:r w:rsidRPr="00981E15">
        <w:t>u</w:t>
      </w:r>
      <w:r w:rsidRPr="00981E15">
        <w:t>nicipal, al crear CMMs, que voluntad política de atender las necesidades de las mujeres mediante las OMMs.</w:t>
      </w:r>
      <w:r w:rsidR="004C5F48" w:rsidRPr="00981E15">
        <w:t xml:space="preserve"> </w:t>
      </w:r>
      <w:r w:rsidRPr="00981E15">
        <w:t>En efecto, mientras la instalación de CMMs es (legalmente) obligatoria, la instalación de OMMs y de Comisiones de la Mujer en los COMUDEs (CMC), es (políticamente) voluntaria y supone un proceso previo de concertación y movil</w:t>
      </w:r>
      <w:r w:rsidRPr="00981E15">
        <w:t>i</w:t>
      </w:r>
      <w:r w:rsidRPr="00981E15">
        <w:t>zación de la voluntad política de los diferentes sectores que participan en la Corporación y en los C</w:t>
      </w:r>
      <w:r w:rsidRPr="00981E15">
        <w:t>O</w:t>
      </w:r>
      <w:r w:rsidRPr="00981E15">
        <w:t xml:space="preserve">MUDEs. </w:t>
      </w:r>
    </w:p>
    <w:p w:rsidR="004814FF" w:rsidRPr="00981E15" w:rsidRDefault="004814FF" w:rsidP="004814FF">
      <w:pPr>
        <w:pStyle w:val="SingleTxt"/>
        <w:suppressAutoHyphens/>
        <w:spacing w:after="0" w:line="120" w:lineRule="exact"/>
        <w:rPr>
          <w:sz w:val="10"/>
        </w:rPr>
      </w:pPr>
    </w:p>
    <w:p w:rsidR="00B023C1" w:rsidRPr="007A173E" w:rsidRDefault="00B023C1" w:rsidP="007A17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7A173E">
        <w:rPr>
          <w:b w:val="0"/>
        </w:rPr>
        <w:t>Cuadro 2</w:t>
      </w:r>
      <w:r w:rsidR="007A173E" w:rsidRPr="007A173E">
        <w:br/>
        <w:t>Mecanismos Municipales de la Mujer (MMM)</w:t>
      </w:r>
    </w:p>
    <w:p w:rsidR="004814FF" w:rsidRPr="00981E15" w:rsidRDefault="004814FF" w:rsidP="004814F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74"/>
        <w:gridCol w:w="3960"/>
        <w:gridCol w:w="786"/>
      </w:tblGrid>
      <w:tr w:rsidR="00B023C1" w:rsidRPr="001066FF">
        <w:tblPrEx>
          <w:tblCellMar>
            <w:top w:w="0" w:type="dxa"/>
            <w:bottom w:w="0" w:type="dxa"/>
          </w:tblCellMar>
        </w:tblPrEx>
        <w:trPr>
          <w:tblHeader/>
        </w:trPr>
        <w:tc>
          <w:tcPr>
            <w:tcW w:w="6534" w:type="dxa"/>
            <w:gridSpan w:val="2"/>
            <w:tcBorders>
              <w:top w:val="single" w:sz="4" w:space="0" w:color="auto"/>
              <w:bottom w:val="single" w:sz="12" w:space="0" w:color="auto"/>
            </w:tcBorders>
            <w:shd w:val="clear" w:color="auto" w:fill="auto"/>
            <w:vAlign w:val="bottom"/>
          </w:tcPr>
          <w:p w:rsidR="00B023C1" w:rsidRPr="001066FF" w:rsidRDefault="00B023C1" w:rsidP="00B023C1">
            <w:pPr>
              <w:tabs>
                <w:tab w:val="left" w:pos="288"/>
                <w:tab w:val="left" w:pos="576"/>
                <w:tab w:val="left" w:pos="864"/>
                <w:tab w:val="left" w:pos="1152"/>
              </w:tabs>
              <w:spacing w:before="80" w:after="80"/>
              <w:ind w:right="40"/>
              <w:jc w:val="center"/>
              <w:rPr>
                <w:i/>
                <w:sz w:val="14"/>
              </w:rPr>
            </w:pPr>
          </w:p>
        </w:tc>
        <w:tc>
          <w:tcPr>
            <w:tcW w:w="786" w:type="dxa"/>
            <w:tcBorders>
              <w:top w:val="single" w:sz="4" w:space="0" w:color="auto"/>
              <w:bottom w:val="single" w:sz="12" w:space="0" w:color="auto"/>
            </w:tcBorders>
            <w:shd w:val="clear" w:color="auto" w:fill="auto"/>
            <w:vAlign w:val="bottom"/>
          </w:tcPr>
          <w:p w:rsidR="00B023C1" w:rsidRPr="001066FF" w:rsidRDefault="00B023C1" w:rsidP="00B023C1">
            <w:pPr>
              <w:tabs>
                <w:tab w:val="left" w:pos="288"/>
                <w:tab w:val="left" w:pos="576"/>
                <w:tab w:val="left" w:pos="864"/>
                <w:tab w:val="left" w:pos="1152"/>
              </w:tabs>
              <w:spacing w:before="80" w:after="80"/>
              <w:ind w:right="40"/>
              <w:jc w:val="right"/>
              <w:rPr>
                <w:i/>
                <w:sz w:val="14"/>
              </w:rPr>
            </w:pPr>
            <w:r w:rsidRPr="001066FF">
              <w:rPr>
                <w:i/>
                <w:sz w:val="14"/>
              </w:rPr>
              <w:t>Porcentaje</w:t>
            </w:r>
          </w:p>
        </w:tc>
      </w:tr>
      <w:tr w:rsidR="00B023C1" w:rsidRPr="00981E15">
        <w:tblPrEx>
          <w:tblCellMar>
            <w:top w:w="0" w:type="dxa"/>
            <w:bottom w:w="0" w:type="dxa"/>
          </w:tblCellMar>
        </w:tblPrEx>
        <w:trPr>
          <w:trHeight w:hRule="exact" w:val="115"/>
          <w:tblHeader/>
        </w:trPr>
        <w:tc>
          <w:tcPr>
            <w:tcW w:w="2574"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rPr>
                <w:sz w:val="17"/>
              </w:rPr>
            </w:pPr>
          </w:p>
        </w:tc>
        <w:tc>
          <w:tcPr>
            <w:tcW w:w="3960"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p>
        </w:tc>
        <w:tc>
          <w:tcPr>
            <w:tcW w:w="786" w:type="dxa"/>
            <w:tcBorders>
              <w:top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p>
        </w:tc>
      </w:tr>
      <w:tr w:rsidR="00B023C1" w:rsidRPr="00981E15">
        <w:tblPrEx>
          <w:tblCellMar>
            <w:top w:w="0" w:type="dxa"/>
            <w:bottom w:w="0" w:type="dxa"/>
          </w:tblCellMar>
        </w:tblPrEx>
        <w:tc>
          <w:tcPr>
            <w:tcW w:w="2574" w:type="dxa"/>
            <w:shd w:val="clear" w:color="auto" w:fill="auto"/>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Oficina Municipal de la Mujer (OMM)</w:t>
            </w:r>
          </w:p>
        </w:tc>
        <w:tc>
          <w:tcPr>
            <w:tcW w:w="3960" w:type="dxa"/>
            <w:shd w:val="clear" w:color="auto" w:fill="auto"/>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71 (de 332) municipios tienen OMM</w:t>
            </w:r>
          </w:p>
        </w:tc>
        <w:tc>
          <w:tcPr>
            <w:tcW w:w="786" w:type="dxa"/>
            <w:shd w:val="clear" w:color="auto" w:fill="auto"/>
            <w:vAlign w:val="bottom"/>
          </w:tcPr>
          <w:p w:rsidR="00B023C1" w:rsidRPr="00981E15" w:rsidRDefault="00B023C1" w:rsidP="00B023C1">
            <w:pPr>
              <w:tabs>
                <w:tab w:val="left" w:pos="288"/>
                <w:tab w:val="left" w:pos="576"/>
                <w:tab w:val="left" w:pos="864"/>
                <w:tab w:val="left" w:pos="1152"/>
              </w:tabs>
              <w:spacing w:before="40" w:after="40"/>
              <w:ind w:right="40"/>
              <w:jc w:val="right"/>
              <w:rPr>
                <w:sz w:val="17"/>
              </w:rPr>
            </w:pPr>
            <w:r w:rsidRPr="00981E15">
              <w:rPr>
                <w:sz w:val="17"/>
              </w:rPr>
              <w:t>21</w:t>
            </w:r>
          </w:p>
        </w:tc>
      </w:tr>
      <w:tr w:rsidR="00B023C1" w:rsidRPr="00981E15">
        <w:tblPrEx>
          <w:tblCellMar>
            <w:top w:w="0" w:type="dxa"/>
            <w:bottom w:w="0" w:type="dxa"/>
          </w:tblCellMar>
        </w:tblPrEx>
        <w:tc>
          <w:tcPr>
            <w:tcW w:w="2574" w:type="dxa"/>
            <w:shd w:val="clear" w:color="auto" w:fill="auto"/>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Comisiones Municipales de la Mujer (CMM)</w:t>
            </w:r>
          </w:p>
        </w:tc>
        <w:tc>
          <w:tcPr>
            <w:tcW w:w="3960" w:type="dxa"/>
            <w:shd w:val="clear" w:color="auto" w:fill="auto"/>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165 (de 332) municipios tienen CMM</w:t>
            </w:r>
          </w:p>
        </w:tc>
        <w:tc>
          <w:tcPr>
            <w:tcW w:w="786" w:type="dxa"/>
            <w:shd w:val="clear" w:color="auto" w:fill="auto"/>
            <w:vAlign w:val="bottom"/>
          </w:tcPr>
          <w:p w:rsidR="00B023C1" w:rsidRPr="00981E15" w:rsidRDefault="004503F1" w:rsidP="00B023C1">
            <w:pPr>
              <w:tabs>
                <w:tab w:val="left" w:pos="288"/>
                <w:tab w:val="left" w:pos="576"/>
                <w:tab w:val="left" w:pos="864"/>
                <w:tab w:val="left" w:pos="1152"/>
              </w:tabs>
              <w:spacing w:before="40" w:after="40"/>
              <w:ind w:right="40"/>
              <w:jc w:val="right"/>
              <w:rPr>
                <w:sz w:val="17"/>
              </w:rPr>
            </w:pPr>
            <w:r>
              <w:rPr>
                <w:sz w:val="17"/>
              </w:rPr>
              <w:t>50</w:t>
            </w:r>
          </w:p>
        </w:tc>
      </w:tr>
      <w:tr w:rsidR="00B023C1" w:rsidRPr="00981E15">
        <w:tblPrEx>
          <w:tblCellMar>
            <w:top w:w="0" w:type="dxa"/>
            <w:bottom w:w="0" w:type="dxa"/>
          </w:tblCellMar>
        </w:tblPrEx>
        <w:tc>
          <w:tcPr>
            <w:tcW w:w="2574" w:type="dxa"/>
            <w:vMerge w:val="restart"/>
            <w:shd w:val="clear" w:color="auto" w:fill="auto"/>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Comisión de la Mujer en los COMUDES (CMC)</w:t>
            </w:r>
          </w:p>
        </w:tc>
        <w:tc>
          <w:tcPr>
            <w:tcW w:w="3960" w:type="dxa"/>
            <w:shd w:val="clear" w:color="auto" w:fill="auto"/>
          </w:tcPr>
          <w:p w:rsidR="00B023C1" w:rsidRPr="00981E15" w:rsidRDefault="00B023C1" w:rsidP="00B023C1">
            <w:pPr>
              <w:tabs>
                <w:tab w:val="left" w:pos="288"/>
                <w:tab w:val="left" w:pos="576"/>
                <w:tab w:val="left" w:pos="864"/>
                <w:tab w:val="left" w:pos="1152"/>
              </w:tabs>
              <w:spacing w:before="40" w:after="40"/>
              <w:ind w:right="40"/>
              <w:rPr>
                <w:sz w:val="17"/>
              </w:rPr>
            </w:pPr>
            <w:r w:rsidRPr="00981E15">
              <w:rPr>
                <w:sz w:val="17"/>
              </w:rPr>
              <w:t>90 (de 332) municipios tienen CMC</w:t>
            </w:r>
          </w:p>
        </w:tc>
        <w:tc>
          <w:tcPr>
            <w:tcW w:w="786" w:type="dxa"/>
            <w:shd w:val="clear" w:color="auto" w:fill="auto"/>
            <w:vAlign w:val="bottom"/>
          </w:tcPr>
          <w:p w:rsidR="00B023C1" w:rsidRPr="00981E15" w:rsidRDefault="004503F1" w:rsidP="00B023C1">
            <w:pPr>
              <w:tabs>
                <w:tab w:val="left" w:pos="288"/>
                <w:tab w:val="left" w:pos="576"/>
                <w:tab w:val="left" w:pos="864"/>
                <w:tab w:val="left" w:pos="1152"/>
              </w:tabs>
              <w:spacing w:before="40" w:after="40"/>
              <w:ind w:right="40"/>
              <w:jc w:val="right"/>
              <w:rPr>
                <w:sz w:val="17"/>
              </w:rPr>
            </w:pPr>
            <w:r>
              <w:rPr>
                <w:sz w:val="17"/>
              </w:rPr>
              <w:t>27</w:t>
            </w:r>
          </w:p>
        </w:tc>
      </w:tr>
      <w:tr w:rsidR="00B023C1" w:rsidRPr="00981E15">
        <w:tblPrEx>
          <w:tblCellMar>
            <w:top w:w="0" w:type="dxa"/>
            <w:bottom w:w="0" w:type="dxa"/>
          </w:tblCellMar>
        </w:tblPrEx>
        <w:tc>
          <w:tcPr>
            <w:tcW w:w="2574" w:type="dxa"/>
            <w:vMerge/>
            <w:tcBorders>
              <w:bottom w:val="single" w:sz="4" w:space="0" w:color="auto"/>
            </w:tcBorders>
            <w:shd w:val="clear" w:color="auto" w:fill="auto"/>
          </w:tcPr>
          <w:p w:rsidR="00B023C1" w:rsidRPr="00981E15" w:rsidRDefault="00B023C1" w:rsidP="00B023C1">
            <w:pPr>
              <w:tabs>
                <w:tab w:val="left" w:pos="288"/>
                <w:tab w:val="left" w:pos="576"/>
                <w:tab w:val="left" w:pos="864"/>
                <w:tab w:val="left" w:pos="1152"/>
              </w:tabs>
              <w:spacing w:before="40" w:after="81"/>
              <w:ind w:right="40"/>
              <w:rPr>
                <w:sz w:val="17"/>
              </w:rPr>
            </w:pPr>
          </w:p>
        </w:tc>
        <w:tc>
          <w:tcPr>
            <w:tcW w:w="3960" w:type="dxa"/>
            <w:tcBorders>
              <w:bottom w:val="single" w:sz="4" w:space="0" w:color="auto"/>
            </w:tcBorders>
            <w:shd w:val="clear" w:color="auto" w:fill="auto"/>
          </w:tcPr>
          <w:p w:rsidR="00B023C1" w:rsidRPr="00981E15" w:rsidRDefault="00B023C1" w:rsidP="00B023C1">
            <w:pPr>
              <w:tabs>
                <w:tab w:val="left" w:pos="288"/>
                <w:tab w:val="left" w:pos="576"/>
                <w:tab w:val="left" w:pos="864"/>
                <w:tab w:val="left" w:pos="1152"/>
              </w:tabs>
              <w:spacing w:before="40" w:after="81"/>
              <w:ind w:right="40"/>
              <w:rPr>
                <w:sz w:val="17"/>
              </w:rPr>
            </w:pPr>
            <w:r w:rsidRPr="00981E15">
              <w:rPr>
                <w:sz w:val="17"/>
              </w:rPr>
              <w:t>90 de (192) municipios con COMUDE tienen CMC</w:t>
            </w:r>
          </w:p>
        </w:tc>
        <w:tc>
          <w:tcPr>
            <w:tcW w:w="786" w:type="dxa"/>
            <w:tcBorders>
              <w:bottom w:val="single" w:sz="4" w:space="0" w:color="auto"/>
            </w:tcBorders>
            <w:shd w:val="clear" w:color="auto" w:fill="auto"/>
            <w:vAlign w:val="bottom"/>
          </w:tcPr>
          <w:p w:rsidR="00B023C1" w:rsidRPr="00981E15" w:rsidRDefault="004503F1" w:rsidP="00B023C1">
            <w:pPr>
              <w:tabs>
                <w:tab w:val="left" w:pos="288"/>
                <w:tab w:val="left" w:pos="576"/>
                <w:tab w:val="left" w:pos="864"/>
                <w:tab w:val="left" w:pos="1152"/>
              </w:tabs>
              <w:spacing w:before="40" w:after="81"/>
              <w:ind w:right="40"/>
              <w:jc w:val="right"/>
              <w:rPr>
                <w:sz w:val="17"/>
              </w:rPr>
            </w:pPr>
            <w:r>
              <w:rPr>
                <w:sz w:val="17"/>
              </w:rPr>
              <w:t>47</w:t>
            </w:r>
          </w:p>
        </w:tc>
      </w:tr>
      <w:tr w:rsidR="00B023C1" w:rsidRPr="00981E15">
        <w:tblPrEx>
          <w:tblCellMar>
            <w:top w:w="0" w:type="dxa"/>
            <w:bottom w:w="0" w:type="dxa"/>
          </w:tblCellMar>
        </w:tblPrEx>
        <w:tc>
          <w:tcPr>
            <w:tcW w:w="2574" w:type="dxa"/>
            <w:tcBorders>
              <w:top w:val="single" w:sz="4" w:space="0" w:color="auto"/>
              <w:bottom w:val="single" w:sz="12" w:space="0" w:color="auto"/>
            </w:tcBorders>
            <w:shd w:val="clear" w:color="auto" w:fill="auto"/>
          </w:tcPr>
          <w:p w:rsidR="00B023C1" w:rsidRPr="00981E15" w:rsidRDefault="00B023C1" w:rsidP="00B023C1">
            <w:pPr>
              <w:tabs>
                <w:tab w:val="left" w:pos="288"/>
                <w:tab w:val="left" w:pos="576"/>
                <w:tab w:val="left" w:pos="864"/>
                <w:tab w:val="left" w:pos="1152"/>
              </w:tabs>
              <w:spacing w:before="81" w:after="81"/>
              <w:ind w:right="40"/>
              <w:rPr>
                <w:b/>
                <w:sz w:val="17"/>
              </w:rPr>
            </w:pPr>
            <w:r w:rsidRPr="00981E15">
              <w:rPr>
                <w:b/>
                <w:sz w:val="17"/>
              </w:rPr>
              <w:tab/>
              <w:t>Total</w:t>
            </w:r>
            <w:r w:rsidR="004C5F48" w:rsidRPr="00981E15">
              <w:rPr>
                <w:b/>
                <w:sz w:val="17"/>
              </w:rPr>
              <w:t xml:space="preserve"> </w:t>
            </w:r>
            <w:r w:rsidRPr="00981E15">
              <w:rPr>
                <w:b/>
                <w:sz w:val="17"/>
              </w:rPr>
              <w:t>MMM</w:t>
            </w:r>
          </w:p>
        </w:tc>
        <w:tc>
          <w:tcPr>
            <w:tcW w:w="3960" w:type="dxa"/>
            <w:tcBorders>
              <w:top w:val="single" w:sz="4" w:space="0" w:color="auto"/>
              <w:bottom w:val="single" w:sz="12" w:space="0" w:color="auto"/>
            </w:tcBorders>
            <w:shd w:val="clear" w:color="auto" w:fill="auto"/>
          </w:tcPr>
          <w:p w:rsidR="00B023C1" w:rsidRPr="00981E15" w:rsidRDefault="00B023C1" w:rsidP="00B023C1">
            <w:pPr>
              <w:tabs>
                <w:tab w:val="left" w:pos="288"/>
                <w:tab w:val="left" w:pos="576"/>
                <w:tab w:val="left" w:pos="864"/>
                <w:tab w:val="left" w:pos="1152"/>
              </w:tabs>
              <w:spacing w:before="81" w:after="81"/>
              <w:ind w:right="40"/>
              <w:rPr>
                <w:b/>
                <w:sz w:val="17"/>
              </w:rPr>
            </w:pPr>
            <w:r w:rsidRPr="00981E15">
              <w:rPr>
                <w:b/>
                <w:sz w:val="17"/>
              </w:rPr>
              <w:t>326 MMMs (de 996 posibles) en 332 municipios</w:t>
            </w:r>
          </w:p>
        </w:tc>
        <w:tc>
          <w:tcPr>
            <w:tcW w:w="786" w:type="dxa"/>
            <w:tcBorders>
              <w:top w:val="single" w:sz="4" w:space="0" w:color="auto"/>
              <w:bottom w:val="single" w:sz="12" w:space="0" w:color="auto"/>
            </w:tcBorders>
            <w:shd w:val="clear" w:color="auto" w:fill="auto"/>
            <w:vAlign w:val="bottom"/>
          </w:tcPr>
          <w:p w:rsidR="00B023C1" w:rsidRPr="00981E15" w:rsidRDefault="00B023C1" w:rsidP="00B023C1">
            <w:pPr>
              <w:tabs>
                <w:tab w:val="left" w:pos="288"/>
                <w:tab w:val="left" w:pos="576"/>
                <w:tab w:val="left" w:pos="864"/>
                <w:tab w:val="left" w:pos="1152"/>
              </w:tabs>
              <w:spacing w:before="81" w:after="81"/>
              <w:ind w:right="40"/>
              <w:jc w:val="right"/>
              <w:rPr>
                <w:b/>
                <w:sz w:val="17"/>
              </w:rPr>
            </w:pPr>
            <w:r w:rsidRPr="00981E15">
              <w:rPr>
                <w:b/>
                <w:sz w:val="17"/>
              </w:rPr>
              <w:t>3</w:t>
            </w:r>
            <w:r w:rsidR="004503F1">
              <w:rPr>
                <w:b/>
                <w:sz w:val="17"/>
              </w:rPr>
              <w:t>4</w:t>
            </w:r>
          </w:p>
        </w:tc>
      </w:tr>
    </w:tbl>
    <w:p w:rsidR="00B023C1" w:rsidRPr="00981E15" w:rsidRDefault="00B023C1" w:rsidP="00B023C1">
      <w:pPr>
        <w:pStyle w:val="FootnoteText"/>
        <w:tabs>
          <w:tab w:val="clear" w:pos="418"/>
          <w:tab w:val="right" w:pos="1476"/>
          <w:tab w:val="left" w:pos="1548"/>
          <w:tab w:val="right" w:pos="1836"/>
          <w:tab w:val="left" w:pos="1908"/>
        </w:tabs>
        <w:spacing w:line="120" w:lineRule="exact"/>
        <w:ind w:left="1548" w:right="1267" w:hanging="288"/>
        <w:rPr>
          <w:spacing w:val="4"/>
          <w:w w:val="103"/>
          <w:sz w:val="10"/>
        </w:rPr>
      </w:pPr>
    </w:p>
    <w:p w:rsidR="00B023C1" w:rsidRPr="00981E15" w:rsidRDefault="00B023C1" w:rsidP="00B023C1">
      <w:pPr>
        <w:pStyle w:val="FootnoteText"/>
        <w:tabs>
          <w:tab w:val="clear" w:pos="418"/>
          <w:tab w:val="right" w:pos="1476"/>
          <w:tab w:val="left" w:pos="1548"/>
          <w:tab w:val="right" w:pos="1836"/>
          <w:tab w:val="left" w:pos="1908"/>
        </w:tabs>
        <w:spacing w:line="240" w:lineRule="exact"/>
        <w:ind w:left="1548" w:right="1267" w:hanging="288"/>
        <w:rPr>
          <w:spacing w:val="4"/>
          <w:w w:val="103"/>
        </w:rPr>
      </w:pPr>
      <w:r w:rsidRPr="00981E15">
        <w:rPr>
          <w:i/>
          <w:spacing w:val="4"/>
          <w:w w:val="103"/>
        </w:rPr>
        <w:t>Fuente</w:t>
      </w:r>
      <w:r w:rsidRPr="00981E15">
        <w:rPr>
          <w:spacing w:val="4"/>
          <w:w w:val="103"/>
        </w:rPr>
        <w:t>: Diagnóstico FNM (2005-2006).</w:t>
      </w: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Oficinas Institucionales de la Mujer dentro de los Organismos del Estado</w:t>
      </w:r>
    </w:p>
    <w:p w:rsidR="00B023C1" w:rsidRPr="00981E15" w:rsidRDefault="00B023C1" w:rsidP="00B023C1">
      <w:pPr>
        <w:pStyle w:val="SingleTxt"/>
        <w:spacing w:after="0" w:line="120" w:lineRule="exact"/>
        <w:rPr>
          <w:sz w:val="10"/>
        </w:rPr>
      </w:pPr>
    </w:p>
    <w:p w:rsidR="00B023C1" w:rsidRPr="00981E15" w:rsidRDefault="00B023C1" w:rsidP="004814FF">
      <w:pPr>
        <w:pStyle w:val="SingleTxt"/>
        <w:numPr>
          <w:ilvl w:val="0"/>
          <w:numId w:val="16"/>
        </w:numPr>
        <w:tabs>
          <w:tab w:val="clear" w:pos="475"/>
          <w:tab w:val="num" w:pos="1742"/>
        </w:tabs>
        <w:suppressAutoHyphens/>
        <w:ind w:left="1267"/>
      </w:pPr>
      <w:r w:rsidRPr="00981E15">
        <w:t>Por parte del Estado de Guatemala, desde la década de los noventas se han incrementado las instituciones del Estado que cuentan con oficinas o unidades de atención específica para las mujeres.</w:t>
      </w:r>
      <w:r w:rsidR="004C5F48" w:rsidRPr="00981E15">
        <w:t xml:space="preserve"> </w:t>
      </w:r>
      <w:r w:rsidRPr="00981E15">
        <w:t>Cada una de estas instituciones surge en un momento histórico particular y respondiendo a necesid</w:t>
      </w:r>
      <w:r w:rsidRPr="00981E15">
        <w:t>a</w:t>
      </w:r>
      <w:r w:rsidRPr="00981E15">
        <w:t>des específicas. En algunos casos, a estas oficinas les corresponde desarrollar las respectivas políticas públicas con enfoque de género, sensibilizar a quienes allí laboran sobre los derechos de las mujeres y la igualdad de género, dar seguimiento a la implementación de la Política Nacional de Promoción y Desarrollo de las Mujeres Guatemaltecas, o a las Políticas sectoriales, o brindar atención específica a las mujeres.</w:t>
      </w:r>
      <w:r w:rsidR="004C5F48" w:rsidRPr="00981E15">
        <w:t xml:space="preserve"> </w:t>
      </w:r>
      <w:r w:rsidRPr="00981E15">
        <w:t>Destacan en ese sentido:</w:t>
      </w: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Oficinas Institucionales de la Mujer en el Organismo Ejecutivo</w:t>
      </w:r>
    </w:p>
    <w:p w:rsidR="00B023C1" w:rsidRPr="00981E15" w:rsidRDefault="00B023C1" w:rsidP="00B023C1">
      <w:pPr>
        <w:pStyle w:val="SingleTxt"/>
        <w:spacing w:after="0" w:line="120" w:lineRule="exact"/>
        <w:rPr>
          <w:sz w:val="10"/>
        </w:rPr>
      </w:pPr>
    </w:p>
    <w:p w:rsidR="00B023C1" w:rsidRPr="00981E15" w:rsidRDefault="00B023C1" w:rsidP="00B023C1">
      <w:pPr>
        <w:pStyle w:val="SingleTxt"/>
        <w:tabs>
          <w:tab w:val="right" w:pos="1685"/>
        </w:tabs>
        <w:ind w:left="1742" w:hanging="475"/>
      </w:pPr>
      <w:r w:rsidRPr="00981E15">
        <w:tab/>
        <w:t>•</w:t>
      </w:r>
      <w:r w:rsidRPr="00981E15">
        <w:tab/>
        <w:t>Programa de Prevención y Erradicación de la Violencia Intrafamiliar (PROPEVI).</w:t>
      </w:r>
      <w:r w:rsidR="004C5F48" w:rsidRPr="00981E15">
        <w:t xml:space="preserve"> </w:t>
      </w:r>
      <w:r w:rsidRPr="00981E15">
        <w:t>Acuerdo Gubern</w:t>
      </w:r>
      <w:r w:rsidRPr="00981E15">
        <w:t>a</w:t>
      </w:r>
      <w:r w:rsidRPr="00981E15">
        <w:t>tivo No. 929-99.</w:t>
      </w:r>
      <w:r w:rsidR="004C5F48" w:rsidRPr="00981E15">
        <w:t xml:space="preserve"> </w:t>
      </w:r>
      <w:r w:rsidRPr="00981E15">
        <w:t>Adscrito a la Secretaría de Bienestar Social, a partir de julio de 2007.</w:t>
      </w:r>
    </w:p>
    <w:p w:rsidR="00B023C1" w:rsidRPr="00981E15" w:rsidRDefault="00B023C1" w:rsidP="00B023C1">
      <w:pPr>
        <w:pStyle w:val="SingleTxt"/>
        <w:tabs>
          <w:tab w:val="right" w:pos="1685"/>
        </w:tabs>
        <w:ind w:left="1742" w:hanging="475"/>
      </w:pPr>
      <w:r w:rsidRPr="00981E15">
        <w:tab/>
        <w:t>•</w:t>
      </w:r>
      <w:r w:rsidRPr="00981E15">
        <w:tab/>
        <w:t>Oficina Nacional de la Mujer en el Ministerio de Trabajo y Previsión Social.</w:t>
      </w:r>
    </w:p>
    <w:p w:rsidR="00B023C1" w:rsidRPr="00981E15" w:rsidRDefault="00B023C1" w:rsidP="00B023C1">
      <w:pPr>
        <w:pStyle w:val="SingleTxt"/>
        <w:tabs>
          <w:tab w:val="right" w:pos="1685"/>
        </w:tabs>
        <w:ind w:left="1742" w:hanging="475"/>
      </w:pPr>
      <w:r w:rsidRPr="00981E15">
        <w:tab/>
        <w:t>•</w:t>
      </w:r>
      <w:r w:rsidRPr="00981E15">
        <w:tab/>
        <w:t>Oficina de Equidad Género en la Policía Nacional Civil, en el Ministerio de Gobernación.</w:t>
      </w:r>
    </w:p>
    <w:p w:rsidR="00B023C1" w:rsidRPr="00981E15" w:rsidRDefault="00B023C1" w:rsidP="00B023C1">
      <w:pPr>
        <w:pStyle w:val="SingleTxt"/>
        <w:tabs>
          <w:tab w:val="right" w:pos="1685"/>
        </w:tabs>
        <w:ind w:left="1742" w:hanging="475"/>
      </w:pPr>
      <w:r w:rsidRPr="00981E15">
        <w:tab/>
        <w:t>•</w:t>
      </w:r>
      <w:r w:rsidRPr="00981E15">
        <w:tab/>
        <w:t>Unidad de Políticas e Información Estratégica (UPIE) en el Ministerio de Agricultura, Ganadería y Alimentación, que en la actualidad tiene la responsabilidad de promover la institucionalización del enfoque de género, según Acuerdo Ministerial No. 1737-2004.</w:t>
      </w:r>
    </w:p>
    <w:p w:rsidR="00B023C1" w:rsidRPr="00981E15" w:rsidRDefault="00B023C1" w:rsidP="00B023C1">
      <w:pPr>
        <w:pStyle w:val="SingleTxt"/>
        <w:tabs>
          <w:tab w:val="right" w:pos="1685"/>
        </w:tabs>
        <w:ind w:left="1742" w:hanging="475"/>
      </w:pPr>
      <w:r w:rsidRPr="00981E15">
        <w:tab/>
        <w:t>•</w:t>
      </w:r>
      <w:r w:rsidRPr="00981E15">
        <w:tab/>
        <w:t>Unidad de Género, Mujer y Juventud en el Ministerio de Medio Ambiente, Recursos Naturales.</w:t>
      </w:r>
    </w:p>
    <w:p w:rsidR="00B023C1" w:rsidRPr="00981E15" w:rsidRDefault="00B023C1" w:rsidP="00B023C1">
      <w:pPr>
        <w:pStyle w:val="SingleTxt"/>
        <w:tabs>
          <w:tab w:val="right" w:pos="1685"/>
        </w:tabs>
        <w:ind w:left="1742" w:hanging="475"/>
      </w:pPr>
      <w:r w:rsidRPr="00981E15">
        <w:tab/>
        <w:t>•</w:t>
      </w:r>
      <w:r w:rsidRPr="00981E15">
        <w:tab/>
        <w:t>Unidad de Fomento de la Equidad Étnica y de Género en el Ministerio de Cultura y Deporte.</w:t>
      </w:r>
    </w:p>
    <w:p w:rsidR="00B023C1" w:rsidRPr="00981E15" w:rsidRDefault="00B023C1" w:rsidP="00B023C1">
      <w:pPr>
        <w:pStyle w:val="SingleTxt"/>
        <w:tabs>
          <w:tab w:val="right" w:pos="1685"/>
        </w:tabs>
        <w:ind w:left="1742" w:hanging="475"/>
      </w:pPr>
      <w:r w:rsidRPr="00981E15">
        <w:tab/>
        <w:t>•</w:t>
      </w:r>
      <w:r w:rsidRPr="00981E15">
        <w:tab/>
        <w:t xml:space="preserve">Unidad de Género en el Ministerio de Energía y Minas. </w:t>
      </w:r>
    </w:p>
    <w:p w:rsidR="00B023C1" w:rsidRPr="00981E15" w:rsidRDefault="00B023C1" w:rsidP="00B023C1">
      <w:pPr>
        <w:pStyle w:val="SingleTxt"/>
        <w:tabs>
          <w:tab w:val="right" w:pos="1685"/>
        </w:tabs>
        <w:ind w:left="1742" w:hanging="475"/>
      </w:pPr>
      <w:r w:rsidRPr="00981E15">
        <w:tab/>
        <w:t>•</w:t>
      </w:r>
      <w:r w:rsidRPr="00981E15">
        <w:tab/>
        <w:t>Unidad de la Mujer en el Fondo de Desarrollo Indígena Guatemalteco (FODIGUA).</w:t>
      </w:r>
    </w:p>
    <w:p w:rsidR="00B023C1" w:rsidRPr="00981E15" w:rsidRDefault="00B023C1" w:rsidP="00B023C1">
      <w:pPr>
        <w:pStyle w:val="SingleTxt"/>
        <w:tabs>
          <w:tab w:val="right" w:pos="1685"/>
        </w:tabs>
        <w:ind w:left="1742" w:hanging="475"/>
      </w:pPr>
      <w:r w:rsidRPr="00981E15">
        <w:tab/>
        <w:t>•</w:t>
      </w:r>
      <w:r w:rsidRPr="00981E15">
        <w:tab/>
        <w:t>Unidad de la Mujer Campesina en el Fondo Nacional de Tierras, la cual está siendo coordinada por la Subgerencia de Acceso a la Tierra del Fondo de Tierras, según memorándum FT-GG-059-2006.</w:t>
      </w:r>
    </w:p>
    <w:p w:rsidR="00B023C1" w:rsidRPr="00981E15" w:rsidRDefault="00B023C1" w:rsidP="004814FF">
      <w:pPr>
        <w:pStyle w:val="SingleTxt"/>
        <w:numPr>
          <w:ilvl w:val="0"/>
          <w:numId w:val="16"/>
        </w:numPr>
        <w:tabs>
          <w:tab w:val="clear" w:pos="475"/>
          <w:tab w:val="num" w:pos="1742"/>
        </w:tabs>
        <w:suppressAutoHyphens/>
        <w:ind w:left="1267"/>
      </w:pPr>
      <w:r w:rsidRPr="00981E15">
        <w:t>Uno de los principales riesgos que se han visualizado en esta fase de institucionalización de los mecanismos de avances de las mujeres, es que hay una tendencia a considerar que lo concerniente con los derechos de la mujer es responsabilidad propia y principal de las “mujeres”, por ser asuntos de mujeres.</w:t>
      </w:r>
      <w:r w:rsidR="004C5F48" w:rsidRPr="00981E15">
        <w:t xml:space="preserve"> </w:t>
      </w:r>
      <w:r w:rsidRPr="00981E15">
        <w:t xml:space="preserve">Por tanto, estos mecanismos de avance en las instituciones del gobierno no siempre son acompañados con suficientes recursos humanos y financieros para desempeñar adecuadamente sus funciones. </w:t>
      </w: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Oficinas </w:t>
      </w:r>
      <w:r w:rsidR="0063201F" w:rsidRPr="00981E15">
        <w:t xml:space="preserve">Institucionales </w:t>
      </w:r>
      <w:r w:rsidRPr="00981E15">
        <w:t>de la Mujer en el Organismo Legislativo</w:t>
      </w:r>
    </w:p>
    <w:p w:rsidR="00B023C1" w:rsidRPr="00981E15" w:rsidRDefault="00B023C1" w:rsidP="00B023C1">
      <w:pPr>
        <w:pStyle w:val="SingleTxt"/>
        <w:suppressAutoHyphens/>
        <w:spacing w:after="0" w:line="120" w:lineRule="exact"/>
        <w:rPr>
          <w:sz w:val="10"/>
        </w:rPr>
      </w:pPr>
    </w:p>
    <w:p w:rsidR="00B023C1" w:rsidRPr="00981E15" w:rsidRDefault="00B023C1" w:rsidP="004814FF">
      <w:pPr>
        <w:pStyle w:val="SingleTxt"/>
        <w:numPr>
          <w:ilvl w:val="0"/>
          <w:numId w:val="16"/>
        </w:numPr>
        <w:tabs>
          <w:tab w:val="clear" w:pos="475"/>
          <w:tab w:val="num" w:pos="1742"/>
        </w:tabs>
        <w:suppressAutoHyphens/>
        <w:ind w:left="1267"/>
      </w:pPr>
      <w:r w:rsidRPr="00981E15">
        <w:t>Actualmente en el Organismo Legislativo</w:t>
      </w:r>
      <w:r w:rsidRPr="00981E15">
        <w:rPr>
          <w:b/>
        </w:rPr>
        <w:t xml:space="preserve"> </w:t>
      </w:r>
      <w:r w:rsidRPr="00981E15">
        <w:t>se encuentra la Comisión de la Mujer del Congreso de la República de Guatemala, que en el último año ha realizado un trabajo de fiscalización de las instituciones del Estado en términos de la asignación de recursos dirigidos a programas de beneficio hacia las mujeres.</w:t>
      </w:r>
      <w:r w:rsidR="004C5F48" w:rsidRPr="00981E15">
        <w:t xml:space="preserve"> </w:t>
      </w:r>
      <w:r w:rsidRPr="00981E15">
        <w:t>La Junta Directiva del Congreso de la República en 2004 creó el Parlamento de las Mujeres, después denominada Asamblea de Mujeres, hoy desaparecida tras cambio de la Junta Direct</w:t>
      </w:r>
      <w:r w:rsidRPr="00981E15">
        <w:t>i</w:t>
      </w:r>
      <w:r w:rsidRPr="00981E15">
        <w:t>va.</w:t>
      </w:r>
      <w:r w:rsidR="004C5F48" w:rsidRPr="00981E15">
        <w:t xml:space="preserve"> </w:t>
      </w:r>
      <w:r w:rsidRPr="00981E15">
        <w:t>Éste era un órgano conformado por diferentes organizaciones de mujeres de la sociedad civil que formularon una Agenda Legislativa de Mujeres.</w:t>
      </w: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Oficinas Institucionales de la Mujer en el Organismo Judicial</w:t>
      </w:r>
    </w:p>
    <w:p w:rsidR="00B023C1" w:rsidRPr="00981E15" w:rsidRDefault="00B023C1" w:rsidP="00B023C1">
      <w:pPr>
        <w:pStyle w:val="SingleTxt"/>
        <w:spacing w:after="0" w:line="120" w:lineRule="exact"/>
        <w:rPr>
          <w:sz w:val="10"/>
        </w:rPr>
      </w:pPr>
    </w:p>
    <w:p w:rsidR="00B023C1" w:rsidRPr="00981E15" w:rsidRDefault="00B023C1" w:rsidP="004814FF">
      <w:pPr>
        <w:pStyle w:val="SingleTxt"/>
        <w:numPr>
          <w:ilvl w:val="0"/>
          <w:numId w:val="16"/>
        </w:numPr>
        <w:tabs>
          <w:tab w:val="clear" w:pos="475"/>
          <w:tab w:val="num" w:pos="1742"/>
        </w:tabs>
        <w:suppressAutoHyphens/>
        <w:ind w:left="1267"/>
      </w:pPr>
      <w:r w:rsidRPr="00981E15">
        <w:t>En el Organismo Judicial, en 2006 se creó la Unidad de la Mujer y Análisis de Género. La Unidad tiene dentro de sus funciones, procurar la incorporación del enfoque de género en el Organismo Judicial, de una manera sistemática, incorporándolo desde el proceso de planificación hasta la ejecución de las actividades de las diferentes unidades. Proporciona asesoría y apoyo a las autor</w:t>
      </w:r>
      <w:r w:rsidRPr="00981E15">
        <w:t>i</w:t>
      </w:r>
      <w:r w:rsidRPr="00981E15">
        <w:t>dades superiores en el tema, identificando las necesidades de sensibilización y capacitación, así como para dar seguimiento a los acuerdos y compromisos internacionales o nacionales contraídos con organizaciones o instituciones que trabajan en este tema. Realiza un seguimiento, control y divulgación de las estadísticas jud</w:t>
      </w:r>
      <w:r w:rsidRPr="00981E15">
        <w:t>i</w:t>
      </w:r>
      <w:r w:rsidRPr="00981E15">
        <w:t>ciales desagregadas por sexo, así como para la gestión de financiamiento de nuevos proyectos juríd</w:t>
      </w:r>
      <w:r w:rsidRPr="00981E15">
        <w:t>i</w:t>
      </w:r>
      <w:r w:rsidRPr="00981E15">
        <w:t>cos que incorporen este aspecto.</w:t>
      </w: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Adicionalmente y en otro nivel se encuentran</w:t>
      </w:r>
    </w:p>
    <w:p w:rsidR="00B023C1" w:rsidRPr="00981E15" w:rsidRDefault="00B023C1" w:rsidP="00B023C1">
      <w:pPr>
        <w:pStyle w:val="SingleTxt"/>
        <w:spacing w:after="0" w:line="120" w:lineRule="exact"/>
        <w:rPr>
          <w:sz w:val="10"/>
        </w:rPr>
      </w:pPr>
    </w:p>
    <w:p w:rsidR="00B023C1" w:rsidRPr="00981E15" w:rsidRDefault="00B023C1" w:rsidP="00B023C1">
      <w:pPr>
        <w:pStyle w:val="SingleTxt"/>
        <w:tabs>
          <w:tab w:val="right" w:pos="1685"/>
        </w:tabs>
        <w:ind w:left="1742" w:hanging="475"/>
      </w:pPr>
      <w:r w:rsidRPr="00981E15">
        <w:tab/>
        <w:t>•</w:t>
      </w:r>
      <w:r w:rsidRPr="00981E15">
        <w:tab/>
        <w:t>En el Ministerio Público, la Fiscalía de la Mujer.</w:t>
      </w:r>
    </w:p>
    <w:p w:rsidR="00B023C1" w:rsidRPr="00981E15" w:rsidRDefault="00B023C1" w:rsidP="00B023C1">
      <w:pPr>
        <w:pStyle w:val="SingleTxt"/>
        <w:tabs>
          <w:tab w:val="right" w:pos="1685"/>
        </w:tabs>
        <w:ind w:left="1742" w:hanging="475"/>
      </w:pPr>
      <w:r w:rsidRPr="00981E15">
        <w:tab/>
        <w:t>•</w:t>
      </w:r>
      <w:r w:rsidRPr="00981E15">
        <w:tab/>
        <w:t>En la Procuraduría General de la Nación, la Unidad de la Mujer.</w:t>
      </w:r>
    </w:p>
    <w:p w:rsidR="00B023C1" w:rsidRPr="00981E15" w:rsidRDefault="00B023C1" w:rsidP="00B023C1">
      <w:pPr>
        <w:pStyle w:val="SingleTxt"/>
        <w:tabs>
          <w:tab w:val="right" w:pos="1685"/>
        </w:tabs>
        <w:ind w:left="1742" w:hanging="475"/>
      </w:pPr>
      <w:r w:rsidRPr="00981E15">
        <w:tab/>
        <w:t>•</w:t>
      </w:r>
      <w:r w:rsidRPr="00981E15">
        <w:tab/>
        <w:t>En la Procuraduría de los Derechos Humanos, la Defensoría de los Derechos de la Mujer.</w:t>
      </w: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Medidas pendientes de las recomendaciones de la CEDAW</w:t>
      </w:r>
    </w:p>
    <w:p w:rsidR="00B023C1" w:rsidRPr="00981E15" w:rsidRDefault="00B023C1" w:rsidP="00B023C1">
      <w:pPr>
        <w:pStyle w:val="SingleTxt"/>
        <w:spacing w:after="0" w:line="120" w:lineRule="exact"/>
        <w:rPr>
          <w:sz w:val="10"/>
        </w:rPr>
      </w:pPr>
    </w:p>
    <w:p w:rsidR="00B023C1" w:rsidRPr="00981E15" w:rsidRDefault="00B023C1" w:rsidP="00C43CD5">
      <w:pPr>
        <w:pStyle w:val="SingleTxt"/>
        <w:numPr>
          <w:ilvl w:val="0"/>
          <w:numId w:val="16"/>
        </w:numPr>
        <w:tabs>
          <w:tab w:val="clear" w:pos="475"/>
          <w:tab w:val="num" w:pos="1742"/>
        </w:tabs>
        <w:suppressAutoHyphens/>
        <w:ind w:left="1267"/>
      </w:pPr>
      <w:r w:rsidRPr="00981E15">
        <w:t>Definición de metas de género para el conjunto de Ministerios, Secretarías y demás instancias del Estado que se desempeñan en temáticas sectoriales de importancia para la igualdad de género.</w:t>
      </w:r>
    </w:p>
    <w:p w:rsidR="00B023C1" w:rsidRPr="00981E15" w:rsidRDefault="00B023C1" w:rsidP="00C43CD5">
      <w:pPr>
        <w:pStyle w:val="SingleTxt"/>
        <w:numPr>
          <w:ilvl w:val="0"/>
          <w:numId w:val="16"/>
        </w:numPr>
        <w:tabs>
          <w:tab w:val="clear" w:pos="475"/>
          <w:tab w:val="num" w:pos="1742"/>
        </w:tabs>
        <w:suppressAutoHyphens/>
        <w:ind w:left="1267"/>
      </w:pPr>
      <w:r w:rsidRPr="00981E15">
        <w:t>Establecer cauces sistemáticos de relación con las organizaciones de mujeres.</w:t>
      </w: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SingleTxt"/>
        <w:suppressAutoHyphens/>
        <w:spacing w:after="0" w:line="120" w:lineRule="exact"/>
        <w:rPr>
          <w:sz w:val="10"/>
        </w:rPr>
      </w:pPr>
    </w:p>
    <w:p w:rsidR="00B023C1" w:rsidRPr="00981E15" w:rsidRDefault="00B023C1" w:rsidP="00B023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pPr>
      <w:r w:rsidRPr="00981E15">
        <w:tab/>
      </w:r>
      <w:r w:rsidRPr="00981E15">
        <w:tab/>
        <w:t>Violencia contra las mujeres</w:t>
      </w:r>
    </w:p>
    <w:p w:rsidR="00B023C1" w:rsidRPr="00981E15" w:rsidRDefault="00B023C1" w:rsidP="00B023C1">
      <w:pPr>
        <w:pStyle w:val="SingleTxt"/>
        <w:spacing w:after="0" w:line="120" w:lineRule="exact"/>
        <w:rPr>
          <w:sz w:val="10"/>
        </w:rPr>
      </w:pPr>
    </w:p>
    <w:p w:rsidR="00B023C1" w:rsidRPr="00981E15" w:rsidRDefault="00B023C1" w:rsidP="00B023C1">
      <w:pPr>
        <w:pStyle w:val="SingleTxt"/>
        <w:spacing w:after="0" w:line="120" w:lineRule="exact"/>
        <w:rPr>
          <w:sz w:val="10"/>
        </w:rPr>
      </w:pPr>
    </w:p>
    <w:p w:rsidR="00B023C1" w:rsidRPr="00981E15" w:rsidRDefault="00B023C1" w:rsidP="00B023C1">
      <w:pPr>
        <w:pStyle w:val="SingleTxt"/>
        <w:suppressAutoHyphens/>
        <w:rPr>
          <w:b/>
        </w:rPr>
      </w:pPr>
      <w:r w:rsidRPr="00981E15">
        <w:rPr>
          <w:b/>
        </w:rPr>
        <w:t>Recomendaciones del Comité de Expertas de la CEDAW</w:t>
      </w:r>
    </w:p>
    <w:p w:rsidR="00B023C1" w:rsidRPr="00981E15" w:rsidRDefault="00B023C1" w:rsidP="00B023C1">
      <w:pPr>
        <w:pStyle w:val="SingleTxt"/>
        <w:suppressAutoHyphens/>
        <w:rPr>
          <w:b/>
        </w:rPr>
      </w:pPr>
      <w:r w:rsidRPr="00981E15">
        <w:rPr>
          <w:b/>
        </w:rPr>
        <w:t>Existe falta de acceso efectivo a la justicia para las mujeres por esta causa, en particular las mujeres indígenas que se e</w:t>
      </w:r>
      <w:r w:rsidRPr="00981E15">
        <w:rPr>
          <w:b/>
        </w:rPr>
        <w:t>n</w:t>
      </w:r>
      <w:r w:rsidRPr="00981E15">
        <w:rPr>
          <w:b/>
        </w:rPr>
        <w:t>frentan además a barreras lingüísticas (6)</w:t>
      </w:r>
    </w:p>
    <w:p w:rsidR="00B023C1" w:rsidRPr="00981E15" w:rsidRDefault="00B023C1" w:rsidP="00B023C1">
      <w:pPr>
        <w:pStyle w:val="SingleTxt"/>
        <w:suppressAutoHyphens/>
        <w:rPr>
          <w:b/>
        </w:rPr>
      </w:pPr>
      <w:r w:rsidRPr="00981E15">
        <w:rPr>
          <w:b/>
        </w:rPr>
        <w:t>Se insta al Estado Parte a (6)</w:t>
      </w:r>
    </w:p>
    <w:p w:rsidR="00B023C1" w:rsidRPr="00981E15" w:rsidRDefault="00B023C1" w:rsidP="00B023C1">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rPr>
          <w:b/>
        </w:rPr>
      </w:pPr>
      <w:r w:rsidRPr="00981E15">
        <w:rPr>
          <w:b/>
        </w:rPr>
        <w:tab/>
        <w:t>–</w:t>
      </w:r>
      <w:r w:rsidRPr="00981E15">
        <w:rPr>
          <w:b/>
        </w:rPr>
        <w:tab/>
        <w:t xml:space="preserve">Dar prioridad a la adopción de un enfoque amplio e integrado para hacer frente a la violencia contra la mujer y la niña, de acuerdo a la recomendación general 19. </w:t>
      </w:r>
    </w:p>
    <w:p w:rsidR="00B023C1" w:rsidRPr="00981E15" w:rsidRDefault="00B023C1" w:rsidP="00B023C1">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rPr>
          <w:b/>
        </w:rPr>
      </w:pPr>
      <w:r w:rsidRPr="00981E15">
        <w:rPr>
          <w:b/>
        </w:rPr>
        <w:tab/>
        <w:t>–</w:t>
      </w:r>
      <w:r w:rsidRPr="00981E15">
        <w:rPr>
          <w:b/>
        </w:rPr>
        <w:tab/>
        <w:t xml:space="preserve">Aprobar las reformas pendientes del Código Penal para tipificar como delito la violencia intrafamiliar </w:t>
      </w:r>
    </w:p>
    <w:p w:rsidR="00B023C1" w:rsidRPr="00981E15" w:rsidRDefault="00B023C1" w:rsidP="00B023C1">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rPr>
          <w:b/>
        </w:rPr>
      </w:pPr>
      <w:r w:rsidRPr="00981E15">
        <w:rPr>
          <w:b/>
        </w:rPr>
        <w:tab/>
        <w:t>–</w:t>
      </w:r>
      <w:r w:rsidRPr="00981E15">
        <w:rPr>
          <w:b/>
        </w:rPr>
        <w:tab/>
        <w:t>Asignar los recursos necesarios para la aplicación del Plan Nacional de Prevención y Erradicación de la Violencia Intr</w:t>
      </w:r>
      <w:r w:rsidRPr="00981E15">
        <w:rPr>
          <w:b/>
        </w:rPr>
        <w:t>a</w:t>
      </w:r>
      <w:r w:rsidRPr="00981E15">
        <w:rPr>
          <w:b/>
        </w:rPr>
        <w:t xml:space="preserve">familiar y contra las Mujeres 2004-2014 </w:t>
      </w:r>
    </w:p>
    <w:p w:rsidR="00B023C1" w:rsidRPr="00981E15" w:rsidRDefault="00B023C1" w:rsidP="00B023C1">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rPr>
          <w:b/>
        </w:rPr>
      </w:pPr>
      <w:r w:rsidRPr="00981E15">
        <w:rPr>
          <w:b/>
        </w:rPr>
        <w:tab/>
        <w:t>–</w:t>
      </w:r>
      <w:r w:rsidRPr="00981E15">
        <w:rPr>
          <w:b/>
        </w:rPr>
        <w:tab/>
        <w:t>Impartir capacitación al funcionariado público sobre violencia contra la mujer, en particular a las fuerzas del orden público y el personal del sistema judicial, el personal docente y los servicios de atención de salud, a fin de conciencia</w:t>
      </w:r>
      <w:r w:rsidRPr="00981E15">
        <w:rPr>
          <w:b/>
        </w:rPr>
        <w:t>r</w:t>
      </w:r>
      <w:r w:rsidRPr="00981E15">
        <w:rPr>
          <w:b/>
        </w:rPr>
        <w:t xml:space="preserve">los sobre todas las formas de violencia </w:t>
      </w:r>
    </w:p>
    <w:p w:rsidR="00B023C1" w:rsidRPr="00981E15" w:rsidRDefault="00B023C1" w:rsidP="00B023C1">
      <w:pPr>
        <w:pStyle w:val="SingleTxt"/>
        <w:suppressAutoHyphens/>
        <w:rPr>
          <w:b/>
        </w:rPr>
      </w:pPr>
      <w:r w:rsidRPr="00981E15">
        <w:rPr>
          <w:b/>
        </w:rPr>
        <w:t>Existe una arraigada cultura de impunidad y escaso empeño demostrado en realizar investigaciones a fondo para la resol</w:t>
      </w:r>
      <w:r w:rsidRPr="00981E15">
        <w:rPr>
          <w:b/>
        </w:rPr>
        <w:t>u</w:t>
      </w:r>
      <w:r w:rsidRPr="00981E15">
        <w:rPr>
          <w:b/>
        </w:rPr>
        <w:t>ción de delitos, en persistente aumento, de desaparición, violación, tortura y asesinato de mujeres (6)</w:t>
      </w:r>
    </w:p>
    <w:p w:rsidR="00B023C1" w:rsidRPr="00981E15" w:rsidRDefault="00B023C1" w:rsidP="00B023C1">
      <w:pPr>
        <w:pStyle w:val="SingleTxt"/>
        <w:suppressAutoHyphens/>
        <w:rPr>
          <w:b/>
        </w:rPr>
      </w:pPr>
      <w:r w:rsidRPr="00981E15">
        <w:rPr>
          <w:b/>
        </w:rPr>
        <w:t>Preocupa la ausencia de medidas para la protección de los testigos, las víctimas y sus familiares (6)</w:t>
      </w:r>
    </w:p>
    <w:p w:rsidR="00B023C1" w:rsidRPr="00981E15" w:rsidRDefault="00B023C1" w:rsidP="00B023C1">
      <w:pPr>
        <w:pStyle w:val="SingleTxt"/>
        <w:suppressAutoHyphens/>
        <w:rPr>
          <w:b/>
        </w:rPr>
      </w:pPr>
      <w:r w:rsidRPr="00981E15">
        <w:rPr>
          <w:b/>
        </w:rPr>
        <w:t>Existe falta de información y de datos sobre los casos, las causas y el perfil de las víctimas.</w:t>
      </w:r>
      <w:r w:rsidR="004C5F48" w:rsidRPr="00981E15">
        <w:rPr>
          <w:b/>
        </w:rPr>
        <w:t xml:space="preserve"> </w:t>
      </w:r>
      <w:r w:rsidRPr="00981E15">
        <w:rPr>
          <w:b/>
        </w:rPr>
        <w:t>En el próximo informe periódico identificar esto y el efecto de las medidas adoptadas para prevenir estos casos, investigar los incidentes y castigar a los culpables (6)</w:t>
      </w:r>
    </w:p>
    <w:p w:rsidR="00B023C1" w:rsidRPr="00981E15" w:rsidRDefault="00B023C1" w:rsidP="00B023C1">
      <w:pPr>
        <w:pStyle w:val="SingleTxt"/>
        <w:suppressAutoHyphens/>
        <w:rPr>
          <w:b/>
        </w:rPr>
      </w:pPr>
      <w:r w:rsidRPr="00981E15">
        <w:rPr>
          <w:b/>
        </w:rPr>
        <w:t>Se insta al Estado a ofrecer recursos, en particular indemnizaciones apropiadas a las víctimas y sus familiares (6)</w:t>
      </w:r>
    </w:p>
    <w:p w:rsidR="00B023C1" w:rsidRPr="00981E15" w:rsidRDefault="00B023C1" w:rsidP="00B023C1">
      <w:pPr>
        <w:pStyle w:val="SingleTxt"/>
        <w:suppressAutoHyphens/>
        <w:rPr>
          <w:b/>
        </w:rPr>
      </w:pPr>
      <w:r w:rsidRPr="00981E15">
        <w:rPr>
          <w:b/>
        </w:rPr>
        <w:t>Es urgente la adopción de medidas para poner fin a los asesinatos y desapariciones de mujeres y a la impunidad de los perpetradores. Se sugiere que el Estado Parte (6)</w:t>
      </w:r>
    </w:p>
    <w:p w:rsidR="00B023C1" w:rsidRPr="00981E15" w:rsidRDefault="00B023C1" w:rsidP="00B023C1">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rPr>
          <w:b/>
        </w:rPr>
      </w:pPr>
      <w:r w:rsidRPr="00981E15">
        <w:rPr>
          <w:b/>
        </w:rPr>
        <w:tab/>
        <w:t>–</w:t>
      </w:r>
      <w:r w:rsidRPr="00981E15">
        <w:rPr>
          <w:b/>
        </w:rPr>
        <w:tab/>
        <w:t xml:space="preserve">Tenga en cuenta las recomendaciones formuladas por el Comité hizo sobre el secuestro, la violación y el asesinato de mujeres en la zona de Ciudad Juárez, Chihuahua </w:t>
      </w:r>
    </w:p>
    <w:p w:rsidR="00B023C1" w:rsidRPr="00981E15" w:rsidRDefault="00B023C1" w:rsidP="00B023C1">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rPr>
          <w:b/>
        </w:rPr>
      </w:pPr>
      <w:r w:rsidRPr="00981E15">
        <w:rPr>
          <w:b/>
        </w:rPr>
        <w:tab/>
        <w:t>–</w:t>
      </w:r>
      <w:r w:rsidRPr="00981E15">
        <w:rPr>
          <w:b/>
        </w:rPr>
        <w:tab/>
        <w:t>Institucionalice la Comisión para el Abordaje del Femicidio como órgano permanente con recursos humanos y financi</w:t>
      </w:r>
      <w:r w:rsidRPr="00981E15">
        <w:rPr>
          <w:b/>
        </w:rPr>
        <w:t>e</w:t>
      </w:r>
      <w:r w:rsidRPr="00981E15">
        <w:rPr>
          <w:b/>
        </w:rPr>
        <w:t xml:space="preserve">ros propios </w:t>
      </w:r>
    </w:p>
    <w:p w:rsidR="00B023C1" w:rsidRPr="00981E15" w:rsidRDefault="00B023C1" w:rsidP="009E15BE">
      <w:pPr>
        <w:pStyle w:val="SingleTxt"/>
        <w:numPr>
          <w:ilvl w:val="0"/>
          <w:numId w:val="16"/>
        </w:numPr>
        <w:tabs>
          <w:tab w:val="clear" w:pos="475"/>
          <w:tab w:val="num" w:pos="1742"/>
        </w:tabs>
        <w:suppressAutoHyphens/>
        <w:ind w:left="1267"/>
      </w:pPr>
      <w:r w:rsidRPr="00981E15">
        <w:t>El tema de seguridad de las mujeres ha sido abordado por el Estado de Guatemala en respuesta a la creciente demanda de la sociedad, para ejecutar</w:t>
      </w:r>
      <w:r w:rsidR="004C5F48" w:rsidRPr="00981E15">
        <w:t xml:space="preserve"> </w:t>
      </w:r>
      <w:r w:rsidRPr="00981E15">
        <w:t>intervenciones que cambien esta situación de violencia.</w:t>
      </w:r>
      <w:r w:rsidR="004C5F48" w:rsidRPr="00981E15">
        <w:t xml:space="preserve"> </w:t>
      </w:r>
      <w:r w:rsidRPr="00981E15">
        <w:t>Esto lo plantea la actual administración desde los lineamientos generales de Gobierno, al priorizar la seguridad integral como uno de los pilares para alcanzar el bienestar de la población, y enfocar aspectos importantes en las instituciones responsables de la seguridad ciudadana como: replanteamiento funcional de las instituciones responsables, depuración de las instituciones respons</w:t>
      </w:r>
      <w:r w:rsidRPr="00981E15">
        <w:t>a</w:t>
      </w:r>
      <w:r w:rsidRPr="00981E15">
        <w:t>bles, trabajo coordinado entre las entidades responsables.</w:t>
      </w:r>
    </w:p>
    <w:p w:rsidR="00B023C1" w:rsidRPr="00981E15" w:rsidRDefault="00B023C1" w:rsidP="009E15BE">
      <w:pPr>
        <w:pStyle w:val="SingleTxt"/>
        <w:numPr>
          <w:ilvl w:val="0"/>
          <w:numId w:val="16"/>
        </w:numPr>
        <w:tabs>
          <w:tab w:val="clear" w:pos="475"/>
          <w:tab w:val="num" w:pos="1742"/>
        </w:tabs>
        <w:suppressAutoHyphens/>
        <w:ind w:left="1267"/>
      </w:pPr>
      <w:r w:rsidRPr="00981E15">
        <w:t>En 2004, se inició la divulgación del Plan Nacional para la Prevención y Erradicación de la Violencia Intrafamiliar y Contra las Mujeres (PLANOVI) y Diagnóstico Nacional Sobre la Atención Instit</w:t>
      </w:r>
      <w:r w:rsidRPr="00981E15">
        <w:t>u</w:t>
      </w:r>
      <w:r w:rsidRPr="00981E15">
        <w:t>cional a la Problemática de Violencia Intrafamiliar y Contra las Mujeres, por parte de la Coordinadora Nacional para la Prevención de la Violencia Intrafamiliar y contra las Mujeres (CONAPREVI) que da inicio a esfuerzos institucionales para dar a conocer el tema, tanto en entidades de gobierno como de sociedad civil.</w:t>
      </w:r>
    </w:p>
    <w:p w:rsidR="00FA384C" w:rsidRPr="00981E15" w:rsidRDefault="00FA384C" w:rsidP="00FA384C">
      <w:pPr>
        <w:pStyle w:val="SingleTxt"/>
        <w:numPr>
          <w:ilvl w:val="0"/>
          <w:numId w:val="16"/>
        </w:numPr>
        <w:tabs>
          <w:tab w:val="clear" w:pos="475"/>
          <w:tab w:val="num" w:pos="1742"/>
        </w:tabs>
        <w:ind w:left="1267"/>
      </w:pPr>
      <w:r w:rsidRPr="00981E15">
        <w:t xml:space="preserve">En 2004 la Relatora Especial de las Naciones Unidas sobre la violencia contra las mujeres, sus causas y consecuencias, Yakin Ertürk y la Relatora Especial para la Mujer de la Comisión Interamericana de Derechos Humanos de la Organización de Estados Americanos, Susana Villarán realizaron visitas al país, para conocer la situación de la violencia contra la mujer y determinar las posibles causas y consecuencias de la violencia contra la mujer y particularmente el “femicidio” en el país. Por lo que el Estado de Guatemala incluye sus recomendaciones dentro de las acciones encaminadas a la prevención, erradicación y sanción de la violencia contra las mujeres. </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Comisión Específica para el Abordaje del Femicidio</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El 8 de marzo de 2006 se presentó oficialmente la “</w:t>
      </w:r>
      <w:r w:rsidRPr="00981E15">
        <w:rPr>
          <w:i/>
        </w:rPr>
        <w:t>Comisión Específica para el Abordaje del Femicidio en Guatemala</w:t>
      </w:r>
      <w:r w:rsidRPr="00981E15">
        <w:t>”. La Comisión está integrada por delegados de los tres Organismos que conforman el Estado de Guatemala, -Legislativo, Judicial y Ejecutivo-, por representantes de instituciones de derechos humanos, y de seguridad y del Ministerio Público. Se delegó la coordinación a la Secretaría Presidencial de la Mujer. Su objetivo principal es impulsar acciones pertinentes para que el Estado de Guatemala cuente con una estrategia y propuesta de acción que permitan abordar el femicidio en forma integral, coordinada y articulada desde los tres organismos del Estado con la participación de la sociedad civil.</w:t>
      </w:r>
    </w:p>
    <w:p w:rsidR="00FA384C" w:rsidRPr="00981E15" w:rsidRDefault="00FA384C" w:rsidP="00FA384C">
      <w:pPr>
        <w:pStyle w:val="SingleTxt"/>
        <w:numPr>
          <w:ilvl w:val="0"/>
          <w:numId w:val="16"/>
        </w:numPr>
        <w:tabs>
          <w:tab w:val="clear" w:pos="475"/>
          <w:tab w:val="num" w:pos="1742"/>
        </w:tabs>
        <w:ind w:left="1267"/>
      </w:pPr>
      <w:r w:rsidRPr="00981E15">
        <w:t xml:space="preserve">Las acciones de la Comisión para el Abordaje del Femicidio se fundamentan en las recomendaciones de la Relatora Especial de Naciones Unidas sobre Violencia contra la Mujer: 1) Poner fin a la impunidad de la violencia contra la mujer mediante una reforma legislativa, judicial y del proceso de investigación; 2) prestar servicios, protección y apoyo a las mujeres que sufren violencia o están expuestas a ella, 3) crear una base de información y conocimientos que tengan en cuenta las cuestiones de género; 4) fortalecer las infraestructuras institucionales, 5) promover programas operacionales de capacitación y de sensibilización. </w:t>
      </w:r>
    </w:p>
    <w:p w:rsidR="00FA384C" w:rsidRPr="00981E15" w:rsidRDefault="00FA384C" w:rsidP="00FA384C">
      <w:pPr>
        <w:pStyle w:val="SingleTxt"/>
        <w:numPr>
          <w:ilvl w:val="0"/>
          <w:numId w:val="16"/>
        </w:numPr>
        <w:tabs>
          <w:tab w:val="clear" w:pos="475"/>
          <w:tab w:val="num" w:pos="1742"/>
        </w:tabs>
        <w:ind w:left="1267"/>
      </w:pPr>
      <w:r w:rsidRPr="00981E15">
        <w:t>La Comisión para el Abordaje del Femicidio realizó las siguientes acciones durante el 2006:</w:t>
      </w:r>
    </w:p>
    <w:p w:rsidR="00235F55" w:rsidRPr="00981E15" w:rsidRDefault="00235F55" w:rsidP="00235F55">
      <w:pPr>
        <w:pStyle w:val="SingleTxt"/>
        <w:suppressAutoHyphens/>
        <w:spacing w:after="0" w:line="120" w:lineRule="exact"/>
        <w:rPr>
          <w:sz w:val="10"/>
        </w:rPr>
      </w:pPr>
    </w:p>
    <w:p w:rsidR="00FA384C" w:rsidRPr="00981E15" w:rsidRDefault="00FA384C" w:rsidP="00235F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rPr>
          <w:b w:val="0"/>
        </w:rPr>
        <w:tab/>
      </w:r>
      <w:r w:rsidRPr="00981E15">
        <w:rPr>
          <w:b w:val="0"/>
        </w:rPr>
        <w:tab/>
        <w:t>Recuadro 5</w:t>
      </w:r>
      <w:r w:rsidRPr="00981E15">
        <w:rPr>
          <w:b w:val="0"/>
        </w:rPr>
        <w:br/>
      </w:r>
      <w:r w:rsidRPr="00981E15">
        <w:t>Acciones de la Comisión para el Abordaje del Femicidio</w:t>
      </w:r>
    </w:p>
    <w:p w:rsidR="00235F55" w:rsidRPr="00981E15" w:rsidRDefault="00235F55" w:rsidP="00235F5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07"/>
        <w:gridCol w:w="6213"/>
      </w:tblGrid>
      <w:tr w:rsidR="00FA384C" w:rsidRPr="00981E15">
        <w:tblPrEx>
          <w:tblCellMar>
            <w:top w:w="0" w:type="dxa"/>
            <w:bottom w:w="0" w:type="dxa"/>
          </w:tblCellMar>
        </w:tblPrEx>
        <w:trPr>
          <w:trHeight w:hRule="exact" w:val="115"/>
          <w:tblHeader/>
        </w:trPr>
        <w:tc>
          <w:tcPr>
            <w:tcW w:w="1107" w:type="dxa"/>
            <w:tcBorders>
              <w:top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tcBorders>
              <w:top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80"/>
              <w:ind w:right="40"/>
              <w:rPr>
                <w:kern w:val="0"/>
              </w:rPr>
            </w:pP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b/>
                <w:i/>
                <w:kern w:val="0"/>
              </w:rPr>
            </w:pPr>
            <w:r w:rsidRPr="00981E15">
              <w:rPr>
                <w:b/>
                <w:i/>
                <w:kern w:val="0"/>
              </w:rPr>
              <w:t>Etapa 1</w:t>
            </w: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r w:rsidRPr="00981E15">
              <w:t>Revisión análisis y sistematización de trabajos y estudios sobre femicidio ya existentes: Coincidencias y disidencias de los estudios.</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r w:rsidRPr="00981E15">
              <w:rPr>
                <w:b/>
                <w:i/>
                <w:kern w:val="0"/>
              </w:rPr>
              <w:t>Etapa 2</w:t>
            </w: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r w:rsidRPr="00981E15">
              <w:t>Realización de diagnóstico</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i/>
                <w:kern w:val="0"/>
              </w:rPr>
            </w:pPr>
            <w:r w:rsidRPr="00981E15">
              <w:rPr>
                <w:i/>
                <w:kern w:val="0"/>
              </w:rPr>
              <w:t>Fase 1</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r w:rsidRPr="00981E15">
              <w:rPr>
                <w:kern w:val="0"/>
              </w:rPr>
              <w:t xml:space="preserve">Caracterización de las víctimas. </w:t>
            </w:r>
            <w:r w:rsidRPr="00981E15">
              <w:rPr>
                <w:kern w:val="0"/>
                <w:szCs w:val="24"/>
              </w:rPr>
              <w:t>Identificación de causas y efectos del problema.</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i/>
                <w:kern w:val="0"/>
                <w:szCs w:val="24"/>
              </w:rPr>
            </w:pPr>
            <w:r w:rsidRPr="00981E15">
              <w:rPr>
                <w:i/>
                <w:kern w:val="0"/>
                <w:szCs w:val="24"/>
              </w:rPr>
              <w:t>Fase 2</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szCs w:val="24"/>
              </w:rPr>
            </w:pPr>
            <w:r w:rsidRPr="00981E15">
              <w:rPr>
                <w:kern w:val="0"/>
                <w:szCs w:val="24"/>
              </w:rPr>
              <w:t>Caracterización del victimario.</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szCs w:val="24"/>
              </w:rPr>
            </w:pPr>
            <w:r w:rsidRPr="00981E15">
              <w:rPr>
                <w:i/>
                <w:kern w:val="0"/>
                <w:szCs w:val="24"/>
              </w:rPr>
              <w:t>Fase 3</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r w:rsidRPr="00981E15">
              <w:rPr>
                <w:kern w:val="0"/>
                <w:szCs w:val="24"/>
              </w:rPr>
              <w:t>Se realizó un análisis programático de los sistemas i</w:t>
            </w:r>
            <w:r w:rsidRPr="00981E15">
              <w:rPr>
                <w:kern w:val="0"/>
                <w:szCs w:val="24"/>
              </w:rPr>
              <w:t>n</w:t>
            </w:r>
            <w:r w:rsidRPr="00981E15">
              <w:rPr>
                <w:kern w:val="0"/>
                <w:szCs w:val="24"/>
              </w:rPr>
              <w:t>formáticos de las instancias del sistema de justicia.</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i/>
                <w:kern w:val="0"/>
              </w:rPr>
            </w:pPr>
            <w:r w:rsidRPr="00981E15">
              <w:rPr>
                <w:i/>
                <w:kern w:val="0"/>
                <w:szCs w:val="24"/>
              </w:rPr>
              <w:t>Fase 4</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rPr>
            </w:pPr>
            <w:r w:rsidRPr="00981E15">
              <w:rPr>
                <w:kern w:val="0"/>
                <w:szCs w:val="24"/>
              </w:rPr>
              <w:t>Diagnóstico de comunicación social.</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b/>
                <w:i/>
                <w:kern w:val="0"/>
                <w:szCs w:val="24"/>
              </w:rPr>
            </w:pPr>
            <w:r w:rsidRPr="00981E15">
              <w:rPr>
                <w:b/>
                <w:i/>
                <w:kern w:val="0"/>
                <w:szCs w:val="24"/>
              </w:rPr>
              <w:t>Etapa 3</w:t>
            </w: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szCs w:val="24"/>
              </w:rPr>
            </w:pPr>
            <w:r w:rsidRPr="00981E15">
              <w:rPr>
                <w:kern w:val="0"/>
                <w:szCs w:val="24"/>
              </w:rPr>
              <w:t xml:space="preserve">Análisis institucional. </w:t>
            </w:r>
          </w:p>
        </w:tc>
      </w:tr>
      <w:tr w:rsidR="00FA384C" w:rsidRPr="00981E15">
        <w:tblPrEx>
          <w:tblCellMar>
            <w:top w:w="0" w:type="dxa"/>
            <w:bottom w:w="0" w:type="dxa"/>
          </w:tblCellMar>
        </w:tblPrEx>
        <w:tc>
          <w:tcPr>
            <w:tcW w:w="1107" w:type="dxa"/>
            <w:shd w:val="clear" w:color="auto" w:fill="auto"/>
          </w:tcPr>
          <w:p w:rsidR="00FA384C" w:rsidRPr="00981E15" w:rsidRDefault="00FA384C" w:rsidP="00FA384C">
            <w:pPr>
              <w:tabs>
                <w:tab w:val="left" w:pos="288"/>
                <w:tab w:val="left" w:pos="576"/>
                <w:tab w:val="left" w:pos="864"/>
                <w:tab w:val="left" w:pos="1152"/>
              </w:tabs>
              <w:spacing w:before="40" w:after="80"/>
              <w:ind w:right="40"/>
              <w:rPr>
                <w:b/>
                <w:i/>
                <w:kern w:val="0"/>
                <w:szCs w:val="24"/>
              </w:rPr>
            </w:pPr>
          </w:p>
        </w:tc>
        <w:tc>
          <w:tcPr>
            <w:tcW w:w="6213" w:type="dxa"/>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szCs w:val="24"/>
              </w:rPr>
            </w:pPr>
            <w:r w:rsidRPr="00981E15">
              <w:rPr>
                <w:kern w:val="0"/>
                <w:szCs w:val="24"/>
              </w:rPr>
              <w:t>Identificación de fortalezas y debilidades de las distintas instituciones responsables del sistema de justicia.</w:t>
            </w:r>
          </w:p>
        </w:tc>
      </w:tr>
      <w:tr w:rsidR="00FA384C" w:rsidRPr="00981E15">
        <w:tblPrEx>
          <w:tblCellMar>
            <w:top w:w="0" w:type="dxa"/>
            <w:bottom w:w="0" w:type="dxa"/>
          </w:tblCellMar>
        </w:tblPrEx>
        <w:tc>
          <w:tcPr>
            <w:tcW w:w="1107" w:type="dxa"/>
            <w:tcBorders>
              <w:bottom w:val="single" w:sz="12" w:space="0" w:color="auto"/>
            </w:tcBorders>
            <w:shd w:val="clear" w:color="auto" w:fill="auto"/>
          </w:tcPr>
          <w:p w:rsidR="00FA384C" w:rsidRPr="00981E15" w:rsidRDefault="00FA384C" w:rsidP="00FA384C">
            <w:pPr>
              <w:tabs>
                <w:tab w:val="left" w:pos="288"/>
                <w:tab w:val="left" w:pos="576"/>
                <w:tab w:val="left" w:pos="864"/>
                <w:tab w:val="left" w:pos="1152"/>
              </w:tabs>
              <w:spacing w:before="40" w:after="80"/>
              <w:ind w:right="40"/>
              <w:rPr>
                <w:b/>
                <w:i/>
                <w:kern w:val="0"/>
                <w:szCs w:val="24"/>
              </w:rPr>
            </w:pPr>
            <w:r w:rsidRPr="00981E15">
              <w:rPr>
                <w:b/>
                <w:i/>
                <w:kern w:val="0"/>
                <w:szCs w:val="24"/>
              </w:rPr>
              <w:t>Etapa 4</w:t>
            </w:r>
          </w:p>
        </w:tc>
        <w:tc>
          <w:tcPr>
            <w:tcW w:w="6213" w:type="dxa"/>
            <w:tcBorders>
              <w:bottom w:val="single" w:sz="12" w:space="0" w:color="auto"/>
            </w:tcBorders>
            <w:shd w:val="clear" w:color="auto" w:fill="auto"/>
          </w:tcPr>
          <w:p w:rsidR="00FA384C" w:rsidRPr="00981E15" w:rsidRDefault="00FA384C" w:rsidP="00FA384C">
            <w:pPr>
              <w:tabs>
                <w:tab w:val="left" w:pos="288"/>
                <w:tab w:val="left" w:pos="576"/>
                <w:tab w:val="left" w:pos="864"/>
                <w:tab w:val="left" w:pos="1152"/>
              </w:tabs>
              <w:spacing w:before="40" w:after="80"/>
              <w:ind w:right="40"/>
              <w:rPr>
                <w:kern w:val="0"/>
                <w:szCs w:val="24"/>
              </w:rPr>
            </w:pPr>
            <w:r w:rsidRPr="00981E15">
              <w:rPr>
                <w:kern w:val="0"/>
                <w:szCs w:val="24"/>
              </w:rPr>
              <w:t>Análisis del marco jurídico relacionado con el femicidio.</w:t>
            </w:r>
          </w:p>
        </w:tc>
      </w:tr>
    </w:tbl>
    <w:p w:rsidR="00FA384C" w:rsidRPr="00981E15" w:rsidRDefault="00FA384C" w:rsidP="00FA384C">
      <w:pPr>
        <w:pStyle w:val="SingleTxt"/>
        <w:spacing w:after="0" w:line="120" w:lineRule="exact"/>
        <w:rPr>
          <w:sz w:val="10"/>
        </w:rPr>
      </w:pP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 xml:space="preserve">Con base en el trabajo realizado en 2006, se elaboró la Estrategia para el abordaje del femicidio, que contiene las siguientes líneas estratégicas propuestas por la Comisión para dar cumplimiento al mandato asignado: 1) Readecuación del marco jurídico, 2) fortalecimiento institucional, 3) prevención frente al femicidio, 4) atención y seguimiento de casos de femicidio. </w:t>
      </w:r>
    </w:p>
    <w:p w:rsidR="00FA384C" w:rsidRPr="00981E15" w:rsidRDefault="00FA384C" w:rsidP="00FA384C">
      <w:pPr>
        <w:pStyle w:val="SingleTxt"/>
        <w:numPr>
          <w:ilvl w:val="0"/>
          <w:numId w:val="16"/>
        </w:numPr>
        <w:tabs>
          <w:tab w:val="clear" w:pos="475"/>
          <w:tab w:val="num" w:pos="1742"/>
        </w:tabs>
        <w:ind w:left="1267"/>
      </w:pPr>
      <w:r w:rsidRPr="00981E15">
        <w:t>Del trabajo realizado por la Comisión se encontraron los siguientes hallazgos: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Carencia de una perspectiva de género del marco jurídico vigente.</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Carencia de acciones preventivas de delitos contra la vida de mujeres (femicidio).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Falta de seguimiento a los casos de delitos contra la vida de mujeres (femicidio).</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Debilidades y vacíos institucionales del sistema de justicia.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Falta de monitoreo de las acciones institucionales de forma articulada.</w:t>
      </w:r>
    </w:p>
    <w:p w:rsidR="00FA384C" w:rsidRPr="00981E15" w:rsidRDefault="00FA384C" w:rsidP="00FA384C">
      <w:pPr>
        <w:pStyle w:val="SingleTxt"/>
        <w:numPr>
          <w:ilvl w:val="0"/>
          <w:numId w:val="16"/>
        </w:numPr>
        <w:tabs>
          <w:tab w:val="clear" w:pos="475"/>
          <w:tab w:val="num" w:pos="1742"/>
        </w:tabs>
        <w:ind w:left="1267"/>
      </w:pPr>
      <w:r w:rsidRPr="00981E15">
        <w:t xml:space="preserve">Actualmente se han realizado y obtenido los siguientes resultados: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Unificación y adecuación de la utilización del concepto “</w:t>
      </w:r>
      <w:r w:rsidRPr="00981E15">
        <w:rPr>
          <w:i/>
        </w:rPr>
        <w:t>femicidio</w:t>
      </w:r>
      <w:r w:rsidRPr="00981E15">
        <w:t>” a efecto de no dejar descubiertos los delitos cometidos en el ámbito privado por parte de los agresores en contra de las mujeres.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Identificación de variables e indicadores que permitan la caracterización de lo que puede constituir un femicidio. Indicadores que están en proceso de ser incorporados a los sistemas informáticos y estadísticos tanto del Ministerio Público como del Organismo Judicial.</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Acciones de coordinación entre el ente rector de las estadísticas oficiales (INE) y las instituciones involucradas en la lucha contra los femicidios, con la finalidad de centralizar y obtener números de casos veraces.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Readecuación e inclusión de las variables que contribuyen a la caracterización del femicidio en los sistemas estadísticos e informáticos del OJ y del MP.</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Desarrollo de un documento temático sobre femicidio, base para la formulación de procesos de sensibilización y capacitación, es una herramienta que sirva a los y las operadoras de justicia para el conocimiento y comprensión del femicidio.</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Talleres informativos y de sensibilización sobre femicidio y la importancia de su abordaje desde la perspectiva de los derechos humanos de las mujeres, dirigidos a periodistas, redactores y propietarios de medios de comunicación, tanto del área urbana como rural.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Fortalecimiento de las instancias involucradas en la investigación y sanción del femicidio a través de la coordinación directa de propuestas de mejoras para la aplicación en sus respectivas instituciones.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Unificación de protocolo con perspectiva de género para el informe médico forense, discutido y validado con médicos forenses del Ministerio Público y del Organismo Judicial (actualmente pertenecen al INACIF).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Unificación del protocolo con perspectiva de género para el tema de investigación criminal.</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Unificación de protocolo con perspectiva de género para el informe de escena del crimen.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Negociación con la Instancia Coordinadora de Justicia para el diseño y elaboración de Política Criminal de Estado</w:t>
      </w:r>
    </w:p>
    <w:p w:rsidR="00FA384C" w:rsidRPr="00981E15" w:rsidRDefault="00FA384C" w:rsidP="00FA384C">
      <w:pPr>
        <w:pStyle w:val="SingleTxt"/>
        <w:numPr>
          <w:ilvl w:val="0"/>
          <w:numId w:val="16"/>
        </w:numPr>
        <w:tabs>
          <w:tab w:val="clear" w:pos="475"/>
          <w:tab w:val="num" w:pos="1742"/>
        </w:tabs>
        <w:ind w:left="1267"/>
      </w:pPr>
      <w:r w:rsidRPr="00981E15">
        <w:t xml:space="preserve">Acciones que se encuentran en proceso: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Realizar investigaciones que permitan determinar las causas y consecuencias del femicidio;</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Impulsar acciones orientadas hacia el fortalecimiento institucional;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Garantizar el acceso de las mujeres a la justicia;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Desarrollar mecanismos que permitan que la población y los medios de comunicación estén bien informados;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Orientar los esfuerzos para el fortalecimiento de la legislación a favor de las mujeres. Asimismo, se tiene contemplado implementar un sistema de monitoreo para la verificación del cumplimiento de la estrategia.</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Elaboración de la Cartilla para uso de las y los operadoras(es) de justicia en cuanto a la utilización de los agravantes contenidos en el código penal, como factor determinante para el la prevención, esclarecimiento y castigo de los femicidios.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Desarrollar las acciones orientadas a la implementación dentro de las instituciones de una política de recursos humanos con perspectiva de género.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Establecimiento de los marcos normativos y mecanismos de articulación y coordinación intra e interinstitucional.</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Aprobación de los protocolos de escena del crimen, investigación y necroscopia.</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En proceso de articulación de los tres sistemas sobre las variables estadísticas que permitirán proporcionar al público en general y de forma oficial, el número de muertes violentas de mujeres por su condición de mujeres. </w:t>
      </w:r>
    </w:p>
    <w:p w:rsidR="00FA384C" w:rsidRPr="00981E15" w:rsidRDefault="00FA384C" w:rsidP="00FA384C">
      <w:pPr>
        <w:pStyle w:val="SingleTxt"/>
        <w:numPr>
          <w:ilvl w:val="0"/>
          <w:numId w:val="16"/>
        </w:numPr>
        <w:tabs>
          <w:tab w:val="clear" w:pos="475"/>
          <w:tab w:val="num" w:pos="1742"/>
        </w:tabs>
        <w:ind w:left="1267"/>
      </w:pPr>
      <w:r w:rsidRPr="00981E15">
        <w:t xml:space="preserve">En el caso de los femicidios se plantea atender de manera particular el tema de investigación y protección a testigos. Esto con el fin de estimular la construcción probatoria sólida de los casos que posteriormente sean presentados a la fase de juicio oral y público, y la ampliación de los servicios para la atención de las víctimas colaterales del femicidio. </w:t>
      </w:r>
    </w:p>
    <w:p w:rsidR="00FA384C" w:rsidRPr="00981E15" w:rsidRDefault="00FA384C" w:rsidP="00FA384C">
      <w:pPr>
        <w:pStyle w:val="SingleTxt"/>
        <w:numPr>
          <w:ilvl w:val="0"/>
          <w:numId w:val="16"/>
        </w:numPr>
        <w:tabs>
          <w:tab w:val="clear" w:pos="475"/>
          <w:tab w:val="num" w:pos="1742"/>
        </w:tabs>
        <w:ind w:left="1267"/>
      </w:pPr>
      <w:r w:rsidRPr="00981E15">
        <w:t>El Estado de Guatemala ha analizado y considerado la recomendación del Comité de la CEDAW, para institucionalizar la Comisión para el Abordaje del Femicidio. Sin embargo el Estado de Guatemala considera que la institucionalización de esta Comisión no es posible, por la naturaleza de la misma, ya que esta Comisión está conformada por los tres Organismos del Estado que son independientes y autónomos entre sí, razón por la cual esta comisión no podría depender de tres diferentes organismos. Adicionalmente esta Comisión ha funcionando en base a una acción de coordinación y articulación a través del respeto y comprensión de la naturaleza de cada una de las instituciones que la conforman.</w:t>
      </w:r>
    </w:p>
    <w:p w:rsidR="00FA384C" w:rsidRPr="00981E15" w:rsidRDefault="00FA384C" w:rsidP="00FA384C">
      <w:pPr>
        <w:pStyle w:val="SingleTxt"/>
        <w:numPr>
          <w:ilvl w:val="0"/>
          <w:numId w:val="16"/>
        </w:numPr>
        <w:tabs>
          <w:tab w:val="clear" w:pos="475"/>
          <w:tab w:val="num" w:pos="1742"/>
        </w:tabs>
        <w:ind w:left="1267"/>
      </w:pPr>
      <w:r w:rsidRPr="00981E15">
        <w:t xml:space="preserve">El mecanismo establecido para dar seguimiento a la implementación de la estrategia diseñada por la Comisión para el Abordaje del Femicidio, es la conformación de un Comité Interinstitucional. Se espera alcanzar la firma de un convenio y acuerdo entre los tres Presidentes de los tres Organismos para la conformación de este Comité. </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Sistema de Justicia </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El sistema de justicia como conjunto de instituciones que desarrollan un papel de trascendencia para el Estado, principalmente en lo que respecta al fortalecimiento del Estado de Derecho, ha iniciado una serie de acciones en materia de modernización que coadyuvan al fortalecimiento de la aplicación de justicia. Por medio de la Instancia Coordinadora del Sector Justicia, integrada por el Organismo Judicial, el Ministerio Público, Ministerio de Gobernación y el Instituto de la Defensa Pública Penal, se organiza y coordina al más alto nivel en materia de justicia y seguridad del país.</w:t>
      </w:r>
    </w:p>
    <w:p w:rsidR="00FA384C" w:rsidRPr="00981E15" w:rsidRDefault="00FA384C" w:rsidP="00FA384C">
      <w:pPr>
        <w:pStyle w:val="SingleTxt"/>
        <w:numPr>
          <w:ilvl w:val="0"/>
          <w:numId w:val="16"/>
        </w:numPr>
        <w:tabs>
          <w:tab w:val="clear" w:pos="475"/>
          <w:tab w:val="num" w:pos="1742"/>
        </w:tabs>
        <w:ind w:left="1267"/>
      </w:pPr>
      <w:r w:rsidRPr="00981E15">
        <w:t xml:space="preserve">Para el fortalecimiento de la investigación científica, recientemente se creó el </w:t>
      </w:r>
      <w:r w:rsidRPr="00981E15">
        <w:rPr>
          <w:i/>
        </w:rPr>
        <w:t xml:space="preserve">Instituto Nacional de Ciencias Forenses </w:t>
      </w:r>
      <w:r w:rsidRPr="00981E15">
        <w:t>(INACIF), a través del decreto 32-2006. El INACIF se crea como una instancia auxiliar de la administración de justicia con autonomía funcional, personalidad jurídica y patrimonio propio, que permite la creación de una serie de laboratorios donde la prueba científica se convertirá en la base para los fallos judiciales. En julio de 2007, fue electa la Directora del INACIF.</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Acceso a la justicia oficial en el propio idioma</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 xml:space="preserve">Desde el ángulo sociolingüístico, el acceso a la justicia para las mujeres ha sido un problema, debido a que la administración de la justicia por lo general se ha realizado en idioma español. Esto ha limitado el fortalecimiento del Estado pluricultural y multilingüe. </w:t>
      </w:r>
    </w:p>
    <w:p w:rsidR="00FA384C" w:rsidRPr="00981E15" w:rsidRDefault="00FA384C" w:rsidP="00FA384C">
      <w:pPr>
        <w:pStyle w:val="SingleTxt"/>
        <w:numPr>
          <w:ilvl w:val="0"/>
          <w:numId w:val="16"/>
        </w:numPr>
        <w:tabs>
          <w:tab w:val="clear" w:pos="475"/>
          <w:tab w:val="num" w:pos="1742"/>
        </w:tabs>
        <w:ind w:left="1267"/>
      </w:pPr>
      <w:r w:rsidRPr="00981E15">
        <w:t>Ante esta situación se han generado acciones tendientes a facilitar el acceso a la justicia para la población que no habla idioma español, por medio del apoyo de intérpretes y privilegiando el uso más frecuente de peritajes culturales, tal como los establecen los Acuerdos de Paz. Actualmente el Organismo Judicial cuenta con 67 intérpretes, el Ministerio Público con 16, el Instituto de la Defensa Pública Penal cuenta con 10 Defensores Públicos bilingües y 14 intérpretes.</w:t>
      </w:r>
    </w:p>
    <w:p w:rsidR="00FA384C" w:rsidRPr="00981E15" w:rsidRDefault="00FA384C" w:rsidP="00FA384C">
      <w:pPr>
        <w:pStyle w:val="SingleTxt"/>
        <w:numPr>
          <w:ilvl w:val="0"/>
          <w:numId w:val="16"/>
        </w:numPr>
        <w:tabs>
          <w:tab w:val="clear" w:pos="475"/>
          <w:tab w:val="num" w:pos="1742"/>
        </w:tabs>
        <w:ind w:left="1267"/>
      </w:pPr>
      <w:r w:rsidRPr="00981E15">
        <w:t xml:space="preserve">En este mismo sentido por parte del Organismo Judicial se han implementado cinco juzgados comunitarios ubicados en Totonicapán, Huehuetenango, Petén, San Marcos y Sololá. Integrados por tres jueces, con perfil de conocida honorabilidad y arraigo dentro de su comunidad, con dominio del idioma maya de la región. Resuelven conforme a los usos, costumbres, equidad y a los principios generales del derecho cuando es posible. </w:t>
      </w:r>
    </w:p>
    <w:p w:rsidR="00FA384C" w:rsidRPr="00981E15" w:rsidRDefault="00FA384C" w:rsidP="00FA384C">
      <w:pPr>
        <w:pStyle w:val="SingleTxt"/>
        <w:spacing w:after="0" w:line="120" w:lineRule="exact"/>
        <w:rPr>
          <w:sz w:val="10"/>
        </w:rPr>
      </w:pPr>
    </w:p>
    <w:p w:rsidR="00FA384C" w:rsidRPr="00981E15" w:rsidRDefault="00FA384C" w:rsidP="00FA384C">
      <w:pPr>
        <w:pStyle w:val="SingleTxt"/>
        <w:spacing w:after="0" w:line="120" w:lineRule="exact"/>
        <w:rPr>
          <w:sz w:val="10"/>
        </w:rPr>
      </w:pPr>
    </w:p>
    <w:p w:rsidR="00FA384C" w:rsidRPr="00981E15" w:rsidRDefault="00FA384C" w:rsidP="00FA38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Respuesta de las instituciones del Sistema de Justicia</w:t>
      </w:r>
      <w:r w:rsidRPr="00981E15">
        <w:br/>
        <w:t>ante la Violencia contra las mujeres</w:t>
      </w:r>
    </w:p>
    <w:p w:rsidR="00FA384C" w:rsidRPr="00981E15" w:rsidRDefault="00FA384C" w:rsidP="00FA384C">
      <w:pPr>
        <w:pStyle w:val="SingleTxt"/>
        <w:spacing w:after="0" w:line="120" w:lineRule="exact"/>
        <w:rPr>
          <w:sz w:val="10"/>
        </w:rPr>
      </w:pP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Organismo Judicial </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La Corte Suprema de Justicia, por medio del Ac</w:t>
      </w:r>
      <w:r w:rsidR="003C6CDA" w:rsidRPr="00981E15">
        <w:t>uerdo 67-006 de 6 de octubre de</w:t>
      </w:r>
      <w:r w:rsidRPr="00981E15">
        <w:t xml:space="preserve"> 2006, crea la Unidad de la Mujer y Análisis de Género. Esto con el propósito de dar respuesta institucional ante las situaciones de exclusión social, económica, legal, política y cultural que viven las mujeres al acceder a la justicia en Guatemala y ante la crisis de violencia que vive la población, con especial énfasis en la violencia hacia las mujeres. </w:t>
      </w:r>
    </w:p>
    <w:p w:rsidR="00FA384C" w:rsidRPr="00981E15" w:rsidRDefault="00FA384C" w:rsidP="00FA384C">
      <w:pPr>
        <w:pStyle w:val="SingleTxt"/>
        <w:numPr>
          <w:ilvl w:val="0"/>
          <w:numId w:val="16"/>
        </w:numPr>
        <w:tabs>
          <w:tab w:val="clear" w:pos="475"/>
          <w:tab w:val="num" w:pos="1742"/>
        </w:tabs>
        <w:ind w:left="1267"/>
      </w:pPr>
      <w:r w:rsidRPr="00981E15">
        <w:t>La Unidad de la Mujer y Análisis del Género del Organismo Judicial, está implementando dentro del Organismo y principalmente a nivel de jueces y juezas, acciones de capacitación, sensibilización, divulgación y otras que permitan no solamente la visibilización de estos patrones sino también su cambio.</w:t>
      </w:r>
    </w:p>
    <w:p w:rsidR="00FA384C" w:rsidRPr="00981E15" w:rsidRDefault="00FA384C" w:rsidP="00FA384C">
      <w:pPr>
        <w:pStyle w:val="SingleTxt"/>
        <w:numPr>
          <w:ilvl w:val="0"/>
          <w:numId w:val="16"/>
        </w:numPr>
        <w:tabs>
          <w:tab w:val="clear" w:pos="475"/>
          <w:tab w:val="num" w:pos="1742"/>
        </w:tabs>
        <w:ind w:left="1267"/>
      </w:pPr>
      <w:r w:rsidRPr="00981E15">
        <w:t>El Organismo Judicial ha procesado diversa información sobre las denuncias recibidas de la cual se tienen a la fecha las acciones violentas perpetuados contra mujeres, correspondientes a los deli</w:t>
      </w:r>
      <w:r w:rsidR="003C6CDA" w:rsidRPr="00981E15">
        <w:t>tos de mayor incidencia social:</w:t>
      </w:r>
    </w:p>
    <w:p w:rsidR="00B62CB4" w:rsidRPr="00981E15" w:rsidRDefault="00B62CB4" w:rsidP="003C6CDA">
      <w:pPr>
        <w:pStyle w:val="SingleTxt"/>
        <w:suppressAutoHyphens/>
      </w:pPr>
    </w:p>
    <w:p w:rsidR="003C6CDA" w:rsidRPr="00981E15" w:rsidRDefault="003C6CDA" w:rsidP="003C6CDA">
      <w:pPr>
        <w:pStyle w:val="SingleTxt"/>
        <w:suppressAutoHyphens/>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3</w:t>
      </w:r>
      <w:r w:rsidRPr="00981E15">
        <w:br/>
        <w:t>Denuncias recibidas en el Organismo Judicial por hecho</w:t>
      </w:r>
      <w:r w:rsidR="0017177B">
        <w:t>s</w:t>
      </w:r>
      <w:r w:rsidRPr="00981E15">
        <w:t xml:space="preserve"> en contra </w:t>
      </w:r>
      <w:r w:rsidRPr="00981E15">
        <w:br/>
        <w:t>de las mujeres</w:t>
      </w:r>
    </w:p>
    <w:p w:rsidR="00FA384C" w:rsidRPr="00981E15" w:rsidRDefault="00FA384C" w:rsidP="00FA384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91"/>
        <w:gridCol w:w="1243"/>
        <w:gridCol w:w="1243"/>
        <w:gridCol w:w="1243"/>
      </w:tblGrid>
      <w:tr w:rsidR="00FA384C" w:rsidRPr="00981E15">
        <w:tblPrEx>
          <w:tblCellMar>
            <w:top w:w="0" w:type="dxa"/>
            <w:bottom w:w="0" w:type="dxa"/>
          </w:tblCellMar>
        </w:tblPrEx>
        <w:trPr>
          <w:tblHeader/>
        </w:trPr>
        <w:tc>
          <w:tcPr>
            <w:tcW w:w="3591" w:type="dxa"/>
            <w:tcBorders>
              <w:top w:val="single" w:sz="4" w:space="0" w:color="auto"/>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80" w:after="80" w:line="160" w:lineRule="exact"/>
              <w:ind w:right="40"/>
              <w:rPr>
                <w:i/>
                <w:kern w:val="0"/>
                <w:sz w:val="14"/>
              </w:rPr>
            </w:pPr>
            <w:r w:rsidRPr="00981E15">
              <w:rPr>
                <w:i/>
                <w:kern w:val="0"/>
                <w:sz w:val="14"/>
              </w:rPr>
              <w:t>Tipo de delito</w:t>
            </w:r>
          </w:p>
        </w:tc>
        <w:tc>
          <w:tcPr>
            <w:tcW w:w="1243" w:type="dxa"/>
            <w:tcBorders>
              <w:top w:val="single" w:sz="4" w:space="0" w:color="auto"/>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2005</w:t>
            </w:r>
          </w:p>
        </w:tc>
        <w:tc>
          <w:tcPr>
            <w:tcW w:w="1243" w:type="dxa"/>
            <w:tcBorders>
              <w:top w:val="single" w:sz="4" w:space="0" w:color="auto"/>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2006</w:t>
            </w:r>
          </w:p>
        </w:tc>
        <w:tc>
          <w:tcPr>
            <w:tcW w:w="1243" w:type="dxa"/>
            <w:tcBorders>
              <w:top w:val="single" w:sz="4" w:space="0" w:color="auto"/>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2007*</w:t>
            </w:r>
          </w:p>
        </w:tc>
      </w:tr>
      <w:tr w:rsidR="00FA384C" w:rsidRPr="00981E15">
        <w:tblPrEx>
          <w:tblCellMar>
            <w:top w:w="0" w:type="dxa"/>
            <w:bottom w:w="0" w:type="dxa"/>
          </w:tblCellMar>
        </w:tblPrEx>
        <w:trPr>
          <w:trHeight w:hRule="exact" w:val="115"/>
          <w:tblHeader/>
        </w:trPr>
        <w:tc>
          <w:tcPr>
            <w:tcW w:w="3591" w:type="dxa"/>
            <w:tcBorders>
              <w:top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rPr>
            </w:pPr>
          </w:p>
        </w:tc>
        <w:tc>
          <w:tcPr>
            <w:tcW w:w="1243" w:type="dxa"/>
            <w:tcBorders>
              <w:top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rPr>
            </w:pPr>
          </w:p>
        </w:tc>
        <w:tc>
          <w:tcPr>
            <w:tcW w:w="1243" w:type="dxa"/>
            <w:tcBorders>
              <w:top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rPr>
            </w:pPr>
          </w:p>
        </w:tc>
        <w:tc>
          <w:tcPr>
            <w:tcW w:w="1243" w:type="dxa"/>
            <w:tcBorders>
              <w:top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rPr>
            </w:pP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Lesiones leves, graves y culposas</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2 994</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2 475</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783</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Violaciones</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1 888</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1 823</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358</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 xml:space="preserve">Abusos deshonestos violentos y agravados </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133</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189</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36</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Plagio</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119</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133</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48</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Amenazas</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2 753</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3 589</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871</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Asesinatos</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81</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85</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26</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Homicidios</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375</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351</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98</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Homicidio Culposos</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164</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386</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73</w:t>
            </w:r>
          </w:p>
        </w:tc>
      </w:tr>
      <w:tr w:rsidR="00FA384C" w:rsidRPr="00981E15">
        <w:tblPrEx>
          <w:tblCellMar>
            <w:top w:w="0" w:type="dxa"/>
            <w:bottom w:w="0" w:type="dxa"/>
          </w:tblCellMar>
        </w:tblPrEx>
        <w:tc>
          <w:tcPr>
            <w:tcW w:w="3591"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Parricidios</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30</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38</w:t>
            </w:r>
          </w:p>
        </w:tc>
        <w:tc>
          <w:tcPr>
            <w:tcW w:w="1243" w:type="dxa"/>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11</w:t>
            </w:r>
          </w:p>
        </w:tc>
      </w:tr>
      <w:tr w:rsidR="00FA384C" w:rsidRPr="00981E15">
        <w:tblPrEx>
          <w:tblCellMar>
            <w:top w:w="0" w:type="dxa"/>
            <w:bottom w:w="0" w:type="dxa"/>
          </w:tblCellMar>
        </w:tblPrEx>
        <w:tc>
          <w:tcPr>
            <w:tcW w:w="3591" w:type="dxa"/>
            <w:tcBorders>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Faltas contra las pers</w:t>
            </w:r>
            <w:r w:rsidRPr="00981E15">
              <w:rPr>
                <w:kern w:val="0"/>
                <w:sz w:val="17"/>
                <w:szCs w:val="24"/>
              </w:rPr>
              <w:t>o</w:t>
            </w:r>
            <w:r w:rsidRPr="00981E15">
              <w:rPr>
                <w:kern w:val="0"/>
                <w:sz w:val="17"/>
                <w:szCs w:val="24"/>
              </w:rPr>
              <w:t>nas</w:t>
            </w:r>
          </w:p>
        </w:tc>
        <w:tc>
          <w:tcPr>
            <w:tcW w:w="1243" w:type="dxa"/>
            <w:tcBorders>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17 570</w:t>
            </w:r>
          </w:p>
        </w:tc>
        <w:tc>
          <w:tcPr>
            <w:tcW w:w="1243" w:type="dxa"/>
            <w:tcBorders>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1 670</w:t>
            </w:r>
          </w:p>
        </w:tc>
        <w:tc>
          <w:tcPr>
            <w:tcW w:w="1243" w:type="dxa"/>
            <w:tcBorders>
              <w:bottom w:val="single" w:sz="12" w:space="0" w:color="auto"/>
            </w:tcBorders>
            <w:shd w:val="clear" w:color="auto" w:fill="auto"/>
            <w:vAlign w:val="bottom"/>
          </w:tcPr>
          <w:p w:rsidR="00FA384C" w:rsidRPr="00981E15" w:rsidRDefault="00FA384C" w:rsidP="00FA384C">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4 430</w:t>
            </w:r>
          </w:p>
        </w:tc>
      </w:tr>
    </w:tbl>
    <w:p w:rsidR="00FA384C" w:rsidRPr="00981E15" w:rsidRDefault="00FA384C" w:rsidP="00FA384C">
      <w:pPr>
        <w:pStyle w:val="SingleTxt"/>
        <w:spacing w:after="0" w:line="120" w:lineRule="exact"/>
        <w:rPr>
          <w:sz w:val="10"/>
        </w:rPr>
      </w:pPr>
    </w:p>
    <w:p w:rsidR="00FA384C" w:rsidRPr="00981E15" w:rsidRDefault="00FA384C" w:rsidP="00FA384C">
      <w:pPr>
        <w:pStyle w:val="FootnoteText"/>
        <w:tabs>
          <w:tab w:val="clear" w:pos="418"/>
          <w:tab w:val="right" w:pos="1476"/>
          <w:tab w:val="left" w:pos="1548"/>
          <w:tab w:val="right" w:pos="1836"/>
          <w:tab w:val="left" w:pos="1908"/>
        </w:tabs>
        <w:ind w:left="1267" w:right="1267" w:hanging="1267"/>
      </w:pPr>
      <w:r w:rsidRPr="00981E15">
        <w:tab/>
      </w:r>
      <w:r w:rsidRPr="00981E15">
        <w:tab/>
      </w:r>
      <w:r w:rsidRPr="00981E15">
        <w:rPr>
          <w:i/>
        </w:rPr>
        <w:t>Fuente</w:t>
      </w:r>
      <w:r w:rsidRPr="00981E15">
        <w:t>: Organismo Judicial.</w:t>
      </w:r>
    </w:p>
    <w:p w:rsidR="004C0BB2" w:rsidRPr="00981E15" w:rsidRDefault="004C0BB2" w:rsidP="004C0BB2">
      <w:pPr>
        <w:pStyle w:val="SingleTxt"/>
        <w:suppressAutoHyphens/>
        <w:spacing w:after="0" w:line="120" w:lineRule="exact"/>
        <w:rPr>
          <w:sz w:val="10"/>
        </w:rPr>
      </w:pPr>
    </w:p>
    <w:p w:rsidR="00FA384C" w:rsidRPr="00981E15" w:rsidRDefault="00FA384C" w:rsidP="00FA384C">
      <w:pPr>
        <w:pStyle w:val="FootnoteText"/>
        <w:tabs>
          <w:tab w:val="clear" w:pos="418"/>
          <w:tab w:val="right" w:pos="1476"/>
          <w:tab w:val="left" w:pos="1548"/>
          <w:tab w:val="right" w:pos="1836"/>
          <w:tab w:val="left" w:pos="1908"/>
        </w:tabs>
        <w:ind w:left="1267" w:right="1267" w:hanging="1267"/>
      </w:pPr>
      <w:r w:rsidRPr="00981E15">
        <w:tab/>
        <w:t>*</w:t>
      </w:r>
      <w:r w:rsidRPr="00981E15">
        <w:tab/>
        <w:t>Enero-marzo de 2007.</w:t>
      </w:r>
    </w:p>
    <w:p w:rsidR="00FA384C" w:rsidRPr="00981E15" w:rsidRDefault="00FA384C" w:rsidP="00FA384C">
      <w:pPr>
        <w:pStyle w:val="SingleTxt"/>
        <w:spacing w:after="0" w:line="120" w:lineRule="exact"/>
        <w:rPr>
          <w:sz w:val="10"/>
        </w:rPr>
      </w:pP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 xml:space="preserve">El Organismo Judicial con el fin de atender a la CEDAW y otros convenios internacionales ratificados por Guatemala, impulsó la creación del Programa de Formación en Derechos Humanos de las Mujeres, dirigido a las instituciones que conforman el sector justicia, con dos modalidades de ejecución, nivel profesional y nivel técnico, ambos con aval académico del Instituto de Derechos Humanos de la Universidad de San Carlos de Guatemala. </w:t>
      </w:r>
    </w:p>
    <w:p w:rsidR="00FA384C" w:rsidRPr="00981E15" w:rsidRDefault="00FA384C" w:rsidP="00FA384C">
      <w:pPr>
        <w:pStyle w:val="SingleTxt"/>
        <w:numPr>
          <w:ilvl w:val="0"/>
          <w:numId w:val="16"/>
        </w:numPr>
        <w:tabs>
          <w:tab w:val="clear" w:pos="475"/>
          <w:tab w:val="num" w:pos="1742"/>
        </w:tabs>
        <w:ind w:left="1267"/>
      </w:pPr>
      <w:r w:rsidRPr="00981E15">
        <w:t xml:space="preserve">La Unidad de Capacitación Institucional del Organismo Judicial ha incorporado el tema de género como uno de los ejes transversales, para lo cual existe un módulo específico denominado: Justicia y Género. En dicho módulo además de temas teóricos y de metodología de análisis de género, se aborda la legislación nacional e internacional de protección de los derechos de las mujeres y el tema de violencia en contra de las mujeres. </w:t>
      </w:r>
    </w:p>
    <w:p w:rsidR="00FA384C" w:rsidRPr="00981E15" w:rsidRDefault="00FA384C" w:rsidP="00FA384C">
      <w:pPr>
        <w:pStyle w:val="SingleTxt"/>
        <w:numPr>
          <w:ilvl w:val="0"/>
          <w:numId w:val="16"/>
        </w:numPr>
        <w:tabs>
          <w:tab w:val="clear" w:pos="475"/>
          <w:tab w:val="num" w:pos="1742"/>
        </w:tabs>
        <w:ind w:left="1267"/>
      </w:pPr>
      <w:r w:rsidRPr="00981E15">
        <w:t>Con el apoyo financiero del Banco Mundial, la Unidad de Modernización del Organismo Judicial, realizó la impresión de dos libros de texto que se utilizan en el Curso de Justicia y Género. Estos son “Cuando el Género Suena Cambios Trae”, que es una metodología para el análisis de género en el contexto legal, cuya autora es la experta costarricense Alda Facio Montejo y “Género Mujeres y Justicia” de la experta guatemalteca Hilda Morales Trujillo.</w:t>
      </w:r>
    </w:p>
    <w:p w:rsidR="00FA384C" w:rsidRPr="00981E15" w:rsidRDefault="00FA384C" w:rsidP="00FA384C">
      <w:pPr>
        <w:pStyle w:val="SingleTxt"/>
        <w:numPr>
          <w:ilvl w:val="0"/>
          <w:numId w:val="16"/>
        </w:numPr>
        <w:tabs>
          <w:tab w:val="clear" w:pos="475"/>
          <w:tab w:val="num" w:pos="1742"/>
        </w:tabs>
        <w:ind w:left="1267"/>
      </w:pPr>
      <w:r w:rsidRPr="00981E15">
        <w:t>Del año 2004 al 2006 han egresado 107 jueces de paz entre hombres y mujeres, quienes han sido sensibilizados y capacitados en el tema.</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Ministerio Público (MP) </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En el Plan de Política de Persecución Penal del Ministerio Público aprobado por el Fiscal General de la República en el 2004 se establecieron criterios de actuación de los fiscales en el proceso penal, para eliminar toda forma de discriminación y violencia contra las mujeres y hacer efectivos sus derechos.</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Persecución penal de los delitos contra la vida de mujeres</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Hasta el 2004 la Fiscalía Distrital Metropolitana era la encargada de desarrollar la persecución penal de los delitos contra la vida en general, así como de otros delitos contra la integridad de las personas, como delitos contra el patrimonio de las mismas. La vida, como bien jurídico tutelado era atendida como cualquier otro bien jurídico afectado por otros delitos de menor importancia. La investigación de los delitos contra la vida era completamente empírica y sin ninguna especialidad.</w:t>
      </w:r>
    </w:p>
    <w:p w:rsidR="00FA384C" w:rsidRPr="00981E15" w:rsidRDefault="00FA384C" w:rsidP="00FA384C">
      <w:pPr>
        <w:pStyle w:val="SingleTxt"/>
        <w:numPr>
          <w:ilvl w:val="0"/>
          <w:numId w:val="16"/>
        </w:numPr>
        <w:tabs>
          <w:tab w:val="clear" w:pos="475"/>
          <w:tab w:val="num" w:pos="1742"/>
        </w:tabs>
        <w:ind w:left="1267"/>
      </w:pPr>
      <w:r w:rsidRPr="00981E15">
        <w:t>En agosto de 2004, el MP crea la Fiscalía de Sección de Delitos contra la Vida y la Integridad de la Persona (para el área metropolitana), con diez agencias fiscales, cada una de ellas conformada con un Agente Fiscal, cuatro Auxiliares Fiscales y dos Oficiales de Fiscalía. Con lo anterior se dio un giro sustancial a la investigación de delitos contra la vida, ya que dio surgimiento a la especialización en la investigación y persecución penal de estos delitos.</w:t>
      </w:r>
    </w:p>
    <w:p w:rsidR="00FA384C" w:rsidRPr="00981E15" w:rsidRDefault="00FA384C" w:rsidP="00FA384C">
      <w:pPr>
        <w:pStyle w:val="SingleTxt"/>
        <w:numPr>
          <w:ilvl w:val="0"/>
          <w:numId w:val="16"/>
        </w:numPr>
        <w:tabs>
          <w:tab w:val="clear" w:pos="475"/>
          <w:tab w:val="num" w:pos="1742"/>
        </w:tabs>
        <w:ind w:left="1267"/>
      </w:pPr>
      <w:r w:rsidRPr="00981E15">
        <w:t>En el 2005 los casos de delitos contra la vida de mujeres que eran investigados por la Fiscalía de la Mujer fueron trasladados a la Fiscalía de Delitos Contra la Vida; asegurando de esta forma un mejor tratamiento de dichos casos por medio de una fiscalía especializada. En diciembre de 2006, se incrementaron diez agencias más. Cuatro agencias fiscales se han destinado específicamente para dar seguimiento a los casos de muertes violentas de mujeres, dos surgieron en agosto y dos en diciembre de 2005. Desde esta fecha se han logrado resolver 21 casos con sentencia condenatoria.</w:t>
      </w:r>
    </w:p>
    <w:p w:rsidR="00FA384C" w:rsidRPr="00981E15" w:rsidRDefault="00FA384C" w:rsidP="00FA384C">
      <w:pPr>
        <w:pStyle w:val="SingleTxt"/>
        <w:numPr>
          <w:ilvl w:val="0"/>
          <w:numId w:val="16"/>
        </w:numPr>
        <w:tabs>
          <w:tab w:val="clear" w:pos="475"/>
          <w:tab w:val="num" w:pos="1742"/>
        </w:tabs>
        <w:ind w:left="1267"/>
      </w:pPr>
      <w:r w:rsidRPr="00981E15">
        <w:t xml:space="preserve">Dentro de las medidas que ha implementado el MP para dar seguimiento a los delitos contra la vida, con perspectiva de género para el manejo y cuidado de los casos por su especificidad se encuentran: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Directrices de actuación, para mejorar el tema de investigación criminal en delitos contra la vida.</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Instrucción General de criterios de actuación para el procesamiento de la escena del crimen.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Instrucción General de criterios de actuación, para tratamiento de delitos sexuales.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Proyecto de Instrucción General contra la violencia intrafamiliar.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Creación de Fiscalías de la Mujer en los Municipios de Mixco y Villa Nueva.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Incremento de Investigadores de la Dirección de Investigaciones Criminalísticas (DICRI) del MP. A nivel nacional para el procesamiento de las escenas de muertes violentas. Así como su debido equipamiento técnico y de transporte.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Actualmente las Agencias Fiscales de la Fiscalía de Sección de Delitos contra la Vida e integridad de la Persona (20) cuentan con el apoyo de 2 Investigadores de la Dirección de Investigaciones Criminalísticas del MP de forma continua durante los turnos.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Coordinación permanente entre la División de Investigación Criminal (DINC) de la PNC y el MP para el turno de procesamiento de escenas de delitos contra mujeres. Y seguimiento de la investigación dentro de las 24 y 48 horas siguientes para el análisis de casos y diligenciamiento de acciones inmediatas.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 xml:space="preserve">Plan de Política Victimológica Institucional. </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Capacitación técnica para la persecución de delitos contra la vida</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La Unidad de Capacitación del Ministerio Público (UNICAP) ha capacitado al personal sobre temas técnico científicos del manejo de la escena del crimen (Canadá), instrucciones generales sobre el procesamiento de la escena del crimen, instrucción general que contiene metodología para la investigación criminal y la instrucción general para la recepción, registro y traslado de información relacionada con la escena del crimen. Acciones de coordinación en el trabajo de la PNC y las fiscalías, atención a la víctima, aplicación de la Ley para prevenir, erradicar y sancionar la Violencia Intrafamiliar y normativa internacional en la materia, actualización victimológica. Todos con enfoque de género y equidad, en el respeto de los derechos humanos.</w:t>
      </w:r>
    </w:p>
    <w:p w:rsidR="00FA384C" w:rsidRPr="00981E15" w:rsidRDefault="00FA384C" w:rsidP="00FA384C">
      <w:pPr>
        <w:pStyle w:val="SingleTxt"/>
        <w:numPr>
          <w:ilvl w:val="0"/>
          <w:numId w:val="16"/>
        </w:numPr>
        <w:tabs>
          <w:tab w:val="clear" w:pos="475"/>
          <w:tab w:val="num" w:pos="1742"/>
        </w:tabs>
        <w:ind w:left="1267"/>
      </w:pPr>
      <w:r w:rsidRPr="00981E15">
        <w:t xml:space="preserve">Se han coordinado capacitaciones internacionales de personal de Fiscalía de la Mujer y Unidad de Niñez Víctima en temas relacionados al trabajo. </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Atención a las víctimas de delitos</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Con el propósito de brindar mejores servicios a las víctimas del delito, el MP implementó a finales de 2006 el Departamento de Coordinación de Atención a la Víctima, órgano que luego de haber realizado el diagnóstico de la atención que se brinda en las diferentes dependencias de la institución a las cuales acude la víctima de delito, construyó un Plan de Política Victimológica, que fue aprobado por el Fiscal General de la República en marzo de 2007. Con esto la Institución hace suyo el compromiso de generar políticas victimológicas internas que permiten atender integralmente los daños sufridos por las víctimas de manera pronta, eficaz y humana. Los ejes del plan son: 1) elaboración de protocolos, 2) efectividad en la coordinación intra e interinstitucional, 3) Fortalecimiento de la Oficina de Atención a la Víctima (OAV) y 4) Fortalecimiento de las Redes de Derivación.</w:t>
      </w:r>
    </w:p>
    <w:p w:rsidR="00FA384C" w:rsidRPr="00981E15" w:rsidRDefault="00FA384C" w:rsidP="00FA384C">
      <w:pPr>
        <w:pStyle w:val="SingleTxt"/>
        <w:numPr>
          <w:ilvl w:val="0"/>
          <w:numId w:val="16"/>
        </w:numPr>
        <w:tabs>
          <w:tab w:val="clear" w:pos="475"/>
          <w:tab w:val="num" w:pos="1742"/>
        </w:tabs>
        <w:ind w:left="1267"/>
      </w:pPr>
      <w:r w:rsidRPr="00981E15">
        <w:t xml:space="preserve">Para dar respuesta a las necesidades de las mujeres que son víctimas, las Oficinas de Atención a la Víctima (OAV) brindan atención urgente y necesaria a las víctimas. Existen oficinas y teléfonos de turno para que puedan acudir en horas y días inhábiles. Actualmente hay 33 oficinas en toda la República. </w:t>
      </w:r>
    </w:p>
    <w:p w:rsidR="00FA384C" w:rsidRPr="00981E15" w:rsidRDefault="00FA384C" w:rsidP="00FA384C">
      <w:pPr>
        <w:pStyle w:val="SingleTxt"/>
        <w:numPr>
          <w:ilvl w:val="0"/>
          <w:numId w:val="16"/>
        </w:numPr>
        <w:tabs>
          <w:tab w:val="clear" w:pos="475"/>
          <w:tab w:val="num" w:pos="1742"/>
        </w:tabs>
        <w:ind w:left="1267"/>
      </w:pPr>
      <w:r w:rsidRPr="00981E15">
        <w:t>La OAV aplica el modelo de atención con enfoque de género y equidad, mediante los protocolos de atención que especifican la atención que debe recibir la persona por su condición de edad, sexo, etnia, delito y necesidades personales en atención al daño causado por el delito. Se realizan evaluaciones psicológicas e informes psicológicos, visitas domiciliarias, informes de trabajo social. Se ofrece la derivación a instituciones que brinden programas de atención psicológica, psiquiátrica, médica o social para apoyar a las sobrevivientes en el proceso de recuperación emocional. Además se brinda acompañamiento a las víctimas durante las audiencias de investigación, de debate y después de debate. Se coordina la articulación de los programas interinstitucionales mediante el ente Coordinador Nacional de la Red. Se ratifican informes en debate con calidad de peritos para evidenciar el daño causado por el delito en la víctima que fue vulnerada. Se ofrece el programa de protección a testigos, donde se puede incluir a las víctimas otorgándole los beneficios que establece el reglamento vigente.</w:t>
      </w:r>
    </w:p>
    <w:p w:rsidR="00FA384C" w:rsidRPr="00981E15" w:rsidRDefault="00FA384C" w:rsidP="00FA384C">
      <w:pPr>
        <w:pStyle w:val="SingleTxt"/>
        <w:numPr>
          <w:ilvl w:val="0"/>
          <w:numId w:val="16"/>
        </w:numPr>
        <w:tabs>
          <w:tab w:val="clear" w:pos="475"/>
          <w:tab w:val="num" w:pos="1742"/>
        </w:tabs>
        <w:ind w:left="1267"/>
      </w:pPr>
      <w:r w:rsidRPr="00981E15">
        <w:t xml:space="preserve">Ante la sensibilización y apoyo que la población ha recibido en los últimos años, las mujeres se acercan a denunciar, aceptan el apoyo de la OAV, colaboran con el proceso de investigación, aceptan las evaluaciones médicas forenses, asisten a las evaluaciones psicológicas, reciben las visitas domiciliarias y al estar empoderadas asisten a debate. Se han articulado los protocolos interinstitucionales para atención y apoyo de sobrevivientes. </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Fiscalía de la Mujer</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La Fiscalía de la Mujer se ha fortalecido por medio del aumento de personal. De 4 Auxiliares fiscales ascendieron a 16 para las 4 fiscalías que en la capital atienden casos de violencia intrafamiliar y delitos sexuales a personas mayores, principalmente. Actualmente se está construyendo un modelo de gestión adecuado al marco de competencia y se están redefiniendo los procedimientos internos de la Fiscalía de la Mujer, para fortalecer su capacidad de respuesta en los delitos cometidos en contra de las mujeres por su condición de mujer.</w:t>
      </w:r>
    </w:p>
    <w:p w:rsidR="00FA384C" w:rsidRPr="00981E15" w:rsidRDefault="00FA384C" w:rsidP="00FA384C">
      <w:pPr>
        <w:pStyle w:val="SingleTxt"/>
        <w:numPr>
          <w:ilvl w:val="0"/>
          <w:numId w:val="16"/>
        </w:numPr>
        <w:tabs>
          <w:tab w:val="clear" w:pos="475"/>
          <w:tab w:val="num" w:pos="1742"/>
        </w:tabs>
        <w:ind w:left="1267"/>
      </w:pPr>
      <w:r w:rsidRPr="00981E15">
        <w:t>La Instrucción General 1-2005 del Fiscal General de la República prohíbe promover el criterio de oportunidad en los delitos de violación y abusos deshonestos. Además de ello, cuando se presenta desistimiento del caso, el Fiscal encargado debe verificar que el mismo no fue obtenido mediante coacción, amenaza, simulación u otra forma que implique la comisión de un delito con lo cual se protegen los derechos de las mujeres vulneradas.</w:t>
      </w:r>
    </w:p>
    <w:p w:rsidR="00FA384C" w:rsidRPr="00981E15" w:rsidRDefault="00FA384C" w:rsidP="00FA384C">
      <w:pPr>
        <w:pStyle w:val="SingleTxt"/>
        <w:numPr>
          <w:ilvl w:val="0"/>
          <w:numId w:val="16"/>
        </w:numPr>
        <w:tabs>
          <w:tab w:val="clear" w:pos="475"/>
          <w:tab w:val="num" w:pos="1742"/>
        </w:tabs>
        <w:ind w:left="1267"/>
      </w:pPr>
      <w:r w:rsidRPr="00981E15">
        <w:t>La Fiscalía de la Mujer tiene cobertura a nivel nacional, lo cual continúa siendo un desafío a futuro, para poder ampliar su cobertura a nivel nacional. Actualmente las Fiscalías Municipales de Mixco y de Villa Nueva, cuentan con una Fiscalía de la Mujer.</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Unidades de apoyo en la persecución de delitos </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 xml:space="preserve">La Unidad de Análisis del MP fue creada en el 2006, con el objetivo de apoyar a las Fiscalías mediante la asesoría, análisis e informes que incluyan las recomendaciones necesarias a casos concretos. Se han dado casos de muertes violentas de mujeres y cuando se realiza el análisis respectivo se ha podido establecer que las mismas mujeres anteriormente habían presentado denuncias de violencia intrafamiliar. Así también se tiene previsto poder cruzar información con otras instituciones como el Departamento de Control de Armas y Municiones (DECAM), Dirección General de Migración, Departamento de Tránsito, Superintendencia Tributaria y la Policía Nacional Civil (PNC), lo que permitiría obtener información sobre los lugares donde se cometen los delitos, como se llevan a cabo, el tipo de armas que utilizan, identificar patrones, etc. </w:t>
      </w:r>
    </w:p>
    <w:p w:rsidR="00FA384C" w:rsidRPr="00981E15" w:rsidRDefault="00FA384C" w:rsidP="00FA384C">
      <w:pPr>
        <w:pStyle w:val="SingleTxt"/>
        <w:numPr>
          <w:ilvl w:val="0"/>
          <w:numId w:val="16"/>
        </w:numPr>
        <w:tabs>
          <w:tab w:val="clear" w:pos="475"/>
          <w:tab w:val="num" w:pos="1742"/>
        </w:tabs>
        <w:ind w:left="1267"/>
      </w:pPr>
      <w:r w:rsidRPr="00981E15">
        <w:t>Con relación al servicio de protección a sujetos procesales y personas vinculadas con la administración de justicia, en el 2005, por medio del Acuerdo 21-2005 el Fiscal General crea el Departamento de Apoyo Logístico del MP. Esta dependencia es la responsable de formular políticas, planificar, organizar y dirigir el servicio de apoyo a testigos; sustituyéndose de esta manera la Secretaría de Apoyo Logístico que cumplía anteriormente con esta función.</w:t>
      </w:r>
    </w:p>
    <w:p w:rsidR="00FA384C" w:rsidRPr="00981E15" w:rsidRDefault="00FA384C" w:rsidP="00FA384C">
      <w:pPr>
        <w:pStyle w:val="SingleTxt"/>
        <w:numPr>
          <w:ilvl w:val="0"/>
          <w:numId w:val="16"/>
        </w:numPr>
        <w:tabs>
          <w:tab w:val="clear" w:pos="475"/>
          <w:tab w:val="num" w:pos="1742"/>
        </w:tabs>
        <w:ind w:left="1267"/>
      </w:pPr>
      <w:r w:rsidRPr="00981E15">
        <w:t>Mediante el acuerdo 47-2005 el Fiscal General de la República, emitió Reglamento del Programa de Apoyo a Testigos, creado con el fin de regular el procedimiento para definir criterios de admisión, tipos de asistencia, plazo de las personas beneficiarias, prórroga y suspensión de los beneficios, así como otros aspectos relativos al tema.</w:t>
      </w:r>
    </w:p>
    <w:p w:rsidR="00FA384C" w:rsidRPr="00981E15" w:rsidRDefault="00FA384C" w:rsidP="00FA384C">
      <w:pPr>
        <w:pStyle w:val="SingleTxt"/>
        <w:numPr>
          <w:ilvl w:val="0"/>
          <w:numId w:val="16"/>
        </w:numPr>
        <w:tabs>
          <w:tab w:val="clear" w:pos="475"/>
          <w:tab w:val="num" w:pos="1742"/>
        </w:tabs>
        <w:ind w:left="1267"/>
      </w:pPr>
      <w:r w:rsidRPr="00981E15">
        <w:t>En el 2007 se realizaron todos los esfuerzos necesarios para hacer efectiva la aplicación de la Ley de Protección de Sujetos Procesales y Personas Vinculadas con la Administración de Justicia Penal, Decreto 70-96 del Congreso de la República. Para este efecto se emitió el Reglamento de esta Ley, mediante el Acuerdo 2-2007 del Consejo del Ministerio Público y se conformaron las autoridades rectoras del sistema de protección, cuyo órgano superior es el Consejo Directivo integrado por el Fiscal General de la República, un representante del Ministerio de Gobernación y el Director de la Oficina de Protección. A la fecha el citado decreto ha cobrado plena vigencia y el servicio de protección se encuentra en funcionamiento; la cobertura se amplió, ahora no sólo protege a los testigos sino también a los sujetos procesales y a las personas vinculadas con la administración de justicia penal.</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Sistema Informático del MP</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 xml:space="preserve">El sistema informático del Ministerio Público (SICOMP), suma cinco años de un proceso de consolidación. Aunque dentro del SICOMP de manera regular no se desglosaba la información por sexo, el sistema permite hacerlo, por lo que por medio de la participación del MP en la Comisión para el Abordaje del Femicidio, se han realizado los ajustes necesarios para el desglose de datos por sexo y la coordinación con el ente nacional encargado de las estadísticas, el Instituto Nacional de Estadísticas (INE). </w:t>
      </w:r>
    </w:p>
    <w:p w:rsidR="00FA384C" w:rsidRPr="00981E15" w:rsidRDefault="00FA384C" w:rsidP="00FA384C">
      <w:pPr>
        <w:pStyle w:val="SingleTxt"/>
        <w:numPr>
          <w:ilvl w:val="0"/>
          <w:numId w:val="16"/>
        </w:numPr>
        <w:tabs>
          <w:tab w:val="clear" w:pos="475"/>
          <w:tab w:val="num" w:pos="1742"/>
        </w:tabs>
        <w:ind w:left="1267"/>
      </w:pPr>
      <w:r w:rsidRPr="00981E15">
        <w:t xml:space="preserve">En el caso de mujeres muertas de manera violenta se agrega el parentesco con el victimario. El SICOMP se encuentra enlazado a nivel nacional a partir de 2007. A excepción de las Oficinas de Atención a la Víctima, que lleva un sistema separado, todas las fiscalías del país utilizan el mismo formato de registro. En el 2006 se introdujo el sistema dentro de la Fiscalía de la Mujer. </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Ministerio de Gobernación – Policía Nacional Civil (PNC)</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 xml:space="preserve">En el año 2007 el Ministerio de Gobernación implementó el Programa de </w:t>
      </w:r>
      <w:r w:rsidRPr="00981E15">
        <w:rPr>
          <w:i/>
        </w:rPr>
        <w:t>Seguridad Integral de las Mujeres</w:t>
      </w:r>
      <w:r w:rsidRPr="00981E15">
        <w:t>, con los objetivos específicos de prevención, investigación, coordinación interinstitucional, coordinación operativa, capacitación, centros de atención, institucionalización del Programa. En la prevención se están realizando capacitaciones para lograr la sensibilización del personal operativo de las Comisarías y las Fiscalías específicas del Ministerio Público. Se mejoró la línea telefónica gratuita 110 con servicio las 24 horas del día para la recepción de denuncias y ayuda a la población, a la vez que se realizan rondas policíacas en las áreas de mayor índice de violencia.</w:t>
      </w:r>
    </w:p>
    <w:p w:rsidR="00FA384C" w:rsidRPr="00981E15" w:rsidRDefault="00FA384C" w:rsidP="00FA384C">
      <w:pPr>
        <w:pStyle w:val="SingleTxt"/>
        <w:numPr>
          <w:ilvl w:val="0"/>
          <w:numId w:val="16"/>
        </w:numPr>
        <w:tabs>
          <w:tab w:val="clear" w:pos="475"/>
          <w:tab w:val="num" w:pos="1742"/>
        </w:tabs>
        <w:ind w:left="1267"/>
      </w:pPr>
      <w:r w:rsidRPr="00981E15">
        <w:t xml:space="preserve">El Ministerio de Gobernación realiza mejoras en el diseño del perfil de personas investigadoras para su contratación, y se incluyó dentro del pensum de la Academia de la Policía Nacional Civil el curso de género y equidad. Además, en diferentes medios de comunicación se ha realizado la campaña para la sensibilización a la población en los temas de violencia contra la mujer y violencia intrafamiliar. </w:t>
      </w:r>
    </w:p>
    <w:p w:rsidR="00FA384C" w:rsidRPr="00981E15" w:rsidRDefault="00FA384C" w:rsidP="00FA384C">
      <w:pPr>
        <w:pStyle w:val="SingleTxt"/>
        <w:numPr>
          <w:ilvl w:val="0"/>
          <w:numId w:val="16"/>
        </w:numPr>
        <w:tabs>
          <w:tab w:val="clear" w:pos="475"/>
          <w:tab w:val="num" w:pos="1742"/>
        </w:tabs>
        <w:ind w:left="1267"/>
      </w:pPr>
      <w:r w:rsidRPr="00981E15">
        <w:t>La comunicación y coordinación entre las fiscalías que atienden los casos de delitos contra la vida de las mujeres y la División de Investigación Criminal (DINC) ha mejorado, por medio de la coordinación del sistema de turnos de 72 horas. Tanto investigadores de la PNC, del MP y agentes fiscales permanecen en contacto directo, con el fin primordial de que las investigaciones se desarrollen de forma conjunta y se logre el esclarecimiento de los sucesos.</w:t>
      </w:r>
    </w:p>
    <w:p w:rsidR="00FA384C" w:rsidRPr="00981E15" w:rsidRDefault="00FA384C" w:rsidP="00FA384C">
      <w:pPr>
        <w:pStyle w:val="SingleTxt"/>
        <w:numPr>
          <w:ilvl w:val="0"/>
          <w:numId w:val="16"/>
        </w:numPr>
        <w:tabs>
          <w:tab w:val="clear" w:pos="475"/>
          <w:tab w:val="num" w:pos="1742"/>
        </w:tabs>
        <w:ind w:left="1267"/>
      </w:pPr>
      <w:r w:rsidRPr="00981E15">
        <w:t xml:space="preserve">En la Policía Nacional Civil (PNC), la Unidad Contra Homicidios de Mujeres de la Dirección de Investigaciones Criminalísticas de la Policía Nacional Civil (DINC) se ha fortalecido la supervisión de las actuaciones de los integrantes de dicha unidad, para el estricto respeto a los derechos humanos y el cumplimiento debido a las garantías que la constitución otorga a las mujeres. Actualmente la Unidad cuenta con 20 investigadores debidamente equipados. </w:t>
      </w:r>
    </w:p>
    <w:p w:rsidR="00FA384C" w:rsidRPr="00981E15" w:rsidRDefault="00FA384C" w:rsidP="00FA384C">
      <w:pPr>
        <w:pStyle w:val="SingleTxt"/>
        <w:numPr>
          <w:ilvl w:val="0"/>
          <w:numId w:val="16"/>
        </w:numPr>
        <w:tabs>
          <w:tab w:val="clear" w:pos="475"/>
          <w:tab w:val="num" w:pos="1742"/>
        </w:tabs>
        <w:ind w:left="1267"/>
      </w:pPr>
      <w:r w:rsidRPr="00981E15">
        <w:t xml:space="preserve">La Oficina de Atención a la Víctima de la Policía Nacional Civil, realiza actualmente un registro estadístico a nivel nacional, por tener cobertura en todos los departamentos de Guatemala. Sus registros son desglosados por sexo, lo que permite visibilizar la violencia que sufren las mujeres y para la creación de mecanismos de análisis, intervención y atención a la población femenina. </w:t>
      </w:r>
    </w:p>
    <w:p w:rsidR="00FA384C" w:rsidRPr="00981E15" w:rsidRDefault="00FA384C" w:rsidP="00FA384C">
      <w:pPr>
        <w:pStyle w:val="SingleTxt"/>
        <w:numPr>
          <w:ilvl w:val="0"/>
          <w:numId w:val="16"/>
        </w:numPr>
        <w:tabs>
          <w:tab w:val="clear" w:pos="475"/>
          <w:tab w:val="num" w:pos="1742"/>
        </w:tabs>
        <w:ind w:left="1267"/>
      </w:pPr>
      <w:r w:rsidRPr="00981E15">
        <w:t xml:space="preserve">Actualmente, el Ministerio de Gobernación y la organización de La Red de la No Violencia contra las Mujeres están gestionando la creación de un Centro Integral para Mujeres en la ciudad capital, con el fin de que aquellas mujeres víctimas de violencia acudan a este Centro para prestarles asistencia sicológica, médica, legal, vivienda y alimentación por un período de tiempo prudencial. El Ministerio de Gobernación será quien destine los fondos para el mantenimiento del Centro y será administrado por organizaciones civiles de mujeres. En este momento ya se ubicó el bien inmueble en el que se instalará el centro y se dio inicio el proceso de compra del equipo mobiliario del centro. </w:t>
      </w:r>
    </w:p>
    <w:p w:rsidR="00FA384C" w:rsidRPr="00981E15" w:rsidRDefault="00FA384C" w:rsidP="00FA384C">
      <w:pPr>
        <w:pStyle w:val="SingleTxt"/>
        <w:numPr>
          <w:ilvl w:val="0"/>
          <w:numId w:val="16"/>
        </w:numPr>
        <w:tabs>
          <w:tab w:val="clear" w:pos="475"/>
          <w:tab w:val="num" w:pos="1742"/>
        </w:tabs>
        <w:ind w:left="1267"/>
      </w:pPr>
      <w:r w:rsidRPr="00981E15">
        <w:t>Por medio de la Academia de la PNC se está capacitando a los aspirantes y agentes policíacos en aspectos relacionados con la prevención de la violencia intrafamiliar y violencia contra las mujeres, desarrollando programas de sensibilización y capacitación dirigidos al personal policial de hombres y mujeres. Los temas abordados son: 1) Procedimientos Policiales con Equidad de Género, 2) Prevención de la Violencia y el Delito con Equidad de Género, 3) Género, Violencia de Género, 4) Función Policial, y 5) Cultura de Vida. Dentro del pensum que comprende 1,315 sesiones de 6 horas cada una aproximadamente, 24 sesiones se dedican al tema de violencia contra las mujeres.</w:t>
      </w:r>
    </w:p>
    <w:p w:rsidR="00FA384C" w:rsidRPr="00981E15" w:rsidRDefault="00FA384C" w:rsidP="00FA384C">
      <w:pPr>
        <w:pStyle w:val="SingleTxt"/>
        <w:numPr>
          <w:ilvl w:val="0"/>
          <w:numId w:val="16"/>
        </w:numPr>
        <w:tabs>
          <w:tab w:val="clear" w:pos="475"/>
          <w:tab w:val="num" w:pos="1742"/>
        </w:tabs>
        <w:ind w:left="1267"/>
      </w:pPr>
      <w:r w:rsidRPr="00981E15">
        <w:t>Por medio de la Oficina de Derechos Humanos de la PNC se realizan campañas de promoción y divulgación de los derechos de la mujer, de forma interna con personal policial que labora en las oficinas de Seguridad y Atención Ciudadana, así como con el personal que trabaja operativamente resguardando la seguridad ciudadana. Así también, se proyecta hacia lo externo de la institución, por medio de adolescentes (alumnas de establecimientos educativos) y con adultos y adultas mayores (club de jubilados/as de la PNC, y del Instituto de Previsión Militar); quienes han recibido entre ot</w:t>
      </w:r>
      <w:r w:rsidR="00540AE0" w:rsidRPr="00981E15">
        <w:t>ros, los siguientes seminarios-</w:t>
      </w:r>
      <w:r w:rsidRPr="00981E15">
        <w:t xml:space="preserve">talleres: </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Autoestima</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Un día más conociendo de Derechos Humanos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Convención sobre la Eliminación de todas las formas de Discriminación contra la Mujer</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Anticoncepción de emergencia, (una oportunidad para las mujeres víctimas de violencia sexual)</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Ley para prevenir, sancionar y erradicar la violencia intrafamiliar</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Allanamiento y sus excepciones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Envejecer con dignidad</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Derechos Humanos y el adulto mayor</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Mitos y estereotipos en la edad adulta mayor</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Medidas de seguridad en el hogar y en la calle</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Derechos, obligaciones y virtudes de los niños/as</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Incesto</w:t>
      </w:r>
    </w:p>
    <w:p w:rsidR="00FA384C" w:rsidRPr="00981E15" w:rsidRDefault="00FA384C" w:rsidP="00FA384C">
      <w:pPr>
        <w:pStyle w:val="SingleTxt"/>
        <w:tabs>
          <w:tab w:val="clear" w:pos="1742"/>
          <w:tab w:val="right" w:pos="1685"/>
        </w:tabs>
        <w:suppressAutoHyphens/>
        <w:ind w:left="1742" w:hanging="475"/>
      </w:pPr>
      <w:r w:rsidRPr="00981E15">
        <w:tab/>
        <w:t>•</w:t>
      </w:r>
      <w:r w:rsidRPr="00981E15">
        <w:tab/>
        <w:t>Maltrato Infantil.</w:t>
      </w:r>
    </w:p>
    <w:p w:rsidR="00FA384C" w:rsidRPr="00981E15" w:rsidRDefault="00FA384C" w:rsidP="00FA384C">
      <w:pPr>
        <w:pStyle w:val="SingleTxt"/>
        <w:numPr>
          <w:ilvl w:val="0"/>
          <w:numId w:val="16"/>
        </w:numPr>
        <w:tabs>
          <w:tab w:val="clear" w:pos="475"/>
          <w:tab w:val="num" w:pos="1742"/>
        </w:tabs>
        <w:ind w:left="1267"/>
      </w:pPr>
      <w:r w:rsidRPr="00981E15">
        <w:t>La Oficina de Derechos Humanos de la PNC capacita al personal de la institución en materia de Derechos Humanos, abarcando los temas de prevención de linchamientos, la Convención para la Eliminación de Todas las Formas de Discriminación contra la Mujer CEDAW, la Convención Sobre los Derechos del Niño, la Ley de Protección Integral de la Niñez y Adolescencia, así como Convención contra la Tortura y Otros Tratos o Penas Crueles, Inhumanos o Degradantes, entre otros, y se ha implementado dentro de los cursos, la prevención de la violencia sexual hacia mujeres en sedes policiales.</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Otras instancias en contra de la violencia contra las mujeres</w:t>
      </w:r>
      <w:r w:rsidR="00647C67">
        <w:t>.</w:t>
      </w:r>
      <w:r w:rsidRPr="00981E15">
        <w:t xml:space="preserve"> </w:t>
      </w:r>
      <w:r w:rsidRPr="00981E15">
        <w:br/>
        <w:t>Procuraduría de Derechos Humanos (PDH)</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La PDH lleva a cabo un proceso de levantamiento de información en el que cruzan datos de todas las instituciones del Estado, para su análisis y seguimiento. A nivel de las Defensorías de la Mujer departamentales, se registran estadísticas sobre violencia contra las mujeres en forma general. Para ello recopilan la información de todas las instituciones y con los propios datos de la PDH departamental, elaboran un informe mensual que lo envía a la Defensoría de la Mujer central donde se sistematizan los datos nacionales.</w:t>
      </w:r>
    </w:p>
    <w:p w:rsidR="00FA384C" w:rsidRPr="00981E15" w:rsidRDefault="00FA384C" w:rsidP="00FA384C">
      <w:pPr>
        <w:pStyle w:val="SingleTxt"/>
        <w:numPr>
          <w:ilvl w:val="0"/>
          <w:numId w:val="16"/>
        </w:numPr>
        <w:tabs>
          <w:tab w:val="clear" w:pos="475"/>
          <w:tab w:val="num" w:pos="1742"/>
        </w:tabs>
        <w:ind w:left="1267"/>
      </w:pPr>
      <w:r w:rsidRPr="00981E15">
        <w:t>Durante el 2005 la PDH por medio del Procurador presentó el estudio “Muertes violentas de mujeres”, el cual evidencia las debilidades de los organismos del Estado para atender tales hechos y se plantean acciones a seguir para superar dichas debilidades. El estudio incluye información sobre los países centroamericanos obtenida en coordinación con otras procuradurías.</w:t>
      </w:r>
    </w:p>
    <w:p w:rsidR="00FA384C" w:rsidRPr="00981E15" w:rsidRDefault="00FA384C" w:rsidP="00FA384C">
      <w:pPr>
        <w:pStyle w:val="SingleTxt"/>
        <w:spacing w:after="0" w:line="120" w:lineRule="exact"/>
        <w:rPr>
          <w:sz w:val="10"/>
        </w:rPr>
      </w:pPr>
    </w:p>
    <w:p w:rsidR="00FA384C" w:rsidRPr="00981E15" w:rsidRDefault="00FA384C" w:rsidP="00FA38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Pactos Municipales por la Seguridad Integral de las Mujeres </w:t>
      </w:r>
      <w:r w:rsidRPr="00981E15">
        <w:br/>
        <w:t xml:space="preserve">Guatemaltecas </w:t>
      </w:r>
    </w:p>
    <w:p w:rsidR="00FA384C" w:rsidRPr="00981E15" w:rsidRDefault="00FA384C" w:rsidP="00FA384C">
      <w:pPr>
        <w:pStyle w:val="SingleTxt"/>
        <w:spacing w:after="0" w:line="120" w:lineRule="exact"/>
        <w:rPr>
          <w:sz w:val="10"/>
        </w:rPr>
      </w:pPr>
    </w:p>
    <w:p w:rsidR="00FA384C" w:rsidRPr="00981E15" w:rsidRDefault="00FA384C" w:rsidP="00FA384C">
      <w:pPr>
        <w:pStyle w:val="SingleTxt"/>
        <w:numPr>
          <w:ilvl w:val="0"/>
          <w:numId w:val="16"/>
        </w:numPr>
        <w:tabs>
          <w:tab w:val="clear" w:pos="475"/>
          <w:tab w:val="num" w:pos="1742"/>
        </w:tabs>
        <w:ind w:left="1267"/>
      </w:pPr>
      <w:r w:rsidRPr="00981E15">
        <w:t xml:space="preserve">En el marco de la descentralización y el empoderamiento de las mujeres a nivel local relacionado con la seguridad, se ha impulsado la construcción, suscripción e implementación de Pactos Municipales por la Seguridad Integral de las Mujeres Guatemaltecas. Estos están concebidos como un acuerdo y un compromiso político social amplio y representativo, resultado de consultas a nivel municipal, que buscan la movilización de apoyos políticos, sociales y financieros para enfrentar las vulnerabilidades que afectan a las mujeres en materia de seguridad, desde una perspectiva de integralidad basada en la promoción y protección de los derechos humanos de hombres y mujeres. </w:t>
      </w:r>
    </w:p>
    <w:p w:rsidR="00FA384C" w:rsidRPr="00981E15" w:rsidRDefault="00FA384C" w:rsidP="00FA384C">
      <w:pPr>
        <w:pStyle w:val="SingleTxt"/>
        <w:numPr>
          <w:ilvl w:val="0"/>
          <w:numId w:val="16"/>
        </w:numPr>
        <w:tabs>
          <w:tab w:val="clear" w:pos="475"/>
          <w:tab w:val="num" w:pos="1742"/>
        </w:tabs>
        <w:ind w:left="1267"/>
      </w:pPr>
      <w:r w:rsidRPr="00981E15">
        <w:t>La concepción que da origen a la propuesta del Pacto Nacional de Seguridad de las Mujeres, se fundamenta en incorporar a la noción de seguridad los aspectos de la vida humana, en los cuales las mujeres consideran que se encuentran en algún grado de vulnerabilidad, entre los que se mencionan los de carácter económico y jurídico, seguridad alimentaria y nutricional, atención de la salud, protección social y laboral. Acorde con esta concepción el abordaje de la problemática de seguridad y su impacto en la vida de guatemaltecos y guatemaltecas, ha requerido de un nuevo enfoque desde la óptica multidimensional fundamentada en los derechos humanos, su integralidad y desde la visión de que las amenazas a la integridad de las personas están ligadas a diversos factores de índole social, económica, cultural y política.</w:t>
      </w:r>
    </w:p>
    <w:p w:rsidR="00FA384C" w:rsidRPr="00981E15" w:rsidRDefault="00FA384C" w:rsidP="00FA384C">
      <w:pPr>
        <w:pStyle w:val="SingleTxt"/>
        <w:numPr>
          <w:ilvl w:val="0"/>
          <w:numId w:val="16"/>
        </w:numPr>
        <w:tabs>
          <w:tab w:val="clear" w:pos="475"/>
          <w:tab w:val="num" w:pos="1742"/>
        </w:tabs>
        <w:ind w:left="1267"/>
      </w:pPr>
      <w:r w:rsidRPr="00981E15">
        <w:t>El Pacto es el mecanismo para construir alianzas estratégicas y articular esfuerzos entre instancias centrales y descentralizadas del Estado en las que participan las instituciones responsables de garantizar la seguridad ciudadana, las mujeres representadas mediante el liderazgo de sus organizaciones, así como el resto de organizaciones de la sociedad civil, sector privado, Iglesia y medios de comunicación.</w:t>
      </w:r>
    </w:p>
    <w:p w:rsidR="00FA384C" w:rsidRPr="00981E15" w:rsidRDefault="00FA384C" w:rsidP="00FA384C">
      <w:pPr>
        <w:pStyle w:val="SingleTxt"/>
        <w:numPr>
          <w:ilvl w:val="0"/>
          <w:numId w:val="16"/>
        </w:numPr>
        <w:tabs>
          <w:tab w:val="clear" w:pos="475"/>
          <w:tab w:val="num" w:pos="1742"/>
        </w:tabs>
        <w:ind w:left="1267"/>
      </w:pPr>
      <w:r w:rsidRPr="00981E15">
        <w:t>La formulación temática de las áreas de los pactos se sustenta en la Política Nacional de la Promoción de las Mujeres Guatemaltecas y estos son considerados como una expresión de descentralización de la Política. Las acciones propuestas por los gobiernos municipales fortalecen a la vez los procesos de gobernabilidad.</w:t>
      </w:r>
    </w:p>
    <w:p w:rsidR="00FA384C" w:rsidRPr="00981E15" w:rsidRDefault="00FA384C" w:rsidP="00FA384C">
      <w:pPr>
        <w:pStyle w:val="SingleTxt"/>
        <w:numPr>
          <w:ilvl w:val="0"/>
          <w:numId w:val="16"/>
        </w:numPr>
        <w:tabs>
          <w:tab w:val="clear" w:pos="475"/>
          <w:tab w:val="num" w:pos="1742"/>
        </w:tabs>
        <w:ind w:left="1267"/>
      </w:pPr>
      <w:r w:rsidRPr="00981E15">
        <w:t>El proceso para la implementación de esta estrategia se inicia en el 2006. A la fecha se han suscrito 29 pactos municipales, en 16 departamentos del país. Los compromisos del pacto han sido asumidos a nivel local por instituciones de gobierno, corporaciones municipales y sociedad civil. Se ha sistematizado la experiencia del proceso de construcción y suscripción de pactos municipales y se han elaborado lineamientos estratégicos para su formulación.</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4</w:t>
      </w:r>
      <w:r w:rsidRPr="00981E15">
        <w:br/>
        <w:t>Pactos Municipales suscritos por la Seguridad Integral de las Mujeres Guatemaltecas</w:t>
      </w:r>
    </w:p>
    <w:p w:rsidR="0003157B" w:rsidRPr="00981E15" w:rsidRDefault="0003157B" w:rsidP="0003157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93"/>
        <w:gridCol w:w="1045"/>
        <w:gridCol w:w="1243"/>
        <w:gridCol w:w="2739"/>
      </w:tblGrid>
      <w:tr w:rsidR="0003157B" w:rsidRPr="00981E15">
        <w:tblPrEx>
          <w:tblCellMar>
            <w:top w:w="0" w:type="dxa"/>
            <w:bottom w:w="0" w:type="dxa"/>
          </w:tblCellMar>
        </w:tblPrEx>
        <w:trPr>
          <w:tblHeader/>
        </w:trPr>
        <w:tc>
          <w:tcPr>
            <w:tcW w:w="2293" w:type="dxa"/>
            <w:tcBorders>
              <w:top w:val="single" w:sz="4" w:space="0" w:color="auto"/>
              <w:bottom w:val="single" w:sz="12" w:space="0" w:color="auto"/>
            </w:tcBorders>
            <w:shd w:val="clear" w:color="auto" w:fill="auto"/>
            <w:vAlign w:val="bottom"/>
          </w:tcPr>
          <w:p w:rsidR="0003157B" w:rsidRPr="00981E15" w:rsidRDefault="0003157B" w:rsidP="0003157B">
            <w:pPr>
              <w:tabs>
                <w:tab w:val="left" w:pos="288"/>
                <w:tab w:val="left" w:pos="576"/>
                <w:tab w:val="left" w:pos="864"/>
                <w:tab w:val="left" w:pos="1152"/>
              </w:tabs>
              <w:spacing w:before="80" w:after="80" w:line="160" w:lineRule="exact"/>
              <w:ind w:right="40"/>
              <w:rPr>
                <w:i/>
                <w:kern w:val="0"/>
                <w:sz w:val="14"/>
              </w:rPr>
            </w:pPr>
            <w:r w:rsidRPr="00981E15">
              <w:rPr>
                <w:i/>
                <w:kern w:val="0"/>
                <w:sz w:val="14"/>
              </w:rPr>
              <w:t>Departamento</w:t>
            </w:r>
          </w:p>
        </w:tc>
        <w:tc>
          <w:tcPr>
            <w:tcW w:w="1045" w:type="dxa"/>
            <w:tcBorders>
              <w:top w:val="single" w:sz="4" w:space="0" w:color="auto"/>
              <w:bottom w:val="single" w:sz="12" w:space="0" w:color="auto"/>
            </w:tcBorders>
            <w:shd w:val="clear" w:color="auto" w:fill="auto"/>
            <w:vAlign w:val="bottom"/>
          </w:tcPr>
          <w:p w:rsidR="0003157B" w:rsidRPr="00981E15" w:rsidRDefault="0003157B" w:rsidP="0003157B">
            <w:pPr>
              <w:tabs>
                <w:tab w:val="left" w:pos="288"/>
                <w:tab w:val="left" w:pos="576"/>
                <w:tab w:val="left" w:pos="864"/>
                <w:tab w:val="left" w:pos="1152"/>
              </w:tabs>
              <w:spacing w:before="80" w:after="80" w:line="160" w:lineRule="exact"/>
              <w:ind w:right="40"/>
              <w:rPr>
                <w:i/>
                <w:kern w:val="0"/>
                <w:sz w:val="14"/>
              </w:rPr>
            </w:pPr>
            <w:r w:rsidRPr="00981E15">
              <w:rPr>
                <w:i/>
                <w:kern w:val="0"/>
                <w:sz w:val="14"/>
              </w:rPr>
              <w:t>Año</w:t>
            </w:r>
          </w:p>
        </w:tc>
        <w:tc>
          <w:tcPr>
            <w:tcW w:w="1243" w:type="dxa"/>
            <w:tcBorders>
              <w:top w:val="single" w:sz="4" w:space="0" w:color="auto"/>
              <w:bottom w:val="single" w:sz="12" w:space="0" w:color="auto"/>
            </w:tcBorders>
            <w:shd w:val="clear" w:color="auto" w:fill="auto"/>
          </w:tcPr>
          <w:p w:rsidR="0003157B" w:rsidRPr="00981E15" w:rsidRDefault="0003157B" w:rsidP="0003157B">
            <w:pPr>
              <w:tabs>
                <w:tab w:val="left" w:pos="288"/>
                <w:tab w:val="left" w:pos="576"/>
                <w:tab w:val="left" w:pos="864"/>
                <w:tab w:val="left" w:pos="1152"/>
              </w:tabs>
              <w:spacing w:before="80" w:after="80" w:line="160" w:lineRule="exact"/>
              <w:ind w:right="72"/>
              <w:jc w:val="right"/>
              <w:rPr>
                <w:i/>
                <w:kern w:val="0"/>
                <w:sz w:val="14"/>
              </w:rPr>
            </w:pPr>
            <w:r w:rsidRPr="00981E15">
              <w:rPr>
                <w:i/>
                <w:kern w:val="0"/>
                <w:sz w:val="14"/>
              </w:rPr>
              <w:t>Número de</w:t>
            </w:r>
            <w:r w:rsidRPr="00981E15">
              <w:rPr>
                <w:i/>
                <w:kern w:val="0"/>
                <w:sz w:val="14"/>
              </w:rPr>
              <w:br/>
              <w:t xml:space="preserve"> pactos</w:t>
            </w:r>
          </w:p>
        </w:tc>
        <w:tc>
          <w:tcPr>
            <w:tcW w:w="2739" w:type="dxa"/>
            <w:tcBorders>
              <w:top w:val="single" w:sz="4" w:space="0" w:color="auto"/>
              <w:bottom w:val="single" w:sz="12" w:space="0" w:color="auto"/>
            </w:tcBorders>
            <w:shd w:val="clear" w:color="auto" w:fill="auto"/>
            <w:vAlign w:val="bottom"/>
          </w:tcPr>
          <w:p w:rsidR="0003157B" w:rsidRPr="00981E15" w:rsidRDefault="0003157B" w:rsidP="0003157B">
            <w:pPr>
              <w:tabs>
                <w:tab w:val="left" w:pos="288"/>
                <w:tab w:val="left" w:pos="576"/>
                <w:tab w:val="left" w:pos="864"/>
                <w:tab w:val="left" w:pos="1152"/>
              </w:tabs>
              <w:spacing w:before="80" w:after="80" w:line="160" w:lineRule="exact"/>
              <w:ind w:left="43" w:right="43"/>
              <w:rPr>
                <w:i/>
                <w:kern w:val="0"/>
                <w:sz w:val="14"/>
              </w:rPr>
            </w:pPr>
            <w:r w:rsidRPr="00981E15">
              <w:rPr>
                <w:i/>
                <w:kern w:val="0"/>
                <w:sz w:val="14"/>
              </w:rPr>
              <w:t>Municipio</w:t>
            </w:r>
          </w:p>
        </w:tc>
      </w:tr>
      <w:tr w:rsidR="0003157B" w:rsidRPr="00981E15">
        <w:tblPrEx>
          <w:tblCellMar>
            <w:top w:w="0" w:type="dxa"/>
            <w:bottom w:w="0" w:type="dxa"/>
          </w:tblCellMar>
        </w:tblPrEx>
        <w:trPr>
          <w:trHeight w:hRule="exact" w:val="115"/>
          <w:tblHeader/>
        </w:trPr>
        <w:tc>
          <w:tcPr>
            <w:tcW w:w="2293" w:type="dxa"/>
            <w:tcBorders>
              <w:top w:val="single" w:sz="12" w:space="0" w:color="auto"/>
            </w:tcBorders>
            <w:shd w:val="clear" w:color="auto" w:fill="auto"/>
            <w:vAlign w:val="bottom"/>
          </w:tcPr>
          <w:p w:rsidR="0003157B" w:rsidRPr="00981E15" w:rsidRDefault="0003157B" w:rsidP="0003157B">
            <w:pPr>
              <w:tabs>
                <w:tab w:val="left" w:pos="288"/>
                <w:tab w:val="left" w:pos="576"/>
                <w:tab w:val="left" w:pos="864"/>
                <w:tab w:val="left" w:pos="1152"/>
              </w:tabs>
              <w:spacing w:before="40" w:after="80"/>
              <w:ind w:right="40"/>
              <w:rPr>
                <w:kern w:val="0"/>
              </w:rPr>
            </w:pPr>
          </w:p>
        </w:tc>
        <w:tc>
          <w:tcPr>
            <w:tcW w:w="1045" w:type="dxa"/>
            <w:tcBorders>
              <w:top w:val="single" w:sz="12" w:space="0" w:color="auto"/>
            </w:tcBorders>
            <w:shd w:val="clear" w:color="auto" w:fill="auto"/>
            <w:vAlign w:val="bottom"/>
          </w:tcPr>
          <w:p w:rsidR="0003157B" w:rsidRPr="00981E15" w:rsidRDefault="0003157B" w:rsidP="0003157B">
            <w:pPr>
              <w:tabs>
                <w:tab w:val="left" w:pos="288"/>
                <w:tab w:val="left" w:pos="576"/>
                <w:tab w:val="left" w:pos="864"/>
                <w:tab w:val="left" w:pos="1152"/>
              </w:tabs>
              <w:spacing w:before="40" w:after="80"/>
              <w:ind w:right="40"/>
              <w:rPr>
                <w:kern w:val="0"/>
              </w:rPr>
            </w:pPr>
          </w:p>
        </w:tc>
        <w:tc>
          <w:tcPr>
            <w:tcW w:w="1243" w:type="dxa"/>
            <w:tcBorders>
              <w:top w:val="single" w:sz="12" w:space="0" w:color="auto"/>
            </w:tcBorders>
            <w:shd w:val="clear" w:color="auto" w:fill="auto"/>
            <w:vAlign w:val="bottom"/>
          </w:tcPr>
          <w:p w:rsidR="0003157B" w:rsidRPr="00981E15" w:rsidRDefault="0003157B" w:rsidP="0003157B">
            <w:pPr>
              <w:tabs>
                <w:tab w:val="left" w:pos="288"/>
                <w:tab w:val="left" w:pos="576"/>
                <w:tab w:val="left" w:pos="864"/>
                <w:tab w:val="left" w:pos="1152"/>
              </w:tabs>
              <w:spacing w:before="40" w:after="80"/>
              <w:ind w:right="40"/>
              <w:rPr>
                <w:kern w:val="0"/>
              </w:rPr>
            </w:pPr>
          </w:p>
        </w:tc>
        <w:tc>
          <w:tcPr>
            <w:tcW w:w="2739" w:type="dxa"/>
            <w:tcBorders>
              <w:top w:val="single" w:sz="12" w:space="0" w:color="auto"/>
            </w:tcBorders>
            <w:shd w:val="clear" w:color="auto" w:fill="auto"/>
            <w:vAlign w:val="bottom"/>
          </w:tcPr>
          <w:p w:rsidR="0003157B" w:rsidRPr="00981E15" w:rsidRDefault="0003157B" w:rsidP="0003157B">
            <w:pPr>
              <w:tabs>
                <w:tab w:val="left" w:pos="288"/>
                <w:tab w:val="left" w:pos="576"/>
                <w:tab w:val="left" w:pos="864"/>
                <w:tab w:val="left" w:pos="1152"/>
              </w:tabs>
              <w:spacing w:before="40" w:after="8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Alta Verapaz</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3</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Tactic</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Cristóbal</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Miguel Tucurú</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Baja Verapaz</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3</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Miguel Chicaj</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Purulhá</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Rabinal</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Chimaltenango</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Pedro Yepocapa</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Zacapa</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Río Hondo</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Chiquimula</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3</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Juan Ermita</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Jocotán</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Olopa</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right="40"/>
              <w:rPr>
                <w:kern w:val="0"/>
              </w:rPr>
            </w:pPr>
            <w:r w:rsidRPr="00981E15">
              <w:rPr>
                <w:kern w:val="0"/>
              </w:rPr>
              <w:t>El Progreso</w:t>
            </w:r>
          </w:p>
        </w:tc>
        <w:tc>
          <w:tcPr>
            <w:tcW w:w="1045"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left="43" w:right="43"/>
              <w:rPr>
                <w:kern w:val="0"/>
              </w:rPr>
            </w:pPr>
            <w:r w:rsidRPr="00981E15">
              <w:rPr>
                <w:kern w:val="0"/>
              </w:rPr>
              <w:t>San Antonio La Paz</w:t>
            </w:r>
          </w:p>
        </w:tc>
      </w:tr>
      <w:tr w:rsidR="0003157B" w:rsidRPr="00981E15">
        <w:tblPrEx>
          <w:tblCellMar>
            <w:top w:w="0" w:type="dxa"/>
            <w:bottom w:w="0" w:type="dxa"/>
          </w:tblCellMar>
        </w:tblPrEx>
        <w:tc>
          <w:tcPr>
            <w:tcW w:w="2293"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3E7C58">
            <w:pPr>
              <w:keepNext/>
              <w:keepLines/>
              <w:tabs>
                <w:tab w:val="left" w:pos="288"/>
                <w:tab w:val="left" w:pos="576"/>
                <w:tab w:val="left" w:pos="864"/>
                <w:tab w:val="left" w:pos="1152"/>
              </w:tabs>
              <w:spacing w:before="40" w:after="40"/>
              <w:ind w:left="43" w:right="43"/>
              <w:rPr>
                <w:kern w:val="0"/>
              </w:rPr>
            </w:pPr>
            <w:r w:rsidRPr="00981E15">
              <w:rPr>
                <w:kern w:val="0"/>
              </w:rPr>
              <w:t>San Agustín Acasaguastlán</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Guatemala</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Palencia</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Huehuetenango</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Santa Bárbara</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2</w:t>
            </w: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Sebastián H.</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Unión Cantinil H.</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Izabal</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2</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Los Amates</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Puerto Barrios</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Jutiapa</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1</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Santa Catarina Mita</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Jerez</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Quiché</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2006</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2</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Santa Cruz</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Uspantán</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San Marcos</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2</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Marcos</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Malacatán</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Retalhuleu</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 Felipe</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Quetzaltenango</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2</w:t>
            </w:r>
          </w:p>
        </w:tc>
        <w:tc>
          <w:tcPr>
            <w:tcW w:w="2739" w:type="dxa"/>
            <w:vMerge w:val="restart"/>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Génova</w:t>
            </w:r>
          </w:p>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Quetzaltenango</w:t>
            </w: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p>
        </w:tc>
        <w:tc>
          <w:tcPr>
            <w:tcW w:w="2739" w:type="dxa"/>
            <w:vMerge/>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p>
        </w:tc>
      </w:tr>
      <w:tr w:rsidR="0003157B" w:rsidRPr="00981E15">
        <w:tblPrEx>
          <w:tblCellMar>
            <w:top w:w="0" w:type="dxa"/>
            <w:bottom w:w="0" w:type="dxa"/>
          </w:tblCellMar>
        </w:tblPrEx>
        <w:tc>
          <w:tcPr>
            <w:tcW w:w="2293"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Escuintla</w:t>
            </w:r>
          </w:p>
        </w:tc>
        <w:tc>
          <w:tcPr>
            <w:tcW w:w="1045" w:type="dxa"/>
            <w:shd w:val="clear" w:color="auto" w:fill="auto"/>
          </w:tcPr>
          <w:p w:rsidR="0003157B" w:rsidRPr="00981E15" w:rsidRDefault="0003157B" w:rsidP="0003157B">
            <w:pPr>
              <w:tabs>
                <w:tab w:val="left" w:pos="288"/>
                <w:tab w:val="left" w:pos="576"/>
                <w:tab w:val="left" w:pos="864"/>
                <w:tab w:val="left" w:pos="1152"/>
              </w:tabs>
              <w:spacing w:before="40" w:after="40"/>
              <w:ind w:right="40"/>
              <w:rPr>
                <w:kern w:val="0"/>
              </w:rPr>
            </w:pPr>
            <w:r w:rsidRPr="00981E15">
              <w:rPr>
                <w:kern w:val="0"/>
              </w:rPr>
              <w:t>2007</w:t>
            </w:r>
          </w:p>
        </w:tc>
        <w:tc>
          <w:tcPr>
            <w:tcW w:w="1243" w:type="dxa"/>
            <w:shd w:val="clear" w:color="auto" w:fill="auto"/>
          </w:tcPr>
          <w:p w:rsidR="0003157B" w:rsidRPr="00981E15" w:rsidRDefault="0003157B" w:rsidP="0003157B">
            <w:pPr>
              <w:tabs>
                <w:tab w:val="left" w:pos="288"/>
                <w:tab w:val="left" w:pos="576"/>
                <w:tab w:val="left" w:pos="864"/>
                <w:tab w:val="left" w:pos="1152"/>
              </w:tabs>
              <w:spacing w:before="40" w:after="40"/>
              <w:ind w:right="40"/>
              <w:jc w:val="right"/>
              <w:rPr>
                <w:kern w:val="0"/>
              </w:rPr>
            </w:pPr>
            <w:r w:rsidRPr="00981E15">
              <w:rPr>
                <w:kern w:val="0"/>
              </w:rPr>
              <w:t>1</w:t>
            </w:r>
          </w:p>
        </w:tc>
        <w:tc>
          <w:tcPr>
            <w:tcW w:w="2739" w:type="dxa"/>
            <w:shd w:val="clear" w:color="auto" w:fill="auto"/>
          </w:tcPr>
          <w:p w:rsidR="0003157B" w:rsidRPr="00981E15" w:rsidRDefault="0003157B" w:rsidP="0003157B">
            <w:pPr>
              <w:tabs>
                <w:tab w:val="left" w:pos="288"/>
                <w:tab w:val="left" w:pos="576"/>
                <w:tab w:val="left" w:pos="864"/>
                <w:tab w:val="left" w:pos="1152"/>
              </w:tabs>
              <w:spacing w:before="40" w:after="40"/>
              <w:ind w:left="43" w:right="43"/>
              <w:rPr>
                <w:kern w:val="0"/>
              </w:rPr>
            </w:pPr>
            <w:r w:rsidRPr="00981E15">
              <w:rPr>
                <w:kern w:val="0"/>
              </w:rPr>
              <w:t>Santa Lucía Cotzumalguapa</w:t>
            </w:r>
          </w:p>
        </w:tc>
      </w:tr>
      <w:tr w:rsidR="0003157B" w:rsidRPr="00981E15">
        <w:tblPrEx>
          <w:tblCellMar>
            <w:top w:w="0" w:type="dxa"/>
            <w:bottom w:w="0" w:type="dxa"/>
          </w:tblCellMar>
        </w:tblPrEx>
        <w:tc>
          <w:tcPr>
            <w:tcW w:w="2293" w:type="dxa"/>
            <w:tcBorders>
              <w:bottom w:val="single" w:sz="4" w:space="0" w:color="auto"/>
            </w:tcBorders>
            <w:shd w:val="clear" w:color="auto" w:fill="auto"/>
          </w:tcPr>
          <w:p w:rsidR="0003157B" w:rsidRPr="00981E15" w:rsidRDefault="0003157B" w:rsidP="0003157B">
            <w:pPr>
              <w:tabs>
                <w:tab w:val="left" w:pos="288"/>
                <w:tab w:val="left" w:pos="576"/>
                <w:tab w:val="left" w:pos="864"/>
                <w:tab w:val="left" w:pos="1152"/>
              </w:tabs>
              <w:spacing w:before="40" w:after="81"/>
              <w:ind w:right="40"/>
              <w:rPr>
                <w:kern w:val="0"/>
              </w:rPr>
            </w:pPr>
            <w:r w:rsidRPr="00981E15">
              <w:rPr>
                <w:kern w:val="0"/>
              </w:rPr>
              <w:t>Petén</w:t>
            </w:r>
          </w:p>
        </w:tc>
        <w:tc>
          <w:tcPr>
            <w:tcW w:w="1045" w:type="dxa"/>
            <w:tcBorders>
              <w:bottom w:val="single" w:sz="4" w:space="0" w:color="auto"/>
            </w:tcBorders>
            <w:shd w:val="clear" w:color="auto" w:fill="auto"/>
          </w:tcPr>
          <w:p w:rsidR="0003157B" w:rsidRPr="00981E15" w:rsidRDefault="0003157B" w:rsidP="0003157B">
            <w:pPr>
              <w:tabs>
                <w:tab w:val="left" w:pos="288"/>
                <w:tab w:val="left" w:pos="576"/>
                <w:tab w:val="left" w:pos="864"/>
                <w:tab w:val="left" w:pos="1152"/>
              </w:tabs>
              <w:spacing w:before="40" w:after="81"/>
              <w:ind w:right="40"/>
              <w:rPr>
                <w:kern w:val="0"/>
              </w:rPr>
            </w:pPr>
            <w:r w:rsidRPr="00981E15">
              <w:rPr>
                <w:kern w:val="0"/>
              </w:rPr>
              <w:t>2007</w:t>
            </w:r>
          </w:p>
        </w:tc>
        <w:tc>
          <w:tcPr>
            <w:tcW w:w="1243" w:type="dxa"/>
            <w:tcBorders>
              <w:bottom w:val="single" w:sz="4" w:space="0" w:color="auto"/>
            </w:tcBorders>
            <w:shd w:val="clear" w:color="auto" w:fill="auto"/>
          </w:tcPr>
          <w:p w:rsidR="0003157B" w:rsidRPr="00981E15" w:rsidRDefault="0003157B" w:rsidP="0003157B">
            <w:pPr>
              <w:tabs>
                <w:tab w:val="left" w:pos="288"/>
                <w:tab w:val="left" w:pos="576"/>
                <w:tab w:val="left" w:pos="864"/>
                <w:tab w:val="left" w:pos="1152"/>
              </w:tabs>
              <w:spacing w:before="40" w:after="81"/>
              <w:ind w:right="40"/>
              <w:jc w:val="right"/>
              <w:rPr>
                <w:kern w:val="0"/>
              </w:rPr>
            </w:pPr>
            <w:r w:rsidRPr="00981E15">
              <w:rPr>
                <w:kern w:val="0"/>
              </w:rPr>
              <w:t>1</w:t>
            </w:r>
          </w:p>
        </w:tc>
        <w:tc>
          <w:tcPr>
            <w:tcW w:w="2739" w:type="dxa"/>
            <w:tcBorders>
              <w:bottom w:val="single" w:sz="4" w:space="0" w:color="auto"/>
            </w:tcBorders>
            <w:shd w:val="clear" w:color="auto" w:fill="auto"/>
          </w:tcPr>
          <w:p w:rsidR="0003157B" w:rsidRPr="00981E15" w:rsidRDefault="0003157B" w:rsidP="0003157B">
            <w:pPr>
              <w:tabs>
                <w:tab w:val="left" w:pos="288"/>
                <w:tab w:val="left" w:pos="576"/>
                <w:tab w:val="left" w:pos="864"/>
                <w:tab w:val="left" w:pos="1152"/>
              </w:tabs>
              <w:spacing w:before="40" w:after="81"/>
              <w:ind w:left="43" w:right="43"/>
              <w:rPr>
                <w:kern w:val="0"/>
              </w:rPr>
            </w:pPr>
            <w:r w:rsidRPr="00981E15">
              <w:rPr>
                <w:kern w:val="0"/>
              </w:rPr>
              <w:t>Melchor de Mencos</w:t>
            </w:r>
          </w:p>
        </w:tc>
      </w:tr>
      <w:tr w:rsidR="0003157B" w:rsidRPr="00981E15">
        <w:tblPrEx>
          <w:tblCellMar>
            <w:top w:w="0" w:type="dxa"/>
            <w:bottom w:w="0" w:type="dxa"/>
          </w:tblCellMar>
        </w:tblPrEx>
        <w:tc>
          <w:tcPr>
            <w:tcW w:w="2293" w:type="dxa"/>
            <w:tcBorders>
              <w:top w:val="single" w:sz="4" w:space="0" w:color="auto"/>
              <w:bottom w:val="single" w:sz="12" w:space="0" w:color="auto"/>
            </w:tcBorders>
            <w:shd w:val="clear" w:color="auto" w:fill="auto"/>
          </w:tcPr>
          <w:p w:rsidR="0003157B" w:rsidRPr="00981E15" w:rsidRDefault="0003157B" w:rsidP="0003157B">
            <w:pPr>
              <w:tabs>
                <w:tab w:val="left" w:pos="288"/>
                <w:tab w:val="left" w:pos="576"/>
                <w:tab w:val="left" w:pos="864"/>
                <w:tab w:val="left" w:pos="1152"/>
              </w:tabs>
              <w:spacing w:before="81" w:after="81"/>
              <w:ind w:right="40"/>
              <w:rPr>
                <w:b/>
                <w:kern w:val="0"/>
              </w:rPr>
            </w:pPr>
            <w:r w:rsidRPr="00981E15">
              <w:rPr>
                <w:b/>
                <w:kern w:val="0"/>
              </w:rPr>
              <w:tab/>
              <w:t>Total</w:t>
            </w:r>
          </w:p>
        </w:tc>
        <w:tc>
          <w:tcPr>
            <w:tcW w:w="1045" w:type="dxa"/>
            <w:tcBorders>
              <w:top w:val="single" w:sz="4" w:space="0" w:color="auto"/>
              <w:bottom w:val="single" w:sz="12" w:space="0" w:color="auto"/>
            </w:tcBorders>
            <w:shd w:val="clear" w:color="auto" w:fill="auto"/>
          </w:tcPr>
          <w:p w:rsidR="0003157B" w:rsidRPr="00981E15" w:rsidRDefault="0003157B" w:rsidP="0003157B">
            <w:pPr>
              <w:tabs>
                <w:tab w:val="left" w:pos="288"/>
                <w:tab w:val="left" w:pos="576"/>
                <w:tab w:val="left" w:pos="864"/>
                <w:tab w:val="left" w:pos="1152"/>
              </w:tabs>
              <w:spacing w:before="81" w:after="81"/>
              <w:ind w:right="40"/>
              <w:rPr>
                <w:b/>
                <w:kern w:val="0"/>
              </w:rPr>
            </w:pPr>
          </w:p>
        </w:tc>
        <w:tc>
          <w:tcPr>
            <w:tcW w:w="1243" w:type="dxa"/>
            <w:tcBorders>
              <w:top w:val="single" w:sz="4" w:space="0" w:color="auto"/>
              <w:bottom w:val="single" w:sz="12" w:space="0" w:color="auto"/>
            </w:tcBorders>
            <w:shd w:val="clear" w:color="auto" w:fill="auto"/>
          </w:tcPr>
          <w:p w:rsidR="0003157B" w:rsidRPr="00981E15" w:rsidRDefault="0003157B" w:rsidP="0003157B">
            <w:pPr>
              <w:tabs>
                <w:tab w:val="left" w:pos="288"/>
                <w:tab w:val="left" w:pos="576"/>
                <w:tab w:val="left" w:pos="864"/>
                <w:tab w:val="left" w:pos="1152"/>
              </w:tabs>
              <w:spacing w:before="81" w:after="81"/>
              <w:ind w:right="40"/>
              <w:jc w:val="right"/>
              <w:rPr>
                <w:b/>
                <w:kern w:val="0"/>
              </w:rPr>
            </w:pPr>
            <w:r w:rsidRPr="00981E15">
              <w:rPr>
                <w:b/>
                <w:kern w:val="0"/>
              </w:rPr>
              <w:t>29</w:t>
            </w:r>
          </w:p>
        </w:tc>
        <w:tc>
          <w:tcPr>
            <w:tcW w:w="2739" w:type="dxa"/>
            <w:tcBorders>
              <w:top w:val="single" w:sz="4" w:space="0" w:color="auto"/>
              <w:bottom w:val="single" w:sz="12" w:space="0" w:color="auto"/>
            </w:tcBorders>
            <w:shd w:val="clear" w:color="auto" w:fill="auto"/>
          </w:tcPr>
          <w:p w:rsidR="0003157B" w:rsidRPr="00981E15" w:rsidRDefault="0003157B" w:rsidP="0003157B">
            <w:pPr>
              <w:tabs>
                <w:tab w:val="left" w:pos="288"/>
                <w:tab w:val="left" w:pos="576"/>
                <w:tab w:val="left" w:pos="864"/>
                <w:tab w:val="left" w:pos="1152"/>
              </w:tabs>
              <w:spacing w:before="81" w:after="81"/>
              <w:ind w:left="43" w:right="43"/>
              <w:rPr>
                <w:b/>
                <w:kern w:val="0"/>
              </w:rPr>
            </w:pPr>
          </w:p>
        </w:tc>
      </w:tr>
    </w:tbl>
    <w:p w:rsidR="0003157B" w:rsidRPr="00981E15" w:rsidRDefault="0003157B" w:rsidP="0003157B">
      <w:pPr>
        <w:pStyle w:val="SingleTxt"/>
        <w:spacing w:after="0" w:line="120" w:lineRule="exact"/>
        <w:rPr>
          <w:sz w:val="10"/>
        </w:rPr>
      </w:pPr>
    </w:p>
    <w:p w:rsidR="0003157B" w:rsidRPr="00981E15" w:rsidRDefault="0003157B" w:rsidP="0003157B">
      <w:pPr>
        <w:pStyle w:val="FootnoteText"/>
        <w:tabs>
          <w:tab w:val="clear" w:pos="418"/>
          <w:tab w:val="right" w:pos="1476"/>
          <w:tab w:val="left" w:pos="1548"/>
          <w:tab w:val="right" w:pos="1836"/>
          <w:tab w:val="left" w:pos="1908"/>
        </w:tabs>
        <w:ind w:left="1548" w:right="1267" w:hanging="288"/>
      </w:pPr>
      <w:r w:rsidRPr="00981E15">
        <w:rPr>
          <w:i/>
        </w:rPr>
        <w:tab/>
      </w:r>
      <w:r w:rsidRPr="00981E15">
        <w:rPr>
          <w:i/>
        </w:rPr>
        <w:tab/>
        <w:t>Fuente</w:t>
      </w:r>
      <w:r w:rsidRPr="00981E15">
        <w:t>: Dirección de Fortalecimiento, SEPREM. Noviembre de 2007.</w:t>
      </w:r>
    </w:p>
    <w:p w:rsidR="0003157B" w:rsidRPr="00981E15" w:rsidRDefault="0003157B" w:rsidP="0003157B">
      <w:pPr>
        <w:pStyle w:val="SingleTxt"/>
        <w:spacing w:after="0" w:line="120" w:lineRule="exact"/>
        <w:rPr>
          <w:sz w:val="10"/>
        </w:rPr>
      </w:pPr>
    </w:p>
    <w:p w:rsidR="0003157B" w:rsidRPr="00981E15" w:rsidRDefault="0003157B" w:rsidP="0003157B">
      <w:pPr>
        <w:pStyle w:val="SingleTxt"/>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Otras acciones de difusión y divulgación de los derechos humanos </w:t>
      </w:r>
      <w:r w:rsidRPr="00981E15">
        <w:br/>
        <w:t>de las mujeres</w:t>
      </w:r>
    </w:p>
    <w:p w:rsidR="0003157B" w:rsidRPr="00981E15" w:rsidRDefault="0003157B" w:rsidP="0003157B">
      <w:pPr>
        <w:pStyle w:val="SingleTxt"/>
        <w:spacing w:after="0" w:line="120" w:lineRule="exact"/>
        <w:rPr>
          <w:sz w:val="10"/>
        </w:rPr>
      </w:pPr>
    </w:p>
    <w:p w:rsidR="0003157B" w:rsidRPr="00981E15" w:rsidRDefault="0003157B" w:rsidP="0003157B">
      <w:pPr>
        <w:pStyle w:val="SingleTxt"/>
        <w:tabs>
          <w:tab w:val="right" w:pos="1685"/>
        </w:tabs>
        <w:ind w:left="1742" w:hanging="475"/>
      </w:pPr>
      <w:r w:rsidRPr="00981E15">
        <w:tab/>
        <w:t>•</w:t>
      </w:r>
      <w:r w:rsidRPr="00981E15">
        <w:tab/>
        <w:t>Durante el 2004 y el 2005 se impartió el post grado sobre Derechos Humanos y Género en la Facultad de Derecho de la Universidad de San Carlos.</w:t>
      </w:r>
    </w:p>
    <w:p w:rsidR="0003157B" w:rsidRPr="00981E15" w:rsidRDefault="0003157B" w:rsidP="0003157B">
      <w:pPr>
        <w:pStyle w:val="SingleTxt"/>
        <w:tabs>
          <w:tab w:val="right" w:pos="1685"/>
        </w:tabs>
        <w:ind w:left="1742" w:hanging="475"/>
      </w:pPr>
      <w:r w:rsidRPr="00981E15">
        <w:tab/>
        <w:t>•</w:t>
      </w:r>
      <w:r w:rsidRPr="00981E15">
        <w:tab/>
        <w:t>En el año 2005 dio inicio la Maestría de Género, Derechos Humanos de las Mujeres y Acceso a la Justicia en la Escuela de Estudios de Post-Grado de la Universidad de San Carlos de Guatemala.</w:t>
      </w:r>
    </w:p>
    <w:p w:rsidR="0003157B" w:rsidRPr="00981E15" w:rsidRDefault="0003157B" w:rsidP="0003157B">
      <w:pPr>
        <w:pStyle w:val="SingleTxt"/>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Medidas pendientes de las recomendaciones del Comité de Expertas</w:t>
      </w:r>
      <w:r w:rsidRPr="00981E15">
        <w:br/>
        <w:t>de la CEDAW</w:t>
      </w:r>
    </w:p>
    <w:p w:rsidR="0003157B" w:rsidRPr="00981E15" w:rsidRDefault="0003157B" w:rsidP="0003157B">
      <w:pPr>
        <w:pStyle w:val="SingleTxt"/>
        <w:spacing w:after="0" w:line="120" w:lineRule="exact"/>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Tipificación de la violencia intrafamiliar como delito penal, (no solamente como consecuencia de lesiones) y la tipificación del delito de violación, definiendo ésta de manera más amplia a la forma en que actualmente se encuentra tipificada. </w:t>
      </w:r>
    </w:p>
    <w:p w:rsidR="0003157B" w:rsidRPr="00981E15" w:rsidRDefault="0003157B" w:rsidP="0003157B">
      <w:pPr>
        <w:pStyle w:val="SingleTxt"/>
        <w:numPr>
          <w:ilvl w:val="0"/>
          <w:numId w:val="21"/>
        </w:numPr>
        <w:tabs>
          <w:tab w:val="clear" w:pos="1729"/>
          <w:tab w:val="num" w:pos="1742"/>
        </w:tabs>
        <w:suppressAutoHyphens/>
        <w:ind w:left="1267"/>
      </w:pPr>
      <w:r w:rsidRPr="00981E15">
        <w:t>Las medidas de protección de testigos, las víctimas y sus familiares, no son suficientes. Así tampoco se han identificado los recursos para ofrecer indemnizaciones a las víctimas de la violencia.</w:t>
      </w:r>
    </w:p>
    <w:p w:rsidR="0003157B" w:rsidRPr="00981E15" w:rsidRDefault="0003157B" w:rsidP="0003157B">
      <w:pPr>
        <w:pStyle w:val="SingleTxt"/>
        <w:numPr>
          <w:ilvl w:val="0"/>
          <w:numId w:val="21"/>
        </w:numPr>
        <w:tabs>
          <w:tab w:val="clear" w:pos="1729"/>
          <w:tab w:val="num" w:pos="1742"/>
        </w:tabs>
        <w:suppressAutoHyphens/>
        <w:ind w:left="1267"/>
      </w:pPr>
      <w:r w:rsidRPr="00981E15">
        <w:t>Los recursos asignados por el Estado al PLANOVI son insuficientes, por lo que aún se encuentra financiado en gran medida por la cooperación internacional.</w:t>
      </w:r>
    </w:p>
    <w:p w:rsidR="0003157B" w:rsidRPr="00981E15" w:rsidRDefault="0003157B" w:rsidP="0003157B">
      <w:pPr>
        <w:pStyle w:val="SingleTxt"/>
        <w:numPr>
          <w:ilvl w:val="0"/>
          <w:numId w:val="21"/>
        </w:numPr>
        <w:tabs>
          <w:tab w:val="clear" w:pos="1729"/>
          <w:tab w:val="num" w:pos="1742"/>
        </w:tabs>
        <w:suppressAutoHyphens/>
        <w:ind w:left="1267"/>
      </w:pPr>
      <w:r w:rsidRPr="00981E15">
        <w:t>Los casos de investigación y persecución penal de delitos contra mujeres (femicidio) y violencia de género siguen reportando altas tasas de impunidad.</w:t>
      </w:r>
    </w:p>
    <w:p w:rsidR="0003157B" w:rsidRPr="00981E15" w:rsidRDefault="0003157B" w:rsidP="0003157B">
      <w:pPr>
        <w:pStyle w:val="SingleTxt"/>
        <w:numPr>
          <w:ilvl w:val="0"/>
          <w:numId w:val="21"/>
        </w:numPr>
        <w:tabs>
          <w:tab w:val="clear" w:pos="1729"/>
          <w:tab w:val="num" w:pos="1742"/>
        </w:tabs>
        <w:suppressAutoHyphens/>
        <w:ind w:left="1267"/>
      </w:pPr>
      <w:r w:rsidRPr="00981E15">
        <w:t>Se requiere dotar de presupuesto suficiente al Instituto Nacional de Ciencias Forenses (INACIF) para que pueda coadyuvar en el proceso de investigación científica.</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Retos y desafíos</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El número de crímenes de mujeres en Guatemala ha aumentado en los últimos años. Se requiere fortalecer la prevención, la investigación y la persecución penal con respecto a las muertes violentas de mujeres y la violencia contra las mujeres. Por tanto las debilidades deben ser atendidas por medio de:</w:t>
      </w:r>
    </w:p>
    <w:p w:rsidR="0003157B" w:rsidRPr="00981E15" w:rsidRDefault="0003157B" w:rsidP="0003157B">
      <w:pPr>
        <w:pStyle w:val="SingleTxt"/>
        <w:tabs>
          <w:tab w:val="right" w:pos="1685"/>
        </w:tabs>
        <w:suppressAutoHyphens/>
        <w:ind w:left="1742" w:hanging="475"/>
      </w:pPr>
      <w:r w:rsidRPr="00981E15">
        <w:tab/>
        <w:t>•</w:t>
      </w:r>
      <w:r w:rsidRPr="00981E15">
        <w:tab/>
      </w:r>
      <w:r w:rsidRPr="00981E15">
        <w:rPr>
          <w:i/>
        </w:rPr>
        <w:t>Prevención</w:t>
      </w:r>
      <w:r w:rsidRPr="00981E15">
        <w:t>: fomentando una cultura de derechos, la igualdad entre hombres y mujeres, la resolución no violenta de conflictos; establecer un sistema de alerta temprana para víctimas de violencia; contar con un observatorio de violencia de género.</w:t>
      </w:r>
    </w:p>
    <w:p w:rsidR="0003157B" w:rsidRPr="00981E15" w:rsidRDefault="0003157B" w:rsidP="0003157B">
      <w:pPr>
        <w:pStyle w:val="SingleTxt"/>
        <w:tabs>
          <w:tab w:val="right" w:pos="1685"/>
        </w:tabs>
        <w:suppressAutoHyphens/>
        <w:ind w:left="1742" w:hanging="475"/>
      </w:pPr>
      <w:r w:rsidRPr="00981E15">
        <w:tab/>
        <w:t>•</w:t>
      </w:r>
      <w:r w:rsidRPr="00981E15">
        <w:tab/>
      </w:r>
      <w:r w:rsidRPr="00981E15">
        <w:rPr>
          <w:i/>
        </w:rPr>
        <w:t>Atención a las víctimas y supervivientes de violencia</w:t>
      </w:r>
      <w:r w:rsidRPr="00981E15">
        <w:t>: protección integral a víctimas y testigos, evitar que tengan que hacer frente a los gastos del juicio y la victimización secundaria.</w:t>
      </w:r>
    </w:p>
    <w:p w:rsidR="0003157B" w:rsidRPr="00981E15" w:rsidRDefault="0003157B" w:rsidP="0003157B">
      <w:pPr>
        <w:pStyle w:val="SingleTxt"/>
        <w:tabs>
          <w:tab w:val="right" w:pos="1685"/>
        </w:tabs>
        <w:suppressAutoHyphens/>
        <w:ind w:left="1742" w:hanging="475"/>
      </w:pPr>
      <w:r w:rsidRPr="00981E15">
        <w:tab/>
        <w:t>•</w:t>
      </w:r>
      <w:r w:rsidRPr="00981E15">
        <w:tab/>
      </w:r>
      <w:r w:rsidRPr="00981E15">
        <w:rPr>
          <w:i/>
        </w:rPr>
        <w:t>Persecución/sanción de los victimarios para acabar con la cultura de la impunidad</w:t>
      </w:r>
      <w:r w:rsidRPr="00981E15">
        <w:t>: celeridad de los procesos, medios para la investigación y persecución del delito, concienciación a los medios de comunicación/bomberos/empresas funerarias y población en general para que no alteren la escena del crimen.</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Aumento presupuestario a las instituciones del Estado responsables del proceso de atención a las víctimas, de investigación y persecución penal. </w:t>
      </w:r>
    </w:p>
    <w:p w:rsidR="0003157B" w:rsidRPr="00981E15" w:rsidRDefault="0003157B" w:rsidP="0003157B">
      <w:pPr>
        <w:pStyle w:val="SingleTxt"/>
        <w:numPr>
          <w:ilvl w:val="0"/>
          <w:numId w:val="21"/>
        </w:numPr>
        <w:tabs>
          <w:tab w:val="clear" w:pos="1729"/>
          <w:tab w:val="num" w:pos="1742"/>
        </w:tabs>
        <w:suppressAutoHyphens/>
        <w:ind w:left="1267"/>
      </w:pPr>
      <w:r w:rsidRPr="00981E15">
        <w:t>El diseño de programas de requisición de armas, teniendo en cuenta que la mayoría de las muertes violentas en el país es por medio del uso de armas de fuego. La regulación legal podría conllevar a una reducción significativa en su número, que tendría a su vez efectos significativos en el número de muertes violentas.</w:t>
      </w:r>
    </w:p>
    <w:p w:rsidR="0003157B" w:rsidRPr="00981E15" w:rsidRDefault="0003157B" w:rsidP="0003157B">
      <w:pPr>
        <w:pStyle w:val="SingleTxt"/>
        <w:numPr>
          <w:ilvl w:val="0"/>
          <w:numId w:val="21"/>
        </w:numPr>
        <w:tabs>
          <w:tab w:val="clear" w:pos="1729"/>
          <w:tab w:val="num" w:pos="1742"/>
        </w:tabs>
        <w:suppressAutoHyphens/>
        <w:ind w:left="1267"/>
      </w:pPr>
      <w:r w:rsidRPr="00981E15">
        <w:t>Aplicación, seguimiento y monitoreo institucional de la Estrategia Nacional contra el femicidio y su plan de acción, diseñada por la Comisión para el Abordaje del Femicidio.</w:t>
      </w:r>
    </w:p>
    <w:p w:rsidR="0003157B" w:rsidRPr="00981E15" w:rsidRDefault="0003157B" w:rsidP="0003157B">
      <w:pPr>
        <w:pStyle w:val="SingleTxt"/>
        <w:numPr>
          <w:ilvl w:val="0"/>
          <w:numId w:val="21"/>
        </w:numPr>
        <w:tabs>
          <w:tab w:val="clear" w:pos="1729"/>
          <w:tab w:val="num" w:pos="1742"/>
        </w:tabs>
        <w:suppressAutoHyphens/>
        <w:ind w:left="1267"/>
      </w:pPr>
      <w:r w:rsidRPr="00981E15">
        <w:t>Formulación de Políticas Criminal del Estado y de Seguridad Ciudadana.</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Sistema Nacional de Estadísticas</w:t>
      </w:r>
    </w:p>
    <w:p w:rsidR="0003157B" w:rsidRPr="00981E15" w:rsidRDefault="0003157B" w:rsidP="0003157B">
      <w:pPr>
        <w:pStyle w:val="SingleTxt"/>
        <w:tabs>
          <w:tab w:val="num" w:pos="1742"/>
        </w:tabs>
        <w:suppressAutoHyphens/>
        <w:spacing w:after="0" w:line="120" w:lineRule="exact"/>
        <w:rPr>
          <w:sz w:val="10"/>
        </w:rPr>
      </w:pPr>
    </w:p>
    <w:p w:rsidR="0003157B" w:rsidRPr="00981E15" w:rsidRDefault="0003157B" w:rsidP="0003157B">
      <w:pPr>
        <w:pStyle w:val="SingleTxt"/>
        <w:tabs>
          <w:tab w:val="num"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Recomendaciones del Comité de Expertas de la CEDAW</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SingleTxt"/>
        <w:suppressAutoHyphens/>
        <w:rPr>
          <w:b/>
        </w:rPr>
      </w:pPr>
      <w:r w:rsidRPr="00981E15">
        <w:rPr>
          <w:b/>
        </w:rPr>
        <w:t>Se pide al Estado Parte que mejore la reunión de datos desglosados por sexo y la utilización de esos datos como indicadores con el fin de hacer un seguimiento más eficaz del progreso en la aplicación de la Convención (6)</w:t>
      </w:r>
    </w:p>
    <w:p w:rsidR="0003157B" w:rsidRPr="00981E15" w:rsidRDefault="0003157B" w:rsidP="0003157B">
      <w:pPr>
        <w:pStyle w:val="SingleTxt"/>
        <w:suppressAutoHyphens/>
        <w:rPr>
          <w:b/>
        </w:rPr>
      </w:pPr>
      <w:r w:rsidRPr="00981E15">
        <w:rPr>
          <w:b/>
        </w:rPr>
        <w:t>Utilizar los datos desglosados por sexo como base para formular programas y políticas eficaces y para evaluar el efec</w:t>
      </w:r>
      <w:r w:rsidR="00D22EC6">
        <w:rPr>
          <w:b/>
        </w:rPr>
        <w:t>to de las medidas adoptadas (6)</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Entre las observaciones del Comité de Expertas de CEDAW a los informes presentados por el Estado de Guatemala se destaca el hecho de que los documentos reflejan una sucesión de las medidas tomadas, planes aprobados, etcétera, pero no reflejan datos estadísticos que permitan visualizar el impacto conseguido a través de los mismos.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Históricamente esto puede relacionarse con una confluencia de una diversidad de factores entre los que se pueden resaltar: </w:t>
      </w:r>
    </w:p>
    <w:p w:rsidR="0003157B" w:rsidRPr="00981E15" w:rsidRDefault="0003157B" w:rsidP="0003157B">
      <w:pPr>
        <w:pStyle w:val="SingleTxt"/>
        <w:tabs>
          <w:tab w:val="right" w:pos="1685"/>
        </w:tabs>
        <w:suppressAutoHyphens/>
        <w:ind w:left="1742" w:hanging="475"/>
      </w:pPr>
      <w:r w:rsidRPr="00981E15">
        <w:tab/>
        <w:t>•</w:t>
      </w:r>
      <w:r w:rsidRPr="00981E15">
        <w:tab/>
        <w:t>La mayoría de las oficinas públicas se han informatizado recientemente. Con anterioridad a esto había más dificultad para llevar registros.</w:t>
      </w:r>
    </w:p>
    <w:p w:rsidR="0003157B" w:rsidRPr="00981E15" w:rsidRDefault="0003157B" w:rsidP="0003157B">
      <w:pPr>
        <w:pStyle w:val="SingleTxt"/>
        <w:tabs>
          <w:tab w:val="right" w:pos="1685"/>
        </w:tabs>
        <w:suppressAutoHyphens/>
        <w:ind w:left="1742" w:hanging="475"/>
      </w:pPr>
      <w:r w:rsidRPr="00981E15">
        <w:tab/>
        <w:t>•</w:t>
      </w:r>
      <w:r w:rsidRPr="00981E15">
        <w:tab/>
        <w:t xml:space="preserve">Escasa fiscalización o monitoreo del desempeño de los servidores públicos por medio del impacto obtenido de la acción pública.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Se han encaminado acciones para superar algunos de estos obstáculos. La Secretaría Presidencial de la Mujer, identificó la ausencia de un sistema de información que permitiera conocer la situación de las mujeres con relación a los principales aspectos planteados en la Política de la Mujer y además los compromisos asumidos por el Estado de Guatemala con relación al avance de las mujeres. Con base en lo anterior coordinó con el ente rector de las estadísticas oficiales, el Instituto Nacional de Estadísticas (INE), la elaboración de los indicadores con enfoque de género a escala nacional, que permitan conocer las brechas existentes entre mujeres y hombres. Entre los indicadores destacan los contemplados en el ámbito económico, laboral, tierra y vivienda, salud, educación, violencia contra la mujer y participación política, información fundamental para promover la igualdad. </w:t>
      </w:r>
    </w:p>
    <w:p w:rsidR="0003157B" w:rsidRPr="00981E15" w:rsidRDefault="0003157B" w:rsidP="0003157B">
      <w:pPr>
        <w:pStyle w:val="SingleTxt"/>
        <w:numPr>
          <w:ilvl w:val="0"/>
          <w:numId w:val="21"/>
        </w:numPr>
        <w:tabs>
          <w:tab w:val="clear" w:pos="1729"/>
          <w:tab w:val="num" w:pos="1742"/>
        </w:tabs>
        <w:suppressAutoHyphens/>
        <w:ind w:left="1267"/>
      </w:pPr>
      <w:r w:rsidRPr="00981E15">
        <w:t>Los indicadores seleccionados fueron definidos como trazadores, al considerarlos claves para mostrar los avances sobre la situación y condición de las mujeres. Estos se construyeron con información estadística desagregada por sexo y en su mayoría se utilizaron datos de la Encuesta Nacional de Condiciones de Vida (ENCOVI) 2000 y de la Encuesta Nacional de Ingresos 2002 (Datos oficiales existentes a la fecha de preparación de los indicadores). Este proceso fue coordinado con el personal especializado del INE.</w:t>
      </w:r>
    </w:p>
    <w:p w:rsidR="0003157B" w:rsidRPr="00981E15" w:rsidRDefault="0003157B" w:rsidP="0003157B">
      <w:pPr>
        <w:pStyle w:val="SingleTxt"/>
        <w:numPr>
          <w:ilvl w:val="0"/>
          <w:numId w:val="21"/>
        </w:numPr>
        <w:tabs>
          <w:tab w:val="clear" w:pos="1729"/>
          <w:tab w:val="num" w:pos="1742"/>
        </w:tabs>
        <w:suppressAutoHyphens/>
        <w:ind w:left="1267"/>
      </w:pPr>
      <w:r w:rsidRPr="00981E15">
        <w:rPr>
          <w:b/>
        </w:rPr>
        <w:t>Los indicadores para análisis de género que se construyeron con el INE dan respuesta a compromisos internacionales relacionados con la Conferencia Internacional sobre Población y Desarrollo de El Cairo (1994), Conferencia Mundial de la Mujer de Beijing (1995), Metas del Milenio (2000), CEDAW y la Política Nacional de Promoción y Desarrollo de las Mujeres. Esto con el compromiso de presentar evaluaciones periódicas que puedan mostrar avances con relación a la igualdad entre los géneros</w:t>
      </w:r>
      <w:r w:rsidRPr="00981E15">
        <w:t xml:space="preserve">. </w:t>
      </w:r>
    </w:p>
    <w:p w:rsidR="0003157B" w:rsidRPr="00981E15" w:rsidRDefault="0003157B" w:rsidP="0003157B">
      <w:pPr>
        <w:pStyle w:val="SingleTxt"/>
        <w:numPr>
          <w:ilvl w:val="0"/>
          <w:numId w:val="21"/>
        </w:numPr>
        <w:tabs>
          <w:tab w:val="clear" w:pos="1729"/>
          <w:tab w:val="num" w:pos="1742"/>
        </w:tabs>
        <w:suppressAutoHyphens/>
        <w:ind w:left="1267"/>
      </w:pPr>
      <w:r w:rsidRPr="00981E15">
        <w:t>El producto de este esfuerzo ha sido la publicación en forma c</w:t>
      </w:r>
      <w:r w:rsidR="00B43CA6" w:rsidRPr="00981E15">
        <w:t>onjunta INE/</w:t>
      </w:r>
      <w:r w:rsidRPr="00981E15">
        <w:t>SEPREM/UNFPA del documento sobre “</w:t>
      </w:r>
      <w:r w:rsidRPr="00981E15">
        <w:rPr>
          <w:i/>
        </w:rPr>
        <w:t>Indicadores para el Análisis de Género</w:t>
      </w:r>
      <w:r w:rsidRPr="00981E15">
        <w:t xml:space="preserve">” en versión electrónica y física. Este instrumento cuenta con la metodología que permite la construcción de 29 indicadores, agrupados en 6 sectores, a saber: a) económico y laboral (8 indicadores), b) tierra y vivienda (2 indicadores), c) educación (4 indicadores), d) salud (8 indicadores), e) violencia intrafamiliar (3 indicadores), f) participación política (4 indicadores). Estos indicadores permitirán visualizar la posición y condición de las mujeres y hombres, orientados a contribuir a la eliminación de las desigualdades entre ambos y propiciar mejores oportunidades para las mujeres, que redunden en una mejor calidad de vida. Es necesario hacer notar que en esta primera versión la variable étnica aún no es considerada en los cálculos, pues no se cuenta con información estadística al respecto.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En el marco de la estrategia de femicidio, se está trabajando con el Organismo Judicial, el Ministerio Público y la Policía Nacional Civil las variables armonizadas que permitan que el INE proporcione la información real sobre los casos de femicidio que se registren en Guatemala. Ya que al momento la información se encuentra desarticulada, puesto que la base de datos de información sobre este fenómeno se ha venido trabajando de forma aislada y con criterios distintos por parte de las tres instituciones anteriormente señaladas. </w:t>
      </w:r>
    </w:p>
    <w:p w:rsidR="0003157B" w:rsidRPr="00981E15" w:rsidRDefault="0003157B" w:rsidP="0003157B">
      <w:pPr>
        <w:pStyle w:val="SingleTxt"/>
        <w:numPr>
          <w:ilvl w:val="0"/>
          <w:numId w:val="21"/>
        </w:numPr>
        <w:tabs>
          <w:tab w:val="clear" w:pos="1729"/>
          <w:tab w:val="num" w:pos="1742"/>
        </w:tabs>
        <w:suppressAutoHyphens/>
        <w:ind w:left="1267"/>
      </w:pPr>
      <w:r w:rsidRPr="00981E15">
        <w:t>Así también se destaca como un avance en el tema, la política de capacitación y formación institucional con enfoque de género, en el Fondo de Tierras y la de Vigilancia Epidemiológica de Violencia Intrafamiliar y contra las mujeres, del Ministerio de Salud.</w:t>
      </w:r>
    </w:p>
    <w:p w:rsidR="0003157B" w:rsidRPr="00981E15" w:rsidRDefault="0003157B" w:rsidP="0003157B">
      <w:pPr>
        <w:pStyle w:val="SingleTxt"/>
        <w:numPr>
          <w:ilvl w:val="0"/>
          <w:numId w:val="21"/>
        </w:numPr>
        <w:tabs>
          <w:tab w:val="clear" w:pos="1729"/>
          <w:tab w:val="num" w:pos="1742"/>
        </w:tabs>
        <w:suppressAutoHyphens/>
        <w:ind w:left="1267"/>
      </w:pPr>
      <w:r w:rsidRPr="00981E15">
        <w:t>A través de CONAPREVI, se elaboró y validó en forma conjunta con el Instituto Nacional de Estadísticas, la boleta única de registro estadístico de violencia intrafamiliar, en el marco de la aplicación del Plan Nacional de Prevención y Erradicación de la Violencia Intrafamiliar y contra las Mujeres (PLANOVI) 2004-2014, para su aplicación y remisión al ente rector de estadísticas (INE).</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Medidas pendientes de las recomendaciones de la CEDAW </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Si bien ha habido un avance con respecto a las recomendaciones de CEDAW y se ha establecido por ley la obligación del Instituto Nacional de Estadística de producir estadísticas desagregadas por sexo y a su vez se ha avanzado en la práctica, es poco frecuente aún en la función pública el uso de esta información desglosada para diseñar y monitorear políticas.</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Retos y desafíos </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La comprensión y manejo por parte de las y los profesionales técnicas y técnicas y políticos del Estado de los indicadores es crucial para poder realizar monitoreo y seguimiento de la eficacia y eficiencia de las políticas para alcanzar sus objetivos y su capacidad para llegar al grupo meta.</w:t>
      </w:r>
    </w:p>
    <w:p w:rsidR="0003157B" w:rsidRPr="00981E15" w:rsidRDefault="0003157B" w:rsidP="0003157B">
      <w:pPr>
        <w:pStyle w:val="SingleTxt"/>
        <w:numPr>
          <w:ilvl w:val="0"/>
          <w:numId w:val="21"/>
        </w:numPr>
        <w:tabs>
          <w:tab w:val="clear" w:pos="1729"/>
          <w:tab w:val="num" w:pos="1742"/>
        </w:tabs>
        <w:suppressAutoHyphens/>
        <w:ind w:left="1267"/>
      </w:pPr>
      <w:r w:rsidRPr="00981E15">
        <w:t>El fomento del uso de estadísticas e indicadores de género podría realizarse a través del requerimiento de su uso por parte de todas las instancias del Estado:</w:t>
      </w:r>
    </w:p>
    <w:p w:rsidR="0003157B" w:rsidRPr="00981E15" w:rsidRDefault="0003157B" w:rsidP="0003157B">
      <w:pPr>
        <w:pStyle w:val="SingleTxt"/>
        <w:tabs>
          <w:tab w:val="right" w:pos="1685"/>
        </w:tabs>
        <w:suppressAutoHyphens/>
        <w:ind w:left="1742" w:hanging="475"/>
      </w:pPr>
      <w:r w:rsidRPr="00981E15">
        <w:tab/>
        <w:t>•</w:t>
      </w:r>
      <w:r w:rsidRPr="00981E15">
        <w:tab/>
        <w:t>En el diseño de sus políticas y programas</w:t>
      </w:r>
    </w:p>
    <w:p w:rsidR="0003157B" w:rsidRPr="00981E15" w:rsidRDefault="0003157B" w:rsidP="0003157B">
      <w:pPr>
        <w:pStyle w:val="SingleTxt"/>
        <w:tabs>
          <w:tab w:val="right" w:pos="1685"/>
        </w:tabs>
        <w:suppressAutoHyphens/>
        <w:ind w:left="1742" w:hanging="475"/>
      </w:pPr>
      <w:r w:rsidRPr="00981E15">
        <w:tab/>
        <w:t>•</w:t>
      </w:r>
      <w:r w:rsidRPr="00981E15">
        <w:tab/>
        <w:t>En la solicitud de fondos presupuestarios públicos para la ejecución de políticas y programas</w:t>
      </w:r>
    </w:p>
    <w:p w:rsidR="0003157B" w:rsidRPr="00981E15" w:rsidRDefault="0003157B" w:rsidP="0003157B">
      <w:pPr>
        <w:pStyle w:val="SingleTxt"/>
        <w:tabs>
          <w:tab w:val="right" w:pos="1685"/>
        </w:tabs>
        <w:suppressAutoHyphens/>
        <w:ind w:left="1742" w:hanging="475"/>
      </w:pPr>
      <w:r w:rsidRPr="00981E15">
        <w:tab/>
        <w:t>•</w:t>
      </w:r>
      <w:r w:rsidRPr="00981E15">
        <w:tab/>
        <w:t>En sus informes de balance de gestión, (monitoreo y evaluación de las políticas)</w:t>
      </w:r>
    </w:p>
    <w:p w:rsidR="0003157B" w:rsidRPr="00981E15" w:rsidRDefault="0003157B" w:rsidP="0003157B">
      <w:pPr>
        <w:pStyle w:val="SingleTxt"/>
        <w:tabs>
          <w:tab w:val="right" w:pos="1685"/>
        </w:tabs>
        <w:suppressAutoHyphens/>
        <w:ind w:left="1742" w:hanging="475"/>
      </w:pPr>
      <w:r w:rsidRPr="00981E15">
        <w:tab/>
        <w:t>•</w:t>
      </w:r>
      <w:r w:rsidRPr="00981E15">
        <w:tab/>
        <w:t>Evaluaciones periódicas del desempeño de sus funcionarios/as.</w:t>
      </w:r>
    </w:p>
    <w:p w:rsidR="0003157B" w:rsidRPr="00981E15" w:rsidRDefault="0003157B" w:rsidP="0003157B">
      <w:pPr>
        <w:pStyle w:val="SingleTxt"/>
        <w:numPr>
          <w:ilvl w:val="0"/>
          <w:numId w:val="21"/>
        </w:numPr>
        <w:tabs>
          <w:tab w:val="clear" w:pos="1729"/>
          <w:tab w:val="num" w:pos="1742"/>
        </w:tabs>
        <w:suppressAutoHyphens/>
        <w:ind w:left="1267"/>
      </w:pPr>
      <w:r w:rsidRPr="00981E15">
        <w:t>Es sumamente importante a su vez, como se ha indicado en las recomendaciones de CEDAW o en el Informe de Desarrollo Humano sobre diversidad étnico-cultural</w:t>
      </w:r>
      <w:r w:rsidRPr="00981E15">
        <w:rPr>
          <w:rStyle w:val="FootnoteReference"/>
        </w:rPr>
        <w:footnoteReference w:id="2"/>
      </w:r>
      <w:r w:rsidRPr="00981E15">
        <w:t>, recoger la situación de la diversidad de grupos de mujeres en el país, y para ello desarrollar estadísticas con desagregación por etnia, que según las fuentes consultadas presentan en la actualidad incluso más deficiencias que aquellas con desagregación por sexo.</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Es necesario que la producción de estadística de trabajo no remunerado incluya datos oficiales, recolectados por sexo y que los conceptos y métodos utilizados en la recopilación de los datos y en su presentación reflejen adecuadamente los asuntos de género en la sociedad y tengan en cuenta todos los factores que pueden conducir a la producción de estadísticas sin sesgos. </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Artículo 4</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Medidas especiales temporales</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Recomendaciones del Comité de Expertas de la CEDAW</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SingleTxt"/>
        <w:suppressAutoHyphens/>
        <w:rPr>
          <w:b/>
        </w:rPr>
      </w:pPr>
      <w:r w:rsidRPr="00981E15">
        <w:rPr>
          <w:b/>
        </w:rPr>
        <w:t xml:space="preserve">Se pide al Estado Parte acelerar el proceso de Reforma de la Ley Electoral y de Partidos Políticos, a fin de aplicar una cuota de participación de las mujeres de 44% (6) </w:t>
      </w:r>
    </w:p>
    <w:p w:rsidR="0003157B" w:rsidRPr="00981E15" w:rsidRDefault="0003157B" w:rsidP="0003157B">
      <w:pPr>
        <w:pStyle w:val="SingleTxt"/>
        <w:suppressAutoHyphens/>
        <w:rPr>
          <w:b/>
        </w:rPr>
      </w:pPr>
      <w:r w:rsidRPr="00981E15">
        <w:rPr>
          <w:b/>
        </w:rPr>
        <w:t xml:space="preserve">Se pide al Estado parte reforzar el uso de medidas temporales especiales como la aplicación de cuotas, para aumentar el número de mujeres, en particular de mujeres indígenas que participan en la vida política y pública y ocupan cargos decisorios (6) </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Propuesta de cuotas para aumentar el número de mujeres que participan </w:t>
      </w:r>
      <w:r w:rsidRPr="00981E15">
        <w:br/>
        <w:t>en la vida política</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Ante la limitada participación política de las mujeres, tanto organizaciones de mujeres de la sociedad civil e instituciones del Estado, como diputadas y diputados del Congreso de la República, han desarrollado esfuerzos por introducir reformas a la Ley Electoral y de Partidos Políticos para incorporar un sistema de cuotas como mecanismo de acción afirmativa que garantice su representación.</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Se ha planteado al Congreso de la República la iniciativa 2027, que reforma la Ley Electoral y de Partidos Políticos (Decreto 1-85). Esta iniciativa fue propuesta en 1998, logró ser aprobada en segunda lectura por la legislatura que finalizó sus funciones en el 2000. Actualmente se encuentra en el Archivo Legislativo. </w:t>
      </w:r>
    </w:p>
    <w:p w:rsidR="0003157B" w:rsidRPr="00981E15" w:rsidRDefault="0003157B" w:rsidP="0003157B">
      <w:pPr>
        <w:pStyle w:val="SingleTxt"/>
        <w:numPr>
          <w:ilvl w:val="0"/>
          <w:numId w:val="21"/>
        </w:numPr>
        <w:tabs>
          <w:tab w:val="clear" w:pos="1729"/>
          <w:tab w:val="num" w:pos="1742"/>
        </w:tabs>
        <w:suppressAutoHyphens/>
        <w:ind w:left="1267"/>
      </w:pPr>
      <w:r w:rsidRPr="00981E15">
        <w:t>Esta iniciativa contempla que “</w:t>
      </w:r>
      <w:r w:rsidRPr="00981E15">
        <w:rPr>
          <w:i/>
        </w:rPr>
        <w:t>las plantillas de postulación a cargos de elección popular deberán incluir mujeres y hombres en porcentajes no menores del cuarenta y cuatro por ciento para uno u otro sexo. El orden de postulación deberá alternarse entre mujer y hombre, de manera que una posición ocupada por una mujer, siga la posición ocupada por un hombre, o viceversa, y así sucesivamente, para que tanto hombres como mujeres participen equitativamente en cuanto a número y posición en las plantillas</w:t>
      </w:r>
      <w:r w:rsidRPr="00981E15">
        <w:t>”.</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Educación</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En materia de educación desde hace algunos años, el MINEDUC ha realizado acciones orientadas a aumentar y mejorar la educación para las niñas, de tal manera que se reduzcan las brechas que las distancia de los niños. En la actualidad, se pretende unificar todos los esfuerzos a través de la estrategia denominada “</w:t>
      </w:r>
      <w:r w:rsidRPr="00981E15">
        <w:rPr>
          <w:i/>
        </w:rPr>
        <w:t>Primaria Completa</w:t>
      </w:r>
      <w:r w:rsidRPr="00981E15">
        <w:t>”. En ella participan la Dirección General de Educación Bilingüe (DIGEBI), el Programa Nacional de Autogestión para el Desarrollo Educativo (PRONADE), la Dirección General de Educación Extraescolar (DIGEEX), la Dirección de Calidad y Desarrollo Educativa (DICADE) y las direcciones departamentales de educación. Este tema se desarrolla de forma amplia en el contenido de respuesta de avances en el artículo 12 del presente Informe.</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Artículo 5</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Modificación de patrones socio-culturales</w:t>
      </w:r>
    </w:p>
    <w:p w:rsidR="0003157B" w:rsidRPr="00981E15" w:rsidRDefault="0003157B" w:rsidP="0003157B">
      <w:pPr>
        <w:pStyle w:val="SingleTxt"/>
        <w:tabs>
          <w:tab w:val="num"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Recomendaciones del Comité de Expertas de la CEDAW</w:t>
      </w:r>
    </w:p>
    <w:p w:rsidR="001D3649" w:rsidRPr="00981E15" w:rsidRDefault="001D3649" w:rsidP="001D3649">
      <w:pPr>
        <w:pStyle w:val="SingleTxt"/>
        <w:suppressAutoHyphens/>
        <w:spacing w:after="0" w:line="120" w:lineRule="exact"/>
        <w:rPr>
          <w:sz w:val="10"/>
        </w:rPr>
      </w:pPr>
    </w:p>
    <w:p w:rsidR="0003157B" w:rsidRPr="00981E15" w:rsidRDefault="0003157B" w:rsidP="0003157B">
      <w:pPr>
        <w:pStyle w:val="SingleTxt"/>
        <w:suppressAutoHyphens/>
        <w:rPr>
          <w:b/>
        </w:rPr>
      </w:pPr>
      <w:r w:rsidRPr="00981E15">
        <w:rPr>
          <w:b/>
        </w:rPr>
        <w:t>Realizar campañas de sensibilización sobre el significado y el alcance de la igualdad sustantiva entre hombres y mujeres, la Convención y su Protocolo Facultativo para el público, los legisladores/as, la judicatura y los profesionales del derecho (6)</w:t>
      </w:r>
    </w:p>
    <w:p w:rsidR="0003157B" w:rsidRPr="00981E15" w:rsidRDefault="0003157B" w:rsidP="0003157B">
      <w:pPr>
        <w:pStyle w:val="SingleTxt"/>
        <w:suppressAutoHyphens/>
        <w:rPr>
          <w:b/>
        </w:rPr>
      </w:pPr>
      <w:r w:rsidRPr="00981E15">
        <w:rPr>
          <w:b/>
        </w:rPr>
        <w:t xml:space="preserve">Insta al Estado Parte a que organice campañas y concienciación dirigida a mujeres y hombres para contribuir a la eliminación de los estereotipos asociados con los papeles tradicionales del hombre y la mujer en la familia y en la sociedad en general y promover el empoderamiento político de la mujer. (6). </w:t>
      </w:r>
    </w:p>
    <w:p w:rsidR="0003157B" w:rsidRPr="00981E15" w:rsidRDefault="0003157B" w:rsidP="0003157B">
      <w:pPr>
        <w:pStyle w:val="SingleTxt"/>
        <w:suppressAutoHyphens/>
        <w:rPr>
          <w:b/>
        </w:rPr>
      </w:pPr>
      <w:r w:rsidRPr="00981E15">
        <w:rPr>
          <w:b/>
        </w:rPr>
        <w:t>El Comité pide que se difundan ampliamente en Guatemala las observaciones finales del Comité para que la población, en particular los funcionarios de la administración pública, los políticos, los parlamentarios y las organizaciones de mujeres (3, 4,</w:t>
      </w:r>
      <w:r w:rsidR="00EF480E" w:rsidRPr="00981E15">
        <w:rPr>
          <w:b/>
        </w:rPr>
        <w:t xml:space="preserve"> </w:t>
      </w:r>
      <w:r w:rsidRPr="00981E15">
        <w:rPr>
          <w:b/>
        </w:rPr>
        <w:t>5) y derechos humanos, sea consciente de las medidas adoptadas para asegurar la igualdad de hecho y de derecho de la mujer y algunas otras que es preciso adoptar a ese respecto. (6)</w:t>
      </w:r>
    </w:p>
    <w:p w:rsidR="0003157B" w:rsidRPr="00981E15" w:rsidRDefault="0003157B" w:rsidP="0003157B">
      <w:pPr>
        <w:pStyle w:val="SingleTxt"/>
        <w:suppressAutoHyphens/>
        <w:rPr>
          <w:b/>
        </w:rPr>
      </w:pPr>
      <w:r w:rsidRPr="00981E15">
        <w:rPr>
          <w:b/>
        </w:rPr>
        <w:t>Se insta al Estado Parte a que dé prioridad a la sensibilización de la opinión pública sobre los derechos de las mujeres en su estrategia de promoción de la mujer, aprovechando las campañas existentes en los medios de comunicación e iniciando nuevas campañas de concienciación y educación acerca de distintos temas relativos a los derechos humanos de la mujer, dirigiendo esas campañas tanto a los hombres como a las mujeres de todos los niveles de la sociedad, y sobre todo a los indígenas. (3, 4,</w:t>
      </w:r>
      <w:r w:rsidR="003F2814" w:rsidRPr="00981E15">
        <w:rPr>
          <w:b/>
        </w:rPr>
        <w:t xml:space="preserve"> </w:t>
      </w:r>
      <w:r w:rsidRPr="00981E15">
        <w:rPr>
          <w:b/>
        </w:rPr>
        <w:t xml:space="preserve">5) </w:t>
      </w:r>
    </w:p>
    <w:p w:rsidR="0003157B" w:rsidRPr="00981E15" w:rsidRDefault="0003157B" w:rsidP="0003157B">
      <w:pPr>
        <w:pStyle w:val="SingleTxt"/>
        <w:suppressAutoHyphens/>
        <w:rPr>
          <w:b/>
        </w:rPr>
      </w:pPr>
      <w:r w:rsidRPr="00981E15">
        <w:rPr>
          <w:b/>
        </w:rPr>
        <w:t>Adoptar medidas para concienciar a las mujeres con respecto a sus derechos legítimos y a los medios de hacerlos valer de manera efectiva (3, 4,</w:t>
      </w:r>
      <w:r w:rsidR="001D3649" w:rsidRPr="00981E15">
        <w:rPr>
          <w:b/>
        </w:rPr>
        <w:t xml:space="preserve"> </w:t>
      </w:r>
      <w:r w:rsidRPr="00981E15">
        <w:rPr>
          <w:b/>
        </w:rPr>
        <w:t>5)</w:t>
      </w: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Medidas y acciones adoptadas para contribuir a la eliminación de </w:t>
      </w:r>
      <w:r w:rsidRPr="00981E15">
        <w:br/>
        <w:t>estereotipos y prejuicios</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La Sub-Comisión de Género de la Comisión Consultiva para la Reforma Educativa, ha llevado a cabo una serie de acciones conducentes a la incorporación de la perspectiva de género en la currícula escolar, los materiales educativos y la formación docente durante el período 2004-2006. La Sub-Comisión de Género realizó un análisis del documentos “Lineamientos de Política Educativa 2005-2008”, cuyo resultado fue entregado a la Comisión Consultiva de Reforma Educativa.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En el 2004 se realizó una revisión y análisis de los textos utilizados con los niños y niñas del nivel de educación primaria, a efecto de eliminar los estereotipos sexistas y de etnia, elaborando las observaciones y recomendaciones pertinentes para que el Ministerio de Educación (MINEDUC) las integrara. A los nuevos textos sí les fueron incorporadas las observaciones, sin embargo ediciones anteriores siguen en circulación, lo que ha influido en que no todos y todas las alumnas cuenten con textos con contenidos incluyentes. Durante ese año también se elaboraron las guías metodológicas “si aprendemos conjuntamente y en las mismas condiciones tendremos mejor vida”, que aborda los temas de igualdad y equidad étnica y de género. Este material fue diseñado para el uso del equipo técnico que elabora los textos dentro del MINEDUC y para los docentes del nivel primario.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El Ministerio de Educación, adicionalmente a la incorporación del eje de equidad de género, étnica y social en la currícula de educación primaria, desarrolló una campaña nacional de sensibilización y educación para una convivencia de respeto mutuo, la cual permitió la creación espacios de participación, asesoría y orientación.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También ha elaborado materiales que eliminan los estereotipos culturales y de género, por medio de la Dirección de Calidad, Actualización y Desarrollo Educativo (DICADE) y la Dirección General de Educación Bilingüe Intercultural (DIGEBI). En estos materiales se promueve el conocimiento y práctica de los Acuerdos de Paz y del reconocimiento y respeto de los pueblos indígenas del país. </w:t>
      </w:r>
    </w:p>
    <w:p w:rsidR="0003157B" w:rsidRPr="00981E15" w:rsidRDefault="0003157B" w:rsidP="0003157B">
      <w:pPr>
        <w:pStyle w:val="SingleTxt"/>
        <w:numPr>
          <w:ilvl w:val="0"/>
          <w:numId w:val="21"/>
        </w:numPr>
        <w:tabs>
          <w:tab w:val="clear" w:pos="1729"/>
          <w:tab w:val="num" w:pos="1742"/>
        </w:tabs>
        <w:suppressAutoHyphens/>
        <w:ind w:left="1267"/>
      </w:pPr>
      <w:r w:rsidRPr="00981E15">
        <w:t>La SEPREM acordó con el Instituto Nacional de Administración Pública (INAP) la integración en el 2004 del tema de género en los contenidos del Diplomado de Gerencia Social a cargo de esa entidad. En el 2005 se incluyeron los temas de etnicidad, derechos humanos y políticas públicas.</w:t>
      </w:r>
    </w:p>
    <w:p w:rsidR="0003157B" w:rsidRPr="00981E15" w:rsidRDefault="0003157B" w:rsidP="0003157B">
      <w:pPr>
        <w:pStyle w:val="SingleTxt"/>
        <w:numPr>
          <w:ilvl w:val="0"/>
          <w:numId w:val="21"/>
        </w:numPr>
        <w:tabs>
          <w:tab w:val="clear" w:pos="1729"/>
          <w:tab w:val="num" w:pos="1742"/>
        </w:tabs>
        <w:suppressAutoHyphens/>
        <w:ind w:left="1267"/>
      </w:pPr>
      <w:r w:rsidRPr="00981E15">
        <w:t>El Ministerio de Cultura y Deportes ha impulsado, por medio de los Centros de Promoción Deportiva la formación de valores inherentes a la convivencia colectiva en las disciplinas deportivas como el respeto, juego limpio y responsabilidad, dirigida principalmente a la población joven del país, además promueve la realización de eventos culturales tanto en centros educativos y en comunidades. En Conmemoración del Día Internacional de la Mujer, el programa de atención al adulto mayor organizó un seminario enfocado a la importancia que la mujer tiene en la cultura guatemalteca, así como actividades recreativas que cuentan con la participación de hombres y mujeres de la tercera edad.</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El Ministerio de Salud Pública y Asistencia Social (MSPAS) en el 2004-2005 desarrolló un diplomado con enfoque étnico y de género para mejorar el desempeño y la atención con calidad y calidez en los servicios de salud, especialmente hacia las mujeres indígenas. En el 2006 desarrolló a nivel central el Diplomado de la Paternidad y Maternidad Responsable, en el marco de los derechos humanos, dirigido a diversas instituciones que conforman la Red Nacional de Paternidad y Maternidad Responsable. Además, el MSPAS capacita y trabaja en el proceso de promoción e información de salud a nivel comunitario con hombres y lideres comunitarios, debido a la demanda de involucrar al género masculino en los procesos relacionados con el tema de salud reproductiva y paternidad responsable. </w:t>
      </w:r>
    </w:p>
    <w:p w:rsidR="0003157B" w:rsidRPr="00981E15" w:rsidRDefault="0003157B" w:rsidP="0003157B">
      <w:pPr>
        <w:pStyle w:val="SingleTxt"/>
        <w:numPr>
          <w:ilvl w:val="0"/>
          <w:numId w:val="21"/>
        </w:numPr>
        <w:tabs>
          <w:tab w:val="clear" w:pos="1729"/>
          <w:tab w:val="num" w:pos="1742"/>
        </w:tabs>
        <w:suppressAutoHyphens/>
        <w:ind w:left="1267"/>
      </w:pPr>
      <w:r w:rsidRPr="00981E15">
        <w:t>La Secretaría de Obras Sociales de la Esposa del Presidente (SOSEP) por medio del Programa Creciendo Bien, ha capacitado a padres y madres en el tema de la maternidad y paternidad responsable, en temas ligados con el desarrollo de la autoestima de las mujeres y el empoderamiento.</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La Policía Nacional Civil a través de la Unidad de Derechos Humanos realiza acciones de sensibilización sobre derechos humanos, derechos humanos de las mujeres, derechos de los pueblos indígenas, interculturalidad, violencia contra las mujeres y violencia intrafamiliar.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El Organismo Judicial realiza programas de capacitación por medio de la Escuela de Estudios Judiciales y por medio del Programa de Modernización del Organismo Judicial, con énfasis en derechos humanos, derechos humanos de las mujeres, derecho consuetudinario, dirigido a jueces y juezas y personal administrativo. Adicionalmente, por medio de la Unidad de la mujer y análisis de género del Organismo Judicial se han llevado a cabo en los dos últimos años acciones de capacitación, sensibilización y divulgación sobre la Convención de la CEDAW entre otros con jueces y juezas.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La CONAPREVI dentro del PLANOVI 2004-2014, en la Matriz de Prevención, Sensibilización y Educación, establece como objetivos específicos: </w:t>
      </w:r>
    </w:p>
    <w:p w:rsidR="0003157B" w:rsidRPr="00981E15" w:rsidRDefault="0003157B" w:rsidP="0003157B">
      <w:pPr>
        <w:pStyle w:val="SingleTxt"/>
        <w:tabs>
          <w:tab w:val="right" w:pos="1685"/>
        </w:tabs>
        <w:suppressAutoHyphens/>
        <w:ind w:left="1742" w:hanging="475"/>
      </w:pPr>
      <w:r w:rsidRPr="00981E15">
        <w:tab/>
        <w:t>•</w:t>
      </w:r>
      <w:r w:rsidRPr="00981E15">
        <w:tab/>
        <w:t>generar información para promover cambios sociales a favor de una vida libre de violencia;</w:t>
      </w:r>
    </w:p>
    <w:p w:rsidR="0003157B" w:rsidRPr="00981E15" w:rsidRDefault="0003157B" w:rsidP="0003157B">
      <w:pPr>
        <w:pStyle w:val="SingleTxt"/>
        <w:tabs>
          <w:tab w:val="right" w:pos="1685"/>
        </w:tabs>
        <w:suppressAutoHyphens/>
        <w:ind w:left="1742" w:hanging="475"/>
      </w:pPr>
      <w:r w:rsidRPr="00981E15">
        <w:tab/>
        <w:t>•</w:t>
      </w:r>
      <w:r w:rsidRPr="00981E15">
        <w:tab/>
        <w:t>promover acciones de capacitación y educación para lograr cambios de patrones socioculturales, contemplando la realización de campañas de medios orientados a la prevención de la violencia en la casa, en la calle, en la escuela, la comunidad y el trabajo;</w:t>
      </w:r>
    </w:p>
    <w:p w:rsidR="0003157B" w:rsidRPr="00981E15" w:rsidRDefault="0003157B" w:rsidP="0003157B">
      <w:pPr>
        <w:pStyle w:val="SingleTxt"/>
        <w:tabs>
          <w:tab w:val="right" w:pos="1685"/>
        </w:tabs>
        <w:suppressAutoHyphens/>
        <w:ind w:left="1742" w:hanging="475"/>
      </w:pPr>
      <w:r w:rsidRPr="00981E15">
        <w:tab/>
        <w:t>•</w:t>
      </w:r>
      <w:r w:rsidRPr="00981E15">
        <w:tab/>
        <w:t>coordinación del desarrollo de contenidos similares de difusión, prevención, educación y sensibilización de la Violencia Intrafamiliar y Violencia Contra la Mujer;</w:t>
      </w:r>
    </w:p>
    <w:p w:rsidR="0003157B" w:rsidRPr="00981E15" w:rsidRDefault="0003157B" w:rsidP="0003157B">
      <w:pPr>
        <w:pStyle w:val="SingleTxt"/>
        <w:tabs>
          <w:tab w:val="right" w:pos="1685"/>
        </w:tabs>
        <w:suppressAutoHyphens/>
        <w:ind w:left="1742" w:hanging="475"/>
      </w:pPr>
      <w:r w:rsidRPr="00981E15">
        <w:tab/>
        <w:t>•</w:t>
      </w:r>
      <w:r w:rsidRPr="00981E15">
        <w:tab/>
        <w:t xml:space="preserve">promoción de acciones de fortalecimiento de las capacidades de comunicación, información, educación; </w:t>
      </w:r>
    </w:p>
    <w:p w:rsidR="0003157B" w:rsidRPr="00981E15" w:rsidRDefault="0003157B" w:rsidP="0003157B">
      <w:pPr>
        <w:pStyle w:val="SingleTxt"/>
        <w:tabs>
          <w:tab w:val="right" w:pos="1685"/>
        </w:tabs>
        <w:suppressAutoHyphens/>
        <w:ind w:left="1742" w:hanging="475"/>
      </w:pPr>
      <w:r w:rsidRPr="00981E15">
        <w:tab/>
        <w:t>•</w:t>
      </w:r>
      <w:r w:rsidRPr="00981E15">
        <w:tab/>
        <w:t>creación de mecanismos para posicionar a CONAPREVI como fuente fidedigna y actualizada de información para los medios;</w:t>
      </w:r>
    </w:p>
    <w:p w:rsidR="0003157B" w:rsidRPr="00981E15" w:rsidRDefault="0003157B" w:rsidP="0003157B">
      <w:pPr>
        <w:pStyle w:val="SingleTxt"/>
        <w:tabs>
          <w:tab w:val="right" w:pos="1685"/>
        </w:tabs>
        <w:suppressAutoHyphens/>
        <w:ind w:left="1742" w:hanging="475"/>
      </w:pPr>
      <w:r w:rsidRPr="00981E15">
        <w:tab/>
        <w:t>•</w:t>
      </w:r>
      <w:r w:rsidRPr="00981E15">
        <w:tab/>
        <w:t>realización de mediación pedagógica a las investigaciones para producir material educativo, el diseño, validación e implementación de programa de educación dirigidos específicamente educadoras/es y a madres y a padres de familia (Escuela de madres y padres).</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Estudios e investigaciones realizados</w:t>
      </w:r>
    </w:p>
    <w:p w:rsidR="0003157B" w:rsidRPr="00981E15" w:rsidRDefault="0003157B" w:rsidP="0003157B">
      <w:pPr>
        <w:pStyle w:val="SingleTxt"/>
        <w:tabs>
          <w:tab w:val="clear"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La Secretaría Presidencial de la Mujer como integrante el Consejo Asesor del Observatorio Mujer y Medios</w:t>
      </w:r>
      <w:r w:rsidRPr="00981E15">
        <w:rPr>
          <w:rStyle w:val="FootnoteReference"/>
        </w:rPr>
        <w:footnoteReference w:id="3"/>
      </w:r>
      <w:r w:rsidRPr="00981E15">
        <w:t xml:space="preserve"> apoyó el proyecto de observación de medios de prensa, del cuál se conoce como producto un estudio que permitió la discusión de conceptos operativos y productos comunicacionales con el fin de que éste permitiera un asomo al mundo mediático y su concepción sobre las mujeres. Producto de éste se logró el Primer Informe Anual de Monitoreo “Observatorio Mujeres y Medios” 2006-2007.</w:t>
      </w:r>
    </w:p>
    <w:p w:rsidR="0003157B" w:rsidRPr="00981E15" w:rsidRDefault="0003157B" w:rsidP="0003157B">
      <w:pPr>
        <w:pStyle w:val="SingleTxt"/>
        <w:numPr>
          <w:ilvl w:val="0"/>
          <w:numId w:val="21"/>
        </w:numPr>
        <w:tabs>
          <w:tab w:val="clear" w:pos="1729"/>
          <w:tab w:val="num" w:pos="1742"/>
        </w:tabs>
        <w:suppressAutoHyphens/>
        <w:ind w:left="1267"/>
      </w:pPr>
      <w:r w:rsidRPr="00981E15">
        <w:t>Este estudio cubrió una serie de temáticas, como la violencia contra la mujer, violencia intrafamiliar, la sexualidad, mortalidad materna, aborto, el VIH, la discriminación entre otros.</w:t>
      </w:r>
      <w:r w:rsidR="008F2F2C" w:rsidRPr="00981E15">
        <w:t xml:space="preserve"> </w:t>
      </w:r>
      <w:r w:rsidRPr="00981E15">
        <w:t>Permite conocer en el caso del abordaje de la violencia contra la mujer indígena que se hace mención sobre el “castigo maya” (así consignado en los medios) piezas que versan sobre la ejecución de juicios mayas en el departamento de Sololá, ubicado al occidente del país, caracterizado por la mayoría de la población indígena.</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Con relación a la violencia intrafamiliar, dicho monitoreo documenta que los medios de comunicación no suelen abordarlo como problemática social, que los reportes no son contextualizados, se apela al sensacionalismo, permite identificar que el tratamiento mediático de las mujeres y los hombres protagonistas de los sucesos fue distinto.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Con relación al tema de la salud sexual y reproductiva de las guatemaltecas, este informe consigna que los sistemas de información pública dan cuenta de problemas de salud relacionados con aspectos reproductivos más poca o ninguna información existente sobre la salud sexual de la mujer en el país. La situación y condición de éstas al respecto siguen atadas a visiones religiosas, mágicas, y de índole económico más no de derechos ciudadanos, con impacto en lo público. Los derechos sexuales y reproductivos no ocupan espacios relevantes dentro de las agendas noticiosas. </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Medidas pendientes de las recomendaciones de la CEDAW</w:t>
      </w:r>
    </w:p>
    <w:p w:rsidR="0003157B" w:rsidRPr="00981E15" w:rsidRDefault="0003157B" w:rsidP="0003157B">
      <w:pPr>
        <w:pStyle w:val="SingleTxt"/>
        <w:tabs>
          <w:tab w:val="num"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Sensibilización eficaz en el Congreso de la República sobre la igualdad y equidad de género.</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Retos y desafíos </w:t>
      </w:r>
    </w:p>
    <w:p w:rsidR="0003157B" w:rsidRPr="00981E15" w:rsidRDefault="0003157B" w:rsidP="0003157B">
      <w:pPr>
        <w:pStyle w:val="SingleTxt"/>
        <w:tabs>
          <w:tab w:val="num"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Si bien se han realizado diversidad de acciones, éstas no han contribuido en la medida necesaria al cambio social y a la creación de un estado de opinión pública, así como sectorial comprometido y activo con la igualdad de género.</w:t>
      </w:r>
      <w:r w:rsidR="008F2F2C" w:rsidRPr="00981E15">
        <w:t xml:space="preserve"> </w:t>
      </w:r>
      <w:r w:rsidRPr="00981E15">
        <w:t xml:space="preserve">Esto puede deberse a que muchas de las acciones que se han llevado a cabo han sido puntuales, más que obedecer a una estrategia comprehensiva con objetivos definidos. </w:t>
      </w:r>
    </w:p>
    <w:p w:rsidR="0003157B" w:rsidRPr="00981E15" w:rsidRDefault="0003157B" w:rsidP="0003157B">
      <w:pPr>
        <w:pStyle w:val="SingleTxt"/>
        <w:numPr>
          <w:ilvl w:val="0"/>
          <w:numId w:val="21"/>
        </w:numPr>
        <w:tabs>
          <w:tab w:val="clear" w:pos="1729"/>
          <w:tab w:val="num" w:pos="1742"/>
        </w:tabs>
        <w:suppressAutoHyphens/>
        <w:ind w:left="1267"/>
      </w:pPr>
      <w:r w:rsidRPr="00981E15">
        <w:t>A nivel del uso adecuado de medios de comunicación hacia el cambio cultural, también es de destacar la particular necesidad de dar continuidad al proceso de formación en género de los y las profesionales de la comunicación, iniciado por la SEPREM en octubre de 2007, ya que hay coincidencia que en ocasiones los medios presentan noticias relevantes para la igualdad de género, pero lo hacen desde ópticas que son poco funcionales a la igualdad (ej. Preferencia por una óptica que fomenta la alarma pública, -amarillismo-, pero no el cambio social).</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Artículo 6</w:t>
      </w:r>
    </w:p>
    <w:p w:rsidR="0003157B" w:rsidRPr="00981E15" w:rsidRDefault="0003157B" w:rsidP="0003157B">
      <w:pPr>
        <w:pStyle w:val="SingleTxt"/>
        <w:tabs>
          <w:tab w:val="num" w:pos="1742"/>
        </w:tabs>
        <w:suppressAutoHyphens/>
        <w:spacing w:after="0" w:line="120" w:lineRule="exact"/>
        <w:ind w:left="0"/>
        <w:rPr>
          <w:sz w:val="10"/>
        </w:rPr>
      </w:pPr>
    </w:p>
    <w:p w:rsidR="0003157B" w:rsidRPr="00981E15" w:rsidRDefault="0003157B" w:rsidP="0003157B">
      <w:pPr>
        <w:pStyle w:val="SingleTxt"/>
        <w:tabs>
          <w:tab w:val="num" w:pos="1742"/>
        </w:tabs>
        <w:suppressAutoHyphens/>
        <w:spacing w:after="0" w:line="120" w:lineRule="exact"/>
        <w:ind w:left="0"/>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Trata de mujeres y explotación sexual </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Recomendaciones del Comité de Expertas de la CEDAW</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SingleTxt"/>
        <w:suppressAutoHyphens/>
        <w:rPr>
          <w:b/>
        </w:rPr>
      </w:pPr>
      <w:r w:rsidRPr="00981E15">
        <w:rPr>
          <w:b/>
        </w:rPr>
        <w:t>El Estado no ha adoptado medidas adecuadas para combatir este fenómeno, incluidas sus causas y alcance, en particular como país de origen, tránsito y destino (a pesar de la ratificación del Protocolo para Prevenir, Reprimir y Sancionar la Trata de Personas, Especialmente Mujeres y Niños) (6)</w:t>
      </w:r>
    </w:p>
    <w:p w:rsidR="0003157B" w:rsidRPr="00981E15" w:rsidRDefault="0003157B" w:rsidP="0003157B">
      <w:pPr>
        <w:pStyle w:val="SingleTxt"/>
        <w:suppressAutoHyphens/>
        <w:rPr>
          <w:b/>
        </w:rPr>
      </w:pPr>
      <w:r w:rsidRPr="00981E15">
        <w:rPr>
          <w:b/>
        </w:rPr>
        <w:t>Existe insuficiente información y concienciación sobre la incidencia de la trata dentro del país. (6)</w:t>
      </w:r>
    </w:p>
    <w:p w:rsidR="0003157B" w:rsidRPr="00981E15" w:rsidRDefault="0003157B" w:rsidP="0003157B">
      <w:pPr>
        <w:pStyle w:val="SingleTxt"/>
        <w:suppressAutoHyphens/>
        <w:rPr>
          <w:b/>
        </w:rPr>
      </w:pPr>
      <w:r w:rsidRPr="00981E15">
        <w:rPr>
          <w:b/>
        </w:rPr>
        <w:t>El Estado Parte precisa tomar medidas para combatir y prevenir la trata de mujeres y niñas y, en su próximo informe periódico, facilitar información detallada sobre el efecto de las medidas. (6)</w:t>
      </w:r>
    </w:p>
    <w:p w:rsidR="0003157B" w:rsidRPr="00981E15" w:rsidRDefault="0003157B" w:rsidP="0003157B">
      <w:pPr>
        <w:pStyle w:val="SingleTxt"/>
        <w:numPr>
          <w:ilvl w:val="0"/>
          <w:numId w:val="21"/>
        </w:numPr>
        <w:tabs>
          <w:tab w:val="clear" w:pos="1729"/>
          <w:tab w:val="num" w:pos="1742"/>
        </w:tabs>
        <w:suppressAutoHyphens/>
        <w:ind w:left="1267"/>
      </w:pPr>
      <w:r w:rsidRPr="00981E15">
        <w:t>El fenómeno de trata de personas constituye un delito tipificado por la legislación guatemalteca en el Código Penal.</w:t>
      </w:r>
      <w:r w:rsidR="008F2F2C" w:rsidRPr="00981E15">
        <w:t xml:space="preserve"> </w:t>
      </w:r>
      <w:r w:rsidRPr="00981E15">
        <w:t>La falta de registros estadísticos sistemáticos y confiables, así como el escaso nivel de denuncia dificultan cuantificar y cualificar la magnitud del problema en el país. No obstante, existen evidencias de la creciente evolución del fenómeno, que cobrando diversos matices expresados en la explotación de las personas, constituye una violación flagrante de los derechos humanos.</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Las principales causas que se han reconocido como origen y razones de la trata de personas comprenden factores económicos como la pobreza, el desempleo y el endeudamiento; factores sociales y culturales como la violencia intrafamiliar y contra las mujeres, discriminación por motivos de género en la familia, la cultura patriarcal y adulto-céntrica; factores políticos y legales como la ausencia de legislación apropiada y aplicación de sanciones punitivas más severas; factores internacionales como la creciente feminización de la migración laboral, por un lado, y el endurecimiento de las políticas de inmigración de los países receptores, por el otro. </w:t>
      </w:r>
    </w:p>
    <w:p w:rsidR="0003157B" w:rsidRPr="00981E15" w:rsidRDefault="0003157B" w:rsidP="0003157B">
      <w:pPr>
        <w:pStyle w:val="SingleTxt"/>
        <w:numPr>
          <w:ilvl w:val="0"/>
          <w:numId w:val="21"/>
        </w:numPr>
        <w:tabs>
          <w:tab w:val="clear" w:pos="1729"/>
          <w:tab w:val="num" w:pos="1742"/>
        </w:tabs>
        <w:suppressAutoHyphens/>
        <w:ind w:left="1267"/>
      </w:pPr>
      <w:r w:rsidRPr="00981E15">
        <w:t>También intervienen razones relacionadas con la educación, una limitada capacitación apropiada que facilite el acceso a un empleo digno y las relaciones de poder que evidencian una actitud estigmatizante, un ambiente social caracterizado por la falta de infraestructura y de lugares de resguardo y protección a las víctimas. El nivel de tolerancia social y el grado disminuido de concientización sobre la corresponsabilidad y solidaridad de la sociedad, evidencian la necesidad de estrategias de prevención, atención y protección integral adecuadas. Consecuentemente, estos factores intervienen directamente en la vulnerabilidad de la población víctima de trata y en el carácter expansivo que este delito tiene.</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Todo lo anterior, aunado a las diferentes fases por las que pasa la víctima de trata de personas, como son la recepción, captación, transporte, violencia psicológica, privación de libertad, retención de documentos, violación al derecho de identidad e integridad, utilización en ocasiones de documentos falsos, e incluso violencia física, mantienen estrecha relación con otras formas de delincuencia organizada.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En el 2004 el Estado de Guatemala impulsa la actividad del Grupo Interinstitucional contra la Trata de Personas, este Grupo Interinstitucional es coordinado por el Ministerio de Relaciones Exteriores, lo integra la Secretaría Presidencial de la Mujer (SEPREM), Secretaría de Bienestar Social de la Presidencia (SBS), Ministerio de Salud Pública (MSP), Ministerio de Trabajo y Previsión Social (MINTRAB), Procuraduría General de la Nación (PGN), Ministerio Público (MP), Dirección General de Migración, Ministerio de Gobernación, Policía Nacional Civil (PNC), Ministerio Público por medio de la Fiscalía de Delitos Contra la Vida y la Fiscalía de la Mujer, Instituto Guatemalteco de Turismo y apoyo de las instancias no gubernamentales como Proyecto Acción SIDA de Centroamérica (PASCA), Fondo de las Naciones Unidas para la Infancia (UNICEF) y ECPAT Guatemala. </w:t>
      </w:r>
    </w:p>
    <w:p w:rsidR="0003157B" w:rsidRPr="00981E15" w:rsidRDefault="0003157B" w:rsidP="0003157B">
      <w:pPr>
        <w:pStyle w:val="SingleTxt"/>
        <w:numPr>
          <w:ilvl w:val="0"/>
          <w:numId w:val="21"/>
        </w:numPr>
        <w:tabs>
          <w:tab w:val="clear" w:pos="1729"/>
          <w:tab w:val="num" w:pos="1742"/>
        </w:tabs>
        <w:suppressAutoHyphens/>
        <w:ind w:left="1267"/>
      </w:pPr>
      <w:r w:rsidRPr="00981E15">
        <w:t>En el 2004 se inicia el proceso de elaboración de la política pública para prevenir, reprimir y sancionar la trata de personas y proteger a las víctimas. En septiembre de 2007 es presentada la Política Pública Contra la Trata de Personas y para la Protección Integral a las Víctimas y el Plan de Acción Estratégico 2007-2017. Esta política tiene como principal objetivo constituirse como principal directriz del Estado de Guatemala para prevenir, reprimir y sancionar la trata de personas en sus diversas manifestaciones, así como para proteger a las víctimas. Ello conlleva a la protección de los derechos humanos, el interés superior de la mujer, del niño, niña y adolescentes, la no discriminación y la protección inmediata e integral a las víctimas.</w:t>
      </w:r>
    </w:p>
    <w:p w:rsidR="0003157B" w:rsidRPr="00981E15" w:rsidRDefault="0003157B" w:rsidP="0003157B">
      <w:pPr>
        <w:pStyle w:val="SingleTxt"/>
        <w:numPr>
          <w:ilvl w:val="0"/>
          <w:numId w:val="21"/>
        </w:numPr>
        <w:tabs>
          <w:tab w:val="clear" w:pos="1729"/>
          <w:tab w:val="num" w:pos="1742"/>
        </w:tabs>
        <w:suppressAutoHyphens/>
        <w:ind w:left="1267"/>
      </w:pPr>
      <w:r w:rsidRPr="00981E15">
        <w:t>Este objetivo se pretende alcanzar con la institucionalización de la Política y su Plan de Acción Estratégico, que busca, a través de la firma de un acuerdo gubernativo que las instituciones autorizadas cumplan e implementen el Plan Estratégico 2007- 2017. Para ello se prevé el conocimiento sobre las implicaciones sociales, económicas y culturales de la trata de personas, en todas sus manifestaciones. Se busca por medio de una campaña de comunicación, sensibilizar, prevenir y promover las denuncias contra la trata y alertar a la población por medio de sectores institucionales, educativos, sociales y culturales. Las víctimas recibirán atención integral, tales como ayuda psicológica, mental, física, apoyo legal, todo ello para facilitar su repatriación y reinserción social.</w:t>
      </w:r>
    </w:p>
    <w:p w:rsidR="0003157B" w:rsidRPr="00981E15" w:rsidRDefault="0003157B" w:rsidP="0003157B">
      <w:pPr>
        <w:pStyle w:val="SingleTxt"/>
        <w:numPr>
          <w:ilvl w:val="0"/>
          <w:numId w:val="21"/>
        </w:numPr>
        <w:tabs>
          <w:tab w:val="clear" w:pos="1729"/>
          <w:tab w:val="num" w:pos="1742"/>
        </w:tabs>
        <w:suppressAutoHyphens/>
        <w:ind w:left="1267"/>
      </w:pPr>
      <w:r w:rsidRPr="00981E15">
        <w:t>En el 2007 por medio del Acuerdo Gubernativo 246-2007, reformado en el Acuerdo Gubernativo 525-2007 el Grupo Interinstitucional contra la trata de personas, conformado en el 2004 se formaliza y se constituye como la “Comisión Interinstitucional de Combate a la Trata de Personas”, como una instancia interinstitucional de consulta, de gestión y de formulación de iniciativas e impulso de consensos para el combate de la trata de personas en armonía con el derecho internacional y de conformidad con el derecho interno. Esta Comisión está conformada por varias instituciones del Organismo Ejecutivo: 1) Ministerio de Relaciones Exteriores quien preside y coordina, 2) Ministerio de Gobernación, 3) Ministerio de Educación, 4) Ministerio de Cultura y Deportes, 5) Ministerio de Salud Pública y Asistencia Social, 6) Ministerio de Trabajo y Previsión Social, 7) Secretaría de Bienestar Social, 8) Secretaría de Comunicación Social de la Presidencia de la República, 9) Secretaría de Planificación y Programación de la Presidencia de la República, 10) Secretaría Presidencial de la Mujer, 11)</w:t>
      </w:r>
      <w:r w:rsidR="00A603C1" w:rsidRPr="00981E15">
        <w:t xml:space="preserve"> </w:t>
      </w:r>
      <w:r w:rsidRPr="00981E15">
        <w:t>Secretaría de Obras Sociales de la Esposa del Presidente, 12) Comisión Presidencial Coordinadora de la Política del Ejecutivo en materia de Derechos Humanos (COPREDEH), 13) Defensoría de la Mujer Indígena. Participan también en calidad de invitados los Organismos Judicial, Organismo Legislativo y Ministerio Público, así como organizaciones no gubernamentales y organizaciones de cooperación internacional.</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Reformas legislativas </w:t>
      </w:r>
    </w:p>
    <w:p w:rsidR="0003157B" w:rsidRPr="00981E15" w:rsidRDefault="0003157B" w:rsidP="0003157B">
      <w:pPr>
        <w:pStyle w:val="SingleTxt"/>
        <w:tabs>
          <w:tab w:val="num"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En el 2005, se reforma el artículo 194 del Código Penal, en donde se aumenta la pena al delito de trata de personas. Esta reforma responde al instrumento de adhesión del Protocolo Contra el Tráfico Ilícito de Migrantes por Tierra, Mar y Aire, que complementa la Convención de las Naciones Unidas Contra la Delincuencia Organizada Transnacional y el Protocolo para Prevenir, Reprimir y Sancionar la Trata de Personas especialmente mujeres y niños. Actualmente la Comisión Interinstitucional, se encuentra desarrollando el proyecto de Ley Integral para la Protección de la Víctima de Trata. </w:t>
      </w:r>
    </w:p>
    <w:p w:rsidR="0003157B" w:rsidRPr="00981E15" w:rsidRDefault="0003157B" w:rsidP="0003157B">
      <w:pPr>
        <w:pStyle w:val="SingleTxt"/>
        <w:numPr>
          <w:ilvl w:val="0"/>
          <w:numId w:val="21"/>
        </w:numPr>
        <w:tabs>
          <w:tab w:val="clear" w:pos="1729"/>
          <w:tab w:val="num" w:pos="1742"/>
        </w:tabs>
        <w:suppressAutoHyphens/>
        <w:ind w:left="1267"/>
      </w:pPr>
      <w:r w:rsidRPr="00981E15">
        <w:t>En diciembre de 2007 se aprueba la Ley de Adopciones, requerida por el Convenio de La Haya, ratificado por el Congreso de la República en mayo de 2007. Se crea un Consejo Nacional, cuya función será asegurar la protección de los niños y niñas y adolescentes que estén en proceso de adopción.</w:t>
      </w:r>
      <w:r w:rsidR="008F2F2C" w:rsidRPr="00981E15">
        <w:t xml:space="preserve"> </w:t>
      </w:r>
      <w:r w:rsidRPr="00981E15">
        <w:t xml:space="preserve">Además, prohíbe que las personas involucradas en los procesos de adopción, incluidas las madre y padres o familiares de los menores, reciban cualquier clase de beneficios. La Ley aprobada por el Congreso acorde con el Convenio de La Haya establece normas de transparencia en los procesos de adopción, evita el lucro, la venta y la explotación de menores. </w:t>
      </w:r>
    </w:p>
    <w:p w:rsidR="0003157B" w:rsidRPr="00981E15" w:rsidRDefault="0003157B" w:rsidP="0003157B">
      <w:pPr>
        <w:pStyle w:val="SingleTxt"/>
        <w:tabs>
          <w:tab w:val="clear" w:pos="1742"/>
        </w:tabs>
        <w:suppressAutoHyphens/>
        <w:spacing w:after="0" w:line="120" w:lineRule="exact"/>
        <w:rPr>
          <w:sz w:val="10"/>
        </w:rPr>
      </w:pPr>
    </w:p>
    <w:p w:rsidR="0003157B" w:rsidRPr="00981E15" w:rsidRDefault="0003157B" w:rsidP="000315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Acciones encaminadas a prevenir y erradicar la trata de mujeres y niñas </w:t>
      </w:r>
    </w:p>
    <w:p w:rsidR="0003157B" w:rsidRPr="00981E15" w:rsidRDefault="0003157B" w:rsidP="0003157B">
      <w:pPr>
        <w:pStyle w:val="SingleTxt"/>
        <w:tabs>
          <w:tab w:val="num" w:pos="1742"/>
        </w:tabs>
        <w:suppressAutoHyphens/>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En el 2004 fue creada la Unidad de la Niñez y Adolescencia Víctimas, dentro de la Fiscalía de la Mujer en el Ministerio Público. Y la Sección Contra la Trata de Personas dentro de la Dirección de Investigaciones Criminalísticas de la Policía Nacional Civil (Acuerdo 58-137). Estas instituciones se encargan de investigar y combatir la trata de personas, tráfico de mujeres, niñas, niños y adolescentes para el comercio sexual.</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Para dar un seguimiento efectivo y una investigación especializada a este tipo de delitos, el Ministerio Público a partir de octubre de 2007, conforma la Unidad contra la Trata de Personas y Adopciones Irregulares, dentro de la estructura de la Fiscalía Contra el Crimen Organizado. Este avance significativo en el combate a la trata de personas, está motivado por el diseño de una política de persecución penal mucho más adecuada a los fenómenos criminales, ya que se busca que los grupos dedicados a la explotación sexual comercial, adopción irregular, mendicidad, matrimonios forzados y las demás formas de esclavitud contempladas por el artículo 194 del Código Penal, reformado en el 2005, sean sometidos a un análisis integral mucho más completo sobre la participación, constitución y métodos de operación de estas redes criminales. Además, con la creación de esta Unidad se busca la persecución penal de estos delitos aún y cuando no sean cometidos contra menores de edad, a diferencia del enfoque de la Unidad de la Niñez y la Adolescencia Víctima, antigua encargada del tema. El Ministerio Público a dos años de la reforma del delito de trata de personas, ha tenido avances significativos en el combate de este fenómeno, pues plantea con la Unidad Contra la Trata de Personas, una manera mucho más adecuada de manejar el tema, con el fin de desmantelar estos grupos delictivos. </w:t>
      </w:r>
    </w:p>
    <w:p w:rsidR="0003157B" w:rsidRPr="00981E15" w:rsidRDefault="0003157B" w:rsidP="0003157B">
      <w:pPr>
        <w:pStyle w:val="SingleTxt"/>
        <w:numPr>
          <w:ilvl w:val="0"/>
          <w:numId w:val="21"/>
        </w:numPr>
        <w:tabs>
          <w:tab w:val="clear" w:pos="1729"/>
          <w:tab w:val="num" w:pos="1742"/>
        </w:tabs>
        <w:suppressAutoHyphens/>
        <w:ind w:left="1267"/>
      </w:pPr>
      <w:r w:rsidRPr="00981E15">
        <w:t>Existe un mecanismo de coordinación interinstitucional entre el Ministerio Público, la Policía Nacional Civil, la Procuraduría General de la Nación y la organización social Casa Alianza, entre quienes realizan operativos de trata de mujeres y niñas en prostíbulos y han logrado rescatar menores de edad en los mismos.</w:t>
      </w:r>
      <w:r w:rsidR="008F2F2C" w:rsidRPr="00981E15">
        <w:t xml:space="preserve"> </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Se desarrolló el programa “Juntos contra el tráfico”, proyecto que fue ejecutado por la Asociación Pro niña y niño Centroamericanos (PRONICE) en coordinación con el Programa de Acción (PAMI). Dicho proyecto se desarrolló con adolescentes en algunos departamentos del sur y nororiente del país, (Malacatán, Mazatenango, Puerto Barrios y Asunción Mita). El objetivo fue establecer los riesgos en puntos fronterizos y dar a conocer la magnitud de la problemática. Cuyas actividades se centraron en recolectar textos sobre el tráfico para las adopciones, explotación laboral y explotación sexual; elaboración de materiales publicitarios (afiches, volantes y vallas publicitarias); además se organizaron redes juveniles para impulsar la prevención del tráfico. Dichas redes organizaron actividades artísticas y obras de teatro, con el objetivo de dar a conocer la problemática; asimismo el desarrollo de conferencias que fueron dirigidas a estudiantes de secundaria. </w:t>
      </w:r>
    </w:p>
    <w:p w:rsidR="0003157B" w:rsidRPr="00981E15" w:rsidRDefault="0003157B" w:rsidP="0003157B">
      <w:pPr>
        <w:pStyle w:val="SingleTxt"/>
        <w:numPr>
          <w:ilvl w:val="0"/>
          <w:numId w:val="21"/>
        </w:numPr>
        <w:tabs>
          <w:tab w:val="clear" w:pos="1729"/>
          <w:tab w:val="num" w:pos="1742"/>
        </w:tabs>
        <w:suppressAutoHyphens/>
        <w:ind w:left="1267"/>
      </w:pPr>
      <w:r w:rsidRPr="00981E15">
        <w:t>A partir de 2006 el Estado ha impulsado la campaña promocional de prevención contra la trata de personas, la cual consiste en cuñas radiales y televisivas, trifoliares, afiches, historietas, vallas y banners, los cuales están siendo distribuidos a nivel nacional por medio de instituciones del Estado, así como representaciones de la sociedad civil involucradas en la problemática y a nivel internacional mediante las Misiones Diplomáticas y Consulares acreditadas en el exterior.</w:t>
      </w: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En el 2006, se publicó el Protocolo Repatriación de Niños, Niñas y Adolescentes Víctimas de Trata, el cual contiene normas y reglas básicas de fácil comprensión y aplicabilidad para todos aquellos funcionarios que tienen contactos primarios con víctimas de trata. También se ha dado un trabajo coordinado entre la Cancillería guatemalteca y la Organización Internacional para las Migraciones/Guatemala, contándose con el apoyo de organizaciones gubernamentales, no gubernamentales e internacionales, vinculadas a la temática. Se elaboró la ruta crítica para la aplicación del protocolo a nivel de las fronteras de México, EE.UU., El Salvador y Honduras. Además se capacitó a los Cónsules de los países en mención, impartiendo los temas sobre trata, tráfico ilícito de migrantes y la trata desde la perspectiva de género. </w:t>
      </w:r>
    </w:p>
    <w:p w:rsidR="0003157B" w:rsidRPr="00981E15" w:rsidRDefault="0003157B" w:rsidP="0003157B">
      <w:pPr>
        <w:pStyle w:val="SingleTxt"/>
        <w:numPr>
          <w:ilvl w:val="0"/>
          <w:numId w:val="21"/>
        </w:numPr>
        <w:tabs>
          <w:tab w:val="clear" w:pos="1729"/>
          <w:tab w:val="num" w:pos="1742"/>
        </w:tabs>
        <w:suppressAutoHyphens/>
        <w:ind w:left="1267"/>
      </w:pPr>
      <w:r w:rsidRPr="00981E15">
        <w:t>El Consejo de Ministras de Centro América (COMMCA), del cual forma parte la Secretaría Presidencial de la Mujer, dentro de su Plan Estratégico 2006 -2009 y Plan de Acción para el mismo período, incluyó como áreas de intervención regional: i) fortalecimiento de la capacidad de incidencia del COMMCA en el proceso de integración regional, y de los mecanismos nacionales para la igualdad en sus respectivos países, como entes rectores en el diseño e implementación de políticas públicas, y ii) mejorar la respuesta regional ante la violencia contra las mujeres, y específicamente en temáticas como violencia y migración, trata, tráfico de personas y femicidio. Asimismo centró su trabajo en dar seguimiento al tema de la violencia contra las mujeres, particularmente el de trata de mujeres.</w:t>
      </w:r>
      <w:r w:rsidR="008F2F2C" w:rsidRPr="00981E15">
        <w:t xml:space="preserve"> </w:t>
      </w:r>
      <w:r w:rsidRPr="00981E15">
        <w:t xml:space="preserve">Dentro de ese marco se realizó a finales de 2006, el Primer Encuentro Centroamericano sobre Trata de Mujeres, cuyo objetivo principal fue abrir un espacio para el análisis y reflexión sobre trata de personas en la región centroamericana, con especial énfasis en la situación de las mujeres. Como resultado del Encuentro se elaboró un Plan de Acción Regional a ser implementado en cada uno de los países en coordinación con el capítulo país de la Red Centroamericana contra la Violencia hacia las Mujeres. </w:t>
      </w:r>
    </w:p>
    <w:p w:rsidR="0003157B" w:rsidRPr="00981E15" w:rsidRDefault="0003157B" w:rsidP="0003157B">
      <w:pPr>
        <w:pStyle w:val="SingleTxt"/>
        <w:numPr>
          <w:ilvl w:val="0"/>
          <w:numId w:val="21"/>
        </w:numPr>
        <w:tabs>
          <w:tab w:val="clear" w:pos="1729"/>
          <w:tab w:val="num" w:pos="1742"/>
        </w:tabs>
        <w:suppressAutoHyphens/>
        <w:ind w:left="1267"/>
      </w:pPr>
      <w:r w:rsidRPr="00981E15">
        <w:t>Considerando que la trata de personas incluye el trabajo forzoso, el Ministerio de Trabajo y Previsión Social ha realizado esfuerzos por erradicar el trabajo infantil en sus peores formas, habiéndose promulgado el Acuerdo Gubernativo No. 250-2006 que regula las peores formas de trabajo infantil en concordancia con el convenio 182 de la OIT que incluye la explotación sexual comercial y de conformidad con el Convenio de Palermo, como una modalidad de trata.</w:t>
      </w:r>
    </w:p>
    <w:p w:rsidR="008F2F2C" w:rsidRPr="00981E15" w:rsidRDefault="008F2F2C" w:rsidP="008F2F2C">
      <w:pPr>
        <w:pStyle w:val="SingleTxt"/>
        <w:suppressAutoHyphens/>
        <w:spacing w:after="0" w:line="120" w:lineRule="exact"/>
        <w:rPr>
          <w:sz w:val="10"/>
        </w:rPr>
      </w:pPr>
    </w:p>
    <w:p w:rsidR="0003157B" w:rsidRPr="00981E15" w:rsidRDefault="0003157B" w:rsidP="008F2F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Instrumentos Nacionales e Internacionales suscritos</w:t>
      </w:r>
    </w:p>
    <w:p w:rsidR="008F2F2C" w:rsidRPr="00981E15" w:rsidRDefault="008F2F2C" w:rsidP="008F2F2C">
      <w:pPr>
        <w:pStyle w:val="SingleTxt"/>
        <w:spacing w:after="0" w:line="120" w:lineRule="exact"/>
        <w:rPr>
          <w:sz w:val="10"/>
        </w:rPr>
      </w:pPr>
    </w:p>
    <w:p w:rsidR="0003157B" w:rsidRPr="00981E15" w:rsidRDefault="0003157B" w:rsidP="0003157B">
      <w:pPr>
        <w:pStyle w:val="SingleTxt"/>
        <w:suppressAutoHyphens/>
        <w:spacing w:after="0" w:line="120" w:lineRule="exact"/>
        <w:rPr>
          <w:sz w:val="10"/>
        </w:rPr>
      </w:pPr>
    </w:p>
    <w:p w:rsidR="0003157B" w:rsidRPr="00981E15" w:rsidRDefault="0003157B" w:rsidP="000315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Instrumentos Nacionales</w:t>
      </w:r>
    </w:p>
    <w:p w:rsidR="008F2F2C" w:rsidRPr="00981E15" w:rsidRDefault="008F2F2C" w:rsidP="008F2F2C">
      <w:pPr>
        <w:pStyle w:val="SingleTxt"/>
        <w:suppressAutoHyphens/>
        <w:spacing w:after="0" w:line="120" w:lineRule="exact"/>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Aprobación y publicación del Protocolo Repatriación de Niños, Niñas y Adolescentes Víctimas de Trata, el cual contiene normas y reglas básicas de fácil comprensión y aplicabilidad para todos aquellos funcionarios que tienen contacto primario con víctimas de Trata. </w:t>
      </w:r>
    </w:p>
    <w:p w:rsidR="0003157B" w:rsidRPr="00981E15" w:rsidRDefault="0003157B" w:rsidP="000315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Instrumentos Regionales</w:t>
      </w:r>
    </w:p>
    <w:p w:rsidR="0003157B" w:rsidRPr="00981E15" w:rsidRDefault="0003157B" w:rsidP="0003157B">
      <w:pPr>
        <w:pStyle w:val="SingleTxt"/>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 xml:space="preserve">Aprobación de los “Lineamientos Regionales para la Protección Especial en casos de Retorno de Niños, Niñas y Adolescentes —NNA— Víctimas de Trata”, en el marco de la Conferencia Regional sobre Migración (CRM). </w:t>
      </w:r>
    </w:p>
    <w:p w:rsidR="0003157B" w:rsidRPr="00981E15" w:rsidRDefault="0003157B" w:rsidP="0003157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Instrumentos Bilaterales </w:t>
      </w:r>
    </w:p>
    <w:p w:rsidR="0003157B" w:rsidRPr="00981E15" w:rsidRDefault="0003157B" w:rsidP="0003157B">
      <w:pPr>
        <w:pStyle w:val="SingleTxt"/>
        <w:spacing w:after="0" w:line="120" w:lineRule="exact"/>
        <w:ind w:left="0"/>
        <w:rPr>
          <w:sz w:val="10"/>
        </w:rPr>
      </w:pPr>
    </w:p>
    <w:p w:rsidR="0003157B" w:rsidRPr="00981E15" w:rsidRDefault="0003157B" w:rsidP="0003157B">
      <w:pPr>
        <w:pStyle w:val="SingleTxt"/>
        <w:numPr>
          <w:ilvl w:val="0"/>
          <w:numId w:val="21"/>
        </w:numPr>
        <w:tabs>
          <w:tab w:val="clear" w:pos="1729"/>
          <w:tab w:val="num" w:pos="1742"/>
        </w:tabs>
        <w:suppressAutoHyphens/>
        <w:ind w:left="1267"/>
      </w:pPr>
      <w:r w:rsidRPr="00981E15">
        <w:t>Se suscribió el Memorandum de Entendimiento entre el Gobierno de Guatemala y el Gobierno de los Estados Unidos Mexicanos para la Protección de las Mujeres y de los Menores de Edad Víctimas de la Trata y Tráfico de Personas en la Frontera Guatemala-México, 23 de marzo de 2004.</w:t>
      </w:r>
      <w:r w:rsidR="008F2F2C" w:rsidRPr="00981E15">
        <w:t xml:space="preserve"> </w:t>
      </w:r>
      <w:r w:rsidRPr="00981E15">
        <w:t xml:space="preserve">Además, se estableció la Comisión Técnica y Aprobación del Programa Anual de Trabajo para el seguimiento y evaluación de las acciones de coordinación y cooperación derivadas del Memorando. </w:t>
      </w:r>
    </w:p>
    <w:p w:rsidR="0047112B" w:rsidRPr="00981E15" w:rsidRDefault="0047112B" w:rsidP="0047112B">
      <w:pPr>
        <w:pStyle w:val="SingleTxt"/>
        <w:numPr>
          <w:ilvl w:val="0"/>
          <w:numId w:val="2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981E15">
        <w:t>También se firmó el Memorandum de Entendimiento entre el Gobierno de Guatemala y el Gobierno de Estados Unidos de América para establecer el Marco de Cooperación en Materia de Prevención, Control y Sanción de las Actividades Relativas a la Trata de Personas, el 2 de noviembre de 2004. Finalmente, se estableció el Memorandum de Entendimiento entre la República de Guatemala y la República de El Salvador para la Protección de las Víctimas de la Trata de Personas y el Tráfico Ilícito de Migrantes, 18 de Agosto de 2005. Como parte del mismo se elaboró y aprobó el Programa Anual de Trabajo 2007-2008 para la implementación del M</w:t>
      </w:r>
      <w:r w:rsidRPr="00981E15">
        <w:t>e</w:t>
      </w:r>
      <w:r w:rsidRPr="00981E15">
        <w:t>morando.</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Denuncias de trata de personas, prostitución u otros delitos</w:t>
      </w:r>
      <w:r w:rsidRPr="00981E15">
        <w:br/>
        <w:t>en contra de mujeres</w:t>
      </w: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El Organismo Judicial por medio del Centro Nacional de Análisis y Documentación Judicial, reporta que durante el 2006, ingresaron en los diferentes órganos j</w:t>
      </w:r>
      <w:r w:rsidRPr="00981E15">
        <w:t>u</w:t>
      </w:r>
      <w:r w:rsidRPr="00981E15">
        <w:t>risdiccionales de la República los siguientes delitos en contra de mujeres:</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5</w:t>
      </w:r>
      <w:r w:rsidRPr="00981E15">
        <w:br/>
        <w:t>Denuncias ingresadas en el 2006 al Organismo Judicial</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47112B" w:rsidRPr="00981E15">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szCs w:val="17"/>
              </w:rPr>
            </w:pPr>
            <w:r w:rsidRPr="00981E15">
              <w:rPr>
                <w:i/>
                <w:sz w:val="14"/>
                <w:szCs w:val="17"/>
              </w:rPr>
              <w:t>Delito</w:t>
            </w:r>
          </w:p>
        </w:tc>
        <w:tc>
          <w:tcPr>
            <w:tcW w:w="366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szCs w:val="17"/>
              </w:rPr>
            </w:pPr>
            <w:r w:rsidRPr="00981E15">
              <w:rPr>
                <w:i/>
                <w:sz w:val="14"/>
                <w:szCs w:val="17"/>
              </w:rPr>
              <w:t>Cantidad</w:t>
            </w:r>
          </w:p>
        </w:tc>
      </w:tr>
      <w:tr w:rsidR="0047112B" w:rsidRPr="00981E15">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17"/>
              </w:rPr>
            </w:pPr>
          </w:p>
        </w:tc>
        <w:tc>
          <w:tcPr>
            <w:tcW w:w="366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r>
      <w:tr w:rsidR="0047112B" w:rsidRPr="00981E15">
        <w:tblPrEx>
          <w:tblCellMar>
            <w:top w:w="0" w:type="dxa"/>
            <w:bottom w:w="0" w:type="dxa"/>
          </w:tblCellMar>
        </w:tblPrEx>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Corrupción de menores de edad</w:t>
            </w:r>
          </w:p>
        </w:tc>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37</w:t>
            </w:r>
          </w:p>
        </w:tc>
      </w:tr>
      <w:tr w:rsidR="0047112B" w:rsidRPr="00981E15">
        <w:tblPrEx>
          <w:tblCellMar>
            <w:top w:w="0" w:type="dxa"/>
            <w:bottom w:w="0" w:type="dxa"/>
          </w:tblCellMar>
        </w:tblPrEx>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Corrupción Agravada</w:t>
            </w:r>
          </w:p>
        </w:tc>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6</w:t>
            </w:r>
          </w:p>
        </w:tc>
      </w:tr>
      <w:tr w:rsidR="0047112B" w:rsidRPr="00981E15">
        <w:tblPrEx>
          <w:tblCellMar>
            <w:top w:w="0" w:type="dxa"/>
            <w:bottom w:w="0" w:type="dxa"/>
          </w:tblCellMar>
        </w:tblPrEx>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Proxenetismo</w:t>
            </w:r>
          </w:p>
        </w:tc>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8</w:t>
            </w:r>
          </w:p>
        </w:tc>
      </w:tr>
      <w:tr w:rsidR="0047112B" w:rsidRPr="00981E15">
        <w:tblPrEx>
          <w:tblCellMar>
            <w:top w:w="0" w:type="dxa"/>
            <w:bottom w:w="0" w:type="dxa"/>
          </w:tblCellMar>
        </w:tblPrEx>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Proxenetismo Agravado</w:t>
            </w:r>
          </w:p>
        </w:tc>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8</w:t>
            </w:r>
          </w:p>
        </w:tc>
      </w:tr>
      <w:tr w:rsidR="0047112B" w:rsidRPr="00981E15">
        <w:tblPrEx>
          <w:tblCellMar>
            <w:top w:w="0" w:type="dxa"/>
            <w:bottom w:w="0" w:type="dxa"/>
          </w:tblCellMar>
        </w:tblPrEx>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Rufianería</w:t>
            </w:r>
          </w:p>
        </w:tc>
        <w:tc>
          <w:tcPr>
            <w:tcW w:w="366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1</w:t>
            </w:r>
          </w:p>
        </w:tc>
      </w:tr>
      <w:tr w:rsidR="0047112B" w:rsidRPr="00981E15">
        <w:tblPrEx>
          <w:tblCellMar>
            <w:top w:w="0" w:type="dxa"/>
            <w:bottom w:w="0" w:type="dxa"/>
          </w:tblCellMar>
        </w:tblPrEx>
        <w:tc>
          <w:tcPr>
            <w:tcW w:w="3660" w:type="dxa"/>
            <w:tcBorders>
              <w:bottom w:val="single" w:sz="12" w:space="0" w:color="auto"/>
            </w:tcBorders>
            <w:shd w:val="clear" w:color="auto" w:fill="auto"/>
            <w:vAlign w:val="bottom"/>
          </w:tcPr>
          <w:p w:rsidR="0047112B" w:rsidRPr="00981E15" w:rsidRDefault="0047112B" w:rsidP="00FC7A2F">
            <w:pPr>
              <w:tabs>
                <w:tab w:val="left" w:pos="288"/>
                <w:tab w:val="left" w:pos="576"/>
                <w:tab w:val="left" w:pos="864"/>
                <w:tab w:val="left" w:pos="1152"/>
              </w:tabs>
              <w:spacing w:before="40" w:after="80" w:line="210" w:lineRule="exact"/>
              <w:ind w:right="43"/>
              <w:rPr>
                <w:bCs/>
                <w:sz w:val="17"/>
                <w:szCs w:val="17"/>
              </w:rPr>
            </w:pPr>
            <w:r w:rsidRPr="00981E15">
              <w:rPr>
                <w:bCs/>
                <w:sz w:val="17"/>
                <w:szCs w:val="17"/>
              </w:rPr>
              <w:t>Trata de Personas</w:t>
            </w:r>
          </w:p>
        </w:tc>
        <w:tc>
          <w:tcPr>
            <w:tcW w:w="3660" w:type="dxa"/>
            <w:tcBorders>
              <w:bottom w:val="single" w:sz="12" w:space="0" w:color="auto"/>
            </w:tcBorders>
            <w:shd w:val="clear" w:color="auto" w:fill="auto"/>
            <w:vAlign w:val="bottom"/>
          </w:tcPr>
          <w:p w:rsidR="0047112B" w:rsidRPr="00981E15" w:rsidRDefault="0047112B" w:rsidP="00FC7A2F">
            <w:pPr>
              <w:tabs>
                <w:tab w:val="left" w:pos="288"/>
                <w:tab w:val="left" w:pos="576"/>
                <w:tab w:val="left" w:pos="864"/>
                <w:tab w:val="left" w:pos="1152"/>
              </w:tabs>
              <w:spacing w:before="40" w:after="80" w:line="210" w:lineRule="exact"/>
              <w:ind w:right="43"/>
              <w:jc w:val="right"/>
              <w:rPr>
                <w:bCs/>
                <w:sz w:val="17"/>
                <w:szCs w:val="17"/>
              </w:rPr>
            </w:pPr>
            <w:r w:rsidRPr="00981E15">
              <w:rPr>
                <w:bCs/>
                <w:sz w:val="17"/>
                <w:szCs w:val="17"/>
              </w:rPr>
              <w:t>10</w:t>
            </w:r>
          </w:p>
        </w:tc>
      </w:tr>
    </w:tbl>
    <w:p w:rsidR="0047112B" w:rsidRPr="00981E15" w:rsidRDefault="0047112B" w:rsidP="0047112B">
      <w:pPr>
        <w:pStyle w:val="SingleTxt"/>
        <w:spacing w:after="0" w:line="120" w:lineRule="exact"/>
        <w:rPr>
          <w:sz w:val="10"/>
        </w:rPr>
      </w:pPr>
    </w:p>
    <w:p w:rsidR="0047112B" w:rsidRPr="00981E15" w:rsidRDefault="0047112B" w:rsidP="00FC7A2F">
      <w:pPr>
        <w:pStyle w:val="FootnoteText"/>
        <w:tabs>
          <w:tab w:val="clear" w:pos="418"/>
          <w:tab w:val="right" w:pos="1476"/>
          <w:tab w:val="left" w:pos="1548"/>
          <w:tab w:val="right" w:pos="1836"/>
          <w:tab w:val="left" w:pos="1908"/>
        </w:tabs>
        <w:ind w:left="1548" w:right="1267" w:hanging="288"/>
      </w:pPr>
      <w:r w:rsidRPr="00981E15">
        <w:rPr>
          <w:i/>
        </w:rPr>
        <w:t>Fuente</w:t>
      </w:r>
      <w:r w:rsidR="003265A5" w:rsidRPr="00981E15">
        <w:t>:</w:t>
      </w:r>
      <w:r w:rsidR="003265A5" w:rsidRPr="00981E15">
        <w:tab/>
        <w:t xml:space="preserve"> </w:t>
      </w:r>
      <w:r w:rsidRPr="00981E15">
        <w:t>Comisión Interinstitucional de Combate a la Trata de Personas y sus Delitos Conexos.</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La Unidad de la Niñez y Adolescencia de Víctimas y Trata de Personas de la Fiscalía de la Mujer del Ministerio Público, implementada en el 2004, indica que en el 2006 se reportaron los siguientes procesos:</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6</w:t>
      </w:r>
      <w:r w:rsidRPr="00981E15">
        <w:br/>
        <w:t>Procesos en la Fiscalía de la Mujer</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7112B" w:rsidRPr="00981E15">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Delito</w:t>
            </w:r>
          </w:p>
        </w:tc>
        <w:tc>
          <w:tcPr>
            <w:tcW w:w="244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72"/>
              <w:jc w:val="right"/>
              <w:rPr>
                <w:i/>
                <w:sz w:val="14"/>
              </w:rPr>
            </w:pPr>
            <w:r w:rsidRPr="00981E15">
              <w:rPr>
                <w:i/>
                <w:sz w:val="14"/>
              </w:rPr>
              <w:t>Cantidad</w:t>
            </w:r>
          </w:p>
        </w:tc>
        <w:tc>
          <w:tcPr>
            <w:tcW w:w="244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left="43" w:right="43"/>
              <w:rPr>
                <w:i/>
                <w:sz w:val="14"/>
              </w:rPr>
            </w:pPr>
            <w:r w:rsidRPr="00981E15">
              <w:rPr>
                <w:i/>
                <w:sz w:val="14"/>
              </w:rPr>
              <w:t>Sentencia</w:t>
            </w:r>
          </w:p>
        </w:tc>
      </w:tr>
      <w:tr w:rsidR="0047112B" w:rsidRPr="00981E15">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72"/>
              <w:jc w:val="right"/>
              <w:rPr>
                <w:sz w:val="17"/>
              </w:rPr>
            </w:pPr>
          </w:p>
        </w:tc>
        <w:tc>
          <w:tcPr>
            <w:tcW w:w="244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left="43" w:right="43"/>
              <w:rPr>
                <w:sz w:val="17"/>
              </w:rPr>
            </w:pPr>
          </w:p>
        </w:tc>
      </w:tr>
      <w:tr w:rsidR="0047112B" w:rsidRPr="00981E15">
        <w:tblPrEx>
          <w:tblCellMar>
            <w:top w:w="0" w:type="dxa"/>
            <w:bottom w:w="0" w:type="dxa"/>
          </w:tblCellMar>
        </w:tblPrEx>
        <w:tc>
          <w:tcPr>
            <w:tcW w:w="244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24"/>
              </w:rPr>
            </w:pPr>
            <w:r w:rsidRPr="00981E15">
              <w:rPr>
                <w:bCs/>
                <w:sz w:val="17"/>
                <w:szCs w:val="24"/>
              </w:rPr>
              <w:t>Corrupción de menores</w:t>
            </w:r>
          </w:p>
        </w:tc>
        <w:tc>
          <w:tcPr>
            <w:tcW w:w="244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72"/>
              <w:jc w:val="right"/>
              <w:rPr>
                <w:bCs/>
                <w:sz w:val="17"/>
                <w:szCs w:val="24"/>
              </w:rPr>
            </w:pPr>
            <w:r w:rsidRPr="00981E15">
              <w:rPr>
                <w:bCs/>
                <w:sz w:val="17"/>
                <w:szCs w:val="24"/>
              </w:rPr>
              <w:t>3</w:t>
            </w:r>
          </w:p>
        </w:tc>
        <w:tc>
          <w:tcPr>
            <w:tcW w:w="244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left="43" w:right="43"/>
              <w:rPr>
                <w:bCs/>
                <w:sz w:val="17"/>
                <w:szCs w:val="24"/>
              </w:rPr>
            </w:pPr>
            <w:r w:rsidRPr="00981E15">
              <w:rPr>
                <w:bCs/>
                <w:sz w:val="17"/>
                <w:szCs w:val="24"/>
              </w:rPr>
              <w:t>Condenatoria</w:t>
            </w:r>
          </w:p>
        </w:tc>
      </w:tr>
      <w:tr w:rsidR="0047112B" w:rsidRPr="00981E15">
        <w:tblPrEx>
          <w:tblCellMar>
            <w:top w:w="0" w:type="dxa"/>
            <w:bottom w:w="0" w:type="dxa"/>
          </w:tblCellMar>
        </w:tblPrEx>
        <w:tc>
          <w:tcPr>
            <w:tcW w:w="244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24"/>
              </w:rPr>
            </w:pPr>
            <w:r w:rsidRPr="00981E15">
              <w:rPr>
                <w:bCs/>
                <w:sz w:val="17"/>
                <w:szCs w:val="24"/>
              </w:rPr>
              <w:t>Contrataciones de ilegales</w:t>
            </w:r>
          </w:p>
        </w:tc>
        <w:tc>
          <w:tcPr>
            <w:tcW w:w="244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72"/>
              <w:jc w:val="right"/>
              <w:rPr>
                <w:bCs/>
                <w:sz w:val="17"/>
                <w:szCs w:val="24"/>
              </w:rPr>
            </w:pPr>
            <w:r w:rsidRPr="00981E15">
              <w:rPr>
                <w:bCs/>
                <w:sz w:val="17"/>
                <w:szCs w:val="24"/>
              </w:rPr>
              <w:t>2</w:t>
            </w:r>
          </w:p>
        </w:tc>
        <w:tc>
          <w:tcPr>
            <w:tcW w:w="244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left="43" w:right="43"/>
              <w:rPr>
                <w:bCs/>
                <w:sz w:val="17"/>
                <w:szCs w:val="24"/>
              </w:rPr>
            </w:pPr>
            <w:r w:rsidRPr="00981E15">
              <w:rPr>
                <w:bCs/>
                <w:sz w:val="17"/>
                <w:szCs w:val="24"/>
              </w:rPr>
              <w:t>Condenatoria</w:t>
            </w:r>
          </w:p>
        </w:tc>
      </w:tr>
      <w:tr w:rsidR="0047112B" w:rsidRPr="00981E15">
        <w:tblPrEx>
          <w:tblCellMar>
            <w:top w:w="0" w:type="dxa"/>
            <w:bottom w:w="0" w:type="dxa"/>
          </w:tblCellMar>
        </w:tblPrEx>
        <w:tc>
          <w:tcPr>
            <w:tcW w:w="2440" w:type="dxa"/>
            <w:tcBorders>
              <w:bottom w:val="single" w:sz="12" w:space="0" w:color="auto"/>
            </w:tcBorders>
            <w:shd w:val="clear" w:color="auto" w:fill="auto"/>
            <w:vAlign w:val="bottom"/>
          </w:tcPr>
          <w:p w:rsidR="0047112B" w:rsidRPr="00981E15" w:rsidRDefault="0047112B" w:rsidP="003D1B72">
            <w:pPr>
              <w:tabs>
                <w:tab w:val="left" w:pos="288"/>
                <w:tab w:val="left" w:pos="576"/>
                <w:tab w:val="left" w:pos="864"/>
                <w:tab w:val="left" w:pos="1152"/>
              </w:tabs>
              <w:spacing w:before="40" w:after="80" w:line="210" w:lineRule="exact"/>
              <w:ind w:right="40"/>
              <w:rPr>
                <w:bCs/>
                <w:sz w:val="17"/>
                <w:szCs w:val="24"/>
              </w:rPr>
            </w:pPr>
            <w:r w:rsidRPr="00981E15">
              <w:rPr>
                <w:bCs/>
                <w:sz w:val="17"/>
                <w:szCs w:val="24"/>
              </w:rPr>
              <w:t>Contratación de ilegales</w:t>
            </w:r>
          </w:p>
        </w:tc>
        <w:tc>
          <w:tcPr>
            <w:tcW w:w="2440" w:type="dxa"/>
            <w:tcBorders>
              <w:bottom w:val="single" w:sz="12" w:space="0" w:color="auto"/>
            </w:tcBorders>
            <w:shd w:val="clear" w:color="auto" w:fill="auto"/>
            <w:vAlign w:val="bottom"/>
          </w:tcPr>
          <w:p w:rsidR="0047112B" w:rsidRPr="00981E15" w:rsidRDefault="0047112B" w:rsidP="003D1B72">
            <w:pPr>
              <w:tabs>
                <w:tab w:val="left" w:pos="288"/>
                <w:tab w:val="left" w:pos="576"/>
                <w:tab w:val="left" w:pos="864"/>
                <w:tab w:val="left" w:pos="1152"/>
              </w:tabs>
              <w:spacing w:before="40" w:after="80" w:line="210" w:lineRule="exact"/>
              <w:ind w:right="72"/>
              <w:jc w:val="right"/>
              <w:rPr>
                <w:bCs/>
                <w:sz w:val="17"/>
                <w:szCs w:val="24"/>
              </w:rPr>
            </w:pPr>
            <w:r w:rsidRPr="00981E15">
              <w:rPr>
                <w:bCs/>
                <w:sz w:val="17"/>
                <w:szCs w:val="24"/>
              </w:rPr>
              <w:t>2</w:t>
            </w:r>
          </w:p>
        </w:tc>
        <w:tc>
          <w:tcPr>
            <w:tcW w:w="2440" w:type="dxa"/>
            <w:tcBorders>
              <w:bottom w:val="single" w:sz="12" w:space="0" w:color="auto"/>
            </w:tcBorders>
            <w:shd w:val="clear" w:color="auto" w:fill="auto"/>
            <w:vAlign w:val="bottom"/>
          </w:tcPr>
          <w:p w:rsidR="0047112B" w:rsidRPr="00981E15" w:rsidRDefault="0047112B" w:rsidP="003D1B72">
            <w:pPr>
              <w:tabs>
                <w:tab w:val="left" w:pos="288"/>
                <w:tab w:val="left" w:pos="576"/>
                <w:tab w:val="left" w:pos="864"/>
                <w:tab w:val="left" w:pos="1152"/>
              </w:tabs>
              <w:spacing w:before="40" w:after="80" w:line="210" w:lineRule="exact"/>
              <w:ind w:left="43" w:right="43"/>
              <w:rPr>
                <w:bCs/>
                <w:sz w:val="17"/>
                <w:szCs w:val="24"/>
              </w:rPr>
            </w:pPr>
            <w:r w:rsidRPr="00981E15">
              <w:rPr>
                <w:bCs/>
                <w:sz w:val="17"/>
                <w:szCs w:val="24"/>
              </w:rPr>
              <w:t>Absolutoria</w:t>
            </w:r>
          </w:p>
        </w:tc>
      </w:tr>
    </w:tbl>
    <w:p w:rsidR="0047112B" w:rsidRPr="00981E15" w:rsidRDefault="0047112B" w:rsidP="0047112B">
      <w:pPr>
        <w:pStyle w:val="SingleTxt"/>
        <w:spacing w:after="0" w:line="120" w:lineRule="exact"/>
        <w:rPr>
          <w:sz w:val="10"/>
        </w:rPr>
      </w:pPr>
    </w:p>
    <w:p w:rsidR="0047112B" w:rsidRPr="00981E15" w:rsidRDefault="0047112B" w:rsidP="00FC7A2F">
      <w:pPr>
        <w:pStyle w:val="FootnoteText"/>
        <w:tabs>
          <w:tab w:val="clear" w:pos="418"/>
          <w:tab w:val="right" w:pos="1476"/>
          <w:tab w:val="left" w:pos="1548"/>
          <w:tab w:val="right" w:pos="1836"/>
          <w:tab w:val="left" w:pos="1908"/>
        </w:tabs>
        <w:ind w:left="1548" w:right="1267" w:hanging="288"/>
      </w:pPr>
      <w:r w:rsidRPr="00981E15">
        <w:rPr>
          <w:i/>
        </w:rPr>
        <w:t>Fuente:</w:t>
      </w:r>
      <w:r w:rsidR="003265A5" w:rsidRPr="00981E15">
        <w:rPr>
          <w:i/>
        </w:rPr>
        <w:t xml:space="preserve"> </w:t>
      </w:r>
      <w:r w:rsidRPr="00981E15">
        <w:t>Comisión Interinstitucional de Combate a la Trata de Personas y sus Delitos Conexos</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FA08F1" w:rsidRPr="00981E15" w:rsidRDefault="00FA08F1"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7</w:t>
      </w:r>
      <w:r w:rsidRPr="00981E15">
        <w:br/>
        <w:t>Estadísticas trata de personas y migración ilegal</w:t>
      </w:r>
      <w:r w:rsidR="00252B8D">
        <w:t>.</w:t>
      </w:r>
      <w:r w:rsidRPr="00981E15">
        <w:br/>
        <w:t>Primer trimestre 2007</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104"/>
        <w:gridCol w:w="3216"/>
      </w:tblGrid>
      <w:tr w:rsidR="0047112B" w:rsidRPr="00981E15">
        <w:tblPrEx>
          <w:tblCellMar>
            <w:top w:w="0" w:type="dxa"/>
            <w:bottom w:w="0" w:type="dxa"/>
          </w:tblCellMar>
        </w:tblPrEx>
        <w:trPr>
          <w:tblHeader/>
        </w:trPr>
        <w:tc>
          <w:tcPr>
            <w:tcW w:w="4104"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3"/>
              <w:rPr>
                <w:i/>
                <w:sz w:val="14"/>
                <w:szCs w:val="17"/>
              </w:rPr>
            </w:pPr>
            <w:r w:rsidRPr="00981E15">
              <w:rPr>
                <w:i/>
                <w:sz w:val="14"/>
                <w:szCs w:val="17"/>
              </w:rPr>
              <w:t>Situación</w:t>
            </w:r>
          </w:p>
        </w:tc>
        <w:tc>
          <w:tcPr>
            <w:tcW w:w="3216"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szCs w:val="17"/>
              </w:rPr>
            </w:pPr>
            <w:r w:rsidRPr="00981E15">
              <w:rPr>
                <w:i/>
                <w:sz w:val="14"/>
                <w:szCs w:val="17"/>
              </w:rPr>
              <w:t>Cantidad</w:t>
            </w:r>
          </w:p>
        </w:tc>
      </w:tr>
      <w:tr w:rsidR="0047112B" w:rsidRPr="00981E15">
        <w:tblPrEx>
          <w:tblCellMar>
            <w:top w:w="0" w:type="dxa"/>
            <w:bottom w:w="0" w:type="dxa"/>
          </w:tblCellMar>
        </w:tblPrEx>
        <w:trPr>
          <w:trHeight w:hRule="exact" w:val="115"/>
          <w:tblHeader/>
        </w:trPr>
        <w:tc>
          <w:tcPr>
            <w:tcW w:w="4104"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17"/>
              </w:rPr>
            </w:pPr>
          </w:p>
        </w:tc>
        <w:tc>
          <w:tcPr>
            <w:tcW w:w="3216"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r>
      <w:tr w:rsidR="0047112B" w:rsidRPr="00981E15">
        <w:tblPrEx>
          <w:tblCellMar>
            <w:top w:w="0" w:type="dxa"/>
            <w:bottom w:w="0" w:type="dxa"/>
          </w:tblCellMar>
        </w:tblPrEx>
        <w:tc>
          <w:tcPr>
            <w:tcW w:w="4104"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kern w:val="0"/>
                <w:sz w:val="17"/>
                <w:szCs w:val="24"/>
              </w:rPr>
            </w:pPr>
            <w:r w:rsidRPr="00981E15">
              <w:rPr>
                <w:bCs/>
                <w:kern w:val="0"/>
                <w:sz w:val="17"/>
                <w:szCs w:val="24"/>
              </w:rPr>
              <w:t>Denuncias recibidas por trata de personas</w:t>
            </w:r>
          </w:p>
        </w:tc>
        <w:tc>
          <w:tcPr>
            <w:tcW w:w="321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kern w:val="0"/>
                <w:sz w:val="17"/>
                <w:szCs w:val="24"/>
              </w:rPr>
            </w:pPr>
            <w:r w:rsidRPr="00981E15">
              <w:rPr>
                <w:bCs/>
                <w:kern w:val="0"/>
                <w:sz w:val="17"/>
                <w:szCs w:val="24"/>
              </w:rPr>
              <w:t>27</w:t>
            </w:r>
          </w:p>
        </w:tc>
      </w:tr>
      <w:tr w:rsidR="0047112B" w:rsidRPr="00981E15">
        <w:tblPrEx>
          <w:tblCellMar>
            <w:top w:w="0" w:type="dxa"/>
            <w:bottom w:w="0" w:type="dxa"/>
          </w:tblCellMar>
        </w:tblPrEx>
        <w:tc>
          <w:tcPr>
            <w:tcW w:w="4104"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kern w:val="0"/>
                <w:sz w:val="17"/>
                <w:szCs w:val="24"/>
              </w:rPr>
            </w:pPr>
            <w:r w:rsidRPr="00981E15">
              <w:rPr>
                <w:bCs/>
                <w:kern w:val="0"/>
                <w:sz w:val="17"/>
                <w:szCs w:val="24"/>
              </w:rPr>
              <w:t>Denuncias por adopción ilegal presentadas ante el Ministerio Público</w:t>
            </w:r>
          </w:p>
        </w:tc>
        <w:tc>
          <w:tcPr>
            <w:tcW w:w="321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kern w:val="0"/>
                <w:sz w:val="17"/>
                <w:szCs w:val="24"/>
              </w:rPr>
            </w:pPr>
            <w:r w:rsidRPr="00981E15">
              <w:rPr>
                <w:bCs/>
                <w:kern w:val="0"/>
                <w:sz w:val="17"/>
                <w:szCs w:val="24"/>
              </w:rPr>
              <w:t>22</w:t>
            </w:r>
          </w:p>
        </w:tc>
      </w:tr>
      <w:tr w:rsidR="0047112B" w:rsidRPr="00981E15">
        <w:tblPrEx>
          <w:tblCellMar>
            <w:top w:w="0" w:type="dxa"/>
            <w:bottom w:w="0" w:type="dxa"/>
          </w:tblCellMar>
        </w:tblPrEx>
        <w:tc>
          <w:tcPr>
            <w:tcW w:w="4104"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kern w:val="0"/>
                <w:sz w:val="17"/>
                <w:szCs w:val="24"/>
              </w:rPr>
            </w:pPr>
            <w:r w:rsidRPr="00981E15">
              <w:rPr>
                <w:bCs/>
                <w:kern w:val="0"/>
                <w:sz w:val="17"/>
                <w:szCs w:val="24"/>
              </w:rPr>
              <w:t>Niños Migrantes provenientes de Estados Unidos recibidos por la Procuraduría General de la Nación</w:t>
            </w:r>
          </w:p>
        </w:tc>
        <w:tc>
          <w:tcPr>
            <w:tcW w:w="321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kern w:val="0"/>
                <w:sz w:val="17"/>
                <w:szCs w:val="24"/>
              </w:rPr>
            </w:pPr>
            <w:r w:rsidRPr="00981E15">
              <w:rPr>
                <w:bCs/>
                <w:kern w:val="0"/>
                <w:sz w:val="17"/>
                <w:szCs w:val="24"/>
              </w:rPr>
              <w:t>233</w:t>
            </w:r>
          </w:p>
        </w:tc>
      </w:tr>
      <w:tr w:rsidR="0047112B" w:rsidRPr="00981E15">
        <w:tblPrEx>
          <w:tblCellMar>
            <w:top w:w="0" w:type="dxa"/>
            <w:bottom w:w="0" w:type="dxa"/>
          </w:tblCellMar>
        </w:tblPrEx>
        <w:tc>
          <w:tcPr>
            <w:tcW w:w="4104" w:type="dxa"/>
            <w:tcBorders>
              <w:bottom w:val="single" w:sz="12" w:space="0" w:color="auto"/>
            </w:tcBorders>
            <w:shd w:val="clear" w:color="auto" w:fill="auto"/>
            <w:vAlign w:val="bottom"/>
          </w:tcPr>
          <w:p w:rsidR="0047112B" w:rsidRPr="00981E15" w:rsidRDefault="0047112B" w:rsidP="003D1B72">
            <w:pPr>
              <w:tabs>
                <w:tab w:val="left" w:pos="288"/>
                <w:tab w:val="left" w:pos="576"/>
                <w:tab w:val="left" w:pos="864"/>
                <w:tab w:val="left" w:pos="1152"/>
              </w:tabs>
              <w:spacing w:before="40" w:after="80" w:line="210" w:lineRule="exact"/>
              <w:ind w:right="43"/>
              <w:rPr>
                <w:bCs/>
                <w:kern w:val="0"/>
                <w:sz w:val="17"/>
                <w:szCs w:val="24"/>
              </w:rPr>
            </w:pPr>
            <w:r w:rsidRPr="00981E15">
              <w:rPr>
                <w:bCs/>
                <w:kern w:val="0"/>
                <w:sz w:val="17"/>
                <w:szCs w:val="24"/>
              </w:rPr>
              <w:t>Niños migrantes provenientes de México recibidos por la Procuraduría General de la Nación</w:t>
            </w:r>
          </w:p>
        </w:tc>
        <w:tc>
          <w:tcPr>
            <w:tcW w:w="3216" w:type="dxa"/>
            <w:tcBorders>
              <w:bottom w:val="single" w:sz="12" w:space="0" w:color="auto"/>
            </w:tcBorders>
            <w:shd w:val="clear" w:color="auto" w:fill="auto"/>
            <w:vAlign w:val="bottom"/>
          </w:tcPr>
          <w:p w:rsidR="0047112B" w:rsidRPr="00981E15" w:rsidRDefault="0047112B" w:rsidP="003D1B72">
            <w:pPr>
              <w:tabs>
                <w:tab w:val="left" w:pos="288"/>
                <w:tab w:val="left" w:pos="576"/>
                <w:tab w:val="left" w:pos="864"/>
                <w:tab w:val="left" w:pos="1152"/>
              </w:tabs>
              <w:spacing w:before="40" w:after="80" w:line="210" w:lineRule="exact"/>
              <w:ind w:right="43"/>
              <w:jc w:val="right"/>
              <w:rPr>
                <w:bCs/>
                <w:kern w:val="0"/>
                <w:sz w:val="17"/>
                <w:szCs w:val="24"/>
              </w:rPr>
            </w:pPr>
            <w:r w:rsidRPr="00981E15">
              <w:rPr>
                <w:bCs/>
                <w:kern w:val="0"/>
                <w:sz w:val="17"/>
                <w:szCs w:val="24"/>
              </w:rPr>
              <w:t>1 189</w:t>
            </w:r>
          </w:p>
        </w:tc>
      </w:tr>
    </w:tbl>
    <w:p w:rsidR="0047112B" w:rsidRPr="00981E15" w:rsidRDefault="0047112B" w:rsidP="0047112B">
      <w:pPr>
        <w:pStyle w:val="SingleTxt"/>
        <w:spacing w:after="0" w:line="120" w:lineRule="exact"/>
        <w:rPr>
          <w:sz w:val="10"/>
        </w:rPr>
      </w:pPr>
    </w:p>
    <w:p w:rsidR="0047112B" w:rsidRPr="00981E15" w:rsidRDefault="0047112B" w:rsidP="00FA08F1">
      <w:pPr>
        <w:pStyle w:val="FootnoteText"/>
        <w:tabs>
          <w:tab w:val="clear" w:pos="418"/>
          <w:tab w:val="right" w:pos="1476"/>
          <w:tab w:val="left" w:pos="1548"/>
          <w:tab w:val="right" w:pos="1836"/>
          <w:tab w:val="left" w:pos="1908"/>
        </w:tabs>
        <w:ind w:left="1548" w:right="1267" w:hanging="288"/>
      </w:pPr>
      <w:r w:rsidRPr="00981E15">
        <w:rPr>
          <w:i/>
        </w:rPr>
        <w:t>Fuente</w:t>
      </w:r>
      <w:r w:rsidRPr="00981E15">
        <w:t>:</w:t>
      </w:r>
      <w:r w:rsidR="00FA08F1" w:rsidRPr="00981E15">
        <w:t xml:space="preserve"> </w:t>
      </w:r>
      <w:r w:rsidRPr="00981E15">
        <w:t>Comisión Interinstitucional de Combate a la Trata de Personas y sus Delitos Conexos</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Mujeres migrantes</w:t>
      </w: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Por las características que engloban el fenómeno migratorio guatemalteco y las migraciones tanto dentro del país como internacional, por constituir grupos vulnerables de ser víctimas de trata de personas y de tráfico ilegal de migrantes, el Estado ha puesto énfasis en este problema social.</w:t>
      </w:r>
    </w:p>
    <w:p w:rsidR="0047112B" w:rsidRPr="00981E15" w:rsidRDefault="0047112B" w:rsidP="0047112B">
      <w:pPr>
        <w:pStyle w:val="SingleTxt"/>
        <w:numPr>
          <w:ilvl w:val="0"/>
          <w:numId w:val="23"/>
        </w:numPr>
        <w:tabs>
          <w:tab w:val="clear" w:pos="475"/>
          <w:tab w:val="num" w:pos="1742"/>
        </w:tabs>
        <w:ind w:left="1267"/>
      </w:pPr>
      <w:r w:rsidRPr="00981E15">
        <w:t>El Ministerio de Gobernación, a través de la Dirección General de Migración, en el tema de migración y modernización, firmó un documento para la repatriación digna y segura de inmigrantes ilegales de Guatemala, El Salvador, Honduras y Nicaragua, detectados en México y se dirigen a los Estados Unidos. Se asignaron supervisores en el Aeropuerto Internacional La Aurora, encargados de prevenir o denunciar toda clase de anomalías y atropellos. En general, se inició la modernización in</w:t>
      </w:r>
      <w:r w:rsidRPr="00981E15">
        <w:t>s</w:t>
      </w:r>
      <w:r w:rsidRPr="00981E15">
        <w:t>titucional, con la compra de un lote de 142 computadoras y con la mejora integral de las delegaciones migratorias en todo el país, instalándose el Sistema Integrado de Operación Migratoria (SIOM), donado por el Gobierno México.</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Secretaría de Bienestar Social de la Presidencia de la República (SBS)</w:t>
      </w: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La SBS es la encargada de la administración y ejecución de las políticas públicas en materia de protección para la niñez y adolescencia guatemalteca, principalmente de aquellos que se encuentran en condiciones de vulnerabilidad, riesgo social, discapacidad y conflicto con la ley penal. Estos objetivos fueron modificados en octubre de 2004, y fue incluida la atención y apoyo a la niñez migrante. Por lo anterior, la SBS es la encargada de velar para que las y los menores migrantes deportados tengan acceso a los servicios básicos entre los que destacan salud, educación, alimentación, vivienda, seguridad y procuración de la extensión de la document</w:t>
      </w:r>
      <w:r w:rsidRPr="00981E15">
        <w:t>a</w:t>
      </w:r>
      <w:r w:rsidRPr="00981E15">
        <w:t>ción apropiada.</w:t>
      </w:r>
    </w:p>
    <w:p w:rsidR="0047112B" w:rsidRPr="00981E15" w:rsidRDefault="0047112B" w:rsidP="0047112B">
      <w:pPr>
        <w:pStyle w:val="SingleTxt"/>
        <w:numPr>
          <w:ilvl w:val="0"/>
          <w:numId w:val="23"/>
        </w:numPr>
        <w:tabs>
          <w:tab w:val="clear" w:pos="475"/>
          <w:tab w:val="num" w:pos="1742"/>
        </w:tabs>
        <w:ind w:left="1267"/>
      </w:pPr>
      <w:r w:rsidRPr="00981E15">
        <w:t>La SBS trabaja coordinadamente con diversas instituciones del Estado para restituir los derechos de la niñez migrante. Como parte de la Comisión Interinstitucional de combate a la trata de personas, la SBS, ha incorporado dentro de sus pol</w:t>
      </w:r>
      <w:r w:rsidRPr="00981E15">
        <w:t>í</w:t>
      </w:r>
      <w:r w:rsidRPr="00981E15">
        <w:t>ticas el cumplimiento de convenios bilaterales con México y el Salvador, así como protocolos nacionales e internacionales, Convención de los Derechos del Niño, Pr</w:t>
      </w:r>
      <w:r w:rsidRPr="00981E15">
        <w:t>o</w:t>
      </w:r>
      <w:r w:rsidRPr="00981E15">
        <w:t xml:space="preserve">tocolo para la repatriación de niños, niñas y adolescentes víctimas de trata, memorandum de entendimiento para una repatriación, ordenada y segura de migrantes, protocolo para la atención integral de niños, niñas y adolescentes víctimas, y el Convenio 182 de la Organización Internacional del Trabajo. </w:t>
      </w:r>
    </w:p>
    <w:p w:rsidR="0047112B" w:rsidRPr="00981E15" w:rsidRDefault="0047112B" w:rsidP="0047112B">
      <w:pPr>
        <w:pStyle w:val="SingleTxt"/>
        <w:numPr>
          <w:ilvl w:val="0"/>
          <w:numId w:val="23"/>
        </w:numPr>
        <w:tabs>
          <w:tab w:val="clear" w:pos="475"/>
          <w:tab w:val="num" w:pos="1742"/>
        </w:tabs>
        <w:ind w:left="1267"/>
      </w:pPr>
      <w:r w:rsidRPr="00981E15">
        <w:t>Dentro del Programa de Atención a Niñez y Adolescencia en Riesgo Social de la SBS, funciona la Unidad contra la Explotación Sexual Comercial y la Unidad de Niñez y Adolescencia en Situación de Calle. El 29 de agosto de 2005, fue inaugurado en el departamento de Quetzaltenango un albergue para migrantes “Casa Nuestras Raíces”. Este albergue inició la recepción de niños, niñas y adolescentes migrantes y los casos en que el Cónsul de Guatemala detecta alguna amenaza y son coordinados con la Procuraduría de la Nación. Dentro de las actividades que se realizan en el albergue está la sensibilización a jóvenes para darles a conocer los peligros que afrontan en los viajes.</w:t>
      </w:r>
    </w:p>
    <w:p w:rsidR="0047112B" w:rsidRPr="00981E15" w:rsidRDefault="0047112B" w:rsidP="0047112B">
      <w:pPr>
        <w:pStyle w:val="SingleTxt"/>
        <w:numPr>
          <w:ilvl w:val="0"/>
          <w:numId w:val="23"/>
        </w:numPr>
        <w:tabs>
          <w:tab w:val="clear" w:pos="475"/>
          <w:tab w:val="num" w:pos="1742"/>
        </w:tabs>
        <w:ind w:left="1267"/>
      </w:pPr>
      <w:r w:rsidRPr="00981E15">
        <w:t>La Unidad contra la Explotación Sexual Comercial, atiende a un promedio diario de 25 niñas, niños y adolescentes, mediante clases de teatro y arte. Ha logrado la coordinación del Grupo Articulador contra la Explotación Sexual, de tal forma que ahora este grupo forma parte de la Comisión Nacional de la Niñez y Juventud.</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Medidas pendientes de las recomendaciones de la CEDAW</w:t>
      </w: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Si bien se han adoptado algunas medidas para combatir la trata de personas, no se ha avanzado suficiente en el combate de las causas, entre ellas la situación de pobreza y desprotección de los derechos humanos en que vive un porcentaje importante de guatemaltecos y guatemaltecas y con respecto a la trata de mujeres y niñas además la naturalización de la desigualdad de género y del uso sexual de las mismas.</w:t>
      </w:r>
    </w:p>
    <w:p w:rsidR="0047112B" w:rsidRPr="00981E15" w:rsidRDefault="0047112B" w:rsidP="0047112B">
      <w:pPr>
        <w:pStyle w:val="SingleTxt"/>
        <w:numPr>
          <w:ilvl w:val="0"/>
          <w:numId w:val="23"/>
        </w:numPr>
        <w:tabs>
          <w:tab w:val="clear" w:pos="475"/>
          <w:tab w:val="num" w:pos="1742"/>
        </w:tabs>
        <w:ind w:left="1267"/>
      </w:pPr>
      <w:r w:rsidRPr="00981E15">
        <w:t xml:space="preserve">Continúa habiendo una desproporción importante entre el delito de explotación sexual y su sanción, pendiente por tanto de reforma legal. </w:t>
      </w:r>
    </w:p>
    <w:p w:rsidR="0047112B" w:rsidRPr="00981E15" w:rsidRDefault="0047112B" w:rsidP="0047112B">
      <w:pPr>
        <w:pStyle w:val="SingleTxt"/>
        <w:numPr>
          <w:ilvl w:val="0"/>
          <w:numId w:val="23"/>
        </w:numPr>
        <w:tabs>
          <w:tab w:val="clear" w:pos="475"/>
          <w:tab w:val="num" w:pos="1742"/>
        </w:tabs>
        <w:ind w:left="1267"/>
      </w:pPr>
      <w:r w:rsidRPr="00981E15">
        <w:t xml:space="preserve">Diseño y ejecución de un programa integral contra la adopción irregular y el desarrollo de un negocio lucrativo en torno a ella. </w:t>
      </w:r>
    </w:p>
    <w:p w:rsidR="00B1799C" w:rsidRPr="00981E15" w:rsidRDefault="00B1799C" w:rsidP="00B1799C">
      <w:pPr>
        <w:pStyle w:val="SingleTxt"/>
        <w:suppressAutoHyphens/>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Retos y desafíos </w:t>
      </w: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Considerar el presupuesto necesario para cada una de las instancias y acciones para garantizar la viabilidad de la política de trata.</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47112B" w:rsidRPr="00981E15" w:rsidRDefault="0047112B" w:rsidP="004711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Artículo 7</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Vida política y pública</w:t>
      </w:r>
    </w:p>
    <w:p w:rsidR="0047112B" w:rsidRPr="00981E15" w:rsidRDefault="0047112B" w:rsidP="0047112B">
      <w:pPr>
        <w:pStyle w:val="SingleTxt"/>
        <w:spacing w:after="0" w:line="120" w:lineRule="exact"/>
        <w:rPr>
          <w:sz w:val="10"/>
        </w:rPr>
      </w:pPr>
    </w:p>
    <w:p w:rsidR="0047112B" w:rsidRPr="00981E15" w:rsidRDefault="0047112B" w:rsidP="0047112B">
      <w:pPr>
        <w:pStyle w:val="SingleTxt"/>
        <w:suppressAutoHyphens/>
        <w:rPr>
          <w:b/>
        </w:rPr>
      </w:pPr>
      <w:r w:rsidRPr="00981E15">
        <w:rPr>
          <w:b/>
        </w:rPr>
        <w:t>Recomendaciones del Comité de Expertas de la CEDAW</w:t>
      </w:r>
    </w:p>
    <w:p w:rsidR="0047112B" w:rsidRPr="00981E15" w:rsidRDefault="0047112B" w:rsidP="0047112B">
      <w:pPr>
        <w:pStyle w:val="SingleTxt"/>
        <w:suppressAutoHyphens/>
        <w:rPr>
          <w:b/>
        </w:rPr>
      </w:pPr>
      <w:r w:rsidRPr="00981E15">
        <w:rPr>
          <w:b/>
        </w:rPr>
        <w:t xml:space="preserve">Se sugiere al Estado Parte poner en marcha programas de capacitación de liderazgo dirigidos a las mujeres, con el fin de ayudarles a ocupar puestos directivos y decisorios en la sociedad. (6) </w:t>
      </w:r>
    </w:p>
    <w:p w:rsidR="0047112B" w:rsidRPr="00981E15" w:rsidRDefault="0047112B" w:rsidP="0047112B">
      <w:pPr>
        <w:pStyle w:val="SingleTxt"/>
        <w:suppressAutoHyphens/>
        <w:rPr>
          <w:b/>
        </w:rPr>
      </w:pPr>
      <w:r w:rsidRPr="00981E15">
        <w:rPr>
          <w:b/>
        </w:rPr>
        <w:t>El Comité recomienda al Estado Parte que fomente la participación de las mujeres en la vida pública y política de Guatemala, en particular (3, 4,</w:t>
      </w:r>
      <w:r w:rsidR="00D26BF5" w:rsidRPr="00981E15">
        <w:rPr>
          <w:b/>
        </w:rPr>
        <w:t xml:space="preserve"> </w:t>
      </w:r>
      <w:r w:rsidRPr="00981E15">
        <w:rPr>
          <w:b/>
        </w:rPr>
        <w:t>5):</w:t>
      </w:r>
    </w:p>
    <w:p w:rsidR="0047112B" w:rsidRPr="00981E15" w:rsidRDefault="0047112B" w:rsidP="0047112B">
      <w:pPr>
        <w:pStyle w:val="SingleTxt"/>
        <w:tabs>
          <w:tab w:val="right" w:pos="1685"/>
        </w:tabs>
        <w:suppressAutoHyphens/>
        <w:ind w:left="1742" w:hanging="475"/>
        <w:rPr>
          <w:b/>
        </w:rPr>
      </w:pPr>
      <w:r w:rsidRPr="00981E15">
        <w:rPr>
          <w:b/>
        </w:rPr>
        <w:tab/>
        <w:t>–</w:t>
      </w:r>
      <w:r w:rsidRPr="00981E15">
        <w:rPr>
          <w:b/>
        </w:rPr>
        <w:tab/>
        <w:t>Ofrecer o respaldar programas de capacitación para las dirigentes a</w:t>
      </w:r>
      <w:r w:rsidRPr="00981E15">
        <w:rPr>
          <w:b/>
        </w:rPr>
        <w:t>c</w:t>
      </w:r>
      <w:r w:rsidRPr="00981E15">
        <w:rPr>
          <w:b/>
        </w:rPr>
        <w:t xml:space="preserve">tuales o futuras </w:t>
      </w:r>
    </w:p>
    <w:p w:rsidR="0047112B" w:rsidRPr="00981E15" w:rsidRDefault="0047112B" w:rsidP="0047112B">
      <w:pPr>
        <w:pStyle w:val="SingleTxt"/>
        <w:tabs>
          <w:tab w:val="right" w:pos="1685"/>
        </w:tabs>
        <w:suppressAutoHyphens/>
        <w:ind w:left="1742" w:hanging="475"/>
        <w:rPr>
          <w:b/>
        </w:rPr>
      </w:pPr>
      <w:r w:rsidRPr="00981E15">
        <w:rPr>
          <w:b/>
        </w:rPr>
        <w:tab/>
        <w:t>–</w:t>
      </w:r>
      <w:r w:rsidRPr="00981E15">
        <w:rPr>
          <w:b/>
        </w:rPr>
        <w:tab/>
        <w:t>Realizar campañas de sensibilización sobre la importancia de la participación femenina en la adopción de decisiones para quienes ostentan facultades dec</w:t>
      </w:r>
      <w:r w:rsidRPr="00981E15">
        <w:rPr>
          <w:b/>
        </w:rPr>
        <w:t>i</w:t>
      </w:r>
      <w:r w:rsidRPr="00981E15">
        <w:rPr>
          <w:b/>
        </w:rPr>
        <w:t>sorias en los sectores público y privado.</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Derecho a elegir y ser electa</w:t>
      </w: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Para la participación electoral importa tanto la posibilidad de elegir como ser electa. Las desigualdades entre hombres y mujeres en el ejercicio de los derechos políticos se cristalizan en ambas dimensiones, aunque en la segunda —participar como candidata en las elecciones para cargos públicos— la brecha de género es aún más pronunciada.</w:t>
      </w:r>
    </w:p>
    <w:p w:rsidR="0047112B" w:rsidRPr="00981E15" w:rsidRDefault="0047112B" w:rsidP="0047112B">
      <w:pPr>
        <w:pStyle w:val="SingleTxt"/>
        <w:numPr>
          <w:ilvl w:val="0"/>
          <w:numId w:val="23"/>
        </w:numPr>
        <w:tabs>
          <w:tab w:val="clear" w:pos="475"/>
          <w:tab w:val="num" w:pos="1742"/>
        </w:tabs>
        <w:ind w:left="1267"/>
      </w:pPr>
      <w:r w:rsidRPr="00981E15">
        <w:t>En la práctica, esta participación se realiza a través de los partidos políticos que, en el marco de un régimen democrático y representativo, en su mayoría se caracterizan por ser entidades poco consolidadas y con una institucionalidad bastante precaria. Esto como resultado, entre otros factores, de que la sociedad guatemalteca se ha desenvuelto políticamente, durante la mayor parte de su historia republicana, bajo regímenes autoritarios y patriarcales. Esta situación no ha permitido el desarr</w:t>
      </w:r>
      <w:r w:rsidRPr="00981E15">
        <w:t>o</w:t>
      </w:r>
      <w:r w:rsidRPr="00981E15">
        <w:t xml:space="preserve">llo de una clase política con tradición democrática en el país. En la toma de decisiones de los partidos predomina el centralismo, y sus estructuras organizativas no tienen suficiente representatividad, tanto en el ámbito nacional como local, lo cual se refleja en el incipiente desarrollo de sus filiales. Generalmente, los partidos políticos son dirigidos por cúpulas masculinas cerradas que limitan el desarrollo de nuevos liderazgos, incluyendo el femenino. </w:t>
      </w:r>
    </w:p>
    <w:p w:rsidR="0047112B" w:rsidRPr="00981E15" w:rsidRDefault="0047112B" w:rsidP="0047112B">
      <w:pPr>
        <w:pStyle w:val="SingleTxt"/>
        <w:numPr>
          <w:ilvl w:val="0"/>
          <w:numId w:val="23"/>
        </w:numPr>
        <w:tabs>
          <w:tab w:val="clear" w:pos="475"/>
          <w:tab w:val="num" w:pos="1742"/>
        </w:tabs>
        <w:ind w:left="1267"/>
      </w:pPr>
      <w:r w:rsidRPr="00981E15">
        <w:t>De acuerdo a los datos proporcionados por el Tribunal Supremo Electoral, el número de mujeres empadronadas que podían ejercer su derecho al voto en las elecciones generales de 2007, ha aumentado en 1,26% con respecto al número de mujeres empadronadas en las elecciones de 2003.</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8</w:t>
      </w:r>
      <w:r w:rsidRPr="00981E15">
        <w:br/>
        <w:t xml:space="preserve">Número de Mujeres empadronadas en </w:t>
      </w:r>
      <w:r w:rsidR="00B62F38">
        <w:t>las elecciones de</w:t>
      </w:r>
      <w:r w:rsidRPr="00981E15">
        <w:t xml:space="preserve"> 2003 y </w:t>
      </w:r>
      <w:r w:rsidR="00B62F38">
        <w:t xml:space="preserve">de </w:t>
      </w:r>
      <w:r w:rsidRPr="00981E15">
        <w:t>2007</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7112B" w:rsidRPr="00981E1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Número de empadronados y empadronadas</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2007</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Cifras absolutas 2007 (*)</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Cifras absolutas 2003</w:t>
            </w:r>
          </w:p>
        </w:tc>
      </w:tr>
      <w:tr w:rsidR="0047112B" w:rsidRPr="00981E1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rPr>
            </w:pPr>
            <w:r w:rsidRPr="00981E15">
              <w:rPr>
                <w:sz w:val="17"/>
              </w:rPr>
              <w:t> </w:t>
            </w:r>
          </w:p>
        </w:tc>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r>
      <w:tr w:rsidR="0047112B" w:rsidRPr="00981E15">
        <w:tblPrEx>
          <w:tblCellMar>
            <w:top w:w="0" w:type="dxa"/>
            <w:bottom w:w="0" w:type="dxa"/>
          </w:tblCellMar>
        </w:tblPrEx>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
                <w:sz w:val="17"/>
              </w:rPr>
            </w:pPr>
            <w:r w:rsidRPr="00981E15">
              <w:rPr>
                <w:b/>
                <w:sz w:val="17"/>
              </w:rPr>
              <w:t>Mujeres</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r>
      <w:tr w:rsidR="0047112B" w:rsidRPr="00981E15">
        <w:tblPrEx>
          <w:tblCellMar>
            <w:top w:w="0" w:type="dxa"/>
            <w:bottom w:w="0" w:type="dxa"/>
          </w:tblCellMar>
        </w:tblPrEx>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ab/>
              <w:t>Alfabetas</w:t>
            </w:r>
          </w:p>
        </w:tc>
        <w:tc>
          <w:tcPr>
            <w:tcW w:w="1830" w:type="dxa"/>
            <w:shd w:val="clear" w:color="auto" w:fill="auto"/>
            <w:vAlign w:val="bottom"/>
          </w:tcPr>
          <w:p w:rsidR="0047112B" w:rsidRPr="00981E15" w:rsidRDefault="0047112B" w:rsidP="0047112B">
            <w:pPr>
              <w:spacing w:before="40" w:after="40" w:line="210" w:lineRule="atLeast"/>
              <w:ind w:right="43"/>
              <w:jc w:val="right"/>
              <w:rPr>
                <w:bCs/>
                <w:sz w:val="17"/>
                <w:szCs w:val="17"/>
              </w:rPr>
            </w:pPr>
            <w:r w:rsidRPr="00981E15">
              <w:rPr>
                <w:bCs/>
                <w:sz w:val="17"/>
                <w:szCs w:val="17"/>
              </w:rPr>
              <w:t>1 913 939</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r w:rsidRPr="00981E15">
              <w:rPr>
                <w:bCs/>
                <w:sz w:val="17"/>
                <w:szCs w:val="17"/>
              </w:rPr>
              <w:t>2 809 124</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r w:rsidRPr="00981E15">
              <w:rPr>
                <w:bCs/>
                <w:sz w:val="17"/>
                <w:szCs w:val="17"/>
              </w:rPr>
              <w:t>2 252 545</w:t>
            </w:r>
          </w:p>
        </w:tc>
      </w:tr>
      <w:tr w:rsidR="0047112B" w:rsidRPr="00981E15">
        <w:tblPrEx>
          <w:tblCellMar>
            <w:top w:w="0" w:type="dxa"/>
            <w:bottom w:w="0" w:type="dxa"/>
          </w:tblCellMar>
        </w:tblPrEx>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rPr>
            </w:pPr>
            <w:r w:rsidRPr="00981E15">
              <w:rPr>
                <w:sz w:val="17"/>
              </w:rPr>
              <w:tab/>
              <w:t>Analfabetas</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r w:rsidRPr="00981E15">
              <w:rPr>
                <w:bCs/>
                <w:sz w:val="17"/>
                <w:szCs w:val="17"/>
              </w:rPr>
              <w:t>895 185</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r>
      <w:tr w:rsidR="0047112B" w:rsidRPr="00981E15">
        <w:tblPrEx>
          <w:tblCellMar>
            <w:top w:w="0" w:type="dxa"/>
            <w:bottom w:w="0" w:type="dxa"/>
          </w:tblCellMar>
        </w:tblPrEx>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
                <w:sz w:val="17"/>
              </w:rPr>
            </w:pPr>
            <w:r w:rsidRPr="00981E15">
              <w:rPr>
                <w:b/>
                <w:sz w:val="17"/>
              </w:rPr>
              <w:t>Hombres</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r>
      <w:tr w:rsidR="0047112B" w:rsidRPr="00981E15">
        <w:tblPrEx>
          <w:tblCellMar>
            <w:top w:w="0" w:type="dxa"/>
            <w:bottom w:w="0" w:type="dxa"/>
          </w:tblCellMar>
        </w:tblPrEx>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rPr>
            </w:pPr>
            <w:r w:rsidRPr="00981E15">
              <w:rPr>
                <w:sz w:val="17"/>
              </w:rPr>
              <w:tab/>
              <w:t>Alfabetos</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r w:rsidRPr="00981E15">
              <w:rPr>
                <w:bCs/>
                <w:sz w:val="17"/>
                <w:szCs w:val="17"/>
              </w:rPr>
              <w:t>2 418 217</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r w:rsidRPr="00981E15">
              <w:rPr>
                <w:bCs/>
                <w:sz w:val="17"/>
                <w:szCs w:val="17"/>
              </w:rPr>
              <w:t>3 180 910</w:t>
            </w:r>
          </w:p>
        </w:tc>
        <w:tc>
          <w:tcPr>
            <w:tcW w:w="183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r w:rsidRPr="00981E15">
              <w:rPr>
                <w:bCs/>
                <w:sz w:val="17"/>
                <w:szCs w:val="17"/>
              </w:rPr>
              <w:t>2 820 737</w:t>
            </w:r>
          </w:p>
        </w:tc>
      </w:tr>
      <w:tr w:rsidR="0047112B" w:rsidRPr="00981E15">
        <w:tblPrEx>
          <w:tblCellMar>
            <w:top w:w="0" w:type="dxa"/>
            <w:bottom w:w="0" w:type="dxa"/>
          </w:tblCellMar>
        </w:tblPrEx>
        <w:tc>
          <w:tcPr>
            <w:tcW w:w="1830"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rPr>
                <w:sz w:val="17"/>
              </w:rPr>
            </w:pPr>
            <w:r w:rsidRPr="00981E15">
              <w:rPr>
                <w:sz w:val="17"/>
              </w:rPr>
              <w:tab/>
              <w:t>Analfabetos</w:t>
            </w:r>
          </w:p>
        </w:tc>
        <w:tc>
          <w:tcPr>
            <w:tcW w:w="1830"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jc w:val="right"/>
              <w:rPr>
                <w:sz w:val="17"/>
              </w:rPr>
            </w:pPr>
            <w:r w:rsidRPr="00981E15">
              <w:rPr>
                <w:bCs/>
                <w:sz w:val="17"/>
                <w:szCs w:val="17"/>
              </w:rPr>
              <w:t>762 693</w:t>
            </w:r>
          </w:p>
        </w:tc>
        <w:tc>
          <w:tcPr>
            <w:tcW w:w="1830"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jc w:val="right"/>
              <w:rPr>
                <w:sz w:val="17"/>
              </w:rPr>
            </w:pPr>
          </w:p>
        </w:tc>
        <w:tc>
          <w:tcPr>
            <w:tcW w:w="1830"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jc w:val="right"/>
              <w:rPr>
                <w:sz w:val="17"/>
              </w:rPr>
            </w:pPr>
          </w:p>
        </w:tc>
      </w:tr>
      <w:tr w:rsidR="0047112B" w:rsidRPr="00981E15">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rPr>
                <w:b/>
                <w:sz w:val="17"/>
              </w:rPr>
            </w:pPr>
            <w:r w:rsidRPr="00981E15">
              <w:rPr>
                <w:b/>
                <w:sz w:val="17"/>
              </w:rPr>
              <w:tab/>
              <w:t>Total</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jc w:val="right"/>
              <w:rPr>
                <w:b/>
                <w:sz w:val="17"/>
              </w:rPr>
            </w:pP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jc w:val="right"/>
              <w:rPr>
                <w:b/>
                <w:sz w:val="17"/>
              </w:rPr>
            </w:pPr>
            <w:r w:rsidRPr="00981E15">
              <w:rPr>
                <w:b/>
                <w:bCs/>
                <w:sz w:val="17"/>
                <w:szCs w:val="17"/>
              </w:rPr>
              <w:t>5 990 034</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jc w:val="right"/>
              <w:rPr>
                <w:b/>
                <w:sz w:val="17"/>
              </w:rPr>
            </w:pPr>
            <w:r w:rsidRPr="00981E15">
              <w:rPr>
                <w:b/>
                <w:bCs/>
                <w:sz w:val="17"/>
                <w:szCs w:val="17"/>
              </w:rPr>
              <w:t>5 073 282</w:t>
            </w:r>
          </w:p>
        </w:tc>
      </w:tr>
    </w:tbl>
    <w:p w:rsidR="0047112B" w:rsidRPr="00981E15" w:rsidRDefault="0047112B" w:rsidP="0047112B">
      <w:pPr>
        <w:pStyle w:val="SingleTxt"/>
        <w:spacing w:after="0" w:line="120" w:lineRule="exact"/>
        <w:rPr>
          <w:sz w:val="10"/>
        </w:rPr>
      </w:pPr>
    </w:p>
    <w:p w:rsidR="0047112B" w:rsidRPr="00981E15" w:rsidRDefault="0047112B" w:rsidP="00325943">
      <w:pPr>
        <w:pStyle w:val="FootnoteText"/>
        <w:tabs>
          <w:tab w:val="clear" w:pos="418"/>
          <w:tab w:val="right" w:pos="1476"/>
          <w:tab w:val="left" w:pos="1548"/>
          <w:tab w:val="right" w:pos="1836"/>
          <w:tab w:val="left" w:pos="1908"/>
        </w:tabs>
        <w:ind w:left="1548" w:right="1267" w:hanging="288"/>
      </w:pPr>
      <w:r w:rsidRPr="00981E15">
        <w:rPr>
          <w:i/>
        </w:rPr>
        <w:t>Fuente</w:t>
      </w:r>
      <w:r w:rsidRPr="00981E15">
        <w:t>:</w:t>
      </w:r>
      <w:r w:rsidR="00325943" w:rsidRPr="00981E15">
        <w:t xml:space="preserve"> </w:t>
      </w:r>
      <w:r w:rsidRPr="00981E15">
        <w:tab/>
        <w:t>Tribunal Supremo Electoral.</w:t>
      </w:r>
    </w:p>
    <w:p w:rsidR="00325943" w:rsidRPr="00981E15" w:rsidRDefault="00325943" w:rsidP="00325943">
      <w:pPr>
        <w:pStyle w:val="FootnoteText"/>
        <w:tabs>
          <w:tab w:val="clear" w:pos="418"/>
          <w:tab w:val="right" w:pos="1476"/>
          <w:tab w:val="left" w:pos="1548"/>
          <w:tab w:val="right" w:pos="1836"/>
          <w:tab w:val="left" w:pos="1908"/>
        </w:tabs>
        <w:spacing w:line="120" w:lineRule="exact"/>
        <w:ind w:left="1548" w:right="1267" w:hanging="288"/>
        <w:rPr>
          <w:sz w:val="10"/>
        </w:rPr>
      </w:pPr>
    </w:p>
    <w:p w:rsidR="0047112B" w:rsidRPr="00981E15" w:rsidRDefault="0047112B" w:rsidP="00325943">
      <w:pPr>
        <w:pStyle w:val="FootnoteText"/>
        <w:tabs>
          <w:tab w:val="clear" w:pos="418"/>
          <w:tab w:val="right" w:pos="1476"/>
          <w:tab w:val="left" w:pos="1548"/>
          <w:tab w:val="right" w:pos="1836"/>
          <w:tab w:val="left" w:pos="1908"/>
        </w:tabs>
        <w:ind w:left="1548" w:right="1267" w:hanging="288"/>
      </w:pPr>
      <w:r w:rsidRPr="00981E15">
        <w:tab/>
        <w:t>*</w:t>
      </w:r>
      <w:r w:rsidRPr="00981E15">
        <w:tab/>
        <w:t>Estadísticas del padrón electoral al 9 de junio de 2007</w:t>
      </w:r>
      <w:r w:rsidR="00FC4F70" w:rsidRPr="00981E15">
        <w:t>.</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El Estado de Guatemala, se encuentra en el ejercicio democrático de elegir sus nuevas autoridades para el período 2008-2011. El 9 de septiembre de 2007, se celebraron a nivel nacional las elecciones para autoridades legislativas, municipales y presidenciables y el 4 de noviembre la segunda vuelta para elegir Presidente y Vicepresidente.</w:t>
      </w:r>
    </w:p>
    <w:p w:rsidR="0047112B" w:rsidRPr="00981E15" w:rsidRDefault="0047112B" w:rsidP="0047112B">
      <w:pPr>
        <w:pStyle w:val="SingleTxt"/>
        <w:numPr>
          <w:ilvl w:val="0"/>
          <w:numId w:val="23"/>
        </w:numPr>
        <w:tabs>
          <w:tab w:val="clear" w:pos="475"/>
          <w:tab w:val="num" w:pos="1742"/>
        </w:tabs>
        <w:ind w:left="1267"/>
      </w:pPr>
      <w:r w:rsidRPr="00981E15">
        <w:t xml:space="preserve">En este proceso electoral aumentaron las candidaturas de mujeres a cargos públicos, con la presencia de la Doctora Rigoberta Menchú, candidata a Presidenta de la República por el partido político Encuentro por Guatemala, y la Licenciada Walda Barrios, candidata a Vice Presidenta de la República por el partido político Unidad Revolucionaria Nacional Guatemalteca y Movimiento Amplio de Izquierda (URNG-MAIZ). </w:t>
      </w:r>
    </w:p>
    <w:p w:rsidR="0047112B" w:rsidRPr="00981E15" w:rsidRDefault="0047112B" w:rsidP="0047112B">
      <w:pPr>
        <w:pStyle w:val="SingleTxt"/>
        <w:numPr>
          <w:ilvl w:val="0"/>
          <w:numId w:val="23"/>
        </w:numPr>
        <w:tabs>
          <w:tab w:val="clear" w:pos="475"/>
          <w:tab w:val="num" w:pos="1742"/>
        </w:tabs>
        <w:ind w:left="1267"/>
      </w:pPr>
      <w:r w:rsidRPr="00981E15">
        <w:t>Para estas elecciones generales de 2007, 16 partidos políticos inscribieron a 29.821 candidaturas para las categorías de presidente, diputaciones por lista nacional, diputaciones distritales y corporaciones municipales. Del total de candidaturas inscritas, 3.762 candidatas fueron mujeres lo que corresponde al 12,6%. Esto representa un avance con respecto a las inscripciones de candidaturas en las elecciones generales de 2003. En dicha elección 17 partidos políticos presentaron 23.705 candidaturas, de las cuales el 9,5% fueron mujeres. La participación entonces sigue siendo incipiente en un país en donde las mujeres son más del 51% de la población total.</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9</w:t>
      </w:r>
      <w:r w:rsidRPr="00981E15">
        <w:br/>
        <w:t>Candidaturas inscritas en el</w:t>
      </w:r>
      <w:r w:rsidR="00712CD4">
        <w:t xml:space="preserve"> Tribunal Supremo Electoral en</w:t>
      </w:r>
      <w:r w:rsidRPr="00981E15">
        <w:t xml:space="preserve"> 2007</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06"/>
        <w:gridCol w:w="2025"/>
        <w:gridCol w:w="1197"/>
        <w:gridCol w:w="1092"/>
      </w:tblGrid>
      <w:tr w:rsidR="0047112B" w:rsidRPr="00981E15">
        <w:tblPrEx>
          <w:tblCellMar>
            <w:top w:w="0" w:type="dxa"/>
            <w:bottom w:w="0" w:type="dxa"/>
          </w:tblCellMar>
        </w:tblPrEx>
        <w:trPr>
          <w:tblHeader/>
        </w:trPr>
        <w:tc>
          <w:tcPr>
            <w:tcW w:w="3006"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Candidatura</w:t>
            </w:r>
          </w:p>
        </w:tc>
        <w:tc>
          <w:tcPr>
            <w:tcW w:w="2025"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Hombres</w:t>
            </w:r>
          </w:p>
        </w:tc>
        <w:tc>
          <w:tcPr>
            <w:tcW w:w="1197"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Mujeres</w:t>
            </w:r>
          </w:p>
        </w:tc>
        <w:tc>
          <w:tcPr>
            <w:tcW w:w="1092"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Total</w:t>
            </w:r>
          </w:p>
        </w:tc>
      </w:tr>
      <w:tr w:rsidR="0047112B" w:rsidRPr="00981E15">
        <w:tblPrEx>
          <w:tblCellMar>
            <w:top w:w="0" w:type="dxa"/>
            <w:bottom w:w="0" w:type="dxa"/>
          </w:tblCellMar>
        </w:tblPrEx>
        <w:trPr>
          <w:trHeight w:hRule="exact" w:val="115"/>
          <w:tblHeader/>
        </w:trPr>
        <w:tc>
          <w:tcPr>
            <w:tcW w:w="3006"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rPr>
            </w:pPr>
          </w:p>
        </w:tc>
        <w:tc>
          <w:tcPr>
            <w:tcW w:w="2025"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197"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092"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rPr>
                <w:bCs/>
                <w:sz w:val="17"/>
                <w:szCs w:val="17"/>
              </w:rPr>
            </w:pPr>
            <w:r w:rsidRPr="00981E15">
              <w:rPr>
                <w:bCs/>
                <w:sz w:val="17"/>
                <w:szCs w:val="17"/>
              </w:rPr>
              <w:t>Presidente y Vice-presidente</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26</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2</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28</w:t>
            </w: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rPr>
                <w:bCs/>
                <w:sz w:val="17"/>
                <w:szCs w:val="17"/>
              </w:rPr>
            </w:pPr>
            <w:r w:rsidRPr="00981E15">
              <w:rPr>
                <w:bCs/>
                <w:sz w:val="17"/>
                <w:szCs w:val="17"/>
              </w:rPr>
              <w:t>Diputaciones Lista Nacional</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221</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82</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303</w:t>
            </w: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rPr>
                <w:bCs/>
                <w:sz w:val="17"/>
                <w:szCs w:val="17"/>
              </w:rPr>
            </w:pPr>
            <w:r w:rsidRPr="00981E15">
              <w:rPr>
                <w:bCs/>
                <w:sz w:val="17"/>
                <w:szCs w:val="17"/>
              </w:rPr>
              <w:t>Diputaciones Distritales</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1 193</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320</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3"/>
              <w:jc w:val="right"/>
              <w:rPr>
                <w:bCs/>
                <w:sz w:val="17"/>
                <w:szCs w:val="17"/>
              </w:rPr>
            </w:pPr>
            <w:r w:rsidRPr="00981E15">
              <w:rPr>
                <w:bCs/>
                <w:sz w:val="17"/>
                <w:szCs w:val="17"/>
              </w:rPr>
              <w:t>1 513</w:t>
            </w:r>
          </w:p>
        </w:tc>
      </w:tr>
      <w:tr w:rsidR="0047112B" w:rsidRPr="00981E15">
        <w:tblPrEx>
          <w:tblCellMar>
            <w:top w:w="0" w:type="dxa"/>
            <w:bottom w:w="0" w:type="dxa"/>
          </w:tblCellMar>
        </w:tblPrEx>
        <w:tc>
          <w:tcPr>
            <w:tcW w:w="3006" w:type="dxa"/>
            <w:tcBorders>
              <w:bottom w:val="single" w:sz="4"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40" w:after="81" w:line="210" w:lineRule="exact"/>
              <w:ind w:right="43"/>
              <w:rPr>
                <w:bCs/>
                <w:sz w:val="17"/>
                <w:szCs w:val="17"/>
              </w:rPr>
            </w:pPr>
            <w:r w:rsidRPr="00981E15">
              <w:rPr>
                <w:bCs/>
                <w:sz w:val="17"/>
                <w:szCs w:val="17"/>
              </w:rPr>
              <w:t>Corporaciones Municipales</w:t>
            </w:r>
          </w:p>
        </w:tc>
        <w:tc>
          <w:tcPr>
            <w:tcW w:w="2025" w:type="dxa"/>
            <w:tcBorders>
              <w:bottom w:val="single" w:sz="4"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40" w:after="81" w:line="210" w:lineRule="exact"/>
              <w:ind w:right="43"/>
              <w:jc w:val="right"/>
              <w:rPr>
                <w:bCs/>
                <w:sz w:val="17"/>
                <w:szCs w:val="17"/>
              </w:rPr>
            </w:pPr>
            <w:r w:rsidRPr="00981E15">
              <w:rPr>
                <w:bCs/>
                <w:sz w:val="17"/>
                <w:szCs w:val="17"/>
              </w:rPr>
              <w:t>24 619</w:t>
            </w:r>
          </w:p>
        </w:tc>
        <w:tc>
          <w:tcPr>
            <w:tcW w:w="1197" w:type="dxa"/>
            <w:tcBorders>
              <w:bottom w:val="single" w:sz="4"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40" w:after="81" w:line="210" w:lineRule="exact"/>
              <w:ind w:right="43"/>
              <w:jc w:val="right"/>
              <w:rPr>
                <w:bCs/>
                <w:sz w:val="17"/>
                <w:szCs w:val="17"/>
              </w:rPr>
            </w:pPr>
            <w:r w:rsidRPr="00981E15">
              <w:rPr>
                <w:bCs/>
                <w:sz w:val="17"/>
                <w:szCs w:val="17"/>
              </w:rPr>
              <w:t>3 358</w:t>
            </w:r>
          </w:p>
        </w:tc>
        <w:tc>
          <w:tcPr>
            <w:tcW w:w="1092" w:type="dxa"/>
            <w:tcBorders>
              <w:bottom w:val="single" w:sz="4"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40" w:after="81" w:line="210" w:lineRule="exact"/>
              <w:ind w:right="43"/>
              <w:jc w:val="right"/>
              <w:rPr>
                <w:bCs/>
                <w:sz w:val="17"/>
                <w:szCs w:val="17"/>
              </w:rPr>
            </w:pPr>
            <w:r w:rsidRPr="00981E15">
              <w:rPr>
                <w:bCs/>
                <w:sz w:val="17"/>
                <w:szCs w:val="17"/>
              </w:rPr>
              <w:t>27 977</w:t>
            </w:r>
          </w:p>
        </w:tc>
      </w:tr>
      <w:tr w:rsidR="0047112B" w:rsidRPr="00981E15">
        <w:tblPrEx>
          <w:tblCellMar>
            <w:top w:w="0" w:type="dxa"/>
            <w:bottom w:w="0" w:type="dxa"/>
          </w:tblCellMar>
        </w:tblPrEx>
        <w:tc>
          <w:tcPr>
            <w:tcW w:w="3006" w:type="dxa"/>
            <w:tcBorders>
              <w:top w:val="single" w:sz="4" w:space="0" w:color="auto"/>
              <w:bottom w:val="single" w:sz="12"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81" w:after="81" w:line="210" w:lineRule="exact"/>
              <w:ind w:right="43"/>
              <w:rPr>
                <w:b/>
                <w:bCs/>
                <w:sz w:val="17"/>
                <w:szCs w:val="17"/>
              </w:rPr>
            </w:pPr>
            <w:r w:rsidRPr="00981E15">
              <w:rPr>
                <w:b/>
                <w:bCs/>
                <w:sz w:val="17"/>
                <w:szCs w:val="17"/>
              </w:rPr>
              <w:tab/>
              <w:t>Total</w:t>
            </w:r>
          </w:p>
        </w:tc>
        <w:tc>
          <w:tcPr>
            <w:tcW w:w="2025" w:type="dxa"/>
            <w:tcBorders>
              <w:top w:val="single" w:sz="4" w:space="0" w:color="auto"/>
              <w:bottom w:val="single" w:sz="12"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81" w:after="81" w:line="210" w:lineRule="exact"/>
              <w:ind w:right="43"/>
              <w:jc w:val="right"/>
              <w:rPr>
                <w:b/>
                <w:bCs/>
                <w:sz w:val="17"/>
                <w:szCs w:val="17"/>
              </w:rPr>
            </w:pPr>
            <w:r w:rsidRPr="00981E15">
              <w:rPr>
                <w:b/>
                <w:bCs/>
                <w:sz w:val="17"/>
                <w:szCs w:val="17"/>
              </w:rPr>
              <w:t>26 059</w:t>
            </w:r>
          </w:p>
        </w:tc>
        <w:tc>
          <w:tcPr>
            <w:tcW w:w="1197" w:type="dxa"/>
            <w:tcBorders>
              <w:top w:val="single" w:sz="4" w:space="0" w:color="auto"/>
              <w:bottom w:val="single" w:sz="12"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81" w:after="81" w:line="210" w:lineRule="exact"/>
              <w:ind w:right="43"/>
              <w:jc w:val="right"/>
              <w:rPr>
                <w:b/>
                <w:bCs/>
                <w:sz w:val="17"/>
                <w:szCs w:val="17"/>
              </w:rPr>
            </w:pPr>
            <w:r w:rsidRPr="00981E15">
              <w:rPr>
                <w:b/>
                <w:bCs/>
                <w:sz w:val="17"/>
                <w:szCs w:val="17"/>
              </w:rPr>
              <w:t>3 762</w:t>
            </w:r>
          </w:p>
        </w:tc>
        <w:tc>
          <w:tcPr>
            <w:tcW w:w="1092" w:type="dxa"/>
            <w:tcBorders>
              <w:top w:val="single" w:sz="4" w:space="0" w:color="auto"/>
              <w:bottom w:val="single" w:sz="12" w:space="0" w:color="auto"/>
            </w:tcBorders>
            <w:shd w:val="clear" w:color="auto" w:fill="auto"/>
            <w:vAlign w:val="bottom"/>
          </w:tcPr>
          <w:p w:rsidR="0047112B" w:rsidRPr="00981E15" w:rsidRDefault="0047112B" w:rsidP="00A827EA">
            <w:pPr>
              <w:keepNext/>
              <w:keepLines/>
              <w:tabs>
                <w:tab w:val="left" w:pos="288"/>
                <w:tab w:val="left" w:pos="576"/>
                <w:tab w:val="left" w:pos="864"/>
                <w:tab w:val="left" w:pos="1152"/>
              </w:tabs>
              <w:spacing w:before="81" w:after="81" w:line="210" w:lineRule="exact"/>
              <w:ind w:right="43"/>
              <w:jc w:val="right"/>
              <w:rPr>
                <w:b/>
                <w:bCs/>
                <w:sz w:val="17"/>
                <w:szCs w:val="17"/>
              </w:rPr>
            </w:pPr>
            <w:r w:rsidRPr="00981E15">
              <w:rPr>
                <w:b/>
                <w:bCs/>
                <w:sz w:val="17"/>
                <w:szCs w:val="17"/>
              </w:rPr>
              <w:t>29 821</w:t>
            </w:r>
          </w:p>
        </w:tc>
      </w:tr>
    </w:tbl>
    <w:p w:rsidR="0047112B" w:rsidRPr="00981E15" w:rsidRDefault="0047112B" w:rsidP="0047112B">
      <w:pPr>
        <w:pStyle w:val="SingleTxt"/>
        <w:spacing w:after="0" w:line="120" w:lineRule="exact"/>
        <w:rPr>
          <w:sz w:val="10"/>
        </w:rPr>
      </w:pPr>
    </w:p>
    <w:p w:rsidR="0047112B" w:rsidRPr="00981E15" w:rsidRDefault="0047112B" w:rsidP="00FC4F70">
      <w:pPr>
        <w:pStyle w:val="FootnoteText"/>
        <w:tabs>
          <w:tab w:val="clear" w:pos="418"/>
          <w:tab w:val="right" w:pos="1476"/>
          <w:tab w:val="left" w:pos="1548"/>
          <w:tab w:val="right" w:pos="1836"/>
          <w:tab w:val="left" w:pos="1908"/>
        </w:tabs>
        <w:ind w:left="1548" w:right="1267" w:hanging="288"/>
      </w:pPr>
      <w:r w:rsidRPr="00981E15">
        <w:rPr>
          <w:i/>
        </w:rPr>
        <w:t>Fuente</w:t>
      </w:r>
      <w:r w:rsidR="00FC4F70" w:rsidRPr="00981E15">
        <w:t xml:space="preserve">: </w:t>
      </w:r>
      <w:r w:rsidRPr="00981E15">
        <w:t>Tribunal Supremo Electoral.</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Las oportunidades para la participación de las mujeres se ven sustantivamente obstaculizadas y reducidas. Son contadas las mujeres que han logrado situarse en una posición de liderazgo y posicionarse en cargos de elección popular. De los 16 partidos políticos que participaron en las elecciones son pocos los que han aumentado el número de mujeres en sus listados de diputaciones, sobre todo en la primera casilla, donde hay más posibilidades de ganar.</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10</w:t>
      </w:r>
      <w:r w:rsidRPr="00981E15">
        <w:br/>
        <w:t>Número de mujeres en listas de diputaciones por partido político</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10"/>
        <w:gridCol w:w="1782"/>
        <w:gridCol w:w="1566"/>
        <w:gridCol w:w="1362"/>
      </w:tblGrid>
      <w:tr w:rsidR="0047112B" w:rsidRPr="00981E15">
        <w:tblPrEx>
          <w:tblCellMar>
            <w:top w:w="0" w:type="dxa"/>
            <w:bottom w:w="0" w:type="dxa"/>
          </w:tblCellMar>
        </w:tblPrEx>
        <w:trPr>
          <w:tblHeader/>
        </w:trPr>
        <w:tc>
          <w:tcPr>
            <w:tcW w:w="2610" w:type="dxa"/>
            <w:tcBorders>
              <w:top w:val="single" w:sz="4" w:space="0" w:color="auto"/>
              <w:bottom w:val="single" w:sz="12" w:space="0" w:color="auto"/>
            </w:tcBorders>
            <w:shd w:val="clear" w:color="auto" w:fill="auto"/>
            <w:vAlign w:val="bottom"/>
          </w:tcPr>
          <w:p w:rsidR="0047112B" w:rsidRPr="00981E15" w:rsidRDefault="0047112B" w:rsidP="0047112B">
            <w:pPr>
              <w:spacing w:before="80" w:after="80" w:line="160" w:lineRule="exact"/>
              <w:ind w:right="40"/>
              <w:rPr>
                <w:bCs/>
                <w:i/>
                <w:sz w:val="14"/>
                <w:szCs w:val="24"/>
              </w:rPr>
            </w:pPr>
            <w:r w:rsidRPr="00981E15">
              <w:rPr>
                <w:bCs/>
                <w:i/>
                <w:sz w:val="14"/>
                <w:szCs w:val="24"/>
              </w:rPr>
              <w:t>Partido Político</w:t>
            </w:r>
          </w:p>
        </w:tc>
        <w:tc>
          <w:tcPr>
            <w:tcW w:w="1782" w:type="dxa"/>
            <w:tcBorders>
              <w:top w:val="single" w:sz="4" w:space="0" w:color="auto"/>
              <w:bottom w:val="single" w:sz="12" w:space="0" w:color="auto"/>
            </w:tcBorders>
            <w:shd w:val="clear" w:color="auto" w:fill="auto"/>
            <w:vAlign w:val="bottom"/>
          </w:tcPr>
          <w:p w:rsidR="0047112B" w:rsidRPr="00981E15" w:rsidRDefault="0047112B" w:rsidP="0047112B">
            <w:pPr>
              <w:spacing w:before="80" w:after="80" w:line="160" w:lineRule="exact"/>
              <w:ind w:right="40"/>
              <w:jc w:val="right"/>
              <w:rPr>
                <w:bCs/>
                <w:i/>
                <w:sz w:val="14"/>
                <w:szCs w:val="24"/>
              </w:rPr>
            </w:pPr>
            <w:r w:rsidRPr="00981E15">
              <w:rPr>
                <w:bCs/>
                <w:i/>
                <w:sz w:val="14"/>
                <w:szCs w:val="24"/>
              </w:rPr>
              <w:t xml:space="preserve">Candidatas a </w:t>
            </w:r>
            <w:r w:rsidR="00712CD4">
              <w:rPr>
                <w:bCs/>
                <w:i/>
                <w:sz w:val="14"/>
                <w:szCs w:val="24"/>
              </w:rPr>
              <w:br/>
            </w:r>
            <w:r w:rsidRPr="00981E15">
              <w:rPr>
                <w:bCs/>
                <w:i/>
                <w:sz w:val="14"/>
                <w:szCs w:val="24"/>
              </w:rPr>
              <w:t>Legi</w:t>
            </w:r>
            <w:r w:rsidRPr="00981E15">
              <w:rPr>
                <w:bCs/>
                <w:i/>
                <w:sz w:val="14"/>
                <w:szCs w:val="24"/>
              </w:rPr>
              <w:t>s</w:t>
            </w:r>
            <w:r w:rsidRPr="00981E15">
              <w:rPr>
                <w:bCs/>
                <w:i/>
                <w:sz w:val="14"/>
                <w:szCs w:val="24"/>
              </w:rPr>
              <w:t>ladoras</w:t>
            </w:r>
          </w:p>
        </w:tc>
        <w:tc>
          <w:tcPr>
            <w:tcW w:w="1566" w:type="dxa"/>
            <w:tcBorders>
              <w:top w:val="single" w:sz="4" w:space="0" w:color="auto"/>
              <w:bottom w:val="single" w:sz="12" w:space="0" w:color="auto"/>
            </w:tcBorders>
            <w:shd w:val="clear" w:color="auto" w:fill="auto"/>
            <w:vAlign w:val="bottom"/>
          </w:tcPr>
          <w:p w:rsidR="0047112B" w:rsidRPr="00981E15" w:rsidRDefault="0047112B" w:rsidP="0047112B">
            <w:pPr>
              <w:spacing w:before="80" w:after="80" w:line="160" w:lineRule="exact"/>
              <w:ind w:right="40"/>
              <w:jc w:val="right"/>
              <w:rPr>
                <w:bCs/>
                <w:i/>
                <w:sz w:val="14"/>
                <w:szCs w:val="24"/>
              </w:rPr>
            </w:pPr>
            <w:r w:rsidRPr="00981E15">
              <w:rPr>
                <w:bCs/>
                <w:i/>
                <w:sz w:val="14"/>
                <w:szCs w:val="24"/>
              </w:rPr>
              <w:t xml:space="preserve">Ocupan </w:t>
            </w:r>
            <w:r w:rsidR="00712CD4">
              <w:rPr>
                <w:bCs/>
                <w:i/>
                <w:sz w:val="14"/>
                <w:szCs w:val="24"/>
              </w:rPr>
              <w:br/>
            </w:r>
            <w:r w:rsidRPr="00981E15">
              <w:rPr>
                <w:bCs/>
                <w:i/>
                <w:sz w:val="14"/>
                <w:szCs w:val="24"/>
              </w:rPr>
              <w:t>primera casilla</w:t>
            </w:r>
          </w:p>
        </w:tc>
        <w:tc>
          <w:tcPr>
            <w:tcW w:w="1362" w:type="dxa"/>
            <w:tcBorders>
              <w:top w:val="single" w:sz="4" w:space="0" w:color="auto"/>
              <w:bottom w:val="single" w:sz="12" w:space="0" w:color="auto"/>
            </w:tcBorders>
            <w:shd w:val="clear" w:color="auto" w:fill="auto"/>
            <w:vAlign w:val="bottom"/>
          </w:tcPr>
          <w:p w:rsidR="0047112B" w:rsidRPr="00981E15" w:rsidRDefault="0047112B" w:rsidP="0047112B">
            <w:pPr>
              <w:spacing w:before="80" w:after="80" w:line="160" w:lineRule="exact"/>
              <w:jc w:val="right"/>
              <w:rPr>
                <w:bCs/>
                <w:i/>
                <w:sz w:val="14"/>
                <w:szCs w:val="24"/>
              </w:rPr>
            </w:pPr>
            <w:r w:rsidRPr="00981E15">
              <w:rPr>
                <w:bCs/>
                <w:i/>
                <w:sz w:val="14"/>
                <w:szCs w:val="24"/>
              </w:rPr>
              <w:t>Candidatas a Alcaldesas</w:t>
            </w:r>
          </w:p>
        </w:tc>
      </w:tr>
      <w:tr w:rsidR="0047112B" w:rsidRPr="00981E15">
        <w:tblPrEx>
          <w:tblCellMar>
            <w:top w:w="0" w:type="dxa"/>
            <w:bottom w:w="0" w:type="dxa"/>
          </w:tblCellMar>
        </w:tblPrEx>
        <w:trPr>
          <w:trHeight w:hRule="exact" w:val="115"/>
          <w:tblHeader/>
        </w:trPr>
        <w:tc>
          <w:tcPr>
            <w:tcW w:w="261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rPr>
            </w:pPr>
          </w:p>
        </w:tc>
        <w:tc>
          <w:tcPr>
            <w:tcW w:w="1782"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566"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362"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jc w:val="right"/>
              <w:rPr>
                <w:sz w:val="17"/>
              </w:rPr>
            </w:pPr>
          </w:p>
        </w:tc>
      </w:tr>
      <w:tr w:rsidR="0047112B" w:rsidRPr="00981E15">
        <w:tblPrEx>
          <w:tblCellMar>
            <w:top w:w="0" w:type="dxa"/>
            <w:bottom w:w="0" w:type="dxa"/>
          </w:tblCellMar>
        </w:tblPrEx>
        <w:tc>
          <w:tcPr>
            <w:tcW w:w="261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24"/>
              </w:rPr>
            </w:pPr>
            <w:r w:rsidRPr="00981E15">
              <w:rPr>
                <w:bCs/>
                <w:sz w:val="17"/>
                <w:szCs w:val="24"/>
              </w:rPr>
              <w:t>Encuentro por Guatemala</w:t>
            </w:r>
          </w:p>
        </w:tc>
        <w:tc>
          <w:tcPr>
            <w:tcW w:w="178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36</w:t>
            </w:r>
          </w:p>
        </w:tc>
        <w:tc>
          <w:tcPr>
            <w:tcW w:w="156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10</w:t>
            </w:r>
          </w:p>
        </w:tc>
        <w:tc>
          <w:tcPr>
            <w:tcW w:w="136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jc w:val="right"/>
              <w:rPr>
                <w:bCs/>
                <w:sz w:val="17"/>
                <w:szCs w:val="24"/>
              </w:rPr>
            </w:pPr>
            <w:r w:rsidRPr="00981E15">
              <w:rPr>
                <w:bCs/>
                <w:sz w:val="17"/>
                <w:szCs w:val="24"/>
              </w:rPr>
              <w:t>13</w:t>
            </w:r>
          </w:p>
        </w:tc>
      </w:tr>
      <w:tr w:rsidR="0047112B" w:rsidRPr="00981E15">
        <w:tblPrEx>
          <w:tblCellMar>
            <w:top w:w="0" w:type="dxa"/>
            <w:bottom w:w="0" w:type="dxa"/>
          </w:tblCellMar>
        </w:tblPrEx>
        <w:tc>
          <w:tcPr>
            <w:tcW w:w="261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24"/>
              </w:rPr>
            </w:pPr>
            <w:r w:rsidRPr="00981E15">
              <w:rPr>
                <w:bCs/>
                <w:sz w:val="17"/>
                <w:szCs w:val="24"/>
              </w:rPr>
              <w:t>Unidad Nacional de la Esperanza</w:t>
            </w:r>
          </w:p>
        </w:tc>
        <w:tc>
          <w:tcPr>
            <w:tcW w:w="178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22</w:t>
            </w:r>
          </w:p>
        </w:tc>
        <w:tc>
          <w:tcPr>
            <w:tcW w:w="156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15</w:t>
            </w:r>
          </w:p>
        </w:tc>
        <w:tc>
          <w:tcPr>
            <w:tcW w:w="136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jc w:val="right"/>
              <w:rPr>
                <w:bCs/>
                <w:sz w:val="17"/>
                <w:szCs w:val="24"/>
              </w:rPr>
            </w:pPr>
            <w:r w:rsidRPr="00981E15">
              <w:rPr>
                <w:bCs/>
                <w:sz w:val="17"/>
                <w:szCs w:val="24"/>
              </w:rPr>
              <w:t>–</w:t>
            </w:r>
          </w:p>
        </w:tc>
      </w:tr>
      <w:tr w:rsidR="0047112B" w:rsidRPr="00981E15">
        <w:tblPrEx>
          <w:tblCellMar>
            <w:top w:w="0" w:type="dxa"/>
            <w:bottom w:w="0" w:type="dxa"/>
          </w:tblCellMar>
        </w:tblPrEx>
        <w:tc>
          <w:tcPr>
            <w:tcW w:w="261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24"/>
              </w:rPr>
            </w:pPr>
            <w:r w:rsidRPr="00981E15">
              <w:rPr>
                <w:bCs/>
                <w:sz w:val="17"/>
                <w:szCs w:val="24"/>
              </w:rPr>
              <w:t>Partido Patriota</w:t>
            </w:r>
          </w:p>
        </w:tc>
        <w:tc>
          <w:tcPr>
            <w:tcW w:w="178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8</w:t>
            </w:r>
          </w:p>
        </w:tc>
        <w:tc>
          <w:tcPr>
            <w:tcW w:w="156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2</w:t>
            </w:r>
          </w:p>
        </w:tc>
        <w:tc>
          <w:tcPr>
            <w:tcW w:w="136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jc w:val="right"/>
              <w:rPr>
                <w:bCs/>
                <w:sz w:val="17"/>
                <w:szCs w:val="24"/>
              </w:rPr>
            </w:pPr>
            <w:r w:rsidRPr="00981E15">
              <w:rPr>
                <w:bCs/>
                <w:sz w:val="17"/>
                <w:szCs w:val="24"/>
              </w:rPr>
              <w:t>7</w:t>
            </w:r>
          </w:p>
        </w:tc>
      </w:tr>
      <w:tr w:rsidR="0047112B" w:rsidRPr="00981E15">
        <w:tblPrEx>
          <w:tblCellMar>
            <w:top w:w="0" w:type="dxa"/>
            <w:bottom w:w="0" w:type="dxa"/>
          </w:tblCellMar>
        </w:tblPrEx>
        <w:tc>
          <w:tcPr>
            <w:tcW w:w="2610"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24"/>
              </w:rPr>
            </w:pPr>
            <w:r w:rsidRPr="00981E15">
              <w:rPr>
                <w:bCs/>
                <w:sz w:val="17"/>
                <w:szCs w:val="24"/>
              </w:rPr>
              <w:t xml:space="preserve">Gran Alianza Nacional </w:t>
            </w:r>
          </w:p>
        </w:tc>
        <w:tc>
          <w:tcPr>
            <w:tcW w:w="178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29</w:t>
            </w:r>
          </w:p>
        </w:tc>
        <w:tc>
          <w:tcPr>
            <w:tcW w:w="156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24"/>
              </w:rPr>
            </w:pPr>
            <w:r w:rsidRPr="00981E15">
              <w:rPr>
                <w:bCs/>
                <w:sz w:val="17"/>
                <w:szCs w:val="24"/>
              </w:rPr>
              <w:t>3</w:t>
            </w:r>
          </w:p>
        </w:tc>
        <w:tc>
          <w:tcPr>
            <w:tcW w:w="136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jc w:val="right"/>
              <w:rPr>
                <w:bCs/>
                <w:sz w:val="17"/>
                <w:szCs w:val="24"/>
              </w:rPr>
            </w:pPr>
            <w:r w:rsidRPr="00981E15">
              <w:rPr>
                <w:bCs/>
                <w:sz w:val="17"/>
                <w:szCs w:val="24"/>
              </w:rPr>
              <w:t>3</w:t>
            </w:r>
          </w:p>
        </w:tc>
      </w:tr>
      <w:tr w:rsidR="0047112B" w:rsidRPr="00981E15">
        <w:tblPrEx>
          <w:tblCellMar>
            <w:top w:w="0" w:type="dxa"/>
            <w:bottom w:w="0" w:type="dxa"/>
          </w:tblCellMar>
        </w:tblPrEx>
        <w:tc>
          <w:tcPr>
            <w:tcW w:w="2610" w:type="dxa"/>
            <w:tcBorders>
              <w:bottom w:val="single" w:sz="12" w:space="0" w:color="auto"/>
            </w:tcBorders>
            <w:shd w:val="clear" w:color="auto" w:fill="auto"/>
            <w:vAlign w:val="bottom"/>
          </w:tcPr>
          <w:p w:rsidR="0047112B" w:rsidRPr="00981E15" w:rsidRDefault="0047112B" w:rsidP="00A827EA">
            <w:pPr>
              <w:tabs>
                <w:tab w:val="left" w:pos="288"/>
                <w:tab w:val="left" w:pos="576"/>
                <w:tab w:val="left" w:pos="864"/>
                <w:tab w:val="left" w:pos="1152"/>
              </w:tabs>
              <w:spacing w:before="40" w:after="80" w:line="210" w:lineRule="exact"/>
              <w:ind w:right="40"/>
              <w:rPr>
                <w:bCs/>
                <w:sz w:val="17"/>
                <w:szCs w:val="24"/>
              </w:rPr>
            </w:pPr>
            <w:r w:rsidRPr="00981E15">
              <w:rPr>
                <w:bCs/>
                <w:sz w:val="17"/>
                <w:szCs w:val="24"/>
              </w:rPr>
              <w:t>Frente Republicano de Guatemala</w:t>
            </w:r>
          </w:p>
        </w:tc>
        <w:tc>
          <w:tcPr>
            <w:tcW w:w="1782" w:type="dxa"/>
            <w:tcBorders>
              <w:bottom w:val="single" w:sz="12" w:space="0" w:color="auto"/>
            </w:tcBorders>
            <w:shd w:val="clear" w:color="auto" w:fill="auto"/>
            <w:vAlign w:val="bottom"/>
          </w:tcPr>
          <w:p w:rsidR="0047112B" w:rsidRPr="00981E15" w:rsidRDefault="0047112B" w:rsidP="00A827EA">
            <w:pPr>
              <w:tabs>
                <w:tab w:val="left" w:pos="288"/>
                <w:tab w:val="left" w:pos="576"/>
                <w:tab w:val="left" w:pos="864"/>
                <w:tab w:val="left" w:pos="1152"/>
              </w:tabs>
              <w:spacing w:before="40" w:after="80" w:line="210" w:lineRule="exact"/>
              <w:ind w:right="40"/>
              <w:jc w:val="right"/>
              <w:rPr>
                <w:bCs/>
                <w:sz w:val="17"/>
                <w:szCs w:val="24"/>
              </w:rPr>
            </w:pPr>
            <w:r w:rsidRPr="00981E15">
              <w:rPr>
                <w:bCs/>
                <w:sz w:val="17"/>
                <w:szCs w:val="24"/>
              </w:rPr>
              <w:t>49</w:t>
            </w:r>
          </w:p>
        </w:tc>
        <w:tc>
          <w:tcPr>
            <w:tcW w:w="1566" w:type="dxa"/>
            <w:tcBorders>
              <w:bottom w:val="single" w:sz="12" w:space="0" w:color="auto"/>
            </w:tcBorders>
            <w:shd w:val="clear" w:color="auto" w:fill="auto"/>
            <w:vAlign w:val="bottom"/>
          </w:tcPr>
          <w:p w:rsidR="0047112B" w:rsidRPr="00981E15" w:rsidRDefault="0047112B" w:rsidP="00A827EA">
            <w:pPr>
              <w:tabs>
                <w:tab w:val="left" w:pos="288"/>
                <w:tab w:val="left" w:pos="576"/>
                <w:tab w:val="left" w:pos="864"/>
                <w:tab w:val="left" w:pos="1152"/>
              </w:tabs>
              <w:spacing w:before="40" w:after="80" w:line="210" w:lineRule="exact"/>
              <w:ind w:right="40"/>
              <w:jc w:val="right"/>
              <w:rPr>
                <w:bCs/>
                <w:sz w:val="17"/>
                <w:szCs w:val="24"/>
              </w:rPr>
            </w:pPr>
            <w:r w:rsidRPr="00981E15">
              <w:rPr>
                <w:bCs/>
                <w:sz w:val="17"/>
                <w:szCs w:val="24"/>
              </w:rPr>
              <w:t>14</w:t>
            </w:r>
          </w:p>
        </w:tc>
        <w:tc>
          <w:tcPr>
            <w:tcW w:w="1362" w:type="dxa"/>
            <w:tcBorders>
              <w:bottom w:val="single" w:sz="12" w:space="0" w:color="auto"/>
            </w:tcBorders>
            <w:shd w:val="clear" w:color="auto" w:fill="auto"/>
            <w:vAlign w:val="bottom"/>
          </w:tcPr>
          <w:p w:rsidR="0047112B" w:rsidRPr="00981E15" w:rsidRDefault="0047112B" w:rsidP="00A827EA">
            <w:pPr>
              <w:tabs>
                <w:tab w:val="left" w:pos="288"/>
                <w:tab w:val="left" w:pos="576"/>
                <w:tab w:val="left" w:pos="864"/>
                <w:tab w:val="left" w:pos="1152"/>
              </w:tabs>
              <w:spacing w:before="40" w:after="80" w:line="210" w:lineRule="exact"/>
              <w:jc w:val="right"/>
              <w:rPr>
                <w:bCs/>
                <w:sz w:val="17"/>
                <w:szCs w:val="24"/>
              </w:rPr>
            </w:pPr>
          </w:p>
        </w:tc>
      </w:tr>
    </w:tbl>
    <w:p w:rsidR="0047112B" w:rsidRPr="00981E15" w:rsidRDefault="0047112B" w:rsidP="0047112B">
      <w:pPr>
        <w:pStyle w:val="SingleTxt"/>
        <w:spacing w:after="0" w:line="120" w:lineRule="exact"/>
        <w:rPr>
          <w:sz w:val="10"/>
        </w:rPr>
      </w:pPr>
    </w:p>
    <w:p w:rsidR="0047112B" w:rsidRPr="00981E15" w:rsidRDefault="0047112B" w:rsidP="00A827EA">
      <w:pPr>
        <w:pStyle w:val="FootnoteText"/>
        <w:tabs>
          <w:tab w:val="clear" w:pos="418"/>
          <w:tab w:val="right" w:pos="1476"/>
          <w:tab w:val="left" w:pos="1548"/>
          <w:tab w:val="right" w:pos="1836"/>
          <w:tab w:val="left" w:pos="1908"/>
        </w:tabs>
        <w:ind w:left="1548" w:right="1267" w:hanging="288"/>
      </w:pPr>
      <w:r w:rsidRPr="00981E15">
        <w:rPr>
          <w:i/>
        </w:rPr>
        <w:t>Fuente:</w:t>
      </w:r>
      <w:r w:rsidR="00A827EA" w:rsidRPr="00981E15">
        <w:rPr>
          <w:i/>
        </w:rPr>
        <w:t xml:space="preserve"> </w:t>
      </w:r>
      <w:r w:rsidRPr="00981E15">
        <w:t>Tribunal Supremo Electoral.</w:t>
      </w:r>
    </w:p>
    <w:p w:rsidR="0047112B" w:rsidRPr="00981E15" w:rsidRDefault="0047112B" w:rsidP="0047112B">
      <w:pPr>
        <w:pStyle w:val="SingleTxt"/>
        <w:spacing w:after="0" w:line="120" w:lineRule="exact"/>
        <w:rPr>
          <w:sz w:val="10"/>
        </w:rPr>
      </w:pPr>
    </w:p>
    <w:p w:rsidR="0047112B" w:rsidRPr="00981E15" w:rsidRDefault="0047112B" w:rsidP="0047112B">
      <w:pPr>
        <w:pStyle w:val="SingleTxt"/>
        <w:spacing w:after="0" w:line="120" w:lineRule="exact"/>
        <w:rPr>
          <w:sz w:val="10"/>
        </w:rPr>
      </w:pPr>
    </w:p>
    <w:p w:rsidR="0047112B" w:rsidRPr="00981E15" w:rsidRDefault="0047112B" w:rsidP="0047112B">
      <w:pPr>
        <w:pStyle w:val="SingleTxt"/>
        <w:numPr>
          <w:ilvl w:val="0"/>
          <w:numId w:val="23"/>
        </w:numPr>
        <w:tabs>
          <w:tab w:val="clear" w:pos="475"/>
          <w:tab w:val="num" w:pos="1742"/>
        </w:tabs>
        <w:ind w:left="1267"/>
      </w:pPr>
      <w:r w:rsidRPr="00981E15">
        <w:t>En el 2003 de 158 diputaciones 14 mujeres fueron electas, y 8 mujeres resultaron al frente de las 331 alcaldías del país. En las elecciones generales llevadas a cabo en septiembre de 2007, veintisiete mujeres ganaron un cargo público de elección popular. Diecinueve de ellas elegidas para una diputación y ocho para alcaldías.</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11</w:t>
      </w:r>
      <w:r w:rsidRPr="00981E15">
        <w:br/>
        <w:t>Número de mujeres electas a cargos de elección popular en 2003 y 2007</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16"/>
        <w:gridCol w:w="162"/>
        <w:gridCol w:w="729"/>
        <w:gridCol w:w="873"/>
        <w:gridCol w:w="855"/>
        <w:gridCol w:w="135"/>
        <w:gridCol w:w="765"/>
        <w:gridCol w:w="891"/>
        <w:gridCol w:w="896"/>
      </w:tblGrid>
      <w:tr w:rsidR="0047112B" w:rsidRPr="00981E15">
        <w:tblPrEx>
          <w:tblCellMar>
            <w:top w:w="0" w:type="dxa"/>
            <w:bottom w:w="0" w:type="dxa"/>
          </w:tblCellMar>
        </w:tblPrEx>
        <w:trPr>
          <w:trHeight w:val="327"/>
          <w:tblHeader/>
        </w:trPr>
        <w:tc>
          <w:tcPr>
            <w:tcW w:w="2016" w:type="dxa"/>
            <w:vMerge w:val="restart"/>
            <w:tcBorders>
              <w:top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szCs w:val="17"/>
              </w:rPr>
            </w:pPr>
            <w:r w:rsidRPr="00981E15">
              <w:rPr>
                <w:i/>
                <w:sz w:val="14"/>
                <w:szCs w:val="17"/>
              </w:rPr>
              <w:t>Cargo</w:t>
            </w:r>
          </w:p>
        </w:tc>
        <w:tc>
          <w:tcPr>
            <w:tcW w:w="162" w:type="dxa"/>
            <w:tcBorders>
              <w:top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szCs w:val="17"/>
              </w:rPr>
            </w:pPr>
          </w:p>
        </w:tc>
        <w:tc>
          <w:tcPr>
            <w:tcW w:w="2457" w:type="dxa"/>
            <w:gridSpan w:val="3"/>
            <w:tcBorders>
              <w:top w:val="single" w:sz="4" w:space="0" w:color="auto"/>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center"/>
              <w:rPr>
                <w:i/>
                <w:sz w:val="14"/>
                <w:szCs w:val="17"/>
              </w:rPr>
            </w:pPr>
            <w:r w:rsidRPr="00981E15">
              <w:rPr>
                <w:i/>
                <w:sz w:val="14"/>
                <w:szCs w:val="17"/>
              </w:rPr>
              <w:t>Elecciones 2007</w:t>
            </w:r>
          </w:p>
        </w:tc>
        <w:tc>
          <w:tcPr>
            <w:tcW w:w="135" w:type="dxa"/>
            <w:tcBorders>
              <w:top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szCs w:val="17"/>
              </w:rPr>
            </w:pPr>
          </w:p>
        </w:tc>
        <w:tc>
          <w:tcPr>
            <w:tcW w:w="2552" w:type="dxa"/>
            <w:gridSpan w:val="3"/>
            <w:tcBorders>
              <w:top w:val="single" w:sz="4" w:space="0" w:color="auto"/>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center"/>
              <w:rPr>
                <w:i/>
                <w:sz w:val="14"/>
                <w:szCs w:val="17"/>
              </w:rPr>
            </w:pPr>
            <w:r w:rsidRPr="00981E15">
              <w:rPr>
                <w:i/>
                <w:sz w:val="14"/>
                <w:szCs w:val="17"/>
              </w:rPr>
              <w:t>Elecciones 2003</w:t>
            </w:r>
          </w:p>
        </w:tc>
      </w:tr>
      <w:tr w:rsidR="0047112B" w:rsidRPr="00981E15">
        <w:tblPrEx>
          <w:tblCellMar>
            <w:top w:w="0" w:type="dxa"/>
            <w:bottom w:w="0" w:type="dxa"/>
          </w:tblCellMar>
        </w:tblPrEx>
        <w:trPr>
          <w:tblHeader/>
        </w:trPr>
        <w:tc>
          <w:tcPr>
            <w:tcW w:w="2016" w:type="dxa"/>
            <w:vMerge/>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after="80" w:line="160" w:lineRule="exact"/>
              <w:ind w:right="40"/>
              <w:rPr>
                <w:i/>
                <w:sz w:val="14"/>
                <w:szCs w:val="17"/>
              </w:rPr>
            </w:pPr>
          </w:p>
        </w:tc>
        <w:tc>
          <w:tcPr>
            <w:tcW w:w="891" w:type="dxa"/>
            <w:gridSpan w:val="2"/>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left="288" w:right="43"/>
              <w:jc w:val="right"/>
              <w:rPr>
                <w:i/>
                <w:sz w:val="14"/>
                <w:szCs w:val="17"/>
              </w:rPr>
            </w:pPr>
            <w:r w:rsidRPr="00981E15">
              <w:rPr>
                <w:i/>
                <w:sz w:val="14"/>
                <w:szCs w:val="17"/>
              </w:rPr>
              <w:t>Mujeres</w:t>
            </w:r>
          </w:p>
        </w:tc>
        <w:tc>
          <w:tcPr>
            <w:tcW w:w="873" w:type="dxa"/>
            <w:tcBorders>
              <w:top w:val="single" w:sz="4" w:space="0" w:color="auto"/>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3"/>
              <w:jc w:val="right"/>
              <w:rPr>
                <w:i/>
                <w:sz w:val="14"/>
                <w:szCs w:val="17"/>
              </w:rPr>
            </w:pPr>
            <w:r w:rsidRPr="00981E15">
              <w:rPr>
                <w:i/>
                <w:sz w:val="14"/>
                <w:szCs w:val="17"/>
              </w:rPr>
              <w:t>Hombres</w:t>
            </w:r>
          </w:p>
        </w:tc>
        <w:tc>
          <w:tcPr>
            <w:tcW w:w="855"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3"/>
              <w:jc w:val="right"/>
              <w:rPr>
                <w:i/>
                <w:sz w:val="14"/>
                <w:szCs w:val="17"/>
              </w:rPr>
            </w:pPr>
            <w:r w:rsidRPr="00981E15">
              <w:rPr>
                <w:i/>
                <w:sz w:val="14"/>
                <w:szCs w:val="17"/>
              </w:rPr>
              <w:t>Total</w:t>
            </w:r>
          </w:p>
        </w:tc>
        <w:tc>
          <w:tcPr>
            <w:tcW w:w="900" w:type="dxa"/>
            <w:gridSpan w:val="2"/>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3"/>
              <w:jc w:val="right"/>
              <w:rPr>
                <w:i/>
                <w:sz w:val="14"/>
                <w:szCs w:val="17"/>
              </w:rPr>
            </w:pPr>
            <w:r w:rsidRPr="00981E15">
              <w:rPr>
                <w:i/>
                <w:sz w:val="14"/>
                <w:szCs w:val="17"/>
              </w:rPr>
              <w:t>Mujeres</w:t>
            </w:r>
          </w:p>
        </w:tc>
        <w:tc>
          <w:tcPr>
            <w:tcW w:w="891"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3"/>
              <w:jc w:val="right"/>
              <w:rPr>
                <w:i/>
                <w:sz w:val="14"/>
                <w:szCs w:val="17"/>
              </w:rPr>
            </w:pPr>
            <w:r w:rsidRPr="00981E15">
              <w:rPr>
                <w:i/>
                <w:sz w:val="14"/>
                <w:szCs w:val="17"/>
              </w:rPr>
              <w:t>Hombres</w:t>
            </w:r>
          </w:p>
        </w:tc>
        <w:tc>
          <w:tcPr>
            <w:tcW w:w="896"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3"/>
              <w:jc w:val="right"/>
              <w:rPr>
                <w:i/>
                <w:sz w:val="14"/>
                <w:szCs w:val="17"/>
              </w:rPr>
            </w:pPr>
            <w:r w:rsidRPr="00981E15">
              <w:rPr>
                <w:i/>
                <w:sz w:val="14"/>
                <w:szCs w:val="17"/>
              </w:rPr>
              <w:t>Total</w:t>
            </w:r>
          </w:p>
        </w:tc>
      </w:tr>
      <w:tr w:rsidR="0047112B" w:rsidRPr="00981E15">
        <w:tblPrEx>
          <w:tblCellMar>
            <w:top w:w="0" w:type="dxa"/>
            <w:bottom w:w="0" w:type="dxa"/>
          </w:tblCellMar>
        </w:tblPrEx>
        <w:trPr>
          <w:trHeight w:hRule="exact" w:val="115"/>
          <w:tblHeader/>
        </w:trPr>
        <w:tc>
          <w:tcPr>
            <w:tcW w:w="2016"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17"/>
              </w:rPr>
            </w:pPr>
          </w:p>
        </w:tc>
        <w:tc>
          <w:tcPr>
            <w:tcW w:w="891" w:type="dxa"/>
            <w:gridSpan w:val="2"/>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c>
          <w:tcPr>
            <w:tcW w:w="873"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c>
          <w:tcPr>
            <w:tcW w:w="855"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c>
          <w:tcPr>
            <w:tcW w:w="900" w:type="dxa"/>
            <w:gridSpan w:val="2"/>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c>
          <w:tcPr>
            <w:tcW w:w="891"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c>
          <w:tcPr>
            <w:tcW w:w="896"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17"/>
              </w:rPr>
            </w:pPr>
          </w:p>
        </w:tc>
      </w:tr>
      <w:tr w:rsidR="0047112B" w:rsidRPr="00981E15">
        <w:tblPrEx>
          <w:tblCellMar>
            <w:top w:w="0" w:type="dxa"/>
            <w:bottom w:w="0" w:type="dxa"/>
          </w:tblCellMar>
        </w:tblPrEx>
        <w:tc>
          <w:tcPr>
            <w:tcW w:w="201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Diputadas</w:t>
            </w:r>
          </w:p>
        </w:tc>
        <w:tc>
          <w:tcPr>
            <w:tcW w:w="891" w:type="dxa"/>
            <w:gridSpan w:val="2"/>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19</w:t>
            </w:r>
          </w:p>
        </w:tc>
        <w:tc>
          <w:tcPr>
            <w:tcW w:w="873"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139</w:t>
            </w:r>
          </w:p>
        </w:tc>
        <w:tc>
          <w:tcPr>
            <w:tcW w:w="85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158</w:t>
            </w:r>
          </w:p>
        </w:tc>
        <w:tc>
          <w:tcPr>
            <w:tcW w:w="900" w:type="dxa"/>
            <w:gridSpan w:val="2"/>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14</w:t>
            </w:r>
          </w:p>
        </w:tc>
        <w:tc>
          <w:tcPr>
            <w:tcW w:w="891"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144</w:t>
            </w:r>
          </w:p>
        </w:tc>
        <w:tc>
          <w:tcPr>
            <w:tcW w:w="89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158</w:t>
            </w:r>
          </w:p>
        </w:tc>
      </w:tr>
      <w:tr w:rsidR="0047112B" w:rsidRPr="00981E15">
        <w:tblPrEx>
          <w:tblCellMar>
            <w:top w:w="0" w:type="dxa"/>
            <w:bottom w:w="0" w:type="dxa"/>
          </w:tblCellMar>
        </w:tblPrEx>
        <w:tc>
          <w:tcPr>
            <w:tcW w:w="2016" w:type="dxa"/>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bCs/>
                <w:sz w:val="17"/>
                <w:szCs w:val="17"/>
              </w:rPr>
            </w:pPr>
            <w:r w:rsidRPr="00981E15">
              <w:rPr>
                <w:bCs/>
                <w:sz w:val="17"/>
                <w:szCs w:val="17"/>
              </w:rPr>
              <w:t>Alcaldías</w:t>
            </w:r>
          </w:p>
        </w:tc>
        <w:tc>
          <w:tcPr>
            <w:tcW w:w="891" w:type="dxa"/>
            <w:gridSpan w:val="2"/>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8</w:t>
            </w:r>
          </w:p>
        </w:tc>
        <w:tc>
          <w:tcPr>
            <w:tcW w:w="873" w:type="dxa"/>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324</w:t>
            </w:r>
          </w:p>
        </w:tc>
        <w:tc>
          <w:tcPr>
            <w:tcW w:w="855" w:type="dxa"/>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332</w:t>
            </w:r>
          </w:p>
        </w:tc>
        <w:tc>
          <w:tcPr>
            <w:tcW w:w="900" w:type="dxa"/>
            <w:gridSpan w:val="2"/>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8</w:t>
            </w:r>
          </w:p>
        </w:tc>
        <w:tc>
          <w:tcPr>
            <w:tcW w:w="891" w:type="dxa"/>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323</w:t>
            </w:r>
          </w:p>
        </w:tc>
        <w:tc>
          <w:tcPr>
            <w:tcW w:w="896" w:type="dxa"/>
            <w:tcBorders>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Cs/>
                <w:sz w:val="17"/>
                <w:szCs w:val="17"/>
              </w:rPr>
            </w:pPr>
            <w:r w:rsidRPr="00981E15">
              <w:rPr>
                <w:bCs/>
                <w:sz w:val="17"/>
                <w:szCs w:val="17"/>
              </w:rPr>
              <w:t>331</w:t>
            </w:r>
          </w:p>
        </w:tc>
      </w:tr>
    </w:tbl>
    <w:p w:rsidR="0047112B" w:rsidRPr="00981E15" w:rsidRDefault="0047112B" w:rsidP="0047112B">
      <w:pPr>
        <w:pStyle w:val="SingleTxt"/>
        <w:suppressAutoHyphens/>
        <w:spacing w:after="0" w:line="120" w:lineRule="exact"/>
        <w:rPr>
          <w:sz w:val="10"/>
        </w:rPr>
      </w:pPr>
    </w:p>
    <w:p w:rsidR="0047112B" w:rsidRPr="00981E15" w:rsidRDefault="0047112B" w:rsidP="0047112B">
      <w:pPr>
        <w:pStyle w:val="FootnoteText"/>
        <w:tabs>
          <w:tab w:val="clear" w:pos="418"/>
          <w:tab w:val="right" w:pos="1476"/>
          <w:tab w:val="left" w:pos="1548"/>
          <w:tab w:val="right" w:pos="1836"/>
          <w:tab w:val="left" w:pos="1908"/>
        </w:tabs>
        <w:ind w:left="1548" w:right="1267" w:hanging="288"/>
      </w:pPr>
      <w:r w:rsidRPr="00981E15">
        <w:rPr>
          <w:i/>
        </w:rPr>
        <w:t>Fuente:</w:t>
      </w:r>
      <w:r w:rsidRPr="00981E15">
        <w:tab/>
        <w:t>Tribunal Supremo Electoral.</w:t>
      </w:r>
    </w:p>
    <w:p w:rsidR="0047112B" w:rsidRPr="00981E15" w:rsidRDefault="0047112B" w:rsidP="0047112B">
      <w:pPr>
        <w:pStyle w:val="SingleTxt"/>
        <w:suppressAutoHyphens/>
        <w:spacing w:after="0" w:line="120" w:lineRule="exact"/>
        <w:rPr>
          <w:sz w:val="10"/>
        </w:rPr>
      </w:pPr>
    </w:p>
    <w:p w:rsidR="0047112B" w:rsidRPr="00981E15" w:rsidRDefault="0047112B" w:rsidP="0047112B">
      <w:pPr>
        <w:pStyle w:val="SingleTxt"/>
        <w:suppressAutoHyphens/>
        <w:spacing w:after="0" w:line="120" w:lineRule="exact"/>
        <w:rPr>
          <w:sz w:val="10"/>
        </w:rPr>
      </w:pPr>
    </w:p>
    <w:p w:rsidR="0047112B" w:rsidRPr="00981E15" w:rsidRDefault="0047112B" w:rsidP="009E1C79">
      <w:pPr>
        <w:pStyle w:val="SingleTxt"/>
        <w:numPr>
          <w:ilvl w:val="0"/>
          <w:numId w:val="24"/>
        </w:numPr>
        <w:tabs>
          <w:tab w:val="clear" w:pos="475"/>
          <w:tab w:val="right" w:pos="1022"/>
        </w:tabs>
        <w:suppressAutoHyphens/>
        <w:ind w:left="1267" w:right="1260"/>
      </w:pPr>
      <w:r w:rsidRPr="00981E15">
        <w:t>A pesar del incremento de mujeres que se han incorporado a la política y fundamentalmente en el ámbito municipal, de los 332 municipios que conforman Guatemala, solo el 5% está siendo dirigido por mujeres, frente al 95% de hombres que ocupan alcaldías. Estos datos revelan que la participación política de las mujeres debe ser potenciada para lograr una mayor representatividad, una visión integral de desarrollo y en coherencia con las convenciones y tratados internacionales en mat</w:t>
      </w:r>
      <w:r w:rsidRPr="00981E15">
        <w:t>e</w:t>
      </w:r>
      <w:r w:rsidRPr="00981E15">
        <w:t xml:space="preserve">ria de participación política de las mujeres. </w:t>
      </w:r>
    </w:p>
    <w:p w:rsidR="0047112B" w:rsidRPr="00981E15" w:rsidRDefault="0047112B" w:rsidP="00E6615B">
      <w:pPr>
        <w:pStyle w:val="SingleTxt"/>
        <w:numPr>
          <w:ilvl w:val="0"/>
          <w:numId w:val="24"/>
        </w:numPr>
        <w:tabs>
          <w:tab w:val="clear" w:pos="475"/>
          <w:tab w:val="num" w:pos="1742"/>
        </w:tabs>
        <w:suppressAutoHyphens/>
        <w:ind w:left="1267"/>
      </w:pPr>
      <w:r w:rsidRPr="00981E15">
        <w:t>No obstante a los diversos instrumentos jurídicos aprobados que favorecen la participación política en los niveles comunitario, municipal, departamental, regional y nacional como son la Ley de Desarrollo Social, que contiene principios de igualdad de derechos para mujeres y hombres; el Código Municipal, que crea dentro del Consejo Municipal la Comisión de la Familia, la Mujer y Niñez, con carácter de oblig</w:t>
      </w:r>
      <w:r w:rsidRPr="00981E15">
        <w:t>a</w:t>
      </w:r>
      <w:r w:rsidRPr="00981E15">
        <w:t xml:space="preserve">toriedad; la Ley de Consejos de Desarrollo, que promueve la participación de las mujeres dentro del Consejo Nacional de Desarrollo Urbano Rural y Consejos Departamentales de Desarrollo y la Ley Nacional de Descentralización, entre otras aún falta la institucionalización de acciones, tales como la Oficina Municipal de la Mujer, así como la formulación e implementación de políticas, programas y proyectos municipales integrales, de acuerdo a las necesidades y demandas de las mujeres, y principalmente es necesario continuar promoviendo la implementación de medidas de acción positiva como el sistema de cuotas en los partidos políticos y comités cívicos, lo cual debe ser incorporado en la Ley Electoral y de Partidos Políticos y su reglamento. </w:t>
      </w:r>
    </w:p>
    <w:p w:rsidR="0047112B" w:rsidRPr="00981E15" w:rsidRDefault="0047112B" w:rsidP="0047112B">
      <w:pPr>
        <w:pStyle w:val="SingleTxt"/>
        <w:suppressAutoHyphens/>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Participación en cargos públicos</w:t>
      </w:r>
    </w:p>
    <w:p w:rsidR="0047112B" w:rsidRPr="00981E15" w:rsidRDefault="0047112B" w:rsidP="0047112B">
      <w:pPr>
        <w:pStyle w:val="SingleTxt"/>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Organismo Ejecutivo</w:t>
      </w:r>
    </w:p>
    <w:p w:rsidR="0047112B" w:rsidRPr="00981E15" w:rsidRDefault="0047112B" w:rsidP="0047112B">
      <w:pPr>
        <w:pStyle w:val="SingleTxt"/>
        <w:spacing w:after="0" w:line="120" w:lineRule="exact"/>
        <w:rPr>
          <w:sz w:val="10"/>
        </w:rPr>
      </w:pPr>
    </w:p>
    <w:p w:rsidR="0047112B" w:rsidRPr="00981E15" w:rsidRDefault="0047112B" w:rsidP="00E6615B">
      <w:pPr>
        <w:pStyle w:val="SingleTxt"/>
        <w:numPr>
          <w:ilvl w:val="0"/>
          <w:numId w:val="24"/>
        </w:numPr>
        <w:tabs>
          <w:tab w:val="clear" w:pos="475"/>
          <w:tab w:val="num" w:pos="1742"/>
        </w:tabs>
        <w:suppressAutoHyphens/>
        <w:ind w:left="1267"/>
      </w:pPr>
      <w:r w:rsidRPr="00981E15">
        <w:t>El actual Gobierno se encuentra integrado por trece Ministerios de Estado, de los cuales tres cargos son ocupados por mujeres y de los veintinueve Vice</w:t>
      </w:r>
      <w:r w:rsidRPr="00981E15">
        <w:noBreakHyphen/>
        <w:t>Ministerios de Estado ocho mujeres ocupan el cargo de Vice-Ministras.</w:t>
      </w:r>
    </w:p>
    <w:p w:rsidR="0047112B" w:rsidRPr="00981E15" w:rsidRDefault="0047112B" w:rsidP="0047112B">
      <w:pPr>
        <w:pStyle w:val="SingleTxt"/>
        <w:tabs>
          <w:tab w:val="clear" w:pos="1742"/>
        </w:tabs>
        <w:suppressAutoHyphens/>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981E15">
        <w:rPr>
          <w:b w:val="0"/>
        </w:rPr>
        <w:t>Cuadro 12</w:t>
      </w:r>
      <w:r w:rsidRPr="00981E15">
        <w:br/>
        <w:t>Cargos ministeriales ocupados por mujeres</w:t>
      </w:r>
    </w:p>
    <w:p w:rsidR="0047112B" w:rsidRPr="00981E15" w:rsidRDefault="0047112B"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52"/>
        <w:gridCol w:w="1467"/>
        <w:gridCol w:w="1989"/>
        <w:gridCol w:w="1812"/>
      </w:tblGrid>
      <w:tr w:rsidR="0047112B" w:rsidRPr="00981E15">
        <w:tblPrEx>
          <w:tblCellMar>
            <w:top w:w="0" w:type="dxa"/>
            <w:bottom w:w="0" w:type="dxa"/>
          </w:tblCellMar>
        </w:tblPrEx>
        <w:trPr>
          <w:tblHeader/>
        </w:trPr>
        <w:tc>
          <w:tcPr>
            <w:tcW w:w="2052"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Ministro</w:t>
            </w:r>
          </w:p>
        </w:tc>
        <w:tc>
          <w:tcPr>
            <w:tcW w:w="1467"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Ministra</w:t>
            </w:r>
          </w:p>
        </w:tc>
        <w:tc>
          <w:tcPr>
            <w:tcW w:w="1989"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Vice-Ministra</w:t>
            </w:r>
          </w:p>
        </w:tc>
        <w:tc>
          <w:tcPr>
            <w:tcW w:w="1812"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rPr>
                <w:i/>
                <w:sz w:val="14"/>
              </w:rPr>
            </w:pPr>
            <w:r w:rsidRPr="00981E15">
              <w:rPr>
                <w:i/>
                <w:sz w:val="14"/>
              </w:rPr>
              <w:t>Vice-Ministro</w:t>
            </w:r>
          </w:p>
        </w:tc>
      </w:tr>
      <w:tr w:rsidR="0047112B" w:rsidRPr="00981E15">
        <w:tblPrEx>
          <w:tblCellMar>
            <w:top w:w="0" w:type="dxa"/>
            <w:bottom w:w="0" w:type="dxa"/>
          </w:tblCellMar>
        </w:tblPrEx>
        <w:trPr>
          <w:trHeight w:hRule="exact" w:val="115"/>
          <w:tblHeader/>
        </w:trPr>
        <w:tc>
          <w:tcPr>
            <w:tcW w:w="2052"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ind w:right="40"/>
            </w:pPr>
          </w:p>
        </w:tc>
        <w:tc>
          <w:tcPr>
            <w:tcW w:w="1467"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ind w:right="40"/>
            </w:pPr>
          </w:p>
        </w:tc>
        <w:tc>
          <w:tcPr>
            <w:tcW w:w="1989"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ind w:right="40"/>
            </w:pPr>
          </w:p>
        </w:tc>
        <w:tc>
          <w:tcPr>
            <w:tcW w:w="1812"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pP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Relaciones Exteriores</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Relaciones Exteriores</w:t>
            </w: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Relaciones Exteriores</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Relaciones Exteriores</w:t>
            </w: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Gobern</w:t>
            </w:r>
            <w:r w:rsidRPr="00981E15">
              <w:rPr>
                <w:szCs w:val="24"/>
              </w:rPr>
              <w:t>a</w:t>
            </w:r>
            <w:r w:rsidRPr="00981E15">
              <w:rPr>
                <w:szCs w:val="24"/>
              </w:rPr>
              <w:t>ción</w:t>
            </w: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Gobernación</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Gobernación</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Gobernación</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Gobernación</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Defensa N</w:t>
            </w:r>
            <w:r w:rsidRPr="00981E15">
              <w:rPr>
                <w:szCs w:val="24"/>
              </w:rPr>
              <w:t>a</w:t>
            </w:r>
            <w:r w:rsidRPr="00981E15">
              <w:rPr>
                <w:szCs w:val="24"/>
              </w:rPr>
              <w:t>cional</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Defensa N</w:t>
            </w:r>
            <w:r w:rsidRPr="00981E15">
              <w:rPr>
                <w:szCs w:val="24"/>
              </w:rPr>
              <w:t>a</w:t>
            </w:r>
            <w:r w:rsidRPr="00981E15">
              <w:rPr>
                <w:szCs w:val="24"/>
              </w:rPr>
              <w:t>cional</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Finanzas P</w:t>
            </w:r>
            <w:r w:rsidR="00192501">
              <w:rPr>
                <w:szCs w:val="24"/>
              </w:rPr>
              <w:t>ú</w:t>
            </w:r>
            <w:r w:rsidRPr="00981E15">
              <w:rPr>
                <w:szCs w:val="24"/>
              </w:rPr>
              <w:t>bl</w:t>
            </w:r>
            <w:r w:rsidRPr="00981E15">
              <w:rPr>
                <w:szCs w:val="24"/>
              </w:rPr>
              <w:t>i</w:t>
            </w:r>
            <w:r w:rsidRPr="00981E15">
              <w:rPr>
                <w:szCs w:val="24"/>
              </w:rPr>
              <w:t>cas</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Finanzas Públ</w:t>
            </w:r>
            <w:r w:rsidRPr="00981E15">
              <w:rPr>
                <w:szCs w:val="24"/>
              </w:rPr>
              <w:t>i</w:t>
            </w:r>
            <w:r w:rsidRPr="00981E15">
              <w:rPr>
                <w:szCs w:val="24"/>
              </w:rPr>
              <w:t>cas</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Finanzas P</w:t>
            </w:r>
            <w:r w:rsidR="00192501">
              <w:rPr>
                <w:szCs w:val="24"/>
              </w:rPr>
              <w:t>ú</w:t>
            </w:r>
            <w:r w:rsidRPr="00981E15">
              <w:rPr>
                <w:szCs w:val="24"/>
              </w:rPr>
              <w:t>bl</w:t>
            </w:r>
            <w:r w:rsidRPr="00981E15">
              <w:rPr>
                <w:szCs w:val="24"/>
              </w:rPr>
              <w:t>i</w:t>
            </w:r>
            <w:r w:rsidRPr="00981E15">
              <w:rPr>
                <w:szCs w:val="24"/>
              </w:rPr>
              <w:t>cas</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Comunicaciones, Infraestructura y Vivienda</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Comunicaciones, Infraestructura y Vivienda</w:t>
            </w: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Comunicaciones, Infraestructura y Vivienda</w:t>
            </w:r>
          </w:p>
        </w:tc>
      </w:tr>
      <w:tr w:rsidR="0047112B" w:rsidRPr="00981E15">
        <w:tblPrEx>
          <w:tblCellMar>
            <w:top w:w="0" w:type="dxa"/>
            <w:bottom w:w="0" w:type="dxa"/>
          </w:tblCellMar>
        </w:tblPrEx>
        <w:tc>
          <w:tcPr>
            <w:tcW w:w="2052" w:type="dxa"/>
            <w:shd w:val="clear" w:color="auto" w:fill="auto"/>
          </w:tcPr>
          <w:p w:rsidR="0047112B" w:rsidRPr="00981E15" w:rsidRDefault="0047112B" w:rsidP="00E6615B">
            <w:pPr>
              <w:keepNext/>
              <w:keepLines/>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E6615B">
            <w:pPr>
              <w:keepNext/>
              <w:keepLines/>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E6615B">
            <w:pPr>
              <w:keepNext/>
              <w:keepLines/>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E6615B">
            <w:pPr>
              <w:keepNext/>
              <w:keepLines/>
              <w:tabs>
                <w:tab w:val="left" w:pos="288"/>
                <w:tab w:val="left" w:pos="576"/>
                <w:tab w:val="left" w:pos="864"/>
                <w:tab w:val="left" w:pos="1152"/>
              </w:tabs>
              <w:spacing w:before="40" w:after="80"/>
              <w:rPr>
                <w:szCs w:val="24"/>
              </w:rPr>
            </w:pPr>
            <w:r w:rsidRPr="00981E15">
              <w:rPr>
                <w:szCs w:val="24"/>
              </w:rPr>
              <w:t>Comunicaciones, Infraestructura y Vivienda</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Educación</w:t>
            </w: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Educación</w:t>
            </w: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Educación</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Educación</w:t>
            </w: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Agricultura, Ganadería y Alimentación</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Agricultura, Ganadería y Alimentación</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Agricultura, Ganadería y Alimentación</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Economía</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Economía</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Economía</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Salud Pública y Asistencia Social</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Salud Pública y Asistencia Social</w:t>
            </w: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Salud Pública y Asistencia Social</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Salud Pública y Asistencia Social</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Trabajo y Previsión Social</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Trabajo y Previsión Social</w:t>
            </w: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Trabajo y Previsión Social</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Trabajo y Previsión Social</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Energía y Minas</w:t>
            </w: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Energía y Minas</w:t>
            </w:r>
          </w:p>
        </w:tc>
      </w:tr>
      <w:tr w:rsidR="0047112B" w:rsidRPr="00981E15">
        <w:tblPrEx>
          <w:tblCellMar>
            <w:top w:w="0" w:type="dxa"/>
            <w:bottom w:w="0" w:type="dxa"/>
          </w:tblCellMar>
        </w:tblPrEx>
        <w:tc>
          <w:tcPr>
            <w:tcW w:w="2052"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r w:rsidRPr="00981E15">
              <w:rPr>
                <w:szCs w:val="24"/>
              </w:rPr>
              <w:t xml:space="preserve">Cultura y Deportes </w:t>
            </w:r>
          </w:p>
        </w:tc>
        <w:tc>
          <w:tcPr>
            <w:tcW w:w="1467"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989" w:type="dxa"/>
            <w:shd w:val="clear" w:color="auto" w:fill="auto"/>
          </w:tcPr>
          <w:p w:rsidR="0047112B" w:rsidRPr="00981E15" w:rsidRDefault="0047112B" w:rsidP="0047112B">
            <w:pPr>
              <w:tabs>
                <w:tab w:val="left" w:pos="288"/>
                <w:tab w:val="left" w:pos="576"/>
                <w:tab w:val="left" w:pos="864"/>
                <w:tab w:val="left" w:pos="1152"/>
              </w:tabs>
              <w:spacing w:before="40" w:after="80"/>
              <w:ind w:right="40"/>
              <w:rPr>
                <w:szCs w:val="24"/>
              </w:rPr>
            </w:pPr>
          </w:p>
        </w:tc>
        <w:tc>
          <w:tcPr>
            <w:tcW w:w="1812" w:type="dxa"/>
            <w:shd w:val="clear" w:color="auto" w:fill="auto"/>
          </w:tcPr>
          <w:p w:rsidR="0047112B" w:rsidRPr="00981E15" w:rsidRDefault="0047112B" w:rsidP="0047112B">
            <w:pPr>
              <w:tabs>
                <w:tab w:val="left" w:pos="288"/>
                <w:tab w:val="left" w:pos="576"/>
                <w:tab w:val="left" w:pos="864"/>
                <w:tab w:val="left" w:pos="1152"/>
              </w:tabs>
              <w:spacing w:before="40" w:after="80"/>
              <w:rPr>
                <w:szCs w:val="24"/>
              </w:rPr>
            </w:pPr>
            <w:r w:rsidRPr="00981E15">
              <w:rPr>
                <w:szCs w:val="24"/>
              </w:rPr>
              <w:t>Cultura y Deportes</w:t>
            </w:r>
          </w:p>
        </w:tc>
      </w:tr>
      <w:tr w:rsidR="0047112B" w:rsidRPr="00981E15">
        <w:tblPrEx>
          <w:tblCellMar>
            <w:top w:w="0" w:type="dxa"/>
            <w:bottom w:w="0" w:type="dxa"/>
          </w:tblCellMar>
        </w:tblPrEx>
        <w:tc>
          <w:tcPr>
            <w:tcW w:w="2052" w:type="dxa"/>
            <w:tcBorders>
              <w:bottom w:val="single" w:sz="4" w:space="0" w:color="auto"/>
            </w:tcBorders>
            <w:shd w:val="clear" w:color="auto" w:fill="auto"/>
          </w:tcPr>
          <w:p w:rsidR="0047112B" w:rsidRPr="00981E15" w:rsidRDefault="0047112B" w:rsidP="0047112B">
            <w:pPr>
              <w:tabs>
                <w:tab w:val="left" w:pos="288"/>
                <w:tab w:val="left" w:pos="576"/>
                <w:tab w:val="left" w:pos="864"/>
                <w:tab w:val="left" w:pos="1152"/>
              </w:tabs>
              <w:spacing w:before="40" w:after="81"/>
              <w:ind w:right="40"/>
              <w:rPr>
                <w:szCs w:val="24"/>
              </w:rPr>
            </w:pPr>
            <w:r w:rsidRPr="00981E15">
              <w:rPr>
                <w:szCs w:val="24"/>
              </w:rPr>
              <w:t>Ambientes y Recursos Naturales</w:t>
            </w:r>
          </w:p>
        </w:tc>
        <w:tc>
          <w:tcPr>
            <w:tcW w:w="1467" w:type="dxa"/>
            <w:tcBorders>
              <w:bottom w:val="single" w:sz="4" w:space="0" w:color="auto"/>
            </w:tcBorders>
            <w:shd w:val="clear" w:color="auto" w:fill="auto"/>
          </w:tcPr>
          <w:p w:rsidR="0047112B" w:rsidRPr="00981E15" w:rsidRDefault="0047112B" w:rsidP="0047112B">
            <w:pPr>
              <w:tabs>
                <w:tab w:val="left" w:pos="288"/>
                <w:tab w:val="left" w:pos="576"/>
                <w:tab w:val="left" w:pos="864"/>
                <w:tab w:val="left" w:pos="1152"/>
              </w:tabs>
              <w:spacing w:before="40" w:after="81"/>
              <w:ind w:right="40"/>
              <w:rPr>
                <w:szCs w:val="24"/>
              </w:rPr>
            </w:pPr>
          </w:p>
        </w:tc>
        <w:tc>
          <w:tcPr>
            <w:tcW w:w="1989" w:type="dxa"/>
            <w:tcBorders>
              <w:bottom w:val="single" w:sz="4" w:space="0" w:color="auto"/>
            </w:tcBorders>
            <w:shd w:val="clear" w:color="auto" w:fill="auto"/>
          </w:tcPr>
          <w:p w:rsidR="0047112B" w:rsidRPr="00981E15" w:rsidRDefault="0047112B" w:rsidP="0047112B">
            <w:pPr>
              <w:tabs>
                <w:tab w:val="left" w:pos="288"/>
                <w:tab w:val="left" w:pos="576"/>
                <w:tab w:val="left" w:pos="864"/>
                <w:tab w:val="left" w:pos="1152"/>
              </w:tabs>
              <w:spacing w:before="40" w:after="81"/>
              <w:ind w:right="40"/>
              <w:rPr>
                <w:szCs w:val="24"/>
              </w:rPr>
            </w:pPr>
            <w:r w:rsidRPr="00981E15">
              <w:rPr>
                <w:szCs w:val="24"/>
              </w:rPr>
              <w:t>Ambiente y Recursos Naturales</w:t>
            </w:r>
          </w:p>
        </w:tc>
        <w:tc>
          <w:tcPr>
            <w:tcW w:w="1812" w:type="dxa"/>
            <w:tcBorders>
              <w:bottom w:val="single" w:sz="4" w:space="0" w:color="auto"/>
            </w:tcBorders>
            <w:shd w:val="clear" w:color="auto" w:fill="auto"/>
          </w:tcPr>
          <w:p w:rsidR="0047112B" w:rsidRPr="00981E15" w:rsidRDefault="0047112B" w:rsidP="0047112B">
            <w:pPr>
              <w:tabs>
                <w:tab w:val="left" w:pos="288"/>
                <w:tab w:val="left" w:pos="576"/>
                <w:tab w:val="left" w:pos="864"/>
                <w:tab w:val="left" w:pos="1152"/>
              </w:tabs>
              <w:spacing w:before="40" w:after="81"/>
              <w:rPr>
                <w:szCs w:val="24"/>
              </w:rPr>
            </w:pPr>
            <w:r w:rsidRPr="00981E15">
              <w:rPr>
                <w:szCs w:val="24"/>
              </w:rPr>
              <w:t>Ambiente y Recursos Naturales</w:t>
            </w:r>
          </w:p>
        </w:tc>
      </w:tr>
      <w:tr w:rsidR="0047112B" w:rsidRPr="00981E15">
        <w:tblPrEx>
          <w:tblCellMar>
            <w:top w:w="0" w:type="dxa"/>
            <w:bottom w:w="0" w:type="dxa"/>
          </w:tblCellMar>
        </w:tblPrEx>
        <w:tc>
          <w:tcPr>
            <w:tcW w:w="2052" w:type="dxa"/>
            <w:tcBorders>
              <w:top w:val="single" w:sz="4" w:space="0" w:color="auto"/>
              <w:bottom w:val="single" w:sz="12" w:space="0" w:color="auto"/>
            </w:tcBorders>
            <w:shd w:val="clear" w:color="auto" w:fill="auto"/>
          </w:tcPr>
          <w:p w:rsidR="0047112B" w:rsidRPr="00981E15" w:rsidRDefault="0047112B" w:rsidP="0047112B">
            <w:pPr>
              <w:tabs>
                <w:tab w:val="left" w:pos="288"/>
                <w:tab w:val="left" w:pos="576"/>
                <w:tab w:val="left" w:pos="864"/>
                <w:tab w:val="left" w:pos="1152"/>
              </w:tabs>
              <w:spacing w:before="81" w:after="81"/>
              <w:ind w:right="40"/>
              <w:jc w:val="center"/>
              <w:rPr>
                <w:b/>
                <w:szCs w:val="24"/>
              </w:rPr>
            </w:pPr>
            <w:r w:rsidRPr="00981E15">
              <w:rPr>
                <w:b/>
                <w:szCs w:val="24"/>
              </w:rPr>
              <w:t>10</w:t>
            </w:r>
          </w:p>
        </w:tc>
        <w:tc>
          <w:tcPr>
            <w:tcW w:w="1467" w:type="dxa"/>
            <w:tcBorders>
              <w:top w:val="single" w:sz="4" w:space="0" w:color="auto"/>
              <w:bottom w:val="single" w:sz="12" w:space="0" w:color="auto"/>
            </w:tcBorders>
            <w:shd w:val="clear" w:color="auto" w:fill="auto"/>
          </w:tcPr>
          <w:p w:rsidR="0047112B" w:rsidRPr="00981E15" w:rsidRDefault="0047112B" w:rsidP="0047112B">
            <w:pPr>
              <w:tabs>
                <w:tab w:val="left" w:pos="288"/>
                <w:tab w:val="left" w:pos="576"/>
                <w:tab w:val="left" w:pos="864"/>
                <w:tab w:val="left" w:pos="1152"/>
              </w:tabs>
              <w:spacing w:before="81" w:after="81"/>
              <w:ind w:right="40"/>
              <w:jc w:val="center"/>
              <w:rPr>
                <w:b/>
                <w:szCs w:val="24"/>
              </w:rPr>
            </w:pPr>
            <w:r w:rsidRPr="00981E15">
              <w:rPr>
                <w:b/>
                <w:szCs w:val="24"/>
              </w:rPr>
              <w:t>3</w:t>
            </w:r>
          </w:p>
        </w:tc>
        <w:tc>
          <w:tcPr>
            <w:tcW w:w="1989" w:type="dxa"/>
            <w:tcBorders>
              <w:top w:val="single" w:sz="4" w:space="0" w:color="auto"/>
              <w:bottom w:val="single" w:sz="12" w:space="0" w:color="auto"/>
            </w:tcBorders>
            <w:shd w:val="clear" w:color="auto" w:fill="auto"/>
          </w:tcPr>
          <w:p w:rsidR="0047112B" w:rsidRPr="00981E15" w:rsidRDefault="0047112B" w:rsidP="0047112B">
            <w:pPr>
              <w:tabs>
                <w:tab w:val="left" w:pos="288"/>
                <w:tab w:val="left" w:pos="576"/>
                <w:tab w:val="left" w:pos="864"/>
                <w:tab w:val="left" w:pos="1152"/>
              </w:tabs>
              <w:spacing w:before="81" w:after="81"/>
              <w:ind w:right="40"/>
              <w:jc w:val="center"/>
              <w:rPr>
                <w:b/>
                <w:szCs w:val="24"/>
              </w:rPr>
            </w:pPr>
            <w:r w:rsidRPr="00981E15">
              <w:rPr>
                <w:b/>
                <w:szCs w:val="24"/>
              </w:rPr>
              <w:t>8</w:t>
            </w:r>
          </w:p>
        </w:tc>
        <w:tc>
          <w:tcPr>
            <w:tcW w:w="1812" w:type="dxa"/>
            <w:tcBorders>
              <w:top w:val="single" w:sz="4" w:space="0" w:color="auto"/>
              <w:bottom w:val="single" w:sz="12" w:space="0" w:color="auto"/>
            </w:tcBorders>
            <w:shd w:val="clear" w:color="auto" w:fill="auto"/>
          </w:tcPr>
          <w:p w:rsidR="0047112B" w:rsidRPr="00981E15" w:rsidRDefault="0047112B" w:rsidP="0047112B">
            <w:pPr>
              <w:tabs>
                <w:tab w:val="left" w:pos="288"/>
                <w:tab w:val="left" w:pos="576"/>
                <w:tab w:val="left" w:pos="864"/>
                <w:tab w:val="left" w:pos="1152"/>
              </w:tabs>
              <w:spacing w:before="81" w:after="81"/>
              <w:jc w:val="center"/>
              <w:rPr>
                <w:b/>
                <w:szCs w:val="24"/>
              </w:rPr>
            </w:pPr>
            <w:r w:rsidRPr="00981E15">
              <w:rPr>
                <w:b/>
                <w:szCs w:val="24"/>
              </w:rPr>
              <w:t>22</w:t>
            </w:r>
          </w:p>
        </w:tc>
      </w:tr>
    </w:tbl>
    <w:p w:rsidR="0047112B" w:rsidRPr="00981E15" w:rsidRDefault="0047112B" w:rsidP="0047112B">
      <w:pPr>
        <w:pStyle w:val="SingleTxt"/>
        <w:suppressAutoHyphens/>
        <w:spacing w:after="0" w:line="120" w:lineRule="exact"/>
        <w:rPr>
          <w:sz w:val="10"/>
        </w:rPr>
      </w:pPr>
    </w:p>
    <w:p w:rsidR="0047112B" w:rsidRPr="00981E15" w:rsidRDefault="0047112B" w:rsidP="0047112B">
      <w:pPr>
        <w:pStyle w:val="SingleTxt"/>
        <w:suppressAutoHyphens/>
        <w:spacing w:after="0" w:line="120" w:lineRule="exact"/>
        <w:rPr>
          <w:sz w:val="10"/>
        </w:rPr>
      </w:pPr>
    </w:p>
    <w:p w:rsidR="0047112B" w:rsidRPr="00981E15" w:rsidRDefault="0047112B" w:rsidP="00E6615B">
      <w:pPr>
        <w:pStyle w:val="SingleTxt"/>
        <w:numPr>
          <w:ilvl w:val="0"/>
          <w:numId w:val="24"/>
        </w:numPr>
        <w:tabs>
          <w:tab w:val="clear" w:pos="475"/>
          <w:tab w:val="num" w:pos="1742"/>
        </w:tabs>
        <w:suppressAutoHyphens/>
        <w:ind w:left="1267"/>
      </w:pPr>
      <w:r w:rsidRPr="00981E15">
        <w:t>De las trece Secretarías de la Presidencia de la República, ocho mujeres ocupan el cargo de Secretarías. Seis mujeres están a cargo de las Sub-Secretarías.</w:t>
      </w:r>
    </w:p>
    <w:p w:rsidR="0047112B" w:rsidRPr="00981E15" w:rsidRDefault="0047112B" w:rsidP="0047112B">
      <w:pPr>
        <w:pStyle w:val="SingleTxt"/>
        <w:tabs>
          <w:tab w:val="clear" w:pos="1742"/>
        </w:tabs>
        <w:suppressAutoHyphens/>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981E15">
        <w:rPr>
          <w:b w:val="0"/>
        </w:rPr>
        <w:t>Cuadro 13</w:t>
      </w:r>
      <w:r w:rsidRPr="00981E15">
        <w:br/>
        <w:t>Cargos de Secretarías ocupadas por mujeres</w:t>
      </w:r>
    </w:p>
    <w:p w:rsidR="0047112B" w:rsidRPr="00981E15" w:rsidRDefault="0047112B" w:rsidP="0047112B">
      <w:pPr>
        <w:pStyle w:val="SingleTxt"/>
        <w:spacing w:after="0" w:line="120" w:lineRule="exact"/>
        <w:rPr>
          <w:sz w:val="10"/>
        </w:rPr>
      </w:pPr>
    </w:p>
    <w:p w:rsidR="00F37FCE" w:rsidRPr="00981E15" w:rsidRDefault="00F37FCE"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47112B" w:rsidRPr="00981E15">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Secretario</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Secretaria</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Sub-Secretario</w:t>
            </w:r>
          </w:p>
        </w:tc>
        <w:tc>
          <w:tcPr>
            <w:tcW w:w="1830"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rPr>
                <w:i/>
                <w:sz w:val="14"/>
              </w:rPr>
            </w:pPr>
            <w:r w:rsidRPr="00981E15">
              <w:rPr>
                <w:i/>
                <w:sz w:val="14"/>
              </w:rPr>
              <w:t>Sub-Secretaria</w:t>
            </w:r>
          </w:p>
        </w:tc>
      </w:tr>
      <w:tr w:rsidR="0047112B" w:rsidRPr="00981E1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ind w:right="40"/>
            </w:pPr>
          </w:p>
        </w:tc>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ind w:right="40"/>
            </w:pPr>
          </w:p>
        </w:tc>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ind w:right="40"/>
            </w:pPr>
          </w:p>
        </w:tc>
        <w:tc>
          <w:tcPr>
            <w:tcW w:w="1830"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0"/>
            </w:pP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General de la Presidencia</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General de la Presidencia</w:t>
            </w: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Privado de la Presidencia</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Privado de la Presidencia</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Comunicación Social</w:t>
            </w:r>
          </w:p>
        </w:tc>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 xml:space="preserve">Asuntos Administrativos y de Seguridad </w:t>
            </w:r>
          </w:p>
        </w:tc>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E6615B">
            <w:pPr>
              <w:pStyle w:val="NormalWeb"/>
              <w:keepNext/>
              <w:keepLines/>
              <w:tabs>
                <w:tab w:val="left" w:pos="288"/>
                <w:tab w:val="left" w:pos="576"/>
                <w:tab w:val="left" w:pos="864"/>
                <w:tab w:val="left" w:pos="1152"/>
              </w:tabs>
              <w:suppressAutoHyphens/>
              <w:spacing w:before="40" w:after="80" w:line="240" w:lineRule="exact"/>
              <w:ind w:right="43"/>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Coordinación Ejecutiva de la Presidencia</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Coordinación Ejecutiva de la Presidencia</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Coordinación Ejecutiva de la Presidencia</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Análisis Estratégico</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Análisis Estratégico</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Planificación y Programación</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Planificación y Programación</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Planificación y Programación</w:t>
            </w: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Planificación y Programación</w:t>
            </w: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Bienestar Social</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Bienestar Social</w:t>
            </w: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De la Paz</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De la Paz</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Obras Sociales</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Obras Sociales</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Asuntos Agrarios</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Asuntos Agrarios</w:t>
            </w: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Asuntos Agrarios</w:t>
            </w:r>
          </w:p>
        </w:tc>
      </w:tr>
      <w:tr w:rsidR="0047112B" w:rsidRPr="00981E15">
        <w:tblPrEx>
          <w:tblCellMar>
            <w:top w:w="0" w:type="dxa"/>
            <w:bottom w:w="0" w:type="dxa"/>
          </w:tblCellMar>
        </w:tblPrEx>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spacing w:val="4"/>
                <w:w w:val="103"/>
                <w:kern w:val="14"/>
                <w:sz w:val="20"/>
                <w:lang w:val="es-ES"/>
              </w:rPr>
              <w:t>Seguridad Alimentaria y Nutricional</w:t>
            </w: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p>
        </w:tc>
        <w:tc>
          <w:tcPr>
            <w:tcW w:w="1830" w:type="dxa"/>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0"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Seguridad Alimentaria y Nutricional</w:t>
            </w:r>
          </w:p>
        </w:tc>
      </w:tr>
      <w:tr w:rsidR="0047112B" w:rsidRPr="00981E15">
        <w:tblPrEx>
          <w:tblCellMar>
            <w:top w:w="0" w:type="dxa"/>
            <w:bottom w:w="0" w:type="dxa"/>
          </w:tblCellMar>
        </w:tblPrEx>
        <w:tc>
          <w:tcPr>
            <w:tcW w:w="1830" w:type="dxa"/>
            <w:tcBorders>
              <w:bottom w:val="single" w:sz="4"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1" w:line="240" w:lineRule="exact"/>
              <w:ind w:right="40"/>
              <w:rPr>
                <w:rFonts w:ascii="Times New Roman" w:hAnsi="Times New Roman" w:cs="Times New Roman"/>
                <w:bCs/>
                <w:spacing w:val="4"/>
                <w:w w:val="103"/>
                <w:kern w:val="14"/>
                <w:sz w:val="20"/>
                <w:lang w:val="es-ES"/>
              </w:rPr>
            </w:pPr>
          </w:p>
        </w:tc>
        <w:tc>
          <w:tcPr>
            <w:tcW w:w="1830" w:type="dxa"/>
            <w:tcBorders>
              <w:bottom w:val="single" w:sz="4"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1"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De la Mujer</w:t>
            </w:r>
          </w:p>
        </w:tc>
        <w:tc>
          <w:tcPr>
            <w:tcW w:w="1830" w:type="dxa"/>
            <w:tcBorders>
              <w:bottom w:val="single" w:sz="4"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1" w:line="240" w:lineRule="exact"/>
              <w:ind w:right="40"/>
              <w:rPr>
                <w:rFonts w:ascii="Times New Roman" w:hAnsi="Times New Roman" w:cs="Times New Roman"/>
                <w:bCs/>
                <w:spacing w:val="4"/>
                <w:w w:val="103"/>
                <w:kern w:val="14"/>
                <w:sz w:val="20"/>
                <w:lang w:val="es-ES"/>
              </w:rPr>
            </w:pPr>
          </w:p>
        </w:tc>
        <w:tc>
          <w:tcPr>
            <w:tcW w:w="1830" w:type="dxa"/>
            <w:tcBorders>
              <w:bottom w:val="single" w:sz="4"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40" w:after="81" w:line="240" w:lineRule="exact"/>
              <w:ind w:right="40"/>
              <w:rPr>
                <w:rFonts w:ascii="Times New Roman" w:hAnsi="Times New Roman" w:cs="Times New Roman"/>
                <w:bCs/>
                <w:spacing w:val="4"/>
                <w:w w:val="103"/>
                <w:kern w:val="14"/>
                <w:sz w:val="20"/>
                <w:lang w:val="es-ES"/>
              </w:rPr>
            </w:pPr>
            <w:r w:rsidRPr="00981E15">
              <w:rPr>
                <w:rFonts w:ascii="Times New Roman" w:hAnsi="Times New Roman" w:cs="Times New Roman"/>
                <w:bCs/>
                <w:spacing w:val="4"/>
                <w:w w:val="103"/>
                <w:kern w:val="14"/>
                <w:sz w:val="20"/>
                <w:lang w:val="es-ES"/>
              </w:rPr>
              <w:t>De la Mujer</w:t>
            </w:r>
          </w:p>
        </w:tc>
      </w:tr>
      <w:tr w:rsidR="0047112B" w:rsidRPr="00981E15">
        <w:tblPrEx>
          <w:tblCellMar>
            <w:top w:w="0" w:type="dxa"/>
            <w:bottom w:w="0" w:type="dxa"/>
          </w:tblCellMar>
        </w:tblPrEx>
        <w:tc>
          <w:tcPr>
            <w:tcW w:w="1830" w:type="dxa"/>
            <w:tcBorders>
              <w:top w:val="single" w:sz="4" w:space="0" w:color="auto"/>
              <w:bottom w:val="single" w:sz="12"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81" w:after="81" w:line="240" w:lineRule="exact"/>
              <w:ind w:right="40"/>
              <w:jc w:val="center"/>
              <w:rPr>
                <w:rFonts w:ascii="Times New Roman" w:hAnsi="Times New Roman" w:cs="Times New Roman"/>
                <w:b/>
                <w:bCs/>
                <w:spacing w:val="4"/>
                <w:w w:val="103"/>
                <w:kern w:val="14"/>
                <w:sz w:val="20"/>
                <w:lang w:val="es-ES"/>
              </w:rPr>
            </w:pPr>
            <w:r w:rsidRPr="00981E15">
              <w:rPr>
                <w:rFonts w:ascii="Times New Roman" w:hAnsi="Times New Roman" w:cs="Times New Roman"/>
                <w:b/>
                <w:bCs/>
                <w:spacing w:val="4"/>
                <w:w w:val="103"/>
                <w:kern w:val="14"/>
                <w:sz w:val="20"/>
                <w:lang w:val="es-ES"/>
              </w:rPr>
              <w:t>5</w:t>
            </w:r>
          </w:p>
        </w:tc>
        <w:tc>
          <w:tcPr>
            <w:tcW w:w="1830" w:type="dxa"/>
            <w:tcBorders>
              <w:top w:val="single" w:sz="4" w:space="0" w:color="auto"/>
              <w:bottom w:val="single" w:sz="12"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81" w:after="81" w:line="240" w:lineRule="exact"/>
              <w:ind w:right="40"/>
              <w:jc w:val="center"/>
              <w:rPr>
                <w:rFonts w:ascii="Times New Roman" w:hAnsi="Times New Roman" w:cs="Times New Roman"/>
                <w:b/>
                <w:bCs/>
                <w:spacing w:val="4"/>
                <w:w w:val="103"/>
                <w:kern w:val="14"/>
                <w:sz w:val="20"/>
                <w:lang w:val="es-ES"/>
              </w:rPr>
            </w:pPr>
            <w:r w:rsidRPr="00981E15">
              <w:rPr>
                <w:rFonts w:ascii="Times New Roman" w:hAnsi="Times New Roman" w:cs="Times New Roman"/>
                <w:b/>
                <w:bCs/>
                <w:spacing w:val="4"/>
                <w:w w:val="103"/>
                <w:kern w:val="14"/>
                <w:sz w:val="20"/>
                <w:lang w:val="es-ES"/>
              </w:rPr>
              <w:t>8</w:t>
            </w:r>
          </w:p>
        </w:tc>
        <w:tc>
          <w:tcPr>
            <w:tcW w:w="1830" w:type="dxa"/>
            <w:tcBorders>
              <w:top w:val="single" w:sz="4" w:space="0" w:color="auto"/>
              <w:bottom w:val="single" w:sz="12"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81" w:after="81" w:line="240" w:lineRule="exact"/>
              <w:ind w:right="40"/>
              <w:jc w:val="center"/>
              <w:rPr>
                <w:rFonts w:ascii="Times New Roman" w:hAnsi="Times New Roman" w:cs="Times New Roman"/>
                <w:b/>
                <w:bCs/>
                <w:spacing w:val="4"/>
                <w:w w:val="103"/>
                <w:kern w:val="14"/>
                <w:sz w:val="20"/>
                <w:lang w:val="es-ES"/>
              </w:rPr>
            </w:pPr>
            <w:r w:rsidRPr="00981E15">
              <w:rPr>
                <w:rFonts w:ascii="Times New Roman" w:hAnsi="Times New Roman" w:cs="Times New Roman"/>
                <w:b/>
                <w:bCs/>
                <w:spacing w:val="4"/>
                <w:w w:val="103"/>
                <w:kern w:val="14"/>
                <w:sz w:val="20"/>
                <w:lang w:val="es-ES"/>
              </w:rPr>
              <w:t>7</w:t>
            </w:r>
          </w:p>
        </w:tc>
        <w:tc>
          <w:tcPr>
            <w:tcW w:w="1830" w:type="dxa"/>
            <w:tcBorders>
              <w:top w:val="single" w:sz="4" w:space="0" w:color="auto"/>
              <w:bottom w:val="single" w:sz="12" w:space="0" w:color="auto"/>
            </w:tcBorders>
            <w:shd w:val="clear" w:color="auto" w:fill="auto"/>
          </w:tcPr>
          <w:p w:rsidR="0047112B" w:rsidRPr="00981E15" w:rsidRDefault="0047112B" w:rsidP="0047112B">
            <w:pPr>
              <w:pStyle w:val="NormalWeb"/>
              <w:tabs>
                <w:tab w:val="left" w:pos="288"/>
                <w:tab w:val="left" w:pos="576"/>
                <w:tab w:val="left" w:pos="864"/>
                <w:tab w:val="left" w:pos="1152"/>
              </w:tabs>
              <w:suppressAutoHyphens/>
              <w:spacing w:before="81" w:after="81" w:line="240" w:lineRule="exact"/>
              <w:ind w:right="40"/>
              <w:jc w:val="center"/>
              <w:rPr>
                <w:rFonts w:ascii="Times New Roman" w:hAnsi="Times New Roman" w:cs="Times New Roman"/>
                <w:b/>
                <w:bCs/>
                <w:spacing w:val="4"/>
                <w:w w:val="103"/>
                <w:kern w:val="14"/>
                <w:sz w:val="20"/>
                <w:lang w:val="es-ES"/>
              </w:rPr>
            </w:pPr>
            <w:r w:rsidRPr="00981E15">
              <w:rPr>
                <w:rFonts w:ascii="Times New Roman" w:hAnsi="Times New Roman" w:cs="Times New Roman"/>
                <w:b/>
                <w:bCs/>
                <w:spacing w:val="4"/>
                <w:w w:val="103"/>
                <w:kern w:val="14"/>
                <w:sz w:val="20"/>
                <w:lang w:val="es-ES"/>
              </w:rPr>
              <w:t>8</w:t>
            </w:r>
          </w:p>
        </w:tc>
      </w:tr>
    </w:tbl>
    <w:p w:rsidR="0047112B" w:rsidRPr="00981E15" w:rsidRDefault="0047112B" w:rsidP="0047112B">
      <w:pPr>
        <w:pStyle w:val="SingleTxt"/>
        <w:tabs>
          <w:tab w:val="clear" w:pos="1742"/>
        </w:tabs>
        <w:suppressAutoHyphens/>
        <w:spacing w:after="0" w:line="120" w:lineRule="exact"/>
        <w:rPr>
          <w:sz w:val="10"/>
        </w:rPr>
      </w:pPr>
    </w:p>
    <w:p w:rsidR="0047112B" w:rsidRPr="00981E15" w:rsidRDefault="0047112B" w:rsidP="0047112B">
      <w:pPr>
        <w:pStyle w:val="SingleTxt"/>
        <w:tabs>
          <w:tab w:val="clear" w:pos="1742"/>
        </w:tabs>
        <w:suppressAutoHyphens/>
        <w:spacing w:after="0" w:line="120" w:lineRule="exact"/>
        <w:rPr>
          <w:sz w:val="10"/>
        </w:rPr>
      </w:pPr>
    </w:p>
    <w:p w:rsidR="0047112B" w:rsidRPr="00981E15" w:rsidRDefault="0047112B" w:rsidP="00E6615B">
      <w:pPr>
        <w:pStyle w:val="SingleTxt"/>
        <w:numPr>
          <w:ilvl w:val="0"/>
          <w:numId w:val="24"/>
        </w:numPr>
        <w:tabs>
          <w:tab w:val="clear" w:pos="475"/>
          <w:tab w:val="num" w:pos="1742"/>
        </w:tabs>
        <w:suppressAutoHyphens/>
        <w:ind w:left="1267"/>
      </w:pPr>
      <w:r w:rsidRPr="00981E15">
        <w:t xml:space="preserve">Así también, la Superintendencia de Administración Tributaria (SAT) y la Presidencia del Banco de Guatemala, en este último por primera vez en la historia, se encuentran a cargo de mujeres. </w:t>
      </w:r>
    </w:p>
    <w:p w:rsidR="0047112B" w:rsidRPr="00981E15" w:rsidRDefault="0047112B" w:rsidP="0047112B">
      <w:pPr>
        <w:pStyle w:val="SingleTxt"/>
        <w:suppressAutoHyphens/>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Organismo Judicial</w:t>
      </w:r>
    </w:p>
    <w:p w:rsidR="0047112B" w:rsidRPr="00981E15" w:rsidRDefault="0047112B" w:rsidP="0047112B">
      <w:pPr>
        <w:pStyle w:val="SingleTxt"/>
        <w:suppressAutoHyphens/>
        <w:spacing w:after="0" w:line="120" w:lineRule="exact"/>
        <w:rPr>
          <w:sz w:val="10"/>
        </w:rPr>
      </w:pPr>
    </w:p>
    <w:p w:rsidR="0047112B" w:rsidRPr="00981E15" w:rsidRDefault="0047112B" w:rsidP="00E6615B">
      <w:pPr>
        <w:pStyle w:val="SingleTxt"/>
        <w:numPr>
          <w:ilvl w:val="0"/>
          <w:numId w:val="24"/>
        </w:numPr>
        <w:tabs>
          <w:tab w:val="clear" w:pos="475"/>
          <w:tab w:val="num" w:pos="1742"/>
        </w:tabs>
        <w:suppressAutoHyphens/>
        <w:ind w:left="1267"/>
      </w:pPr>
      <w:r w:rsidRPr="00981E15">
        <w:t xml:space="preserve">El Organismo Judicial está compuesto por trece Magistrados y Magistradas, que permanecen en el cargo por cuatro años. En el período 2005-2006 por primera vez en la historia del Organismo Judicial, una mujer fue electa para presidir la Corte Suprema de Justicia y el Organismo Judicial, la Licenciada Beatriz de León de Barreda. </w:t>
      </w:r>
    </w:p>
    <w:p w:rsidR="0047112B" w:rsidRPr="00981E15" w:rsidRDefault="0047112B" w:rsidP="00F37FCE">
      <w:pPr>
        <w:pStyle w:val="SingleTxt"/>
        <w:suppressAutoHyphens/>
      </w:pPr>
    </w:p>
    <w:p w:rsidR="00F37FCE" w:rsidRPr="00981E15" w:rsidRDefault="00F37FCE" w:rsidP="00F37FCE">
      <w:pPr>
        <w:pStyle w:val="SingleTxt"/>
        <w:suppressAutoHyphens/>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981E15">
        <w:rPr>
          <w:b w:val="0"/>
        </w:rPr>
        <w:t>Cuadro 14</w:t>
      </w:r>
      <w:r w:rsidRPr="00981E15">
        <w:br/>
        <w:t>Personal que labora en el Organismo Judicial (2007)</w:t>
      </w:r>
    </w:p>
    <w:p w:rsidR="0047112B" w:rsidRPr="00981E15" w:rsidRDefault="0047112B" w:rsidP="0047112B">
      <w:pPr>
        <w:pStyle w:val="SingleTxt"/>
        <w:spacing w:after="0" w:line="120" w:lineRule="exact"/>
        <w:rPr>
          <w:sz w:val="10"/>
        </w:rPr>
      </w:pPr>
    </w:p>
    <w:p w:rsidR="00F37FCE" w:rsidRPr="00981E15" w:rsidRDefault="00F37FCE" w:rsidP="004711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06"/>
        <w:gridCol w:w="2025"/>
        <w:gridCol w:w="1197"/>
        <w:gridCol w:w="1092"/>
      </w:tblGrid>
      <w:tr w:rsidR="0047112B" w:rsidRPr="00981E15">
        <w:tblPrEx>
          <w:tblCellMar>
            <w:top w:w="0" w:type="dxa"/>
            <w:bottom w:w="0" w:type="dxa"/>
          </w:tblCellMar>
        </w:tblPrEx>
        <w:trPr>
          <w:tblHeader/>
        </w:trPr>
        <w:tc>
          <w:tcPr>
            <w:tcW w:w="3006"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rPr>
                <w:i/>
                <w:sz w:val="14"/>
              </w:rPr>
            </w:pPr>
            <w:r w:rsidRPr="00981E15">
              <w:rPr>
                <w:i/>
                <w:sz w:val="14"/>
              </w:rPr>
              <w:t>Cargo</w:t>
            </w:r>
          </w:p>
        </w:tc>
        <w:tc>
          <w:tcPr>
            <w:tcW w:w="2025"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Hombres</w:t>
            </w:r>
          </w:p>
        </w:tc>
        <w:tc>
          <w:tcPr>
            <w:tcW w:w="1197"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Mujeres</w:t>
            </w:r>
          </w:p>
        </w:tc>
        <w:tc>
          <w:tcPr>
            <w:tcW w:w="1092"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0" w:after="80" w:line="160" w:lineRule="exact"/>
              <w:ind w:right="40"/>
              <w:jc w:val="right"/>
              <w:rPr>
                <w:i/>
                <w:sz w:val="14"/>
              </w:rPr>
            </w:pPr>
            <w:r w:rsidRPr="00981E15">
              <w:rPr>
                <w:i/>
                <w:sz w:val="14"/>
              </w:rPr>
              <w:t>Total</w:t>
            </w:r>
          </w:p>
        </w:tc>
      </w:tr>
      <w:tr w:rsidR="0047112B" w:rsidRPr="00981E15">
        <w:tblPrEx>
          <w:tblCellMar>
            <w:top w:w="0" w:type="dxa"/>
            <w:bottom w:w="0" w:type="dxa"/>
          </w:tblCellMar>
        </w:tblPrEx>
        <w:trPr>
          <w:trHeight w:hRule="exact" w:val="115"/>
          <w:tblHeader/>
        </w:trPr>
        <w:tc>
          <w:tcPr>
            <w:tcW w:w="3006"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rPr>
            </w:pPr>
          </w:p>
        </w:tc>
        <w:tc>
          <w:tcPr>
            <w:tcW w:w="2025"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197"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c>
          <w:tcPr>
            <w:tcW w:w="1092" w:type="dxa"/>
            <w:tcBorders>
              <w:top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rPr>
            </w:pP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24"/>
              </w:rPr>
            </w:pPr>
            <w:r w:rsidRPr="00981E15">
              <w:rPr>
                <w:sz w:val="17"/>
                <w:szCs w:val="24"/>
              </w:rPr>
              <w:t>Auxiliares Órganos Jurisdiccionales</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w:t>
            </w:r>
            <w:r w:rsidR="00F37FCE" w:rsidRPr="00981E15">
              <w:rPr>
                <w:sz w:val="17"/>
                <w:szCs w:val="24"/>
              </w:rPr>
              <w:t xml:space="preserve"> </w:t>
            </w:r>
            <w:r w:rsidRPr="00981E15">
              <w:rPr>
                <w:sz w:val="17"/>
                <w:szCs w:val="24"/>
              </w:rPr>
              <w:t>692</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w:t>
            </w:r>
            <w:r w:rsidR="00F37FCE" w:rsidRPr="00981E15">
              <w:rPr>
                <w:sz w:val="17"/>
                <w:szCs w:val="24"/>
              </w:rPr>
              <w:t xml:space="preserve"> </w:t>
            </w:r>
            <w:r w:rsidRPr="00981E15">
              <w:rPr>
                <w:sz w:val="17"/>
                <w:szCs w:val="24"/>
              </w:rPr>
              <w:t>376</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3</w:t>
            </w:r>
            <w:r w:rsidR="00F37FCE" w:rsidRPr="00981E15">
              <w:rPr>
                <w:b/>
                <w:sz w:val="17"/>
                <w:szCs w:val="24"/>
              </w:rPr>
              <w:t xml:space="preserve"> </w:t>
            </w:r>
            <w:r w:rsidRPr="00981E15">
              <w:rPr>
                <w:b/>
                <w:sz w:val="17"/>
                <w:szCs w:val="24"/>
              </w:rPr>
              <w:t>068</w:t>
            </w: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24"/>
              </w:rPr>
            </w:pPr>
            <w:r w:rsidRPr="00981E15">
              <w:rPr>
                <w:sz w:val="17"/>
                <w:szCs w:val="24"/>
              </w:rPr>
              <w:t xml:space="preserve">Auxiliares Órganos Jurisdiccionales que hablan algún idioma maya </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227</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60</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287</w:t>
            </w: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24"/>
              </w:rPr>
            </w:pPr>
            <w:r w:rsidRPr="00981E15">
              <w:rPr>
                <w:sz w:val="17"/>
                <w:szCs w:val="24"/>
              </w:rPr>
              <w:t>Magistrados y Jueces</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512</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253</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765</w:t>
            </w: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24"/>
              </w:rPr>
            </w:pPr>
            <w:r w:rsidRPr="00981E15">
              <w:rPr>
                <w:sz w:val="17"/>
                <w:szCs w:val="24"/>
              </w:rPr>
              <w:t>Magistrados y Jueces que hablan algún idioma maya</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100</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13</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113</w:t>
            </w:r>
          </w:p>
        </w:tc>
      </w:tr>
      <w:tr w:rsidR="0047112B" w:rsidRPr="00981E15">
        <w:tblPrEx>
          <w:tblCellMar>
            <w:top w:w="0" w:type="dxa"/>
            <w:bottom w:w="0" w:type="dxa"/>
          </w:tblCellMar>
        </w:tblPrEx>
        <w:tc>
          <w:tcPr>
            <w:tcW w:w="3006"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rPr>
                <w:sz w:val="17"/>
                <w:szCs w:val="24"/>
              </w:rPr>
            </w:pPr>
            <w:r w:rsidRPr="00981E15">
              <w:rPr>
                <w:sz w:val="17"/>
                <w:szCs w:val="24"/>
              </w:rPr>
              <w:t>Personal administrativo</w:t>
            </w:r>
          </w:p>
        </w:tc>
        <w:tc>
          <w:tcPr>
            <w:tcW w:w="2025"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w:t>
            </w:r>
            <w:r w:rsidR="00F37FCE" w:rsidRPr="00981E15">
              <w:rPr>
                <w:sz w:val="17"/>
                <w:szCs w:val="24"/>
              </w:rPr>
              <w:t xml:space="preserve"> </w:t>
            </w:r>
            <w:r w:rsidRPr="00981E15">
              <w:rPr>
                <w:sz w:val="17"/>
                <w:szCs w:val="24"/>
              </w:rPr>
              <w:t>784</w:t>
            </w:r>
          </w:p>
        </w:tc>
        <w:tc>
          <w:tcPr>
            <w:tcW w:w="1197"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890</w:t>
            </w:r>
          </w:p>
        </w:tc>
        <w:tc>
          <w:tcPr>
            <w:tcW w:w="1092" w:type="dxa"/>
            <w:shd w:val="clear" w:color="auto" w:fill="auto"/>
            <w:vAlign w:val="bottom"/>
          </w:tcPr>
          <w:p w:rsidR="0047112B" w:rsidRPr="00981E15" w:rsidRDefault="0047112B" w:rsidP="0047112B">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2</w:t>
            </w:r>
            <w:r w:rsidR="00F37FCE" w:rsidRPr="00981E15">
              <w:rPr>
                <w:b/>
                <w:sz w:val="17"/>
                <w:szCs w:val="24"/>
              </w:rPr>
              <w:t xml:space="preserve"> </w:t>
            </w:r>
            <w:r w:rsidRPr="00981E15">
              <w:rPr>
                <w:b/>
                <w:sz w:val="17"/>
                <w:szCs w:val="24"/>
              </w:rPr>
              <w:t>674</w:t>
            </w:r>
          </w:p>
        </w:tc>
      </w:tr>
      <w:tr w:rsidR="0047112B" w:rsidRPr="00981E15">
        <w:tblPrEx>
          <w:tblCellMar>
            <w:top w:w="0" w:type="dxa"/>
            <w:bottom w:w="0" w:type="dxa"/>
          </w:tblCellMar>
        </w:tblPrEx>
        <w:tc>
          <w:tcPr>
            <w:tcW w:w="3006"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rPr>
                <w:sz w:val="17"/>
                <w:szCs w:val="24"/>
              </w:rPr>
            </w:pPr>
            <w:r w:rsidRPr="00981E15">
              <w:rPr>
                <w:sz w:val="17"/>
                <w:szCs w:val="24"/>
              </w:rPr>
              <w:t>Personal administrativo que habla algún idioma maya</w:t>
            </w:r>
          </w:p>
        </w:tc>
        <w:tc>
          <w:tcPr>
            <w:tcW w:w="2025"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jc w:val="right"/>
              <w:rPr>
                <w:sz w:val="17"/>
                <w:szCs w:val="24"/>
              </w:rPr>
            </w:pPr>
            <w:r w:rsidRPr="00981E15">
              <w:rPr>
                <w:sz w:val="17"/>
                <w:szCs w:val="24"/>
              </w:rPr>
              <w:t>227</w:t>
            </w:r>
          </w:p>
        </w:tc>
        <w:tc>
          <w:tcPr>
            <w:tcW w:w="1197"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jc w:val="right"/>
              <w:rPr>
                <w:sz w:val="17"/>
                <w:szCs w:val="24"/>
              </w:rPr>
            </w:pPr>
            <w:r w:rsidRPr="00981E15">
              <w:rPr>
                <w:sz w:val="17"/>
                <w:szCs w:val="24"/>
              </w:rPr>
              <w:t>60</w:t>
            </w:r>
          </w:p>
        </w:tc>
        <w:tc>
          <w:tcPr>
            <w:tcW w:w="1092" w:type="dxa"/>
            <w:tcBorders>
              <w:bottom w:val="single" w:sz="4"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40" w:after="81" w:line="210" w:lineRule="exact"/>
              <w:ind w:right="40"/>
              <w:jc w:val="right"/>
              <w:rPr>
                <w:b/>
                <w:sz w:val="17"/>
                <w:szCs w:val="24"/>
              </w:rPr>
            </w:pPr>
            <w:r w:rsidRPr="00981E15">
              <w:rPr>
                <w:b/>
                <w:sz w:val="17"/>
                <w:szCs w:val="24"/>
              </w:rPr>
              <w:t>287</w:t>
            </w:r>
          </w:p>
        </w:tc>
      </w:tr>
      <w:tr w:rsidR="0047112B" w:rsidRPr="00981E15">
        <w:tblPrEx>
          <w:tblCellMar>
            <w:top w:w="0" w:type="dxa"/>
            <w:bottom w:w="0" w:type="dxa"/>
          </w:tblCellMar>
        </w:tblPrEx>
        <w:tc>
          <w:tcPr>
            <w:tcW w:w="3006"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rPr>
                <w:b/>
                <w:sz w:val="17"/>
                <w:szCs w:val="24"/>
              </w:rPr>
            </w:pPr>
            <w:r w:rsidRPr="00981E15">
              <w:rPr>
                <w:b/>
                <w:sz w:val="17"/>
                <w:szCs w:val="24"/>
              </w:rPr>
              <w:tab/>
              <w:t xml:space="preserve">Total </w:t>
            </w:r>
          </w:p>
        </w:tc>
        <w:tc>
          <w:tcPr>
            <w:tcW w:w="2025"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4</w:t>
            </w:r>
            <w:r w:rsidR="00F37FCE" w:rsidRPr="00981E15">
              <w:rPr>
                <w:b/>
                <w:sz w:val="17"/>
                <w:szCs w:val="24"/>
              </w:rPr>
              <w:t xml:space="preserve"> </w:t>
            </w:r>
            <w:r w:rsidRPr="00981E15">
              <w:rPr>
                <w:b/>
                <w:sz w:val="17"/>
                <w:szCs w:val="24"/>
              </w:rPr>
              <w:t>542</w:t>
            </w:r>
          </w:p>
        </w:tc>
        <w:tc>
          <w:tcPr>
            <w:tcW w:w="1197"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2</w:t>
            </w:r>
            <w:r w:rsidR="00F37FCE" w:rsidRPr="00981E15">
              <w:rPr>
                <w:b/>
                <w:sz w:val="17"/>
                <w:szCs w:val="24"/>
              </w:rPr>
              <w:t xml:space="preserve"> </w:t>
            </w:r>
            <w:r w:rsidRPr="00981E15">
              <w:rPr>
                <w:b/>
                <w:sz w:val="17"/>
                <w:szCs w:val="24"/>
              </w:rPr>
              <w:t>652</w:t>
            </w:r>
          </w:p>
        </w:tc>
        <w:tc>
          <w:tcPr>
            <w:tcW w:w="1092" w:type="dxa"/>
            <w:tcBorders>
              <w:top w:val="single" w:sz="4" w:space="0" w:color="auto"/>
              <w:bottom w:val="single" w:sz="12" w:space="0" w:color="auto"/>
            </w:tcBorders>
            <w:shd w:val="clear" w:color="auto" w:fill="auto"/>
            <w:vAlign w:val="bottom"/>
          </w:tcPr>
          <w:p w:rsidR="0047112B" w:rsidRPr="00981E15" w:rsidRDefault="0047112B" w:rsidP="0047112B">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7</w:t>
            </w:r>
            <w:r w:rsidR="00F37FCE" w:rsidRPr="00981E15">
              <w:rPr>
                <w:b/>
                <w:sz w:val="17"/>
                <w:szCs w:val="24"/>
              </w:rPr>
              <w:t xml:space="preserve"> </w:t>
            </w:r>
            <w:r w:rsidRPr="00981E15">
              <w:rPr>
                <w:b/>
                <w:sz w:val="17"/>
                <w:szCs w:val="24"/>
              </w:rPr>
              <w:t>194</w:t>
            </w:r>
          </w:p>
        </w:tc>
      </w:tr>
    </w:tbl>
    <w:p w:rsidR="0047112B" w:rsidRPr="00981E15" w:rsidRDefault="0047112B" w:rsidP="0047112B">
      <w:pPr>
        <w:pStyle w:val="SingleTxt"/>
        <w:spacing w:after="0" w:line="120" w:lineRule="exact"/>
        <w:rPr>
          <w:sz w:val="10"/>
        </w:rPr>
      </w:pPr>
    </w:p>
    <w:p w:rsidR="0047112B" w:rsidRPr="00981E15" w:rsidRDefault="0047112B" w:rsidP="0047112B">
      <w:pPr>
        <w:pStyle w:val="FootnoteText"/>
        <w:tabs>
          <w:tab w:val="clear" w:pos="418"/>
          <w:tab w:val="right" w:pos="1476"/>
          <w:tab w:val="left" w:pos="1548"/>
          <w:tab w:val="right" w:pos="1836"/>
          <w:tab w:val="left" w:pos="1908"/>
        </w:tabs>
        <w:ind w:left="1548" w:right="1267" w:hanging="288"/>
      </w:pPr>
      <w:r w:rsidRPr="00981E15">
        <w:rPr>
          <w:i/>
        </w:rPr>
        <w:t>Fuente:</w:t>
      </w:r>
      <w:r w:rsidRPr="00981E15">
        <w:tab/>
        <w:t>Unidad de Planificación, Organismo Judicial.</w:t>
      </w:r>
    </w:p>
    <w:p w:rsidR="0047112B" w:rsidRPr="00981E15" w:rsidRDefault="0047112B" w:rsidP="0047112B">
      <w:pPr>
        <w:pStyle w:val="FootnoteText"/>
        <w:tabs>
          <w:tab w:val="clear" w:pos="418"/>
          <w:tab w:val="right" w:pos="1476"/>
          <w:tab w:val="left" w:pos="1548"/>
          <w:tab w:val="right" w:pos="1836"/>
          <w:tab w:val="left" w:pos="1908"/>
        </w:tabs>
        <w:spacing w:line="120" w:lineRule="exact"/>
        <w:ind w:left="1548" w:right="1267" w:hanging="288"/>
        <w:rPr>
          <w:sz w:val="10"/>
        </w:rPr>
      </w:pPr>
    </w:p>
    <w:p w:rsidR="0047112B" w:rsidRPr="00981E15" w:rsidRDefault="0047112B" w:rsidP="0047112B">
      <w:pPr>
        <w:pStyle w:val="FootnoteText"/>
        <w:tabs>
          <w:tab w:val="clear" w:pos="418"/>
          <w:tab w:val="right" w:pos="1476"/>
          <w:tab w:val="left" w:pos="1548"/>
          <w:tab w:val="right" w:pos="1836"/>
          <w:tab w:val="left" w:pos="1908"/>
        </w:tabs>
        <w:spacing w:line="120" w:lineRule="exact"/>
        <w:ind w:left="1548" w:right="1267" w:hanging="288"/>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Organismo Legislativo</w:t>
      </w:r>
    </w:p>
    <w:p w:rsidR="0047112B" w:rsidRPr="00981E15" w:rsidRDefault="0047112B" w:rsidP="0047112B">
      <w:pPr>
        <w:pStyle w:val="SingleTxt"/>
        <w:keepNext/>
        <w:keepLines/>
        <w:suppressAutoHyphens/>
        <w:spacing w:after="0" w:line="120" w:lineRule="exact"/>
        <w:rPr>
          <w:sz w:val="10"/>
        </w:rPr>
      </w:pPr>
    </w:p>
    <w:p w:rsidR="0047112B" w:rsidRPr="00981E15" w:rsidRDefault="0047112B" w:rsidP="00E6615B">
      <w:pPr>
        <w:pStyle w:val="SingleTxt"/>
        <w:numPr>
          <w:ilvl w:val="0"/>
          <w:numId w:val="24"/>
        </w:numPr>
        <w:tabs>
          <w:tab w:val="clear" w:pos="475"/>
          <w:tab w:val="num" w:pos="1742"/>
        </w:tabs>
        <w:suppressAutoHyphens/>
        <w:ind w:left="1267"/>
      </w:pPr>
      <w:r w:rsidRPr="00981E15">
        <w:t>Ciento cincuenta y ocho son las Diputaciones dentro del Organismo Legislativo. En el último proceso electoral de septiembre de 2007 fueron electas popularmente diecinueve mujeres. Comparado con catorce mujeres que ejercieron como d</w:t>
      </w:r>
      <w:r w:rsidRPr="00981E15">
        <w:t>i</w:t>
      </w:r>
      <w:r w:rsidRPr="00981E15">
        <w:t>putadas en el período 2004-2008.</w:t>
      </w:r>
    </w:p>
    <w:p w:rsidR="0047112B" w:rsidRPr="00981E15" w:rsidRDefault="0047112B" w:rsidP="00E6615B">
      <w:pPr>
        <w:pStyle w:val="SingleTxt"/>
        <w:numPr>
          <w:ilvl w:val="0"/>
          <w:numId w:val="24"/>
        </w:numPr>
        <w:tabs>
          <w:tab w:val="clear" w:pos="475"/>
          <w:tab w:val="num" w:pos="1742"/>
        </w:tabs>
        <w:suppressAutoHyphens/>
        <w:ind w:left="1267"/>
      </w:pPr>
      <w:r w:rsidRPr="00981E15">
        <w:t xml:space="preserve">El Congreso de la República está integrado por cuarenta y tres Comisiones (treinta y tres comisiones ordinarias, cuatro específicas y seis extraordinarias). En los años 2005, 2006 y 2007, han sido presididas por 3, 7, y 4 mujeres respectivamente. Un mil quinientas cincuenta y ocho personas laboran como personal administrativo en el Organismo Legislativo, seiscientas doce plazas son cubiertas por personal femenino. </w:t>
      </w:r>
    </w:p>
    <w:p w:rsidR="0047112B" w:rsidRPr="00981E15" w:rsidRDefault="0047112B" w:rsidP="0047112B">
      <w:pPr>
        <w:pStyle w:val="SingleTxt"/>
        <w:suppressAutoHyphens/>
        <w:spacing w:after="0" w:line="120" w:lineRule="exact"/>
        <w:rPr>
          <w:sz w:val="10"/>
        </w:rPr>
      </w:pPr>
    </w:p>
    <w:p w:rsidR="0047112B" w:rsidRPr="00981E15" w:rsidRDefault="0047112B" w:rsidP="004711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Participación de las mujeres en el Sistema de Consejos de Desarrollo de Guatemala</w:t>
      </w:r>
    </w:p>
    <w:p w:rsidR="0047112B" w:rsidRPr="00981E15" w:rsidRDefault="0047112B" w:rsidP="0047112B">
      <w:pPr>
        <w:pStyle w:val="SingleTxt"/>
        <w:spacing w:after="0" w:line="120" w:lineRule="exact"/>
        <w:rPr>
          <w:sz w:val="10"/>
        </w:rPr>
      </w:pPr>
    </w:p>
    <w:p w:rsidR="0047112B" w:rsidRPr="00981E15" w:rsidRDefault="0047112B" w:rsidP="00E6615B">
      <w:pPr>
        <w:pStyle w:val="SingleTxt"/>
        <w:numPr>
          <w:ilvl w:val="0"/>
          <w:numId w:val="24"/>
        </w:numPr>
        <w:tabs>
          <w:tab w:val="clear" w:pos="475"/>
          <w:tab w:val="num" w:pos="1742"/>
        </w:tabs>
        <w:suppressAutoHyphens/>
        <w:ind w:left="1267"/>
      </w:pPr>
      <w:r w:rsidRPr="00981E15">
        <w:t>Los Acuerdos de Paz (1996) y la trilogía de leyes de descentralización (Ley de Descentralización, Ley de Consejos de Desarrollo Urbano y Rural y Código Municipal, 2002), determinan en las municipalidades guatemaltecas, la responsabilidad de los procesos simultáneos de descentralización del Estado y de desarrollo económico del país. En efecto, la Ley General de Descentralización establece que las municipalidades son las principales destinatarias de las delegaciones de compete</w:t>
      </w:r>
      <w:r w:rsidRPr="00981E15">
        <w:t>n</w:t>
      </w:r>
      <w:r w:rsidRPr="00981E15">
        <w:t>cias por descentralización del Organismo Ejecutivo ya sea individualmente, asociadas en mancomunidades o en apoyo a comunidades legalmente organizadas (artíc</w:t>
      </w:r>
      <w:r w:rsidRPr="00981E15">
        <w:t>u</w:t>
      </w:r>
      <w:r w:rsidRPr="00981E15">
        <w:t>lo 6 del Reglamento de la Ley).</w:t>
      </w:r>
    </w:p>
    <w:p w:rsidR="0047112B" w:rsidRPr="00981E15" w:rsidRDefault="0047112B" w:rsidP="00E6615B">
      <w:pPr>
        <w:pStyle w:val="SingleTxt"/>
        <w:numPr>
          <w:ilvl w:val="0"/>
          <w:numId w:val="24"/>
        </w:numPr>
        <w:tabs>
          <w:tab w:val="clear" w:pos="475"/>
          <w:tab w:val="num" w:pos="1742"/>
        </w:tabs>
        <w:suppressAutoHyphens/>
        <w:ind w:left="1267"/>
      </w:pPr>
      <w:r w:rsidRPr="00981E15">
        <w:t>El Código Municipal define al municipio como “</w:t>
      </w:r>
      <w:r w:rsidRPr="00981E15">
        <w:rPr>
          <w:i/>
        </w:rPr>
        <w:t>el espacio inmediato de participación ciudadana en los asuntos públicos</w:t>
      </w:r>
      <w:r w:rsidRPr="00981E15">
        <w:t>” (artículo 2). En esta línea, la Ley crea en cada municipio los Consejos Comunitarios de Desarrollo (COCODEs), como instancias de participación ciudadana directa de la población. El reto de la democratización y la descentralización descansa así, aunque no exclusivamente en los Cons</w:t>
      </w:r>
      <w:r w:rsidRPr="00981E15">
        <w:t>e</w:t>
      </w:r>
      <w:r w:rsidRPr="00981E15">
        <w:t>jos Municipales de Desarrollo (COMUDEs), porque actúan como bisagra del Sistema de Consejos de Desarrollo entre lo comunitario (COCODEs), los departamentales, (CODEDEs), regionales (COREDEs) y el nivel nacional (CONADUR). El Sistema de Consejos, concebido como instrumento de concertación social y como mecanismo fundamental de participación ciudadana, posibilita al conjunto de la s</w:t>
      </w:r>
      <w:r w:rsidRPr="00981E15">
        <w:t>o</w:t>
      </w:r>
      <w:r w:rsidRPr="00981E15">
        <w:t>ciedad, intervenir en todas las funciones de la gestión pública: consultiva, resolut</w:t>
      </w:r>
      <w:r w:rsidRPr="00981E15">
        <w:t>i</w:t>
      </w:r>
      <w:r w:rsidRPr="00981E15">
        <w:t>va, ejecutiva y contralora.</w:t>
      </w:r>
    </w:p>
    <w:p w:rsidR="0047112B" w:rsidRPr="00981E15" w:rsidRDefault="0047112B" w:rsidP="00E6615B">
      <w:pPr>
        <w:pStyle w:val="SingleTxt"/>
        <w:numPr>
          <w:ilvl w:val="0"/>
          <w:numId w:val="24"/>
        </w:numPr>
        <w:tabs>
          <w:tab w:val="clear" w:pos="475"/>
          <w:tab w:val="num" w:pos="1742"/>
        </w:tabs>
        <w:suppressAutoHyphens/>
        <w:ind w:left="1267"/>
      </w:pPr>
      <w:r w:rsidRPr="00981E15">
        <w:t>El Sistema de Consejos de Desarrollo comprende cinco niveles: comunitario, municipal, departamental, regional y nacional. La Ley de los Consejos de Desarrollo (Decreto 11-2002), les asigna el objetivo de organizar y coordinar la administr</w:t>
      </w:r>
      <w:r w:rsidRPr="00981E15">
        <w:t>a</w:t>
      </w:r>
      <w:r w:rsidRPr="00981E15">
        <w:t>ción pública mediante la formulación de políticas de desarrollo, planes y programas presupuestarios y el impulso de la coordinación interinstitucional, pública y privada. Si bien dicha Ley no establece cuotas, es novedosa estableciendo la participación de las mujeres:</w:t>
      </w:r>
    </w:p>
    <w:p w:rsidR="00E617D5" w:rsidRPr="00981E15" w:rsidRDefault="00E617D5" w:rsidP="00E617D5">
      <w:pPr>
        <w:pStyle w:val="SingleTxt"/>
        <w:tabs>
          <w:tab w:val="right" w:pos="1685"/>
        </w:tabs>
        <w:ind w:left="1742" w:hanging="475"/>
      </w:pPr>
      <w:r w:rsidRPr="00981E15">
        <w:tab/>
        <w:t>•</w:t>
      </w:r>
      <w:r w:rsidRPr="00981E15">
        <w:tab/>
        <w:t>En el Consejo Nacional de Desarrollo Urbano y Rural (CONADUR): Dos representantes de las organizaciones de mujeres y un/a representante de la Secretaría Presidencial de la Mujer;</w:t>
      </w:r>
    </w:p>
    <w:p w:rsidR="00E617D5" w:rsidRPr="00981E15" w:rsidRDefault="00E617D5" w:rsidP="00E617D5">
      <w:pPr>
        <w:pStyle w:val="SingleTxt"/>
        <w:tabs>
          <w:tab w:val="right" w:pos="1685"/>
        </w:tabs>
        <w:ind w:left="1742" w:hanging="475"/>
      </w:pPr>
      <w:r w:rsidRPr="00981E15">
        <w:tab/>
        <w:t>•</w:t>
      </w:r>
      <w:r w:rsidRPr="00981E15">
        <w:tab/>
        <w:t>En los Consejos Regionales de Desarrollo Urbano y Rural (COREDURs): Dos representantes de las organizaciones de mujeres que operen en la región y un/a representante de la Secretaría Presidencial de la Mujer;</w:t>
      </w:r>
    </w:p>
    <w:p w:rsidR="00E617D5" w:rsidRPr="00981E15" w:rsidRDefault="00E617D5" w:rsidP="00E617D5">
      <w:pPr>
        <w:pStyle w:val="SingleTxt"/>
        <w:tabs>
          <w:tab w:val="right" w:pos="1685"/>
        </w:tabs>
        <w:ind w:left="1742" w:hanging="475"/>
      </w:pPr>
      <w:r w:rsidRPr="00981E15">
        <w:tab/>
        <w:t>•</w:t>
      </w:r>
      <w:r w:rsidRPr="00981E15">
        <w:tab/>
        <w:t>En los Consejos Departamentales de Desarrollo (CODEDES): Una representante de las organizaciones de mujeres que operen en el departamento.</w:t>
      </w:r>
    </w:p>
    <w:p w:rsidR="00E617D5" w:rsidRPr="00981E15" w:rsidRDefault="00E617D5" w:rsidP="00E617D5">
      <w:pPr>
        <w:pStyle w:val="SingleTxt"/>
        <w:numPr>
          <w:ilvl w:val="0"/>
          <w:numId w:val="25"/>
        </w:numPr>
        <w:tabs>
          <w:tab w:val="clear" w:pos="475"/>
          <w:tab w:val="num" w:pos="1742"/>
        </w:tabs>
        <w:suppressAutoHyphens/>
        <w:ind w:left="1267"/>
      </w:pPr>
      <w:r w:rsidRPr="00981E15">
        <w:t>Entre las funciones de los Consejos se explicita la promoción de políticas que fomenten la participación activa y efectiva de la mujer en la toma de decisiones, tanto a nivel nacional como regional, departamental, municipal y comunitario, así como promover la concientización de las comunidades respecto de la equidad de género y la identidad y derecho de los pueblos indígenas.</w:t>
      </w:r>
    </w:p>
    <w:p w:rsidR="00E617D5" w:rsidRPr="00981E15" w:rsidRDefault="00E617D5" w:rsidP="00E617D5">
      <w:pPr>
        <w:pStyle w:val="SingleTxt"/>
        <w:numPr>
          <w:ilvl w:val="0"/>
          <w:numId w:val="25"/>
        </w:numPr>
        <w:tabs>
          <w:tab w:val="clear" w:pos="475"/>
          <w:tab w:val="num" w:pos="1742"/>
        </w:tabs>
        <w:suppressAutoHyphens/>
        <w:ind w:left="1267"/>
      </w:pPr>
      <w:r w:rsidRPr="00981E15">
        <w:t>El Sistema pretende lograr la inclusión de las mujeres mediante medidas específicas, dada la situación de discriminación y exclusión de las mujeres, especialmente hacia las mujeres indígenas en la esfera pública. En esta dirección, algunas municipalidades han creado Oficinas Municipales de la Mujer y Comisiones de la Familia, la Mujer y la Niñez, como apoyo al fortalecimiento de las capacidades organizativas y propositivas de las mujeres para elaborar propuestas en su beneficio y para que estas propuestas tengan mayor posibilidad de aprobación.</w:t>
      </w:r>
    </w:p>
    <w:p w:rsidR="00E617D5" w:rsidRPr="00981E15" w:rsidRDefault="00E617D5" w:rsidP="00E617D5">
      <w:pPr>
        <w:pStyle w:val="SingleTxt"/>
        <w:numPr>
          <w:ilvl w:val="0"/>
          <w:numId w:val="25"/>
        </w:numPr>
        <w:tabs>
          <w:tab w:val="clear" w:pos="475"/>
          <w:tab w:val="num" w:pos="1742"/>
        </w:tabs>
        <w:suppressAutoHyphens/>
        <w:ind w:left="1267"/>
      </w:pPr>
      <w:r w:rsidRPr="00981E15">
        <w:t>La alta cifra de COCODEs resulta especialmente relevante para la participación de las alcaldías y comunidades indígenas, ya que son instancias conformadas por toda la comunidad, en Asamblea General, donde ciudadanos y ciudadanas pueden participar individualmente o como representantes de grupos o sectores organizados. De manera que los COCODEs representan en la actualidad una oportunidad tangible para que la población de numerosas comunidades, históricamente aisladas de lo público, tengan posibilidades de vincularse a la toma de decisiones a nivel local. Además, en los últimos años han sido un importante espacio de empoderamiento de las mujeres en la gestión comunitaria y en los procesos de desarrollo económico y social.</w:t>
      </w:r>
    </w:p>
    <w:p w:rsidR="00E617D5" w:rsidRPr="00981E15" w:rsidRDefault="00E617D5" w:rsidP="00E617D5">
      <w:pPr>
        <w:pStyle w:val="SingleTxt"/>
        <w:numPr>
          <w:ilvl w:val="0"/>
          <w:numId w:val="25"/>
        </w:numPr>
        <w:tabs>
          <w:tab w:val="clear" w:pos="475"/>
          <w:tab w:val="num" w:pos="1742"/>
        </w:tabs>
        <w:suppressAutoHyphens/>
        <w:ind w:left="1267"/>
      </w:pPr>
      <w:r w:rsidRPr="00981E15">
        <w:t xml:space="preserve">La SEPREM tal como lo establece el artículo 9 del Reglamento de las Ley de Consejos de Desarrollo, tiene el mandato de convocar a las organizaciones de mujeres para que éstas integren a sus representantes ante los CODEDES. Esta función la realiza desde el 2003 en los 22 CODEDEs, por lo que a la fecha se han hecho las convocatorias para las designaciones respectivas por 2 períodos en algunos departamentos y por 3 períodos en otros. Ello obedece a que las representaciones tiene una duración de dos años prorrogables o revocables, por esta razón el país tiene activas las 44 representaciones, de las cuales 22 fungen como titulares y 22 como suplentes. Asimismo, la SEPREM cuenta con 10 representantes a nivel regional, quienes asesoran y acompañan a las mujeres, a fin de fortalecer su participación ciudadana. </w:t>
      </w:r>
    </w:p>
    <w:p w:rsidR="00E617D5" w:rsidRPr="00981E15" w:rsidRDefault="00E617D5" w:rsidP="00E617D5">
      <w:pPr>
        <w:pStyle w:val="SingleTxt"/>
        <w:numPr>
          <w:ilvl w:val="0"/>
          <w:numId w:val="25"/>
        </w:numPr>
        <w:tabs>
          <w:tab w:val="clear" w:pos="475"/>
          <w:tab w:val="num" w:pos="1742"/>
        </w:tabs>
        <w:suppressAutoHyphens/>
        <w:ind w:left="1267"/>
      </w:pPr>
      <w:r w:rsidRPr="00981E15">
        <w:t>De acuerdo al Diagnóstico realizado por el Foro Nacional de la Mujer, la presencia masculina promedio supera el 81% en todo el país. En el caso de los COCODEs, el universo muestral fue de 34, 000 integrantes, de los cuales sólo el 13% eran mujeres. En el caso de los COMUDEs, el universo muestral fue de 4,197 integrantes, con sólo 16% de mujeres. Esta baja presencia femenina se reproduce en toda la estructura de representación y coordinación de los COMUDEs, siendo más pronunciada a nivel de la coordinación y representación de las autoridades municipales. De un universo muestral de 1,403 autoridades y representantes de Corporaciones Municipales que participan en los COMUDEs, sólo el 7% eran mujeres. La mayor presencia relativa de mujeres se encontró en la representación de entidades públicas, de 795 representantes, 257 eran mujeres (32%), lo cual puede ser considerado un resultado positivo de los procesos de capacitación y sensibilización de género promovidos en las instancias del gobierno central.</w:t>
      </w:r>
    </w:p>
    <w:p w:rsidR="0003221F" w:rsidRPr="00981E15" w:rsidRDefault="0003221F" w:rsidP="0003221F">
      <w:pPr>
        <w:pStyle w:val="SingleTxt"/>
        <w:tabs>
          <w:tab w:val="clear" w:pos="1742"/>
        </w:tabs>
        <w:suppressAutoHyphens/>
        <w:spacing w:after="0" w:line="120" w:lineRule="exact"/>
        <w:rPr>
          <w:sz w:val="10"/>
        </w:rPr>
      </w:pPr>
    </w:p>
    <w:p w:rsidR="00E617D5" w:rsidRPr="00981E15" w:rsidRDefault="00A5388B" w:rsidP="000322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981E15">
        <w:br w:type="page"/>
      </w:r>
      <w:r w:rsidR="0003221F" w:rsidRPr="00981E15">
        <w:tab/>
      </w:r>
      <w:r w:rsidR="0003221F" w:rsidRPr="00981E15">
        <w:tab/>
      </w:r>
      <w:r w:rsidR="00E617D5" w:rsidRPr="00981E15">
        <w:rPr>
          <w:b w:val="0"/>
        </w:rPr>
        <w:t>Cuadro 15</w:t>
      </w:r>
    </w:p>
    <w:p w:rsidR="0003221F" w:rsidRPr="00981E15" w:rsidRDefault="0003221F" w:rsidP="0003221F">
      <w:pPr>
        <w:pStyle w:val="SingleTxt"/>
        <w:tabs>
          <w:tab w:val="clear" w:pos="1742"/>
        </w:tabs>
        <w:suppressAutoHyphens/>
        <w:spacing w:after="0" w:line="120" w:lineRule="exact"/>
        <w:rPr>
          <w:sz w:val="10"/>
        </w:rPr>
      </w:pPr>
    </w:p>
    <w:p w:rsidR="00E617D5" w:rsidRPr="00981E15" w:rsidRDefault="00A5388B" w:rsidP="00E617D5">
      <w:pPr>
        <w:pStyle w:val="SingleTxt"/>
        <w:tabs>
          <w:tab w:val="clear" w:pos="1742"/>
        </w:tabs>
        <w:suppressAutoHyphens/>
        <w:spacing w:line="240" w:lineRule="auto"/>
      </w:pPr>
      <w:r w:rsidRPr="00981E15">
        <w:rPr>
          <w:sz w:val="24"/>
          <w:szCs w:val="24"/>
        </w:rPr>
        <w:pict>
          <v:shape id="_x0000_i1026" type="#_x0000_t75" style="width:411.75pt;height:360.75pt">
            <v:imagedata r:id="rId15" o:title="" grayscale="t"/>
          </v:shape>
        </w:pict>
      </w:r>
    </w:p>
    <w:p w:rsidR="00E617D5" w:rsidRPr="00981E15" w:rsidRDefault="00E617D5" w:rsidP="00E617D5">
      <w:pPr>
        <w:pStyle w:val="SingleTxt"/>
        <w:tabs>
          <w:tab w:val="num" w:pos="1742"/>
        </w:tabs>
        <w:suppressAutoHyphens/>
        <w:spacing w:after="0" w:line="120" w:lineRule="exact"/>
        <w:rPr>
          <w:sz w:val="10"/>
        </w:rPr>
      </w:pPr>
    </w:p>
    <w:p w:rsidR="00E617D5" w:rsidRPr="00981E15" w:rsidRDefault="00E617D5" w:rsidP="00E617D5">
      <w:pPr>
        <w:pStyle w:val="SingleTxt"/>
        <w:tabs>
          <w:tab w:val="num" w:pos="1742"/>
        </w:tabs>
        <w:suppressAutoHyphens/>
        <w:spacing w:after="0" w:line="120" w:lineRule="exact"/>
        <w:rPr>
          <w:sz w:val="10"/>
        </w:rPr>
      </w:pPr>
    </w:p>
    <w:p w:rsidR="00E617D5" w:rsidRPr="00981E15" w:rsidRDefault="00E617D5" w:rsidP="00E617D5">
      <w:pPr>
        <w:pStyle w:val="SingleTxt"/>
        <w:numPr>
          <w:ilvl w:val="0"/>
          <w:numId w:val="25"/>
        </w:numPr>
        <w:tabs>
          <w:tab w:val="clear" w:pos="475"/>
          <w:tab w:val="num" w:pos="1742"/>
        </w:tabs>
        <w:suppressAutoHyphens/>
        <w:ind w:left="1267"/>
      </w:pPr>
      <w:r w:rsidRPr="00981E15">
        <w:t xml:space="preserve">A pesar de la existencia de una normativa favorable a la integración de las mujeres en condiciones de equidad en los Consejos de Desarrollo, prevalece una falta de voluntad política para hacerla efectiva, no sólo en las autoridades locales que coordinan los COMUDEs, sino también en las organizaciones locales que representan a la sociedad civil en los Consejos. </w:t>
      </w:r>
    </w:p>
    <w:p w:rsidR="00E617D5" w:rsidRPr="00981E15" w:rsidRDefault="00E617D5" w:rsidP="00E617D5">
      <w:pPr>
        <w:pStyle w:val="SingleTxt"/>
        <w:numPr>
          <w:ilvl w:val="0"/>
          <w:numId w:val="25"/>
        </w:numPr>
        <w:tabs>
          <w:tab w:val="clear" w:pos="475"/>
          <w:tab w:val="num" w:pos="1742"/>
        </w:tabs>
        <w:suppressAutoHyphens/>
        <w:ind w:left="1267"/>
      </w:pPr>
      <w:r w:rsidRPr="00981E15">
        <w:t>El proceso de cerrar las brechas de género en los Consejos de Desarrollo a nivel local, ha arrancado en todas las regiones y departamentos del país. Sin embargo, la baja participación femenina en COCODEs y COMUDEs, obliga a revisar las estrategias de sensibilización e inducción de la voluntad política de las poblaciones comunales y municipales, para superar la masculinización de los Consejos a nivel local.</w:t>
      </w:r>
    </w:p>
    <w:p w:rsidR="00E617D5" w:rsidRPr="00981E15" w:rsidRDefault="00E617D5" w:rsidP="00E617D5">
      <w:pPr>
        <w:pStyle w:val="SingleTxt"/>
        <w:tabs>
          <w:tab w:val="clear" w:pos="1742"/>
        </w:tabs>
        <w:suppressAutoHyphens/>
        <w:spacing w:after="0" w:line="120" w:lineRule="exact"/>
        <w:rPr>
          <w:sz w:val="10"/>
        </w:rPr>
      </w:pPr>
    </w:p>
    <w:p w:rsidR="00E617D5" w:rsidRPr="00981E15" w:rsidRDefault="00E617D5" w:rsidP="00E6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Medidas pendientes de las recomendaciones de la CEDAW </w:t>
      </w: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SingleTxt"/>
        <w:numPr>
          <w:ilvl w:val="0"/>
          <w:numId w:val="25"/>
        </w:numPr>
        <w:tabs>
          <w:tab w:val="clear" w:pos="475"/>
          <w:tab w:val="num" w:pos="1742"/>
        </w:tabs>
        <w:suppressAutoHyphens/>
        <w:ind w:left="1267"/>
      </w:pPr>
      <w:r w:rsidRPr="00981E15">
        <w:t xml:space="preserve">En este apartado el Estado de Guatemala ostenta una notable falta de avance. La representación y participación de las mujeres en la toma de decisiones en la vida pública a nivel nacional y municipal siguen siendo mínimas, tanto en referencia a los objetivos de igualdad de la CEDAW como incluso en comparación con otros países de la región. La participación de las mujeres como votantes también es muy limitada, y menor con respecto a la participación realizada por los hombres en las elecciones. </w:t>
      </w:r>
    </w:p>
    <w:p w:rsidR="00E617D5" w:rsidRPr="00981E15" w:rsidRDefault="00E617D5" w:rsidP="00E617D5">
      <w:pPr>
        <w:pStyle w:val="SingleTxt"/>
        <w:numPr>
          <w:ilvl w:val="0"/>
          <w:numId w:val="25"/>
        </w:numPr>
        <w:tabs>
          <w:tab w:val="clear" w:pos="475"/>
          <w:tab w:val="num" w:pos="1742"/>
        </w:tabs>
        <w:suppressAutoHyphens/>
        <w:ind w:left="1267"/>
      </w:pPr>
      <w:r w:rsidRPr="00981E15">
        <w:t xml:space="preserve">En este contexto de lento avance es crucial, de acuerdo a las recomendaciones del Comité de Expertas de la CEDAW fomentar medidas de acción afirmativa, ya reconocidas por la Ley de Dignificación y Promoción Integral de la Mujer para la representación política de mujeres, en particular para mujeres indígenas, -reformando para ello la Ley Electoral y de Partidos Políticos. Es asimismo fundamental continuar programas sistemáticos de capacitación para mujeres y sus organizaciones y avanzar en la desarticulación e incluso sanción de actitudes machistas que fomenten estereotipos de género contrarios a la plena participación de las mujeres en la toma de decisiones. </w:t>
      </w:r>
    </w:p>
    <w:p w:rsidR="00E617D5" w:rsidRPr="00981E15" w:rsidRDefault="00E617D5" w:rsidP="00E617D5">
      <w:pPr>
        <w:pStyle w:val="SingleTxt"/>
        <w:tabs>
          <w:tab w:val="clear" w:pos="1742"/>
        </w:tabs>
        <w:suppressAutoHyphens/>
        <w:spacing w:after="0" w:line="120" w:lineRule="exact"/>
        <w:rPr>
          <w:sz w:val="10"/>
        </w:rPr>
      </w:pPr>
    </w:p>
    <w:p w:rsidR="00E617D5" w:rsidRPr="00981E15" w:rsidRDefault="00E617D5" w:rsidP="00E6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Retos y Desafíos </w:t>
      </w: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SingleTxt"/>
        <w:numPr>
          <w:ilvl w:val="0"/>
          <w:numId w:val="25"/>
        </w:numPr>
        <w:tabs>
          <w:tab w:val="clear" w:pos="475"/>
          <w:tab w:val="num" w:pos="1742"/>
        </w:tabs>
        <w:suppressAutoHyphens/>
        <w:ind w:left="1267"/>
      </w:pPr>
      <w:r w:rsidRPr="00981E15">
        <w:t>El Organismo Legislativo, a través de la Comisión de la Mujer, consciente de la reducida participación de las mujeres en el Congreso elaboró una propuesta de programa de partida con múltiples recomendaciones que podrían ser apoyadas para favorecer un escenario de igualdad y paridad. Este programa puede ser considerado como punto de partida para consensuar con diferentes instituciones públicas y sociedad civil una acción coordinada y comprehensiva hacia la superación de la gran desigualdad de género existente en la participación política. El texto recoge las siguientes recomendaciones para hacer frente a esa realidad:</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Estimular la participación de la mujer en la arena pública para que comprenda la importancia de tener voz en todos los espacios nacionales, especialmente en el Congreso.</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Apoyar reformas de fondo a la Ley Electoral y de Partidos Políticos que permitan la presencia de la mujer en la vida política. Esto implica la adopción de cuotas temporales de participación política, que permitan la presencia de la mujer y obliguen a los partidos a incluirlas en las listas por ley.</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Generar acercamiento de las mujeres organizadas a los partidos políticos para apoyar el incremento de mujeres en cargos de elección.</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 xml:space="preserve">Generar condiciones para crear un bloque de parlamentarias, con una agenda común a favor de reformar todas aquellas leyes que discriminen a la mujer: Código Civil, Penal, Laboral, Procesal Penal, y Ley Electoral y de Partidos Políticos. </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Ratificar convenios y tratados internacionales relacionados con el tema de género, ya que es necesario equiparar a la mujer en el ámbito legal y propiciar un verdadero Estado de Derecho.</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Propiciar la educación cívica y política de la ciudadana. La cultura democrática no está arraigada en la población, la cual sólo ejerce parcialmente su ciudadanía cuando vota, pero no controla ni fiscaliza los actos de sus gobernantes.</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Impulsar campañas masivas de documentación y empadronamiento para las mujeres, especialmente en el campo y para las mujeres indígenas quienes muchas veces no están registradas como ciudadanas y menos aún empadronadas.</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Propiciar desde el Estado las herramientas necesarias para incentivar la democracia interna del hogar, en la motivación a las tareas conjuntas del hogar y del cuidado de los hijos, alejando estereotipos que ubican y reducen a la mujer en la esfera del hogar.</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Vigilar por la correcta distribución de los recursos del Estado para educación primaria, secundaria y universitaria, propiciando que el elemento género esté presente en forma cuantitativa y cualitativa. La educación contribuye al desarrollo integral de las personas y determina oportunidades productivas, laborales y políticas.</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Estimular las empresas privadas y públicas para que apoyen a la mujer con el objeto de que se organice y participe, propiciando para ello el ambiente necesario a través de redes sociales que incluyan: guarderías, casas cuna, centros de apoyo femenino, entre otros.</w:t>
      </w:r>
    </w:p>
    <w:p w:rsidR="00E617D5" w:rsidRPr="00981E15" w:rsidRDefault="00E617D5" w:rsidP="00E617D5">
      <w:pPr>
        <w:pStyle w:val="SingleTxt"/>
        <w:tabs>
          <w:tab w:val="clear" w:pos="1742"/>
        </w:tabs>
        <w:suppressAutoHyphens/>
        <w:spacing w:after="0" w:line="120" w:lineRule="exact"/>
        <w:rPr>
          <w:sz w:val="10"/>
        </w:rPr>
      </w:pPr>
    </w:p>
    <w:p w:rsidR="00E617D5" w:rsidRPr="00981E15" w:rsidRDefault="00E617D5" w:rsidP="00E617D5">
      <w:pPr>
        <w:pStyle w:val="SingleTxt"/>
        <w:tabs>
          <w:tab w:val="clear" w:pos="1742"/>
        </w:tabs>
        <w:suppressAutoHyphens/>
        <w:spacing w:after="0" w:line="120" w:lineRule="exact"/>
        <w:rPr>
          <w:sz w:val="10"/>
        </w:rPr>
      </w:pPr>
    </w:p>
    <w:p w:rsidR="00E617D5" w:rsidRPr="00981E15" w:rsidRDefault="00E617D5" w:rsidP="00E6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Artículo 8</w:t>
      </w: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Representación </w:t>
      </w: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SingleTxt"/>
        <w:numPr>
          <w:ilvl w:val="0"/>
          <w:numId w:val="25"/>
        </w:numPr>
        <w:tabs>
          <w:tab w:val="clear" w:pos="475"/>
          <w:tab w:val="num" w:pos="1742"/>
        </w:tabs>
        <w:suppressAutoHyphens/>
        <w:ind w:left="1267"/>
      </w:pPr>
      <w:r w:rsidRPr="00981E15">
        <w:t>A lo largo de las últimas décadas la existencia del concurso de oposición y méritos para el ingreso a la carrera diplomática ha significado una igualdad de oportunidades de acceso a los cargos de “Secretarios” para mujeres y hombres, dicha igualdad no se ve reflejada en los cargos superiores como el de Embajador.</w:t>
      </w:r>
    </w:p>
    <w:p w:rsidR="00E617D5" w:rsidRPr="00981E15" w:rsidRDefault="00E617D5" w:rsidP="00E617D5">
      <w:pPr>
        <w:pStyle w:val="SingleTxt"/>
        <w:numPr>
          <w:ilvl w:val="0"/>
          <w:numId w:val="25"/>
        </w:numPr>
        <w:tabs>
          <w:tab w:val="clear" w:pos="475"/>
          <w:tab w:val="num" w:pos="1742"/>
        </w:tabs>
        <w:suppressAutoHyphens/>
        <w:ind w:left="1267"/>
      </w:pPr>
      <w:r w:rsidRPr="00981E15">
        <w:t xml:space="preserve">La actual administración ha promovido la implementación de todas las Convenciones relativas a los derechos de la mujer a nivel nacional y en ese sentido se observa un inicio positivo –aunque incipiente- de cambio en la tendencia marcada históricamente. La presencia de mujeres en el Ministerio de Relaciones Exteriores, manifiesta un aumento progresivo en la última década. En la actualidad y considerando los datos que se aprecian en los cuadros siguientes, dentro del personal que labora en embajadas, consulados y misiones diplomáticas, inscritos e incorporados a la carrera diplomática, treinta y ocho son mujeres, o sea un 51% del total (setenta y cinco). Asimismo, de todo el personal que labora en el extranjero ciento tres son mujeres y ciento veintiuno son hombres, 46% y 54% respectivamente. </w:t>
      </w:r>
    </w:p>
    <w:p w:rsidR="00E617D5" w:rsidRPr="00981E15" w:rsidRDefault="00E617D5" w:rsidP="00E617D5">
      <w:pPr>
        <w:pStyle w:val="SingleTxt"/>
        <w:numPr>
          <w:ilvl w:val="0"/>
          <w:numId w:val="25"/>
        </w:numPr>
        <w:tabs>
          <w:tab w:val="clear" w:pos="475"/>
          <w:tab w:val="num" w:pos="1742"/>
        </w:tabs>
        <w:suppressAutoHyphens/>
        <w:ind w:left="1267"/>
      </w:pPr>
      <w:r w:rsidRPr="00981E15">
        <w:t>Sin embargo, cuando se hace un análisis de la estructura del personal de carrera de la Institución por niveles de rango laboral, podemos observar que en el primer nivel (secretarías y consejerías) la mayoría son mujeres (56%), pero en el segundo nivel (ministros consejeros y embajadores) el 73% son hombres. Representan al Estado de Guatemala ante organismos internacionales un total de quince mujeres las cuales representan el 71% de este personal. Esta situación puede considerarse debido a diferentes motivos, principalmente por cuestiones sociológicas, la mujer en la actualidad busca un espacio de valorización, se especializa en áreas que históricamente estuvieron reservadas a los hombres y encuentra su lugar en los distintos ámbitos de actuación como por ejemplo el diplomático. Este avance de la inserción de la mujer en el campo de las relaciones internaciones se traduce en porcentajes de ingreso de mujeres en el servicio exterior a través de la carrera diplomática durante los últimos gobiernos.</w:t>
      </w:r>
    </w:p>
    <w:p w:rsidR="00E617D5" w:rsidRPr="00981E15" w:rsidRDefault="00E617D5" w:rsidP="00E6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Artículo 9</w:t>
      </w:r>
    </w:p>
    <w:p w:rsidR="00D8121D" w:rsidRPr="00981E15" w:rsidRDefault="00D8121D" w:rsidP="00D8121D">
      <w:pPr>
        <w:pStyle w:val="SingleTxt"/>
        <w:suppressAutoHyphens/>
        <w:spacing w:after="0" w:line="120" w:lineRule="exact"/>
        <w:rPr>
          <w:sz w:val="10"/>
        </w:rPr>
      </w:pPr>
    </w:p>
    <w:p w:rsidR="00D8121D" w:rsidRPr="00981E15" w:rsidRDefault="00D8121D" w:rsidP="00D8121D">
      <w:pPr>
        <w:pStyle w:val="SingleTxt"/>
        <w:suppressAutoHyphens/>
        <w:spacing w:after="0" w:line="120" w:lineRule="exact"/>
        <w:rPr>
          <w:sz w:val="10"/>
        </w:rPr>
      </w:pPr>
    </w:p>
    <w:p w:rsidR="00E617D5" w:rsidRPr="00981E15" w:rsidRDefault="00E617D5" w:rsidP="00E6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Nacionalidad </w:t>
      </w: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SingleTxt"/>
        <w:numPr>
          <w:ilvl w:val="0"/>
          <w:numId w:val="25"/>
        </w:numPr>
        <w:tabs>
          <w:tab w:val="clear" w:pos="475"/>
          <w:tab w:val="num" w:pos="1742"/>
        </w:tabs>
        <w:suppressAutoHyphens/>
        <w:ind w:left="1267"/>
      </w:pPr>
      <w:r w:rsidRPr="00981E15">
        <w:t>El derecho y protección de la nacionalidad se encuentran protegidos en el Título III de la Constitución de la República de Guatemala: “a ningún guatemalteco de origen puede privársele de su nacionalidad”. Hasta la fecha prevalecen estas disposiciones que fueron reportadas en los anteriores informes presentados por el Estado ante el Comité de la CEDAW.</w:t>
      </w:r>
    </w:p>
    <w:p w:rsidR="00E617D5" w:rsidRPr="00981E15" w:rsidRDefault="00E617D5" w:rsidP="00E617D5">
      <w:pPr>
        <w:pStyle w:val="SingleTxt"/>
        <w:tabs>
          <w:tab w:val="clear" w:pos="1742"/>
        </w:tabs>
        <w:suppressAutoHyphens/>
        <w:spacing w:after="0" w:line="120" w:lineRule="exact"/>
        <w:rPr>
          <w:sz w:val="10"/>
        </w:rPr>
      </w:pPr>
    </w:p>
    <w:p w:rsidR="00E617D5" w:rsidRPr="00981E15" w:rsidRDefault="00E617D5" w:rsidP="00E617D5">
      <w:pPr>
        <w:pStyle w:val="SingleTxt"/>
        <w:tabs>
          <w:tab w:val="clear" w:pos="1742"/>
        </w:tabs>
        <w:suppressAutoHyphens/>
        <w:spacing w:after="0" w:line="120" w:lineRule="exact"/>
        <w:rPr>
          <w:sz w:val="10"/>
        </w:rPr>
      </w:pPr>
    </w:p>
    <w:p w:rsidR="00E617D5" w:rsidRPr="00981E15" w:rsidRDefault="00E617D5" w:rsidP="00E6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Artículo 10</w:t>
      </w: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617D5" w:rsidRPr="00981E15" w:rsidRDefault="00E617D5" w:rsidP="00E6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Educación</w:t>
      </w:r>
    </w:p>
    <w:p w:rsidR="00E617D5" w:rsidRPr="00981E15" w:rsidRDefault="00E617D5" w:rsidP="00E617D5">
      <w:pPr>
        <w:pStyle w:val="SingleTxt"/>
        <w:tabs>
          <w:tab w:val="clear" w:pos="1742"/>
        </w:tabs>
        <w:suppressAutoHyphens/>
        <w:spacing w:after="0" w:line="120" w:lineRule="exact"/>
        <w:ind w:left="0"/>
        <w:rPr>
          <w:sz w:val="10"/>
        </w:rPr>
      </w:pPr>
    </w:p>
    <w:p w:rsidR="00E617D5" w:rsidRPr="00981E15" w:rsidRDefault="00E617D5" w:rsidP="00E617D5">
      <w:pPr>
        <w:pStyle w:val="SingleTxt"/>
        <w:tabs>
          <w:tab w:val="clear" w:pos="1742"/>
        </w:tabs>
        <w:suppressAutoHyphens/>
        <w:rPr>
          <w:b/>
        </w:rPr>
      </w:pPr>
      <w:r w:rsidRPr="00981E15">
        <w:rPr>
          <w:b/>
        </w:rPr>
        <w:t>Recomendaciones del Comité de Expertas de la CEDAW</w:t>
      </w:r>
    </w:p>
    <w:p w:rsidR="00E617D5" w:rsidRPr="00981E15" w:rsidRDefault="00E617D5" w:rsidP="00E617D5">
      <w:pPr>
        <w:pStyle w:val="SingleTxt"/>
        <w:tabs>
          <w:tab w:val="clear" w:pos="1742"/>
        </w:tabs>
        <w:suppressAutoHyphens/>
        <w:rPr>
          <w:b/>
        </w:rPr>
      </w:pPr>
      <w:r w:rsidRPr="00981E15">
        <w:rPr>
          <w:b/>
        </w:rPr>
        <w:t>Preocupa al Comité la persistencia de altos niveles de pobreza entre las mujeres, en particular las mujeres del medio rural, y su falta de acceso a los servicios sociales básicos. Ello evidenciado en (6)</w:t>
      </w:r>
    </w:p>
    <w:p w:rsidR="00E617D5" w:rsidRPr="00981E15" w:rsidRDefault="00E617D5" w:rsidP="00D8121D">
      <w:pPr>
        <w:pStyle w:val="SingleTxt"/>
        <w:tabs>
          <w:tab w:val="right" w:pos="1685"/>
        </w:tabs>
        <w:suppressAutoHyphens/>
        <w:ind w:left="1742" w:hanging="475"/>
      </w:pPr>
      <w:r w:rsidRPr="00981E15">
        <w:tab/>
        <w:t>–</w:t>
      </w:r>
      <w:r w:rsidRPr="00981E15">
        <w:tab/>
      </w:r>
      <w:r w:rsidR="00B32973" w:rsidRPr="00981E15">
        <w:t xml:space="preserve">La </w:t>
      </w:r>
      <w:r w:rsidRPr="00981E15">
        <w:t xml:space="preserve">elevada tasa de analfabetismo, baja tasa de escolarización y finalización de los estudios </w:t>
      </w:r>
    </w:p>
    <w:p w:rsidR="00E617D5" w:rsidRPr="00981E15" w:rsidRDefault="00E617D5" w:rsidP="00D8121D">
      <w:pPr>
        <w:pStyle w:val="SingleTxt"/>
        <w:tabs>
          <w:tab w:val="right" w:pos="1685"/>
        </w:tabs>
        <w:suppressAutoHyphens/>
        <w:ind w:left="1742" w:hanging="475"/>
      </w:pPr>
      <w:r w:rsidRPr="00981E15">
        <w:tab/>
        <w:t>–</w:t>
      </w:r>
      <w:r w:rsidRPr="00981E15">
        <w:tab/>
      </w:r>
      <w:r w:rsidR="00B32973" w:rsidRPr="00981E15">
        <w:t xml:space="preserve">La </w:t>
      </w:r>
      <w:r w:rsidRPr="00981E15">
        <w:t xml:space="preserve">falta de oportunidades de capacitación </w:t>
      </w:r>
    </w:p>
    <w:p w:rsidR="00E617D5" w:rsidRPr="00981E15" w:rsidRDefault="00E617D5" w:rsidP="00E617D5">
      <w:pPr>
        <w:pStyle w:val="SingleTxt"/>
        <w:tabs>
          <w:tab w:val="clear" w:pos="1742"/>
        </w:tabs>
        <w:suppressAutoHyphens/>
        <w:rPr>
          <w:b/>
        </w:rPr>
      </w:pPr>
      <w:r w:rsidRPr="00981E15">
        <w:rPr>
          <w:b/>
        </w:rPr>
        <w:t>Recomienda al Estado Parte que intensifique sus esfuerzos por ejecutar programas educativos y sanitarios eficaces en todo el país, particularmente en alfabetización funcional. (6)</w:t>
      </w:r>
    </w:p>
    <w:p w:rsidR="00E617D5" w:rsidRPr="00981E15" w:rsidRDefault="00E617D5" w:rsidP="00E617D5">
      <w:pPr>
        <w:pStyle w:val="SingleTxt"/>
        <w:tabs>
          <w:tab w:val="clear" w:pos="1742"/>
        </w:tabs>
        <w:suppressAutoHyphens/>
        <w:rPr>
          <w:b/>
        </w:rPr>
      </w:pPr>
      <w:r w:rsidRPr="00981E15">
        <w:rPr>
          <w:b/>
        </w:rPr>
        <w:t>Se insta al Estado Parte a asegurar el pleno acceso de las mujeres indígenas a una educación bilingüe (6)</w:t>
      </w:r>
    </w:p>
    <w:p w:rsidR="00E617D5" w:rsidRPr="00981E15" w:rsidRDefault="00E617D5" w:rsidP="00E617D5">
      <w:pPr>
        <w:pStyle w:val="SingleTxt"/>
        <w:numPr>
          <w:ilvl w:val="0"/>
          <w:numId w:val="25"/>
        </w:numPr>
        <w:tabs>
          <w:tab w:val="clear" w:pos="475"/>
          <w:tab w:val="num" w:pos="1742"/>
        </w:tabs>
        <w:suppressAutoHyphens/>
        <w:ind w:left="1267"/>
      </w:pPr>
      <w:r w:rsidRPr="00981E15">
        <w:t>La Constitución Política de la República de Guatemala establece que la educación es una obligación del Estado, que debe ser proporcionada y facilitada sin discriminación alguna y que tiene como fin primordial el desarrollo integral de la persona humana, el conocimiento de la realidad y cultura nacional y universal (artículos 71 al 81).</w:t>
      </w:r>
    </w:p>
    <w:p w:rsidR="00E617D5" w:rsidRPr="00981E15" w:rsidRDefault="00E617D5" w:rsidP="00E617D5">
      <w:pPr>
        <w:pStyle w:val="SingleTxt"/>
        <w:numPr>
          <w:ilvl w:val="0"/>
          <w:numId w:val="25"/>
        </w:numPr>
        <w:tabs>
          <w:tab w:val="clear" w:pos="475"/>
          <w:tab w:val="num" w:pos="1742"/>
        </w:tabs>
        <w:suppressAutoHyphens/>
        <w:ind w:left="1267"/>
      </w:pPr>
      <w:r w:rsidRPr="00981E15">
        <w:t>En el año 1994, cuando la cobertura educativa era del 69% de la población en edad escolar, las inscripciones de niños representaban el 63% contra el 37% de niñas. Al año 2005 la cobertura educativa es del 93.5% y la inscripción de niñas representa el 48.5% del total de inscritos. Aún quedan brechas por cubrir y cambiar, especialmente en algunos municipios del país. En el Ministerio de Educación se ha creado la Unidad Especial d Proyectos de Cobertura Educativa (marzo de 2007) para remediar puntualmente estas brechas y alcanzar 100% de cobertura en nivel primario, con equidad de género.</w:t>
      </w:r>
    </w:p>
    <w:p w:rsidR="00E617D5" w:rsidRPr="00981E15" w:rsidRDefault="00E617D5" w:rsidP="00E617D5">
      <w:pPr>
        <w:pStyle w:val="SingleTxt"/>
        <w:numPr>
          <w:ilvl w:val="0"/>
          <w:numId w:val="25"/>
        </w:numPr>
        <w:tabs>
          <w:tab w:val="clear" w:pos="475"/>
          <w:tab w:val="num" w:pos="1742"/>
        </w:tabs>
        <w:suppressAutoHyphens/>
        <w:ind w:left="1267"/>
      </w:pPr>
      <w:r w:rsidRPr="00981E15">
        <w:t>Desde hace algunos años, el MINEDUC ha estado realizando acciones orientadas a aumentar y mejorar la educación para las niñas, de tal manera que se reduzcan las brechas que las distancia de los niños. En la actualidad, se pretende unificar todos los esfuerzos por medio de la estrategia denominada Primaria Completa que impulsa el MINEDUC. En ella participan la Dirección General de Educación Bilingüe (DIGEBI), el Programa Nacional de Autogestión para el Desarrollo Educativo (PRONADE), la Dirección General de Educación Extraescolar (DIGEEX), la Dirección de Calidad y Desarrollo Educativo (DICADE) y las direcciones departamentales de educación.</w:t>
      </w:r>
    </w:p>
    <w:p w:rsidR="00E617D5" w:rsidRPr="00981E15" w:rsidRDefault="00E617D5" w:rsidP="00E617D5">
      <w:pPr>
        <w:pStyle w:val="SingleTxt"/>
        <w:numPr>
          <w:ilvl w:val="0"/>
          <w:numId w:val="25"/>
        </w:numPr>
        <w:tabs>
          <w:tab w:val="clear" w:pos="475"/>
          <w:tab w:val="num" w:pos="1742"/>
        </w:tabs>
        <w:suppressAutoHyphens/>
        <w:ind w:left="1267"/>
      </w:pPr>
      <w:r w:rsidRPr="00981E15">
        <w:t>Por medio del Plan Nacional de Educación 2004-2008, se establecen las medidas orientadas a la atención a la diversidad de la población a mediano y largo plazo:</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 xml:space="preserve">La universalización de la educación monolingüe, bilingüe e intercultural en los niveles pre primario, primario y ciclo básico con calidad, equidad y pertinencia, </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El fortalecimiento de un Sistema Nacional de Educación que responde a estándares nacionales e internacionales de calidad educativa.</w:t>
      </w:r>
    </w:p>
    <w:p w:rsidR="00E617D5" w:rsidRPr="00981E15" w:rsidRDefault="00E617D5" w:rsidP="00E617D5">
      <w:pPr>
        <w:pStyle w:val="SingleTxt"/>
        <w:tabs>
          <w:tab w:val="clear" w:pos="1742"/>
          <w:tab w:val="right" w:pos="1685"/>
        </w:tabs>
        <w:suppressAutoHyphens/>
        <w:ind w:left="1742" w:hanging="475"/>
      </w:pPr>
      <w:r w:rsidRPr="00981E15">
        <w:tab/>
        <w:t>•</w:t>
      </w:r>
      <w:r w:rsidRPr="00981E15">
        <w:tab/>
        <w:t>La de modernización, desconcentración y descentralización del sistema administrativo y del currículo tomando en cuenta aspectos lingüísticos y culturales.</w:t>
      </w:r>
    </w:p>
    <w:p w:rsidR="00E617D5" w:rsidRPr="00981E15" w:rsidRDefault="00E617D5" w:rsidP="00E617D5">
      <w:pPr>
        <w:pStyle w:val="SingleTxt"/>
        <w:numPr>
          <w:ilvl w:val="0"/>
          <w:numId w:val="25"/>
        </w:numPr>
        <w:tabs>
          <w:tab w:val="clear" w:pos="475"/>
          <w:tab w:val="num" w:pos="1742"/>
        </w:tabs>
        <w:suppressAutoHyphens/>
        <w:ind w:left="1267"/>
      </w:pPr>
      <w:r w:rsidRPr="00981E15">
        <w:t>Cómo objetivos estratégicos, esboza la incorporación a la mayor parte de la población monolingüe y bilingüe en edad escolar al sistema educativo, procurando que complete el nivel de educación primaria y se reduzcan los índices de deserción y repitencia, implementación de la reforma educativa en el aula, con calidad, equidad y pertinencia, y la aplicación de contenidos del currículo nacional en todos los niveles educativos.</w:t>
      </w:r>
    </w:p>
    <w:p w:rsidR="00E617D5" w:rsidRPr="00981E15" w:rsidRDefault="00E617D5" w:rsidP="00A706BB">
      <w:pPr>
        <w:pStyle w:val="SingleTxt"/>
        <w:suppressAutoHyphens/>
      </w:pPr>
    </w:p>
    <w:p w:rsidR="00071CDE" w:rsidRPr="00981E15" w:rsidRDefault="00071CDE" w:rsidP="00A706BB">
      <w:pPr>
        <w:pStyle w:val="SingleTxt"/>
        <w:suppressAutoHyphens/>
        <w:sectPr w:rsidR="00071CDE" w:rsidRPr="00981E15" w:rsidSect="004A39DD">
          <w:endnotePr>
            <w:numFmt w:val="decimal"/>
          </w:endnotePr>
          <w:type w:val="continuous"/>
          <w:pgSz w:w="12240" w:h="15840" w:code="1"/>
          <w:pgMar w:top="1742" w:right="1195" w:bottom="1898" w:left="1195" w:header="576" w:footer="1030" w:gutter="0"/>
          <w:cols w:space="708"/>
          <w:noEndnote/>
          <w:docGrid w:linePitch="360"/>
        </w:sectPr>
      </w:pPr>
    </w:p>
    <w:p w:rsidR="008D24F0" w:rsidRPr="00981E15" w:rsidRDefault="008D24F0" w:rsidP="008D24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81E15">
        <w:rPr>
          <w:b w:val="0"/>
        </w:rPr>
        <w:t>Cuadro 16</w:t>
      </w:r>
      <w:r w:rsidRPr="00981E15">
        <w:br/>
        <w:t>Cobertura educativa 2004-2005</w:t>
      </w:r>
    </w:p>
    <w:p w:rsidR="008D24F0" w:rsidRPr="00981E15" w:rsidRDefault="008D24F0" w:rsidP="008D24F0">
      <w:pPr>
        <w:pStyle w:val="SingleTxt"/>
        <w:spacing w:after="0" w:line="120" w:lineRule="exact"/>
        <w:rPr>
          <w:sz w:val="10"/>
        </w:rPr>
      </w:pPr>
    </w:p>
    <w:tbl>
      <w:tblPr>
        <w:tblW w:w="12162" w:type="dxa"/>
        <w:tblLayout w:type="fixed"/>
        <w:tblCellMar>
          <w:left w:w="0" w:type="dxa"/>
          <w:right w:w="0" w:type="dxa"/>
        </w:tblCellMar>
        <w:tblLook w:val="0000" w:firstRow="0" w:lastRow="0" w:firstColumn="0" w:lastColumn="0" w:noHBand="0" w:noVBand="0"/>
      </w:tblPr>
      <w:tblGrid>
        <w:gridCol w:w="1071"/>
        <w:gridCol w:w="828"/>
        <w:gridCol w:w="882"/>
        <w:gridCol w:w="477"/>
        <w:gridCol w:w="882"/>
        <w:gridCol w:w="531"/>
        <w:gridCol w:w="909"/>
        <w:gridCol w:w="927"/>
        <w:gridCol w:w="540"/>
        <w:gridCol w:w="882"/>
        <w:gridCol w:w="517"/>
        <w:gridCol w:w="882"/>
        <w:gridCol w:w="891"/>
        <w:gridCol w:w="517"/>
        <w:gridCol w:w="937"/>
        <w:gridCol w:w="489"/>
      </w:tblGrid>
      <w:tr w:rsidR="008D24F0" w:rsidRPr="00981E15">
        <w:tblPrEx>
          <w:tblCellMar>
            <w:top w:w="0" w:type="dxa"/>
            <w:bottom w:w="0" w:type="dxa"/>
          </w:tblCellMar>
        </w:tblPrEx>
        <w:trPr>
          <w:tblHeader/>
        </w:trPr>
        <w:tc>
          <w:tcPr>
            <w:tcW w:w="1071" w:type="dxa"/>
            <w:tcBorders>
              <w:top w:val="single" w:sz="4" w:space="0" w:color="auto"/>
              <w:bottom w:val="single" w:sz="12" w:space="0" w:color="auto"/>
            </w:tcBorders>
            <w:shd w:val="clear" w:color="auto" w:fill="auto"/>
            <w:vAlign w:val="bottom"/>
          </w:tcPr>
          <w:p w:rsidR="008D24F0" w:rsidRPr="00981E15" w:rsidRDefault="008D24F0" w:rsidP="00F87501">
            <w:pPr>
              <w:spacing w:before="80" w:after="80" w:line="160" w:lineRule="exact"/>
              <w:ind w:right="40"/>
              <w:rPr>
                <w:i/>
                <w:kern w:val="0"/>
                <w:sz w:val="14"/>
              </w:rPr>
            </w:pPr>
            <w:r w:rsidRPr="00981E15">
              <w:rPr>
                <w:i/>
                <w:kern w:val="0"/>
                <w:sz w:val="14"/>
              </w:rPr>
              <w:t>Año</w:t>
            </w:r>
          </w:p>
        </w:tc>
        <w:tc>
          <w:tcPr>
            <w:tcW w:w="3600" w:type="dxa"/>
            <w:gridSpan w:val="5"/>
            <w:tcBorders>
              <w:top w:val="single" w:sz="4" w:space="0" w:color="auto"/>
              <w:bottom w:val="single" w:sz="12" w:space="0" w:color="auto"/>
            </w:tcBorders>
            <w:shd w:val="clear" w:color="auto" w:fill="auto"/>
            <w:vAlign w:val="bottom"/>
          </w:tcPr>
          <w:p w:rsidR="008D24F0" w:rsidRPr="00981E15" w:rsidRDefault="008D24F0" w:rsidP="00F87501">
            <w:pPr>
              <w:spacing w:before="80" w:after="80" w:line="160" w:lineRule="exact"/>
              <w:ind w:right="40"/>
              <w:jc w:val="center"/>
              <w:rPr>
                <w:i/>
                <w:kern w:val="0"/>
                <w:sz w:val="14"/>
              </w:rPr>
            </w:pPr>
            <w:r w:rsidRPr="00981E15">
              <w:rPr>
                <w:i/>
                <w:kern w:val="0"/>
                <w:sz w:val="14"/>
              </w:rPr>
              <w:t>2004</w:t>
            </w:r>
          </w:p>
        </w:tc>
        <w:tc>
          <w:tcPr>
            <w:tcW w:w="3775" w:type="dxa"/>
            <w:gridSpan w:val="5"/>
            <w:tcBorders>
              <w:top w:val="single" w:sz="4" w:space="0" w:color="auto"/>
              <w:bottom w:val="single" w:sz="12" w:space="0" w:color="auto"/>
            </w:tcBorders>
            <w:shd w:val="clear" w:color="auto" w:fill="auto"/>
            <w:vAlign w:val="bottom"/>
          </w:tcPr>
          <w:p w:rsidR="008D24F0" w:rsidRPr="00981E15" w:rsidRDefault="008D24F0" w:rsidP="00F87501">
            <w:pPr>
              <w:spacing w:before="80" w:after="80" w:line="160" w:lineRule="exact"/>
              <w:ind w:right="40"/>
              <w:jc w:val="center"/>
              <w:rPr>
                <w:i/>
                <w:kern w:val="0"/>
                <w:sz w:val="14"/>
              </w:rPr>
            </w:pPr>
            <w:r w:rsidRPr="00981E15">
              <w:rPr>
                <w:i/>
                <w:kern w:val="0"/>
                <w:sz w:val="14"/>
              </w:rPr>
              <w:t>2005</w:t>
            </w:r>
          </w:p>
        </w:tc>
        <w:tc>
          <w:tcPr>
            <w:tcW w:w="3716" w:type="dxa"/>
            <w:gridSpan w:val="5"/>
            <w:tcBorders>
              <w:top w:val="single" w:sz="4" w:space="0" w:color="auto"/>
              <w:bottom w:val="single" w:sz="12" w:space="0" w:color="auto"/>
            </w:tcBorders>
            <w:shd w:val="clear" w:color="auto" w:fill="auto"/>
            <w:vAlign w:val="bottom"/>
          </w:tcPr>
          <w:p w:rsidR="008D24F0" w:rsidRPr="00981E15" w:rsidRDefault="008D24F0" w:rsidP="00F87501">
            <w:pPr>
              <w:spacing w:before="80" w:after="80" w:line="160" w:lineRule="exact"/>
              <w:ind w:right="40"/>
              <w:jc w:val="center"/>
              <w:rPr>
                <w:i/>
                <w:kern w:val="0"/>
                <w:sz w:val="14"/>
              </w:rPr>
            </w:pPr>
            <w:r w:rsidRPr="00981E15">
              <w:rPr>
                <w:i/>
                <w:kern w:val="0"/>
                <w:sz w:val="14"/>
              </w:rPr>
              <w:t>2006</w:t>
            </w:r>
          </w:p>
        </w:tc>
      </w:tr>
      <w:tr w:rsidR="008D24F0" w:rsidRPr="00981E15">
        <w:tblPrEx>
          <w:tblCellMar>
            <w:top w:w="0" w:type="dxa"/>
            <w:bottom w:w="0" w:type="dxa"/>
          </w:tblCellMar>
        </w:tblPrEx>
        <w:trPr>
          <w:trHeight w:hRule="exact" w:val="115"/>
          <w:tblHeader/>
        </w:trPr>
        <w:tc>
          <w:tcPr>
            <w:tcW w:w="1071" w:type="dxa"/>
            <w:tcBorders>
              <w:top w:val="single" w:sz="12" w:space="0" w:color="auto"/>
            </w:tcBorders>
            <w:shd w:val="clear" w:color="auto" w:fill="auto"/>
            <w:vAlign w:val="bottom"/>
          </w:tcPr>
          <w:p w:rsidR="008D24F0" w:rsidRPr="00981E15" w:rsidRDefault="008D24F0" w:rsidP="00F87501">
            <w:pPr>
              <w:spacing w:before="40" w:after="40" w:line="210" w:lineRule="exact"/>
              <w:ind w:right="40"/>
              <w:rPr>
                <w:kern w:val="0"/>
                <w:sz w:val="17"/>
              </w:rPr>
            </w:pPr>
          </w:p>
        </w:tc>
        <w:tc>
          <w:tcPr>
            <w:tcW w:w="828"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882"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477"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882"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531"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909"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927"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540"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882"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517"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882"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891"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517"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937"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c>
          <w:tcPr>
            <w:tcW w:w="489" w:type="dxa"/>
            <w:tcBorders>
              <w:top w:val="single" w:sz="12" w:space="0" w:color="auto"/>
            </w:tcBorders>
            <w:shd w:val="clear" w:color="auto" w:fill="auto"/>
            <w:vAlign w:val="bottom"/>
          </w:tcPr>
          <w:p w:rsidR="008D24F0" w:rsidRPr="00981E15" w:rsidRDefault="008D24F0" w:rsidP="00F87501">
            <w:pPr>
              <w:spacing w:before="40" w:after="40" w:line="210" w:lineRule="exact"/>
              <w:ind w:right="40"/>
              <w:jc w:val="right"/>
              <w:rPr>
                <w:kern w:val="0"/>
                <w:sz w:val="17"/>
              </w:rPr>
            </w:pPr>
          </w:p>
        </w:tc>
      </w:tr>
      <w:tr w:rsidR="008D24F0" w:rsidRPr="00981E15">
        <w:tblPrEx>
          <w:tblCellMar>
            <w:top w:w="0" w:type="dxa"/>
            <w:bottom w:w="0" w:type="dxa"/>
          </w:tblCellMar>
        </w:tblPrEx>
        <w:tc>
          <w:tcPr>
            <w:tcW w:w="1071"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rPr>
                <w:b/>
                <w:bCs/>
                <w:kern w:val="0"/>
                <w:sz w:val="17"/>
                <w:szCs w:val="16"/>
                <w:lang w:eastAsia="es-ES"/>
              </w:rPr>
            </w:pPr>
            <w:r w:rsidRPr="00981E15">
              <w:rPr>
                <w:b/>
                <w:bCs/>
                <w:kern w:val="0"/>
                <w:sz w:val="17"/>
                <w:szCs w:val="16"/>
                <w:lang w:eastAsia="es-ES"/>
              </w:rPr>
              <w:t>Niveles</w:t>
            </w:r>
          </w:p>
        </w:tc>
        <w:tc>
          <w:tcPr>
            <w:tcW w:w="828"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
                <w:bCs/>
                <w:kern w:val="0"/>
                <w:sz w:val="17"/>
                <w:szCs w:val="16"/>
                <w:lang w:eastAsia="es-ES"/>
              </w:rPr>
            </w:pPr>
            <w:r w:rsidRPr="00981E15">
              <w:rPr>
                <w:b/>
                <w:bCs/>
                <w:kern w:val="0"/>
                <w:sz w:val="17"/>
                <w:szCs w:val="16"/>
                <w:lang w:eastAsia="es-ES"/>
              </w:rPr>
              <w:t>Total</w:t>
            </w:r>
          </w:p>
        </w:tc>
        <w:tc>
          <w:tcPr>
            <w:tcW w:w="882"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Hombres</w:t>
            </w:r>
          </w:p>
        </w:tc>
        <w:tc>
          <w:tcPr>
            <w:tcW w:w="477"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w:t>
            </w:r>
          </w:p>
        </w:tc>
        <w:tc>
          <w:tcPr>
            <w:tcW w:w="882"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Mujeres</w:t>
            </w:r>
          </w:p>
        </w:tc>
        <w:tc>
          <w:tcPr>
            <w:tcW w:w="531"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w:t>
            </w:r>
          </w:p>
        </w:tc>
        <w:tc>
          <w:tcPr>
            <w:tcW w:w="909"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
                <w:bCs/>
                <w:kern w:val="0"/>
                <w:sz w:val="17"/>
                <w:szCs w:val="16"/>
                <w:lang w:eastAsia="es-ES"/>
              </w:rPr>
            </w:pPr>
            <w:r w:rsidRPr="00981E15">
              <w:rPr>
                <w:b/>
                <w:bCs/>
                <w:kern w:val="0"/>
                <w:sz w:val="17"/>
                <w:szCs w:val="16"/>
                <w:lang w:eastAsia="es-ES"/>
              </w:rPr>
              <w:t>Total</w:t>
            </w:r>
          </w:p>
        </w:tc>
        <w:tc>
          <w:tcPr>
            <w:tcW w:w="927"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Hombres</w:t>
            </w:r>
          </w:p>
        </w:tc>
        <w:tc>
          <w:tcPr>
            <w:tcW w:w="540"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w:t>
            </w:r>
          </w:p>
        </w:tc>
        <w:tc>
          <w:tcPr>
            <w:tcW w:w="882"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Mujeres</w:t>
            </w:r>
          </w:p>
        </w:tc>
        <w:tc>
          <w:tcPr>
            <w:tcW w:w="517"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w:t>
            </w:r>
          </w:p>
        </w:tc>
        <w:tc>
          <w:tcPr>
            <w:tcW w:w="882"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
                <w:bCs/>
                <w:kern w:val="0"/>
                <w:sz w:val="17"/>
                <w:szCs w:val="16"/>
                <w:lang w:eastAsia="es-ES"/>
              </w:rPr>
            </w:pPr>
            <w:r w:rsidRPr="00981E15">
              <w:rPr>
                <w:b/>
                <w:bCs/>
                <w:kern w:val="0"/>
                <w:sz w:val="17"/>
                <w:szCs w:val="16"/>
                <w:lang w:eastAsia="es-ES"/>
              </w:rPr>
              <w:t>Total</w:t>
            </w:r>
          </w:p>
        </w:tc>
        <w:tc>
          <w:tcPr>
            <w:tcW w:w="891"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Hombres</w:t>
            </w:r>
          </w:p>
        </w:tc>
        <w:tc>
          <w:tcPr>
            <w:tcW w:w="517"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w:t>
            </w:r>
          </w:p>
        </w:tc>
        <w:tc>
          <w:tcPr>
            <w:tcW w:w="937"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16"/>
                <w:lang w:eastAsia="es-ES"/>
              </w:rPr>
            </w:pPr>
            <w:r w:rsidRPr="00981E15">
              <w:rPr>
                <w:bCs/>
                <w:kern w:val="0"/>
                <w:sz w:val="17"/>
                <w:szCs w:val="16"/>
                <w:lang w:eastAsia="es-ES"/>
              </w:rPr>
              <w:t>Mujeres</w:t>
            </w:r>
          </w:p>
        </w:tc>
        <w:tc>
          <w:tcPr>
            <w:tcW w:w="489" w:type="dxa"/>
            <w:tcBorders>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81" w:line="210" w:lineRule="exact"/>
              <w:ind w:right="40"/>
              <w:jc w:val="right"/>
              <w:rPr>
                <w:bCs/>
                <w:kern w:val="0"/>
                <w:sz w:val="17"/>
                <w:szCs w:val="24"/>
                <w:lang w:eastAsia="es-ES"/>
              </w:rPr>
            </w:pPr>
            <w:r w:rsidRPr="00981E15">
              <w:rPr>
                <w:bCs/>
                <w:kern w:val="0"/>
                <w:sz w:val="17"/>
                <w:szCs w:val="24"/>
                <w:lang w:eastAsia="es-ES"/>
              </w:rPr>
              <w:t>%</w:t>
            </w:r>
          </w:p>
        </w:tc>
      </w:tr>
      <w:tr w:rsidR="008D24F0" w:rsidRPr="00981E15">
        <w:tblPrEx>
          <w:tblCellMar>
            <w:top w:w="0" w:type="dxa"/>
            <w:bottom w:w="0" w:type="dxa"/>
          </w:tblCellMar>
        </w:tblPrEx>
        <w:tc>
          <w:tcPr>
            <w:tcW w:w="1071"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rPr>
                <w:b/>
                <w:bCs/>
                <w:kern w:val="0"/>
                <w:sz w:val="17"/>
                <w:szCs w:val="16"/>
                <w:lang w:eastAsia="es-ES"/>
              </w:rPr>
            </w:pPr>
            <w:r w:rsidRPr="00981E15">
              <w:rPr>
                <w:b/>
                <w:bCs/>
                <w:kern w:val="0"/>
                <w:sz w:val="17"/>
                <w:szCs w:val="16"/>
                <w:lang w:eastAsia="es-ES"/>
              </w:rPr>
              <w:t>Total</w:t>
            </w:r>
          </w:p>
        </w:tc>
        <w:tc>
          <w:tcPr>
            <w:tcW w:w="828"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3 439</w:t>
            </w:r>
            <w:r w:rsidR="002B4F4E">
              <w:rPr>
                <w:b/>
                <w:kern w:val="0"/>
                <w:sz w:val="17"/>
                <w:szCs w:val="16"/>
                <w:lang w:eastAsia="es-ES"/>
              </w:rPr>
              <w:t xml:space="preserve"> </w:t>
            </w:r>
            <w:r w:rsidRPr="00981E15">
              <w:rPr>
                <w:b/>
                <w:kern w:val="0"/>
                <w:sz w:val="17"/>
                <w:szCs w:val="16"/>
                <w:lang w:eastAsia="es-ES"/>
              </w:rPr>
              <w:t>579</w:t>
            </w:r>
          </w:p>
        </w:tc>
        <w:tc>
          <w:tcPr>
            <w:tcW w:w="882"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1 798</w:t>
            </w:r>
            <w:r w:rsidR="002B4F4E">
              <w:rPr>
                <w:b/>
                <w:kern w:val="0"/>
                <w:sz w:val="17"/>
                <w:szCs w:val="16"/>
                <w:lang w:eastAsia="es-ES"/>
              </w:rPr>
              <w:t xml:space="preserve"> </w:t>
            </w:r>
            <w:r w:rsidRPr="00981E15">
              <w:rPr>
                <w:b/>
                <w:kern w:val="0"/>
                <w:sz w:val="17"/>
                <w:szCs w:val="16"/>
                <w:lang w:eastAsia="es-ES"/>
              </w:rPr>
              <w:t>236</w:t>
            </w:r>
          </w:p>
        </w:tc>
        <w:tc>
          <w:tcPr>
            <w:tcW w:w="477"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52%</w:t>
            </w:r>
          </w:p>
        </w:tc>
        <w:tc>
          <w:tcPr>
            <w:tcW w:w="882"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1 641</w:t>
            </w:r>
            <w:r w:rsidR="002B4F4E">
              <w:rPr>
                <w:b/>
                <w:kern w:val="0"/>
                <w:sz w:val="17"/>
                <w:szCs w:val="16"/>
                <w:lang w:eastAsia="es-ES"/>
              </w:rPr>
              <w:t xml:space="preserve"> </w:t>
            </w:r>
            <w:r w:rsidRPr="00981E15">
              <w:rPr>
                <w:b/>
                <w:kern w:val="0"/>
                <w:sz w:val="17"/>
                <w:szCs w:val="16"/>
                <w:lang w:eastAsia="es-ES"/>
              </w:rPr>
              <w:t>343</w:t>
            </w:r>
          </w:p>
        </w:tc>
        <w:tc>
          <w:tcPr>
            <w:tcW w:w="531"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48%</w:t>
            </w:r>
          </w:p>
        </w:tc>
        <w:tc>
          <w:tcPr>
            <w:tcW w:w="909"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3 565 429</w:t>
            </w:r>
          </w:p>
        </w:tc>
        <w:tc>
          <w:tcPr>
            <w:tcW w:w="927"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1 860</w:t>
            </w:r>
            <w:r w:rsidR="002B4F4E">
              <w:rPr>
                <w:b/>
                <w:kern w:val="0"/>
                <w:sz w:val="17"/>
                <w:szCs w:val="16"/>
                <w:lang w:eastAsia="es-ES"/>
              </w:rPr>
              <w:t xml:space="preserve"> </w:t>
            </w:r>
            <w:r w:rsidRPr="00981E15">
              <w:rPr>
                <w:b/>
                <w:kern w:val="0"/>
                <w:sz w:val="17"/>
                <w:szCs w:val="16"/>
                <w:lang w:eastAsia="es-ES"/>
              </w:rPr>
              <w:t>422</w:t>
            </w:r>
          </w:p>
        </w:tc>
        <w:tc>
          <w:tcPr>
            <w:tcW w:w="540"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52%</w:t>
            </w:r>
          </w:p>
        </w:tc>
        <w:tc>
          <w:tcPr>
            <w:tcW w:w="882"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1 705</w:t>
            </w:r>
            <w:r w:rsidR="002B4F4E">
              <w:rPr>
                <w:b/>
                <w:kern w:val="0"/>
                <w:sz w:val="17"/>
                <w:szCs w:val="16"/>
                <w:lang w:eastAsia="es-ES"/>
              </w:rPr>
              <w:t xml:space="preserve"> </w:t>
            </w:r>
            <w:r w:rsidRPr="00981E15">
              <w:rPr>
                <w:b/>
                <w:kern w:val="0"/>
                <w:sz w:val="17"/>
                <w:szCs w:val="16"/>
                <w:lang w:eastAsia="es-ES"/>
              </w:rPr>
              <w:t>007</w:t>
            </w:r>
          </w:p>
        </w:tc>
        <w:tc>
          <w:tcPr>
            <w:tcW w:w="517"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48%</w:t>
            </w:r>
          </w:p>
        </w:tc>
        <w:tc>
          <w:tcPr>
            <w:tcW w:w="882"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3 738 655</w:t>
            </w:r>
          </w:p>
        </w:tc>
        <w:tc>
          <w:tcPr>
            <w:tcW w:w="891"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1 946</w:t>
            </w:r>
            <w:r w:rsidR="002B4F4E">
              <w:rPr>
                <w:b/>
                <w:kern w:val="0"/>
                <w:sz w:val="17"/>
                <w:szCs w:val="16"/>
                <w:lang w:eastAsia="es-ES"/>
              </w:rPr>
              <w:t xml:space="preserve"> </w:t>
            </w:r>
            <w:r w:rsidRPr="00981E15">
              <w:rPr>
                <w:b/>
                <w:kern w:val="0"/>
                <w:sz w:val="17"/>
                <w:szCs w:val="16"/>
                <w:lang w:eastAsia="es-ES"/>
              </w:rPr>
              <w:t>667</w:t>
            </w:r>
          </w:p>
        </w:tc>
        <w:tc>
          <w:tcPr>
            <w:tcW w:w="517"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52%</w:t>
            </w:r>
          </w:p>
        </w:tc>
        <w:tc>
          <w:tcPr>
            <w:tcW w:w="937"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16"/>
                <w:lang w:eastAsia="es-ES"/>
              </w:rPr>
            </w:pPr>
            <w:r w:rsidRPr="00981E15">
              <w:rPr>
                <w:b/>
                <w:kern w:val="0"/>
                <w:sz w:val="17"/>
                <w:szCs w:val="16"/>
                <w:lang w:eastAsia="es-ES"/>
              </w:rPr>
              <w:t>1 791</w:t>
            </w:r>
            <w:r w:rsidR="002B4F4E">
              <w:rPr>
                <w:b/>
                <w:kern w:val="0"/>
                <w:sz w:val="17"/>
                <w:szCs w:val="16"/>
                <w:lang w:eastAsia="es-ES"/>
              </w:rPr>
              <w:t xml:space="preserve"> </w:t>
            </w:r>
            <w:r w:rsidRPr="00981E15">
              <w:rPr>
                <w:b/>
                <w:kern w:val="0"/>
                <w:sz w:val="17"/>
                <w:szCs w:val="16"/>
                <w:lang w:eastAsia="es-ES"/>
              </w:rPr>
              <w:t>988</w:t>
            </w:r>
          </w:p>
        </w:tc>
        <w:tc>
          <w:tcPr>
            <w:tcW w:w="489" w:type="dxa"/>
            <w:tcBorders>
              <w:top w:val="single" w:sz="4" w:space="0" w:color="auto"/>
              <w:bottom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81" w:line="210" w:lineRule="exact"/>
              <w:ind w:right="40"/>
              <w:jc w:val="right"/>
              <w:rPr>
                <w:b/>
                <w:kern w:val="0"/>
                <w:sz w:val="17"/>
                <w:szCs w:val="24"/>
                <w:lang w:eastAsia="es-ES"/>
              </w:rPr>
            </w:pPr>
            <w:r w:rsidRPr="00981E15">
              <w:rPr>
                <w:b/>
                <w:kern w:val="0"/>
                <w:sz w:val="17"/>
                <w:szCs w:val="24"/>
                <w:lang w:eastAsia="es-ES"/>
              </w:rPr>
              <w:t>48%</w:t>
            </w:r>
          </w:p>
        </w:tc>
      </w:tr>
      <w:tr w:rsidR="008D24F0" w:rsidRPr="00981E15">
        <w:tblPrEx>
          <w:tblCellMar>
            <w:top w:w="0" w:type="dxa"/>
            <w:bottom w:w="0" w:type="dxa"/>
          </w:tblCellMar>
        </w:tblPrEx>
        <w:tc>
          <w:tcPr>
            <w:tcW w:w="1071"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rPr>
                <w:bCs/>
                <w:kern w:val="0"/>
                <w:sz w:val="17"/>
                <w:szCs w:val="16"/>
                <w:lang w:eastAsia="es-ES"/>
              </w:rPr>
            </w:pPr>
            <w:r w:rsidRPr="00981E15">
              <w:rPr>
                <w:bCs/>
                <w:kern w:val="0"/>
                <w:sz w:val="17"/>
                <w:szCs w:val="16"/>
                <w:lang w:eastAsia="es-ES"/>
              </w:rPr>
              <w:t>Preprimaria</w:t>
            </w:r>
          </w:p>
        </w:tc>
        <w:tc>
          <w:tcPr>
            <w:tcW w:w="828"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b/>
                <w:kern w:val="0"/>
                <w:sz w:val="17"/>
                <w:szCs w:val="16"/>
                <w:lang w:eastAsia="es-ES"/>
              </w:rPr>
            </w:pPr>
            <w:r w:rsidRPr="00981E15">
              <w:rPr>
                <w:b/>
                <w:kern w:val="0"/>
                <w:sz w:val="17"/>
                <w:szCs w:val="16"/>
                <w:lang w:eastAsia="es-ES"/>
              </w:rPr>
              <w:t>425 825</w:t>
            </w:r>
          </w:p>
        </w:tc>
        <w:tc>
          <w:tcPr>
            <w:tcW w:w="882"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214 798</w:t>
            </w:r>
          </w:p>
        </w:tc>
        <w:tc>
          <w:tcPr>
            <w:tcW w:w="477"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50%</w:t>
            </w:r>
          </w:p>
        </w:tc>
        <w:tc>
          <w:tcPr>
            <w:tcW w:w="882"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211 027</w:t>
            </w:r>
          </w:p>
        </w:tc>
        <w:tc>
          <w:tcPr>
            <w:tcW w:w="531"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50%</w:t>
            </w:r>
          </w:p>
        </w:tc>
        <w:tc>
          <w:tcPr>
            <w:tcW w:w="909"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b/>
                <w:kern w:val="0"/>
                <w:sz w:val="17"/>
                <w:szCs w:val="16"/>
                <w:lang w:eastAsia="es-ES"/>
              </w:rPr>
            </w:pPr>
            <w:r w:rsidRPr="00981E15">
              <w:rPr>
                <w:b/>
                <w:kern w:val="0"/>
                <w:sz w:val="17"/>
                <w:szCs w:val="16"/>
                <w:lang w:eastAsia="es-ES"/>
              </w:rPr>
              <w:t>436 154</w:t>
            </w:r>
          </w:p>
        </w:tc>
        <w:tc>
          <w:tcPr>
            <w:tcW w:w="927"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220 770</w:t>
            </w:r>
          </w:p>
        </w:tc>
        <w:tc>
          <w:tcPr>
            <w:tcW w:w="540"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51%</w:t>
            </w:r>
          </w:p>
        </w:tc>
        <w:tc>
          <w:tcPr>
            <w:tcW w:w="882"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215 384</w:t>
            </w:r>
          </w:p>
        </w:tc>
        <w:tc>
          <w:tcPr>
            <w:tcW w:w="517"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49%</w:t>
            </w:r>
          </w:p>
        </w:tc>
        <w:tc>
          <w:tcPr>
            <w:tcW w:w="882"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b/>
                <w:kern w:val="0"/>
                <w:sz w:val="17"/>
                <w:szCs w:val="16"/>
                <w:lang w:eastAsia="es-ES"/>
              </w:rPr>
            </w:pPr>
            <w:r w:rsidRPr="00981E15">
              <w:rPr>
                <w:b/>
                <w:kern w:val="0"/>
                <w:sz w:val="17"/>
                <w:szCs w:val="16"/>
                <w:lang w:eastAsia="es-ES"/>
              </w:rPr>
              <w:t>451 744</w:t>
            </w:r>
          </w:p>
        </w:tc>
        <w:tc>
          <w:tcPr>
            <w:tcW w:w="891"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228 721</w:t>
            </w:r>
          </w:p>
        </w:tc>
        <w:tc>
          <w:tcPr>
            <w:tcW w:w="517"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51%</w:t>
            </w:r>
          </w:p>
        </w:tc>
        <w:tc>
          <w:tcPr>
            <w:tcW w:w="937"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16"/>
                <w:lang w:eastAsia="es-ES"/>
              </w:rPr>
            </w:pPr>
            <w:r w:rsidRPr="00981E15">
              <w:rPr>
                <w:kern w:val="0"/>
                <w:sz w:val="17"/>
                <w:szCs w:val="16"/>
                <w:lang w:eastAsia="es-ES"/>
              </w:rPr>
              <w:t>223 023</w:t>
            </w:r>
          </w:p>
        </w:tc>
        <w:tc>
          <w:tcPr>
            <w:tcW w:w="489" w:type="dxa"/>
            <w:tcBorders>
              <w:top w:val="single" w:sz="4"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81" w:after="40" w:line="210" w:lineRule="exact"/>
              <w:ind w:right="40"/>
              <w:jc w:val="right"/>
              <w:rPr>
                <w:kern w:val="0"/>
                <w:sz w:val="17"/>
                <w:szCs w:val="24"/>
                <w:lang w:eastAsia="es-ES"/>
              </w:rPr>
            </w:pPr>
            <w:r w:rsidRPr="00981E15">
              <w:rPr>
                <w:kern w:val="0"/>
                <w:sz w:val="17"/>
                <w:szCs w:val="24"/>
                <w:lang w:eastAsia="es-ES"/>
              </w:rPr>
              <w:t>49%</w:t>
            </w:r>
          </w:p>
        </w:tc>
      </w:tr>
      <w:tr w:rsidR="008D24F0" w:rsidRPr="00981E15">
        <w:tblPrEx>
          <w:tblCellMar>
            <w:top w:w="0" w:type="dxa"/>
            <w:bottom w:w="0" w:type="dxa"/>
          </w:tblCellMar>
        </w:tblPrEx>
        <w:tc>
          <w:tcPr>
            <w:tcW w:w="1071"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rPr>
                <w:bCs/>
                <w:kern w:val="0"/>
                <w:sz w:val="17"/>
                <w:szCs w:val="16"/>
                <w:lang w:eastAsia="es-ES"/>
              </w:rPr>
            </w:pPr>
            <w:r w:rsidRPr="00981E15">
              <w:rPr>
                <w:bCs/>
                <w:kern w:val="0"/>
                <w:sz w:val="17"/>
                <w:szCs w:val="16"/>
                <w:lang w:eastAsia="es-ES"/>
              </w:rPr>
              <w:t>Primaria</w:t>
            </w:r>
          </w:p>
        </w:tc>
        <w:tc>
          <w:tcPr>
            <w:tcW w:w="828"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2 315</w:t>
            </w:r>
            <w:r w:rsidR="002B4F4E">
              <w:rPr>
                <w:b/>
                <w:kern w:val="0"/>
                <w:sz w:val="17"/>
                <w:szCs w:val="16"/>
                <w:lang w:eastAsia="es-ES"/>
              </w:rPr>
              <w:t xml:space="preserve"> </w:t>
            </w:r>
            <w:r w:rsidRPr="00981E15">
              <w:rPr>
                <w:b/>
                <w:kern w:val="0"/>
                <w:sz w:val="17"/>
                <w:szCs w:val="16"/>
                <w:lang w:eastAsia="es-ES"/>
              </w:rPr>
              <w:t>193</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1 215</w:t>
            </w:r>
            <w:r w:rsidR="002B4F4E">
              <w:rPr>
                <w:kern w:val="0"/>
                <w:sz w:val="17"/>
                <w:szCs w:val="16"/>
                <w:lang w:eastAsia="es-ES"/>
              </w:rPr>
              <w:t xml:space="preserve"> </w:t>
            </w:r>
            <w:r w:rsidRPr="00981E15">
              <w:rPr>
                <w:kern w:val="0"/>
                <w:sz w:val="17"/>
                <w:szCs w:val="16"/>
                <w:lang w:eastAsia="es-ES"/>
              </w:rPr>
              <w:t>886</w:t>
            </w:r>
          </w:p>
        </w:tc>
        <w:tc>
          <w:tcPr>
            <w:tcW w:w="47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53%</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1 099</w:t>
            </w:r>
            <w:r w:rsidR="002B4F4E">
              <w:rPr>
                <w:kern w:val="0"/>
                <w:sz w:val="17"/>
                <w:szCs w:val="16"/>
                <w:lang w:eastAsia="es-ES"/>
              </w:rPr>
              <w:t xml:space="preserve"> </w:t>
            </w:r>
            <w:r w:rsidRPr="00981E15">
              <w:rPr>
                <w:kern w:val="0"/>
                <w:sz w:val="17"/>
                <w:szCs w:val="16"/>
                <w:lang w:eastAsia="es-ES"/>
              </w:rPr>
              <w:t>307</w:t>
            </w:r>
          </w:p>
        </w:tc>
        <w:tc>
          <w:tcPr>
            <w:tcW w:w="531"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47%</w:t>
            </w:r>
          </w:p>
        </w:tc>
        <w:tc>
          <w:tcPr>
            <w:tcW w:w="909"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2 374</w:t>
            </w:r>
            <w:r w:rsidR="002B4F4E">
              <w:rPr>
                <w:b/>
                <w:kern w:val="0"/>
                <w:sz w:val="17"/>
                <w:szCs w:val="16"/>
                <w:lang w:eastAsia="es-ES"/>
              </w:rPr>
              <w:t xml:space="preserve"> </w:t>
            </w:r>
            <w:r w:rsidRPr="00981E15">
              <w:rPr>
                <w:b/>
                <w:kern w:val="0"/>
                <w:sz w:val="17"/>
                <w:szCs w:val="16"/>
                <w:lang w:eastAsia="es-ES"/>
              </w:rPr>
              <w:t>779</w:t>
            </w:r>
          </w:p>
        </w:tc>
        <w:tc>
          <w:tcPr>
            <w:tcW w:w="92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1 244</w:t>
            </w:r>
            <w:r w:rsidR="002B4F4E">
              <w:rPr>
                <w:kern w:val="0"/>
                <w:sz w:val="17"/>
                <w:szCs w:val="16"/>
                <w:lang w:eastAsia="es-ES"/>
              </w:rPr>
              <w:t xml:space="preserve"> </w:t>
            </w:r>
            <w:r w:rsidRPr="00981E15">
              <w:rPr>
                <w:kern w:val="0"/>
                <w:sz w:val="17"/>
                <w:szCs w:val="16"/>
                <w:lang w:eastAsia="es-ES"/>
              </w:rPr>
              <w:t>036</w:t>
            </w:r>
          </w:p>
        </w:tc>
        <w:tc>
          <w:tcPr>
            <w:tcW w:w="540"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52%</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1 130</w:t>
            </w:r>
            <w:r w:rsidR="002B4F4E">
              <w:rPr>
                <w:kern w:val="0"/>
                <w:sz w:val="17"/>
                <w:szCs w:val="16"/>
                <w:lang w:eastAsia="es-ES"/>
              </w:rPr>
              <w:t xml:space="preserve"> </w:t>
            </w:r>
            <w:r w:rsidRPr="00981E15">
              <w:rPr>
                <w:kern w:val="0"/>
                <w:sz w:val="17"/>
                <w:szCs w:val="16"/>
                <w:lang w:eastAsia="es-ES"/>
              </w:rPr>
              <w:t>743</w:t>
            </w:r>
          </w:p>
        </w:tc>
        <w:tc>
          <w:tcPr>
            <w:tcW w:w="51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48%</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2 475 231</w:t>
            </w:r>
          </w:p>
        </w:tc>
        <w:tc>
          <w:tcPr>
            <w:tcW w:w="891"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1 293</w:t>
            </w:r>
            <w:r w:rsidR="002B4F4E">
              <w:rPr>
                <w:kern w:val="0"/>
                <w:sz w:val="17"/>
                <w:szCs w:val="16"/>
                <w:lang w:eastAsia="es-ES"/>
              </w:rPr>
              <w:t xml:space="preserve"> </w:t>
            </w:r>
            <w:r w:rsidRPr="00981E15">
              <w:rPr>
                <w:kern w:val="0"/>
                <w:sz w:val="17"/>
                <w:szCs w:val="16"/>
                <w:lang w:eastAsia="es-ES"/>
              </w:rPr>
              <w:t>275</w:t>
            </w:r>
          </w:p>
        </w:tc>
        <w:tc>
          <w:tcPr>
            <w:tcW w:w="51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52%</w:t>
            </w:r>
          </w:p>
        </w:tc>
        <w:tc>
          <w:tcPr>
            <w:tcW w:w="93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1 181</w:t>
            </w:r>
            <w:r w:rsidR="002B4F4E">
              <w:rPr>
                <w:kern w:val="0"/>
                <w:sz w:val="17"/>
                <w:szCs w:val="16"/>
                <w:lang w:eastAsia="es-ES"/>
              </w:rPr>
              <w:t xml:space="preserve"> </w:t>
            </w:r>
            <w:r w:rsidRPr="00981E15">
              <w:rPr>
                <w:kern w:val="0"/>
                <w:sz w:val="17"/>
                <w:szCs w:val="16"/>
                <w:lang w:eastAsia="es-ES"/>
              </w:rPr>
              <w:t>956</w:t>
            </w:r>
          </w:p>
        </w:tc>
        <w:tc>
          <w:tcPr>
            <w:tcW w:w="489"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24"/>
                <w:lang w:eastAsia="es-ES"/>
              </w:rPr>
            </w:pPr>
            <w:r w:rsidRPr="00981E15">
              <w:rPr>
                <w:kern w:val="0"/>
                <w:sz w:val="17"/>
                <w:szCs w:val="24"/>
                <w:lang w:eastAsia="es-ES"/>
              </w:rPr>
              <w:t>48%</w:t>
            </w:r>
          </w:p>
        </w:tc>
      </w:tr>
      <w:tr w:rsidR="008D24F0" w:rsidRPr="00981E15">
        <w:tblPrEx>
          <w:tblCellMar>
            <w:top w:w="0" w:type="dxa"/>
            <w:bottom w:w="0" w:type="dxa"/>
          </w:tblCellMar>
        </w:tblPrEx>
        <w:tc>
          <w:tcPr>
            <w:tcW w:w="1071"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rPr>
                <w:bCs/>
                <w:kern w:val="0"/>
                <w:sz w:val="17"/>
                <w:szCs w:val="16"/>
                <w:lang w:eastAsia="es-ES"/>
              </w:rPr>
            </w:pPr>
            <w:r w:rsidRPr="00981E15">
              <w:rPr>
                <w:bCs/>
                <w:kern w:val="0"/>
                <w:sz w:val="17"/>
                <w:szCs w:val="16"/>
                <w:lang w:eastAsia="es-ES"/>
              </w:rPr>
              <w:t>Básico</w:t>
            </w:r>
          </w:p>
        </w:tc>
        <w:tc>
          <w:tcPr>
            <w:tcW w:w="828"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474 585</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257 244</w:t>
            </w:r>
          </w:p>
        </w:tc>
        <w:tc>
          <w:tcPr>
            <w:tcW w:w="47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54%</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217 341</w:t>
            </w:r>
          </w:p>
        </w:tc>
        <w:tc>
          <w:tcPr>
            <w:tcW w:w="531"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46%</w:t>
            </w:r>
          </w:p>
        </w:tc>
        <w:tc>
          <w:tcPr>
            <w:tcW w:w="909"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507 633</w:t>
            </w:r>
          </w:p>
        </w:tc>
        <w:tc>
          <w:tcPr>
            <w:tcW w:w="92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273 035</w:t>
            </w:r>
          </w:p>
        </w:tc>
        <w:tc>
          <w:tcPr>
            <w:tcW w:w="540"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54%</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234 598</w:t>
            </w:r>
          </w:p>
        </w:tc>
        <w:tc>
          <w:tcPr>
            <w:tcW w:w="51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46%</w:t>
            </w:r>
          </w:p>
        </w:tc>
        <w:tc>
          <w:tcPr>
            <w:tcW w:w="882"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543 214</w:t>
            </w:r>
          </w:p>
        </w:tc>
        <w:tc>
          <w:tcPr>
            <w:tcW w:w="891"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290 979</w:t>
            </w:r>
          </w:p>
        </w:tc>
        <w:tc>
          <w:tcPr>
            <w:tcW w:w="51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54%</w:t>
            </w:r>
          </w:p>
        </w:tc>
        <w:tc>
          <w:tcPr>
            <w:tcW w:w="937"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252 235</w:t>
            </w:r>
          </w:p>
        </w:tc>
        <w:tc>
          <w:tcPr>
            <w:tcW w:w="489" w:type="dxa"/>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24"/>
                <w:lang w:eastAsia="es-ES"/>
              </w:rPr>
            </w:pPr>
            <w:r w:rsidRPr="00981E15">
              <w:rPr>
                <w:kern w:val="0"/>
                <w:sz w:val="17"/>
                <w:szCs w:val="24"/>
                <w:lang w:eastAsia="es-ES"/>
              </w:rPr>
              <w:t>46%</w:t>
            </w:r>
          </w:p>
        </w:tc>
      </w:tr>
      <w:tr w:rsidR="008D24F0" w:rsidRPr="00981E15">
        <w:tblPrEx>
          <w:tblCellMar>
            <w:top w:w="0" w:type="dxa"/>
            <w:bottom w:w="0" w:type="dxa"/>
          </w:tblCellMar>
        </w:tblPrEx>
        <w:tc>
          <w:tcPr>
            <w:tcW w:w="1071"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rPr>
                <w:bCs/>
                <w:kern w:val="0"/>
                <w:sz w:val="17"/>
                <w:szCs w:val="16"/>
                <w:lang w:eastAsia="es-ES"/>
              </w:rPr>
            </w:pPr>
            <w:r w:rsidRPr="00981E15">
              <w:rPr>
                <w:bCs/>
                <w:kern w:val="0"/>
                <w:sz w:val="17"/>
                <w:szCs w:val="16"/>
                <w:lang w:eastAsia="es-ES"/>
              </w:rPr>
              <w:t>Diversificado</w:t>
            </w:r>
          </w:p>
        </w:tc>
        <w:tc>
          <w:tcPr>
            <w:tcW w:w="828" w:type="dxa"/>
            <w:tcBorders>
              <w:bottom w:val="single" w:sz="12" w:space="0" w:color="auto"/>
            </w:tcBorders>
            <w:shd w:val="clear" w:color="auto" w:fill="auto"/>
            <w:vAlign w:val="bottom"/>
          </w:tcPr>
          <w:p w:rsidR="008D24F0" w:rsidRPr="00981E15" w:rsidRDefault="008D24F0" w:rsidP="0071692C">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223 976</w:t>
            </w:r>
          </w:p>
        </w:tc>
        <w:tc>
          <w:tcPr>
            <w:tcW w:w="882"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110 308</w:t>
            </w:r>
          </w:p>
        </w:tc>
        <w:tc>
          <w:tcPr>
            <w:tcW w:w="477"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49%</w:t>
            </w:r>
          </w:p>
        </w:tc>
        <w:tc>
          <w:tcPr>
            <w:tcW w:w="882"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113 668</w:t>
            </w:r>
          </w:p>
        </w:tc>
        <w:tc>
          <w:tcPr>
            <w:tcW w:w="531"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51%</w:t>
            </w:r>
          </w:p>
        </w:tc>
        <w:tc>
          <w:tcPr>
            <w:tcW w:w="909"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246 863</w:t>
            </w:r>
          </w:p>
        </w:tc>
        <w:tc>
          <w:tcPr>
            <w:tcW w:w="927"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122 581</w:t>
            </w:r>
          </w:p>
        </w:tc>
        <w:tc>
          <w:tcPr>
            <w:tcW w:w="540"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50%</w:t>
            </w:r>
          </w:p>
        </w:tc>
        <w:tc>
          <w:tcPr>
            <w:tcW w:w="882"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124 292</w:t>
            </w:r>
          </w:p>
        </w:tc>
        <w:tc>
          <w:tcPr>
            <w:tcW w:w="517"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50%</w:t>
            </w:r>
          </w:p>
        </w:tc>
        <w:tc>
          <w:tcPr>
            <w:tcW w:w="882"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b/>
                <w:kern w:val="0"/>
                <w:sz w:val="17"/>
                <w:szCs w:val="16"/>
                <w:lang w:eastAsia="es-ES"/>
              </w:rPr>
            </w:pPr>
            <w:r w:rsidRPr="00981E15">
              <w:rPr>
                <w:b/>
                <w:kern w:val="0"/>
                <w:sz w:val="17"/>
                <w:szCs w:val="16"/>
                <w:lang w:eastAsia="es-ES"/>
              </w:rPr>
              <w:t>267 467</w:t>
            </w:r>
          </w:p>
        </w:tc>
        <w:tc>
          <w:tcPr>
            <w:tcW w:w="891"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132 693</w:t>
            </w:r>
          </w:p>
        </w:tc>
        <w:tc>
          <w:tcPr>
            <w:tcW w:w="517"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50%</w:t>
            </w:r>
          </w:p>
        </w:tc>
        <w:tc>
          <w:tcPr>
            <w:tcW w:w="937"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16"/>
                <w:lang w:eastAsia="es-ES"/>
              </w:rPr>
            </w:pPr>
            <w:r w:rsidRPr="00981E15">
              <w:rPr>
                <w:kern w:val="0"/>
                <w:sz w:val="17"/>
                <w:szCs w:val="16"/>
                <w:lang w:eastAsia="es-ES"/>
              </w:rPr>
              <w:t>134 774</w:t>
            </w:r>
          </w:p>
        </w:tc>
        <w:tc>
          <w:tcPr>
            <w:tcW w:w="489" w:type="dxa"/>
            <w:tcBorders>
              <w:bottom w:val="single" w:sz="12" w:space="0" w:color="auto"/>
            </w:tcBorders>
            <w:shd w:val="clear" w:color="auto" w:fill="auto"/>
            <w:vAlign w:val="bottom"/>
          </w:tcPr>
          <w:p w:rsidR="008D24F0" w:rsidRPr="00981E15" w:rsidRDefault="008D24F0" w:rsidP="00F87501">
            <w:pPr>
              <w:tabs>
                <w:tab w:val="left" w:pos="288"/>
                <w:tab w:val="left" w:pos="576"/>
                <w:tab w:val="left" w:pos="864"/>
                <w:tab w:val="left" w:pos="1152"/>
              </w:tabs>
              <w:spacing w:before="40" w:after="40" w:line="210" w:lineRule="exact"/>
              <w:ind w:right="40"/>
              <w:jc w:val="right"/>
              <w:rPr>
                <w:kern w:val="0"/>
                <w:sz w:val="17"/>
                <w:szCs w:val="24"/>
                <w:lang w:eastAsia="es-ES"/>
              </w:rPr>
            </w:pPr>
            <w:r w:rsidRPr="00981E15">
              <w:rPr>
                <w:kern w:val="0"/>
                <w:sz w:val="17"/>
                <w:szCs w:val="24"/>
                <w:lang w:eastAsia="es-ES"/>
              </w:rPr>
              <w:t>50%</w:t>
            </w:r>
          </w:p>
        </w:tc>
      </w:tr>
    </w:tbl>
    <w:p w:rsidR="008D24F0" w:rsidRPr="00981E15" w:rsidRDefault="008D24F0" w:rsidP="008D24F0">
      <w:pPr>
        <w:pStyle w:val="SingleTxt"/>
        <w:spacing w:after="0" w:line="120" w:lineRule="exact"/>
        <w:rPr>
          <w:sz w:val="10"/>
        </w:rPr>
      </w:pPr>
    </w:p>
    <w:p w:rsidR="008D24F0" w:rsidRPr="00981E15" w:rsidRDefault="008D24F0" w:rsidP="008D24F0">
      <w:pPr>
        <w:pStyle w:val="FootnoteText"/>
        <w:tabs>
          <w:tab w:val="clear" w:pos="418"/>
          <w:tab w:val="right" w:pos="216"/>
          <w:tab w:val="left" w:pos="288"/>
          <w:tab w:val="right" w:pos="576"/>
          <w:tab w:val="left" w:pos="648"/>
        </w:tabs>
        <w:ind w:left="288" w:hanging="288"/>
      </w:pPr>
      <w:r w:rsidRPr="00981E15">
        <w:rPr>
          <w:i/>
        </w:rPr>
        <w:t>Fuente</w:t>
      </w:r>
      <w:r w:rsidRPr="00981E15">
        <w:t>: Dirección General de Planificación Educativa</w:t>
      </w:r>
      <w:r w:rsidR="005D453A">
        <w:t>.</w:t>
      </w:r>
    </w:p>
    <w:p w:rsidR="008D24F0" w:rsidRPr="00981E15" w:rsidRDefault="008D24F0" w:rsidP="008D24F0">
      <w:pPr>
        <w:pStyle w:val="SingleTxt"/>
      </w:pPr>
    </w:p>
    <w:p w:rsidR="00071CDE" w:rsidRPr="00981E15" w:rsidRDefault="00071CDE" w:rsidP="00A706BB">
      <w:pPr>
        <w:pStyle w:val="SingleTxt"/>
        <w:suppressAutoHyphens/>
      </w:pPr>
    </w:p>
    <w:p w:rsidR="00071CDE" w:rsidRPr="00981E15" w:rsidRDefault="00071CDE" w:rsidP="00A706BB">
      <w:pPr>
        <w:pStyle w:val="SingleTxt"/>
        <w:suppressAutoHyphens/>
      </w:pPr>
    </w:p>
    <w:p w:rsidR="00071CDE" w:rsidRPr="00981E15" w:rsidRDefault="00071CDE" w:rsidP="00A706BB">
      <w:pPr>
        <w:pStyle w:val="SingleTxt"/>
        <w:suppressAutoHyphens/>
        <w:sectPr w:rsidR="00071CDE" w:rsidRPr="00981E15" w:rsidSect="00071CDE">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901" w:header="576" w:footer="1037" w:gutter="0"/>
          <w:cols w:space="708"/>
          <w:noEndnote/>
          <w:bidi/>
          <w:rtlGutter/>
          <w:docGrid w:linePitch="360"/>
        </w:sectPr>
      </w:pPr>
    </w:p>
    <w:p w:rsidR="00071CDE" w:rsidRPr="00981E15" w:rsidRDefault="00490108" w:rsidP="004901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Reforma educativa</w:t>
      </w:r>
    </w:p>
    <w:p w:rsidR="00490108" w:rsidRPr="00981E15" w:rsidRDefault="00490108" w:rsidP="00490108">
      <w:pPr>
        <w:pStyle w:val="SingleTxt"/>
        <w:spacing w:after="0" w:line="120" w:lineRule="exact"/>
        <w:rPr>
          <w:sz w:val="10"/>
        </w:rPr>
      </w:pPr>
    </w:p>
    <w:p w:rsidR="00490108" w:rsidRPr="00981E15" w:rsidRDefault="00490108" w:rsidP="00490108">
      <w:pPr>
        <w:pStyle w:val="SingleTxt"/>
        <w:numPr>
          <w:ilvl w:val="0"/>
          <w:numId w:val="25"/>
        </w:numPr>
        <w:tabs>
          <w:tab w:val="clear" w:pos="475"/>
          <w:tab w:val="num" w:pos="1742"/>
        </w:tabs>
        <w:suppressAutoHyphens/>
        <w:ind w:left="1267"/>
      </w:pPr>
      <w:r w:rsidRPr="00981E15">
        <w:t>En el marco de la Reforma Educativa, se crea la Subcomisión de Género de la Comisión Consultiva para la Reforma Educativa. El nuevo currículo que el MINEDUC está impulsando es producto de un proceso de transformación curricular desarrollado por el Ministerio a partir de los Acuerdos de Paz y está definido por el diseño de la Reforma Educativa. En dicho proceso se identificó como ejes que son tratados en forma transversal en todas las áreas curriculares:</w:t>
      </w:r>
    </w:p>
    <w:p w:rsidR="00490108" w:rsidRPr="00981E15" w:rsidRDefault="00490108" w:rsidP="00490108">
      <w:pPr>
        <w:pStyle w:val="SingleTxt"/>
        <w:tabs>
          <w:tab w:val="clear" w:pos="1742"/>
          <w:tab w:val="right" w:pos="1685"/>
        </w:tabs>
        <w:suppressAutoHyphens/>
        <w:ind w:left="1742" w:hanging="475"/>
      </w:pPr>
      <w:r w:rsidRPr="00981E15">
        <w:tab/>
        <w:t>•</w:t>
      </w:r>
      <w:r w:rsidRPr="00981E15">
        <w:tab/>
        <w:t>Equidad de género, de etnia y social. Este eje se descompone en equidad e igualdad; género y autoestima; educación sexual y el VIH/SIDA.</w:t>
      </w:r>
    </w:p>
    <w:p w:rsidR="00490108" w:rsidRPr="00981E15" w:rsidRDefault="00490108" w:rsidP="00490108">
      <w:pPr>
        <w:pStyle w:val="SingleTxt"/>
        <w:tabs>
          <w:tab w:val="clear" w:pos="1742"/>
          <w:tab w:val="right" w:pos="1685"/>
        </w:tabs>
        <w:suppressAutoHyphens/>
        <w:ind w:left="1742" w:hanging="475"/>
      </w:pPr>
      <w:r w:rsidRPr="00981E15">
        <w:tab/>
        <w:t>•</w:t>
      </w:r>
      <w:r w:rsidRPr="00981E15">
        <w:tab/>
        <w:t>Vida ciudadana, comprende educación en población, educación en derechos humanos, democracia y cultura de paz, y formación cívica.</w:t>
      </w:r>
    </w:p>
    <w:p w:rsidR="00490108" w:rsidRPr="00981E15" w:rsidRDefault="00490108" w:rsidP="00490108">
      <w:pPr>
        <w:pStyle w:val="SingleTxt"/>
        <w:numPr>
          <w:ilvl w:val="0"/>
          <w:numId w:val="25"/>
        </w:numPr>
        <w:tabs>
          <w:tab w:val="clear" w:pos="475"/>
          <w:tab w:val="num" w:pos="1742"/>
        </w:tabs>
        <w:suppressAutoHyphens/>
        <w:ind w:left="1267"/>
      </w:pPr>
      <w:r w:rsidRPr="00981E15">
        <w:t>El área curricular que de forma más directa aborda como competencia y contenido la sexualidad humana es la de “medio social y natural” (ciclo I, de primero a tercer grado) y “ciencias naturales y tecnología” (ciclo II, del cuarto al sexto grado). El tema de salud reproductiva es tratado como parte de la sexualidad humana.</w:t>
      </w:r>
    </w:p>
    <w:p w:rsidR="00490108" w:rsidRPr="00981E15" w:rsidRDefault="00490108" w:rsidP="00490108">
      <w:pPr>
        <w:pStyle w:val="SingleTxt"/>
        <w:tabs>
          <w:tab w:val="clear" w:pos="1742"/>
        </w:tabs>
        <w:suppressAutoHyphens/>
        <w:spacing w:after="0" w:line="120" w:lineRule="exact"/>
        <w:rPr>
          <w:sz w:val="10"/>
        </w:rPr>
      </w:pPr>
    </w:p>
    <w:p w:rsidR="00490108" w:rsidRPr="00981E15" w:rsidRDefault="00490108" w:rsidP="00490108">
      <w:pPr>
        <w:pStyle w:val="SingleTxt"/>
        <w:tabs>
          <w:tab w:val="clear" w:pos="1742"/>
        </w:tabs>
        <w:suppressAutoHyphens/>
        <w:spacing w:after="0" w:line="120" w:lineRule="exact"/>
        <w:rPr>
          <w:sz w:val="10"/>
        </w:rPr>
      </w:pPr>
    </w:p>
    <w:p w:rsidR="00490108" w:rsidRPr="00981E15" w:rsidRDefault="00490108" w:rsidP="00490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Programas de ampliación de cobertura y calidad educativa</w:t>
      </w:r>
    </w:p>
    <w:p w:rsidR="00490108" w:rsidRPr="00981E15" w:rsidRDefault="00490108" w:rsidP="00490108">
      <w:pPr>
        <w:pStyle w:val="SingleTxt"/>
        <w:tabs>
          <w:tab w:val="clear" w:pos="1742"/>
        </w:tabs>
        <w:suppressAutoHyphens/>
        <w:spacing w:after="0" w:line="120" w:lineRule="exact"/>
        <w:ind w:left="0"/>
        <w:rPr>
          <w:sz w:val="10"/>
        </w:rPr>
      </w:pPr>
    </w:p>
    <w:p w:rsidR="00490108" w:rsidRPr="00981E15" w:rsidRDefault="00490108" w:rsidP="00490108">
      <w:pPr>
        <w:pStyle w:val="SingleTxt"/>
        <w:tabs>
          <w:tab w:val="clear" w:pos="1742"/>
        </w:tabs>
        <w:suppressAutoHyphens/>
        <w:spacing w:after="0" w:line="120" w:lineRule="exact"/>
        <w:ind w:left="0"/>
        <w:rPr>
          <w:sz w:val="10"/>
        </w:rPr>
      </w:pPr>
    </w:p>
    <w:p w:rsidR="00490108" w:rsidRPr="00981E15" w:rsidRDefault="00490108" w:rsidP="004901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Programa Nacional de Becas para la Educación</w:t>
      </w:r>
    </w:p>
    <w:p w:rsidR="00490108" w:rsidRPr="00981E15" w:rsidRDefault="00490108" w:rsidP="00490108">
      <w:pPr>
        <w:pStyle w:val="SingleTxt"/>
        <w:tabs>
          <w:tab w:val="clear" w:pos="1742"/>
        </w:tabs>
        <w:suppressAutoHyphens/>
        <w:spacing w:after="0" w:line="120" w:lineRule="exact"/>
        <w:ind w:left="0"/>
        <w:rPr>
          <w:sz w:val="10"/>
        </w:rPr>
      </w:pPr>
    </w:p>
    <w:p w:rsidR="00490108" w:rsidRPr="00981E15" w:rsidRDefault="00490108" w:rsidP="00490108">
      <w:pPr>
        <w:pStyle w:val="SingleTxt"/>
        <w:numPr>
          <w:ilvl w:val="0"/>
          <w:numId w:val="25"/>
        </w:numPr>
        <w:tabs>
          <w:tab w:val="clear" w:pos="475"/>
          <w:tab w:val="num" w:pos="1742"/>
        </w:tabs>
        <w:suppressAutoHyphens/>
        <w:ind w:left="1267"/>
      </w:pPr>
      <w:r w:rsidRPr="00981E15">
        <w:t>El propósito de este programa es incrementar la cobertura, lograr la retención de los y las alumnas, aumentar la promoción y evitar la repitencia y deserción tanto a nivel primario como del nivel medio. Tiene las siguientes modalidades: 1) Becas de la Niña, 2) Becas de la Paz, 3) Bolsas de Estudio, 4) Beca para el pago de alimentos, 5) Becas de la Excelencia y 6) Becas para la erradicación del trabajo infantil (este programa fue absorbido en 2006 por el Programa de Becas de la Paz).</w:t>
      </w:r>
    </w:p>
    <w:p w:rsidR="00490108" w:rsidRPr="00981E15" w:rsidRDefault="00490108" w:rsidP="00490108">
      <w:pPr>
        <w:pStyle w:val="SingleTxt"/>
        <w:tabs>
          <w:tab w:val="clear" w:pos="1742"/>
        </w:tabs>
        <w:suppressAutoHyphens/>
        <w:spacing w:after="0" w:line="120" w:lineRule="exact"/>
        <w:rPr>
          <w:sz w:val="10"/>
        </w:rPr>
      </w:pPr>
    </w:p>
    <w:p w:rsidR="00490108" w:rsidRPr="00981E15" w:rsidRDefault="00490108" w:rsidP="004901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Programa de Becas para la niña rural</w:t>
      </w:r>
    </w:p>
    <w:p w:rsidR="00490108" w:rsidRPr="00981E15" w:rsidRDefault="00490108" w:rsidP="00490108">
      <w:pPr>
        <w:pStyle w:val="SingleTxt"/>
        <w:tabs>
          <w:tab w:val="clear" w:pos="1742"/>
        </w:tabs>
        <w:suppressAutoHyphens/>
        <w:spacing w:after="0" w:line="120" w:lineRule="exact"/>
        <w:ind w:left="0"/>
        <w:rPr>
          <w:sz w:val="10"/>
        </w:rPr>
      </w:pPr>
    </w:p>
    <w:p w:rsidR="00490108" w:rsidRPr="00981E15" w:rsidRDefault="00490108" w:rsidP="00490108">
      <w:pPr>
        <w:pStyle w:val="SingleTxt"/>
        <w:numPr>
          <w:ilvl w:val="0"/>
          <w:numId w:val="25"/>
        </w:numPr>
        <w:tabs>
          <w:tab w:val="clear" w:pos="475"/>
          <w:tab w:val="num" w:pos="1742"/>
        </w:tabs>
        <w:suppressAutoHyphens/>
        <w:ind w:left="1267"/>
      </w:pPr>
      <w:r w:rsidRPr="00981E15">
        <w:t xml:space="preserve">Este es un programa regional, descentralizado que otorga becas a niñas del área rural para que cursen la primaria. Su objetivo principal es elevar los índices de retención y promoción de las niñas del área rural en el nivel primario, especialmente de las niñas indígenas. </w:t>
      </w:r>
    </w:p>
    <w:p w:rsidR="00490108" w:rsidRPr="00981E15" w:rsidRDefault="00490108" w:rsidP="0049010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rsidRPr="00981E15">
        <w:tab/>
      </w:r>
      <w:r w:rsidRPr="00981E15">
        <w:tab/>
        <w:t>Cuadro 17</w:t>
      </w:r>
      <w:r w:rsidRPr="00981E15">
        <w:br/>
      </w:r>
      <w:r w:rsidRPr="00981E15">
        <w:rPr>
          <w:b/>
        </w:rPr>
        <w:t>Becas otorgadas</w:t>
      </w:r>
    </w:p>
    <w:p w:rsidR="00490108" w:rsidRPr="00981E15" w:rsidRDefault="00490108" w:rsidP="0049010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18"/>
        <w:gridCol w:w="1530"/>
        <w:gridCol w:w="3330"/>
        <w:gridCol w:w="1542"/>
      </w:tblGrid>
      <w:tr w:rsidR="00490108" w:rsidRPr="00981E15">
        <w:tblPrEx>
          <w:tblCellMar>
            <w:top w:w="0" w:type="dxa"/>
            <w:bottom w:w="0" w:type="dxa"/>
          </w:tblCellMar>
        </w:tblPrEx>
        <w:trPr>
          <w:tblHeader/>
        </w:trPr>
        <w:tc>
          <w:tcPr>
            <w:tcW w:w="918"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right="40"/>
              <w:rPr>
                <w:i/>
                <w:kern w:val="0"/>
                <w:sz w:val="14"/>
              </w:rPr>
            </w:pPr>
            <w:r w:rsidRPr="00981E15">
              <w:rPr>
                <w:i/>
                <w:kern w:val="0"/>
                <w:sz w:val="14"/>
              </w:rPr>
              <w:t>Año</w:t>
            </w:r>
          </w:p>
        </w:tc>
        <w:tc>
          <w:tcPr>
            <w:tcW w:w="1530"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right="58"/>
              <w:jc w:val="right"/>
              <w:rPr>
                <w:i/>
                <w:kern w:val="0"/>
                <w:sz w:val="14"/>
              </w:rPr>
            </w:pPr>
            <w:r w:rsidRPr="00981E15">
              <w:rPr>
                <w:i/>
                <w:kern w:val="0"/>
                <w:sz w:val="14"/>
              </w:rPr>
              <w:t>Becas</w:t>
            </w:r>
          </w:p>
        </w:tc>
        <w:tc>
          <w:tcPr>
            <w:tcW w:w="3330"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left="43" w:right="43"/>
              <w:rPr>
                <w:i/>
                <w:kern w:val="0"/>
                <w:sz w:val="14"/>
              </w:rPr>
            </w:pPr>
            <w:r w:rsidRPr="00981E15">
              <w:rPr>
                <w:i/>
                <w:kern w:val="0"/>
                <w:sz w:val="14"/>
              </w:rPr>
              <w:t>Tipo de escuela</w:t>
            </w:r>
          </w:p>
        </w:tc>
        <w:tc>
          <w:tcPr>
            <w:tcW w:w="1542"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Monto total</w:t>
            </w:r>
          </w:p>
        </w:tc>
      </w:tr>
      <w:tr w:rsidR="00490108" w:rsidRPr="00981E15">
        <w:tblPrEx>
          <w:tblCellMar>
            <w:top w:w="0" w:type="dxa"/>
            <w:bottom w:w="0" w:type="dxa"/>
          </w:tblCellMar>
        </w:tblPrEx>
        <w:trPr>
          <w:trHeight w:hRule="exact" w:val="115"/>
          <w:tblHeader/>
        </w:trPr>
        <w:tc>
          <w:tcPr>
            <w:tcW w:w="918"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rPr>
                <w:kern w:val="0"/>
                <w:sz w:val="17"/>
              </w:rPr>
            </w:pPr>
          </w:p>
        </w:tc>
        <w:tc>
          <w:tcPr>
            <w:tcW w:w="1530"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58"/>
              <w:jc w:val="right"/>
              <w:rPr>
                <w:kern w:val="0"/>
                <w:sz w:val="17"/>
              </w:rPr>
            </w:pPr>
          </w:p>
        </w:tc>
        <w:tc>
          <w:tcPr>
            <w:tcW w:w="3330"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left="43" w:right="43"/>
              <w:jc w:val="right"/>
              <w:rPr>
                <w:kern w:val="0"/>
                <w:sz w:val="17"/>
              </w:rPr>
            </w:pPr>
          </w:p>
        </w:tc>
        <w:tc>
          <w:tcPr>
            <w:tcW w:w="1542"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jc w:val="right"/>
              <w:rPr>
                <w:kern w:val="0"/>
                <w:sz w:val="17"/>
              </w:rPr>
            </w:pPr>
          </w:p>
        </w:tc>
      </w:tr>
      <w:tr w:rsidR="00490108" w:rsidRPr="00981E15">
        <w:tblPrEx>
          <w:tblCellMar>
            <w:top w:w="0" w:type="dxa"/>
            <w:bottom w:w="0" w:type="dxa"/>
          </w:tblCellMar>
        </w:tblPrEx>
        <w:tc>
          <w:tcPr>
            <w:tcW w:w="918"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2004</w:t>
            </w:r>
          </w:p>
        </w:tc>
        <w:tc>
          <w:tcPr>
            <w:tcW w:w="1530"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58"/>
              <w:jc w:val="right"/>
              <w:rPr>
                <w:kern w:val="0"/>
                <w:sz w:val="17"/>
                <w:szCs w:val="24"/>
              </w:rPr>
            </w:pPr>
            <w:r w:rsidRPr="00981E15">
              <w:rPr>
                <w:kern w:val="0"/>
                <w:sz w:val="17"/>
                <w:szCs w:val="24"/>
              </w:rPr>
              <w:t>32 030</w:t>
            </w:r>
          </w:p>
        </w:tc>
        <w:tc>
          <w:tcPr>
            <w:tcW w:w="3330"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left="43" w:right="43"/>
              <w:rPr>
                <w:kern w:val="0"/>
                <w:sz w:val="17"/>
                <w:szCs w:val="24"/>
              </w:rPr>
            </w:pPr>
            <w:r w:rsidRPr="00981E15">
              <w:rPr>
                <w:kern w:val="0"/>
                <w:sz w:val="17"/>
                <w:szCs w:val="24"/>
              </w:rPr>
              <w:t>en escuelas regulares</w:t>
            </w:r>
          </w:p>
        </w:tc>
        <w:tc>
          <w:tcPr>
            <w:tcW w:w="1542"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Q. 9 609,000.00</w:t>
            </w:r>
          </w:p>
        </w:tc>
      </w:tr>
      <w:tr w:rsidR="00490108" w:rsidRPr="00981E15">
        <w:tblPrEx>
          <w:tblCellMar>
            <w:top w:w="0" w:type="dxa"/>
            <w:bottom w:w="0" w:type="dxa"/>
          </w:tblCellMar>
        </w:tblPrEx>
        <w:tc>
          <w:tcPr>
            <w:tcW w:w="918"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2005</w:t>
            </w:r>
          </w:p>
        </w:tc>
        <w:tc>
          <w:tcPr>
            <w:tcW w:w="1530"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58"/>
              <w:jc w:val="right"/>
              <w:rPr>
                <w:kern w:val="0"/>
                <w:sz w:val="17"/>
                <w:szCs w:val="24"/>
              </w:rPr>
            </w:pPr>
            <w:r w:rsidRPr="00981E15">
              <w:rPr>
                <w:kern w:val="0"/>
                <w:sz w:val="17"/>
                <w:szCs w:val="24"/>
              </w:rPr>
              <w:t>49 700</w:t>
            </w:r>
          </w:p>
        </w:tc>
        <w:tc>
          <w:tcPr>
            <w:tcW w:w="3330"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left="43" w:right="43"/>
              <w:rPr>
                <w:kern w:val="0"/>
                <w:sz w:val="17"/>
                <w:szCs w:val="24"/>
              </w:rPr>
            </w:pPr>
            <w:r w:rsidRPr="00981E15">
              <w:rPr>
                <w:kern w:val="0"/>
                <w:sz w:val="17"/>
                <w:szCs w:val="24"/>
              </w:rPr>
              <w:t>en escuelas regulares</w:t>
            </w:r>
          </w:p>
        </w:tc>
        <w:tc>
          <w:tcPr>
            <w:tcW w:w="1542"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Q. 14 910,000.00</w:t>
            </w:r>
          </w:p>
        </w:tc>
      </w:tr>
      <w:tr w:rsidR="00490108" w:rsidRPr="00981E15">
        <w:tblPrEx>
          <w:tblCellMar>
            <w:top w:w="0" w:type="dxa"/>
            <w:bottom w:w="0" w:type="dxa"/>
          </w:tblCellMar>
        </w:tblPrEx>
        <w:tc>
          <w:tcPr>
            <w:tcW w:w="918"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rPr>
                <w:kern w:val="0"/>
                <w:sz w:val="17"/>
                <w:szCs w:val="24"/>
              </w:rPr>
            </w:pPr>
            <w:r w:rsidRPr="00981E15">
              <w:rPr>
                <w:kern w:val="0"/>
                <w:sz w:val="17"/>
                <w:szCs w:val="24"/>
              </w:rPr>
              <w:t>2006</w:t>
            </w:r>
          </w:p>
        </w:tc>
        <w:tc>
          <w:tcPr>
            <w:tcW w:w="1530"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58"/>
              <w:jc w:val="right"/>
              <w:rPr>
                <w:kern w:val="0"/>
                <w:sz w:val="17"/>
                <w:szCs w:val="24"/>
              </w:rPr>
            </w:pPr>
            <w:r w:rsidRPr="00981E15">
              <w:rPr>
                <w:kern w:val="0"/>
                <w:sz w:val="17"/>
                <w:szCs w:val="24"/>
              </w:rPr>
              <w:t>96 216</w:t>
            </w:r>
          </w:p>
        </w:tc>
        <w:tc>
          <w:tcPr>
            <w:tcW w:w="3330"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left="43" w:right="43"/>
              <w:rPr>
                <w:kern w:val="0"/>
                <w:sz w:val="17"/>
                <w:szCs w:val="24"/>
              </w:rPr>
            </w:pPr>
            <w:r w:rsidRPr="00981E15">
              <w:rPr>
                <w:kern w:val="0"/>
                <w:sz w:val="17"/>
                <w:szCs w:val="24"/>
              </w:rPr>
              <w:t>escuelas regulares y escuelas PRONADE</w:t>
            </w:r>
          </w:p>
        </w:tc>
        <w:tc>
          <w:tcPr>
            <w:tcW w:w="1542" w:type="dxa"/>
            <w:shd w:val="clear" w:color="auto" w:fill="auto"/>
            <w:vAlign w:val="bottom"/>
          </w:tcPr>
          <w:p w:rsidR="00490108" w:rsidRPr="00981E15" w:rsidRDefault="00490108" w:rsidP="00490108">
            <w:pPr>
              <w:tabs>
                <w:tab w:val="left" w:pos="288"/>
                <w:tab w:val="left" w:pos="576"/>
                <w:tab w:val="left" w:pos="864"/>
                <w:tab w:val="left" w:pos="1152"/>
              </w:tabs>
              <w:spacing w:before="40" w:after="40" w:line="210" w:lineRule="exact"/>
              <w:ind w:right="40"/>
              <w:jc w:val="right"/>
              <w:rPr>
                <w:kern w:val="0"/>
                <w:sz w:val="17"/>
                <w:szCs w:val="24"/>
              </w:rPr>
            </w:pPr>
            <w:r w:rsidRPr="00981E15">
              <w:rPr>
                <w:kern w:val="0"/>
                <w:sz w:val="17"/>
                <w:szCs w:val="24"/>
              </w:rPr>
              <w:t>Q. 28 864,800.00</w:t>
            </w:r>
          </w:p>
        </w:tc>
      </w:tr>
      <w:tr w:rsidR="00490108" w:rsidRPr="00981E15">
        <w:tblPrEx>
          <w:tblCellMar>
            <w:top w:w="0" w:type="dxa"/>
            <w:bottom w:w="0" w:type="dxa"/>
          </w:tblCellMar>
        </w:tblPrEx>
        <w:tc>
          <w:tcPr>
            <w:tcW w:w="918" w:type="dxa"/>
            <w:tcBorders>
              <w:bottom w:val="single" w:sz="4"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1" w:line="210" w:lineRule="exact"/>
              <w:ind w:right="40"/>
              <w:rPr>
                <w:kern w:val="0"/>
                <w:sz w:val="17"/>
                <w:szCs w:val="24"/>
              </w:rPr>
            </w:pPr>
            <w:r w:rsidRPr="00981E15">
              <w:rPr>
                <w:kern w:val="0"/>
                <w:sz w:val="17"/>
                <w:szCs w:val="24"/>
              </w:rPr>
              <w:t>2007</w:t>
            </w:r>
          </w:p>
        </w:tc>
        <w:tc>
          <w:tcPr>
            <w:tcW w:w="1530" w:type="dxa"/>
            <w:tcBorders>
              <w:bottom w:val="single" w:sz="4"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1" w:line="210" w:lineRule="exact"/>
              <w:ind w:right="58"/>
              <w:jc w:val="right"/>
              <w:rPr>
                <w:kern w:val="0"/>
                <w:sz w:val="17"/>
                <w:szCs w:val="24"/>
              </w:rPr>
            </w:pPr>
            <w:r w:rsidRPr="00981E15">
              <w:rPr>
                <w:kern w:val="0"/>
                <w:sz w:val="17"/>
                <w:szCs w:val="24"/>
              </w:rPr>
              <w:t>96 666 (*)</w:t>
            </w:r>
          </w:p>
        </w:tc>
        <w:tc>
          <w:tcPr>
            <w:tcW w:w="3330" w:type="dxa"/>
            <w:tcBorders>
              <w:bottom w:val="single" w:sz="4"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1" w:line="210" w:lineRule="exact"/>
              <w:ind w:left="43" w:right="43"/>
              <w:rPr>
                <w:kern w:val="0"/>
                <w:sz w:val="17"/>
                <w:szCs w:val="24"/>
              </w:rPr>
            </w:pPr>
            <w:r w:rsidRPr="00981E15">
              <w:rPr>
                <w:kern w:val="0"/>
                <w:sz w:val="17"/>
                <w:szCs w:val="24"/>
              </w:rPr>
              <w:t>escuelas regulares y escuelas PRONADE</w:t>
            </w:r>
          </w:p>
        </w:tc>
        <w:tc>
          <w:tcPr>
            <w:tcW w:w="1542" w:type="dxa"/>
            <w:tcBorders>
              <w:bottom w:val="single" w:sz="4"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1" w:line="210" w:lineRule="exact"/>
              <w:ind w:right="40"/>
              <w:jc w:val="right"/>
              <w:rPr>
                <w:kern w:val="0"/>
                <w:sz w:val="17"/>
                <w:szCs w:val="24"/>
              </w:rPr>
            </w:pPr>
            <w:r w:rsidRPr="00981E15">
              <w:rPr>
                <w:kern w:val="0"/>
                <w:sz w:val="17"/>
                <w:szCs w:val="24"/>
              </w:rPr>
              <w:t>Q. 28 999,800.00</w:t>
            </w:r>
          </w:p>
        </w:tc>
      </w:tr>
      <w:tr w:rsidR="00490108" w:rsidRPr="00981E15">
        <w:tblPrEx>
          <w:tblCellMar>
            <w:top w:w="0" w:type="dxa"/>
            <w:bottom w:w="0" w:type="dxa"/>
          </w:tblCellMar>
        </w:tblPrEx>
        <w:tc>
          <w:tcPr>
            <w:tcW w:w="918"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1" w:after="81" w:line="210" w:lineRule="exact"/>
              <w:ind w:right="40"/>
              <w:rPr>
                <w:b/>
                <w:kern w:val="0"/>
                <w:sz w:val="17"/>
                <w:szCs w:val="24"/>
              </w:rPr>
            </w:pPr>
            <w:r w:rsidRPr="00981E15">
              <w:rPr>
                <w:b/>
                <w:kern w:val="0"/>
                <w:sz w:val="17"/>
                <w:szCs w:val="24"/>
              </w:rPr>
              <w:t xml:space="preserve">Total </w:t>
            </w:r>
          </w:p>
        </w:tc>
        <w:tc>
          <w:tcPr>
            <w:tcW w:w="1530"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1" w:after="81" w:line="210" w:lineRule="exact"/>
              <w:ind w:right="58"/>
              <w:jc w:val="right"/>
              <w:rPr>
                <w:b/>
                <w:kern w:val="0"/>
                <w:sz w:val="17"/>
                <w:szCs w:val="24"/>
              </w:rPr>
            </w:pPr>
            <w:r w:rsidRPr="00981E15">
              <w:rPr>
                <w:b/>
                <w:kern w:val="0"/>
                <w:sz w:val="17"/>
                <w:szCs w:val="24"/>
              </w:rPr>
              <w:t>274 612</w:t>
            </w:r>
          </w:p>
        </w:tc>
        <w:tc>
          <w:tcPr>
            <w:tcW w:w="3330"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1" w:after="81" w:line="210" w:lineRule="exact"/>
              <w:ind w:left="43" w:right="43"/>
              <w:rPr>
                <w:b/>
                <w:kern w:val="0"/>
                <w:sz w:val="17"/>
                <w:szCs w:val="24"/>
              </w:rPr>
            </w:pPr>
          </w:p>
        </w:tc>
        <w:tc>
          <w:tcPr>
            <w:tcW w:w="1542"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1" w:after="81" w:line="210" w:lineRule="exact"/>
              <w:ind w:right="40"/>
              <w:jc w:val="right"/>
              <w:rPr>
                <w:b/>
                <w:kern w:val="0"/>
                <w:sz w:val="17"/>
                <w:szCs w:val="24"/>
              </w:rPr>
            </w:pPr>
            <w:r w:rsidRPr="00981E15">
              <w:rPr>
                <w:b/>
                <w:kern w:val="0"/>
                <w:sz w:val="17"/>
                <w:szCs w:val="24"/>
              </w:rPr>
              <w:t>Q. 82 383,600.00</w:t>
            </w:r>
          </w:p>
        </w:tc>
      </w:tr>
    </w:tbl>
    <w:p w:rsidR="00490108" w:rsidRPr="00981E15" w:rsidRDefault="00490108" w:rsidP="00490108">
      <w:pPr>
        <w:pStyle w:val="SingleTxt"/>
        <w:spacing w:after="0" w:line="120" w:lineRule="exact"/>
        <w:rPr>
          <w:sz w:val="10"/>
        </w:rPr>
      </w:pPr>
    </w:p>
    <w:p w:rsidR="00490108" w:rsidRPr="00981E15" w:rsidRDefault="00490108" w:rsidP="00490108">
      <w:pPr>
        <w:pStyle w:val="FootnoteText"/>
        <w:tabs>
          <w:tab w:val="clear" w:pos="418"/>
          <w:tab w:val="right" w:pos="1476"/>
          <w:tab w:val="left" w:pos="1548"/>
          <w:tab w:val="right" w:pos="1836"/>
          <w:tab w:val="left" w:pos="1908"/>
        </w:tabs>
        <w:ind w:left="1548" w:right="1267" w:hanging="288"/>
      </w:pPr>
      <w:r w:rsidRPr="00981E15">
        <w:tab/>
      </w:r>
      <w:r w:rsidRPr="00981E15">
        <w:tab/>
        <w:t>Tipo de cambio Q.7.5/USD 1.00</w:t>
      </w:r>
    </w:p>
    <w:p w:rsidR="00490108" w:rsidRPr="00981E15" w:rsidRDefault="00490108" w:rsidP="00490108">
      <w:pPr>
        <w:pStyle w:val="SingleTxt"/>
        <w:tabs>
          <w:tab w:val="clear" w:pos="1742"/>
        </w:tabs>
        <w:suppressAutoHyphens/>
        <w:spacing w:after="0" w:line="120" w:lineRule="exact"/>
        <w:rPr>
          <w:sz w:val="10"/>
        </w:rPr>
      </w:pPr>
    </w:p>
    <w:p w:rsidR="00490108" w:rsidRPr="00981E15" w:rsidRDefault="00490108" w:rsidP="00490108">
      <w:pPr>
        <w:pStyle w:val="SingleTxt"/>
        <w:tabs>
          <w:tab w:val="clear" w:pos="1742"/>
        </w:tabs>
        <w:suppressAutoHyphens/>
        <w:spacing w:after="0" w:line="120" w:lineRule="exact"/>
        <w:rPr>
          <w:sz w:val="10"/>
        </w:rPr>
      </w:pPr>
    </w:p>
    <w:p w:rsidR="00490108" w:rsidRPr="00981E15" w:rsidRDefault="00490108" w:rsidP="001109E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spacing w:val="2"/>
        </w:rPr>
      </w:pPr>
      <w:r w:rsidRPr="00981E15">
        <w:t>Cuadro 18</w:t>
      </w:r>
      <w:r w:rsidRPr="00981E15">
        <w:br/>
      </w:r>
      <w:r w:rsidRPr="00981E15">
        <w:rPr>
          <w:b/>
        </w:rPr>
        <w:t xml:space="preserve">Ampliación de la cobertura de educación por medio de los diferentes </w:t>
      </w:r>
      <w:r w:rsidR="001109E8" w:rsidRPr="00981E15">
        <w:rPr>
          <w:b/>
        </w:rPr>
        <w:br/>
      </w:r>
      <w:r w:rsidRPr="00981E15">
        <w:rPr>
          <w:b/>
        </w:rPr>
        <w:t>programas de becas y bolsas de estudio</w:t>
      </w:r>
    </w:p>
    <w:p w:rsidR="00490108" w:rsidRPr="00981E15" w:rsidRDefault="00490108" w:rsidP="00490108">
      <w:pPr>
        <w:pStyle w:val="SingleTxt"/>
        <w:spacing w:after="0" w:line="120" w:lineRule="exact"/>
        <w:rPr>
          <w:sz w:val="10"/>
        </w:rPr>
      </w:pPr>
    </w:p>
    <w:tbl>
      <w:tblPr>
        <w:tblW w:w="9843" w:type="dxa"/>
        <w:tblInd w:w="27" w:type="dxa"/>
        <w:tblLayout w:type="fixed"/>
        <w:tblCellMar>
          <w:left w:w="0" w:type="dxa"/>
          <w:right w:w="0" w:type="dxa"/>
        </w:tblCellMar>
        <w:tblLook w:val="0000" w:firstRow="0" w:lastRow="0" w:firstColumn="0" w:lastColumn="0" w:noHBand="0" w:noVBand="0"/>
      </w:tblPr>
      <w:tblGrid>
        <w:gridCol w:w="1674"/>
        <w:gridCol w:w="3465"/>
        <w:gridCol w:w="2160"/>
        <w:gridCol w:w="2544"/>
      </w:tblGrid>
      <w:tr w:rsidR="00490108" w:rsidRPr="00981E15">
        <w:tblPrEx>
          <w:tblCellMar>
            <w:top w:w="0" w:type="dxa"/>
            <w:bottom w:w="0" w:type="dxa"/>
          </w:tblCellMar>
        </w:tblPrEx>
        <w:trPr>
          <w:tblHeader/>
        </w:trPr>
        <w:tc>
          <w:tcPr>
            <w:tcW w:w="1674"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right="40"/>
              <w:rPr>
                <w:i/>
                <w:kern w:val="0"/>
                <w:sz w:val="14"/>
              </w:rPr>
            </w:pPr>
            <w:r w:rsidRPr="00981E15">
              <w:rPr>
                <w:i/>
                <w:kern w:val="0"/>
                <w:sz w:val="14"/>
              </w:rPr>
              <w:t>Tipos de becas de nivel primaria</w:t>
            </w:r>
          </w:p>
        </w:tc>
        <w:tc>
          <w:tcPr>
            <w:tcW w:w="3465"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right="40"/>
              <w:rPr>
                <w:i/>
                <w:kern w:val="0"/>
                <w:sz w:val="14"/>
              </w:rPr>
            </w:pPr>
            <w:r w:rsidRPr="00981E15">
              <w:rPr>
                <w:i/>
                <w:kern w:val="0"/>
                <w:sz w:val="14"/>
              </w:rPr>
              <w:t>Características de la población beneficiada</w:t>
            </w:r>
          </w:p>
        </w:tc>
        <w:tc>
          <w:tcPr>
            <w:tcW w:w="2160"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right="72"/>
              <w:rPr>
                <w:i/>
                <w:kern w:val="0"/>
                <w:sz w:val="14"/>
              </w:rPr>
            </w:pPr>
            <w:r w:rsidRPr="00981E15">
              <w:rPr>
                <w:i/>
                <w:kern w:val="0"/>
                <w:sz w:val="14"/>
              </w:rPr>
              <w:t>Años de escolaridad y edades</w:t>
            </w:r>
          </w:p>
        </w:tc>
        <w:tc>
          <w:tcPr>
            <w:tcW w:w="2544" w:type="dxa"/>
            <w:tcBorders>
              <w:top w:val="single" w:sz="4" w:space="0" w:color="auto"/>
              <w:bottom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80" w:after="80" w:line="160" w:lineRule="exact"/>
              <w:ind w:left="43" w:right="43"/>
              <w:rPr>
                <w:i/>
                <w:kern w:val="0"/>
                <w:sz w:val="14"/>
              </w:rPr>
            </w:pPr>
            <w:r w:rsidRPr="00981E15">
              <w:rPr>
                <w:i/>
                <w:kern w:val="0"/>
                <w:sz w:val="14"/>
              </w:rPr>
              <w:t>Actividad que comprende la acción becaria</w:t>
            </w:r>
          </w:p>
        </w:tc>
      </w:tr>
      <w:tr w:rsidR="00490108" w:rsidRPr="00981E15">
        <w:tblPrEx>
          <w:tblCellMar>
            <w:top w:w="0" w:type="dxa"/>
            <w:bottom w:w="0" w:type="dxa"/>
          </w:tblCellMar>
        </w:tblPrEx>
        <w:trPr>
          <w:trHeight w:hRule="exact" w:val="115"/>
          <w:tblHeader/>
        </w:trPr>
        <w:tc>
          <w:tcPr>
            <w:tcW w:w="1674"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0"/>
              <w:ind w:right="40"/>
              <w:rPr>
                <w:kern w:val="0"/>
              </w:rPr>
            </w:pPr>
          </w:p>
        </w:tc>
        <w:tc>
          <w:tcPr>
            <w:tcW w:w="3465"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0"/>
              <w:ind w:right="40"/>
              <w:rPr>
                <w:kern w:val="0"/>
              </w:rPr>
            </w:pPr>
          </w:p>
        </w:tc>
        <w:tc>
          <w:tcPr>
            <w:tcW w:w="2160"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0"/>
              <w:ind w:right="72"/>
              <w:rPr>
                <w:kern w:val="0"/>
              </w:rPr>
            </w:pPr>
          </w:p>
        </w:tc>
        <w:tc>
          <w:tcPr>
            <w:tcW w:w="2544" w:type="dxa"/>
            <w:tcBorders>
              <w:top w:val="single" w:sz="12" w:space="0" w:color="auto"/>
            </w:tcBorders>
            <w:shd w:val="clear" w:color="auto" w:fill="auto"/>
            <w:vAlign w:val="bottom"/>
          </w:tcPr>
          <w:p w:rsidR="00490108" w:rsidRPr="00981E15" w:rsidRDefault="00490108" w:rsidP="00490108">
            <w:pPr>
              <w:tabs>
                <w:tab w:val="left" w:pos="288"/>
                <w:tab w:val="left" w:pos="576"/>
                <w:tab w:val="left" w:pos="864"/>
                <w:tab w:val="left" w:pos="1152"/>
              </w:tabs>
              <w:spacing w:before="40" w:after="80"/>
              <w:ind w:left="43" w:right="43"/>
              <w:rPr>
                <w:kern w:val="0"/>
              </w:rPr>
            </w:pP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Becas de la Niña</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Niñas de áreas rurales.</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96,666 niñas inscritas en 4,012 escuelas oficiales regulares.</w:t>
            </w:r>
          </w:p>
        </w:tc>
        <w:tc>
          <w:tcPr>
            <w:tcW w:w="2160" w:type="dxa"/>
            <w:shd w:val="clear" w:color="auto" w:fill="auto"/>
          </w:tcPr>
          <w:p w:rsidR="00490108" w:rsidRPr="00981E15" w:rsidRDefault="00490108" w:rsidP="00490108">
            <w:pPr>
              <w:tabs>
                <w:tab w:val="left" w:pos="288"/>
                <w:tab w:val="left" w:pos="576"/>
                <w:tab w:val="left" w:pos="864"/>
                <w:tab w:val="left" w:pos="1152"/>
              </w:tabs>
              <w:spacing w:before="40" w:after="80"/>
              <w:ind w:right="72"/>
              <w:rPr>
                <w:kern w:val="0"/>
                <w:szCs w:val="24"/>
              </w:rPr>
            </w:pPr>
            <w:r w:rsidRPr="00981E15">
              <w:rPr>
                <w:kern w:val="0"/>
                <w:szCs w:val="24"/>
              </w:rPr>
              <w:t>Entre 7 y 14 años de 1° a 4° Grados</w:t>
            </w:r>
          </w:p>
        </w:tc>
        <w:tc>
          <w:tcPr>
            <w:tcW w:w="2544" w:type="dxa"/>
            <w:shd w:val="clear" w:color="auto" w:fill="auto"/>
          </w:tcPr>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Otorgar Q 300.00* a la familia de las niñas seleccionadas, en dos pagos: agosto (Q150) y noviembre (Q150).</w:t>
            </w: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Becas de la Paz</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Se otorgan a las escuelas donde la población se encuentra en mayores condiciones de pobreza, para elevar los índices de inscripción, retención y promoción de niños y niñas en centros educativos oficiales del nivel primario en las áreas rural y urbano-marginal. Se oto</w:t>
            </w:r>
            <w:r w:rsidRPr="00981E15">
              <w:rPr>
                <w:kern w:val="0"/>
                <w:szCs w:val="24"/>
              </w:rPr>
              <w:t>r</w:t>
            </w:r>
            <w:r w:rsidRPr="00981E15">
              <w:rPr>
                <w:kern w:val="0"/>
                <w:szCs w:val="24"/>
              </w:rPr>
              <w:t>garon 235,361 becas a niños y niñas. 93,886 ( 2005), 58,142 (2006) 83,333 (2007)</w:t>
            </w:r>
          </w:p>
        </w:tc>
        <w:tc>
          <w:tcPr>
            <w:tcW w:w="2160" w:type="dxa"/>
            <w:shd w:val="clear" w:color="auto" w:fill="auto"/>
          </w:tcPr>
          <w:p w:rsidR="00490108" w:rsidRPr="00981E15" w:rsidRDefault="00490108" w:rsidP="00490108">
            <w:pPr>
              <w:tabs>
                <w:tab w:val="left" w:pos="288"/>
                <w:tab w:val="left" w:pos="576"/>
                <w:tab w:val="left" w:pos="864"/>
                <w:tab w:val="left" w:pos="1152"/>
              </w:tabs>
              <w:spacing w:before="40" w:after="80"/>
              <w:ind w:right="72"/>
              <w:rPr>
                <w:kern w:val="0"/>
                <w:szCs w:val="24"/>
              </w:rPr>
            </w:pPr>
            <w:r w:rsidRPr="00981E15">
              <w:rPr>
                <w:kern w:val="0"/>
                <w:szCs w:val="24"/>
              </w:rPr>
              <w:t>Atender principalmente a los niños y niñas de 1° Grado. Como la mayoría de estas e</w:t>
            </w:r>
            <w:r w:rsidRPr="00981E15">
              <w:rPr>
                <w:kern w:val="0"/>
                <w:szCs w:val="24"/>
              </w:rPr>
              <w:t>s</w:t>
            </w:r>
            <w:r w:rsidRPr="00981E15">
              <w:rPr>
                <w:kern w:val="0"/>
                <w:szCs w:val="24"/>
              </w:rPr>
              <w:t>cuelas son multigrado o unitarias, apoyar a toda la escuela.</w:t>
            </w:r>
          </w:p>
        </w:tc>
        <w:tc>
          <w:tcPr>
            <w:tcW w:w="2544" w:type="dxa"/>
            <w:shd w:val="clear" w:color="auto" w:fill="auto"/>
          </w:tcPr>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Adquirir mat</w:t>
            </w:r>
            <w:r w:rsidRPr="00981E15">
              <w:rPr>
                <w:kern w:val="0"/>
                <w:szCs w:val="24"/>
              </w:rPr>
              <w:t>e</w:t>
            </w:r>
            <w:r w:rsidRPr="00981E15">
              <w:rPr>
                <w:kern w:val="0"/>
                <w:szCs w:val="24"/>
              </w:rPr>
              <w:t>rial educativo para alumnos y docentes.</w:t>
            </w:r>
          </w:p>
          <w:p w:rsidR="00490108" w:rsidRPr="00981E15" w:rsidRDefault="00490108" w:rsidP="00490108">
            <w:pPr>
              <w:tabs>
                <w:tab w:val="left" w:pos="288"/>
                <w:tab w:val="left" w:pos="576"/>
                <w:tab w:val="left" w:pos="864"/>
                <w:tab w:val="left" w:pos="1152"/>
              </w:tabs>
              <w:spacing w:before="40" w:after="80"/>
              <w:ind w:left="43" w:right="43"/>
              <w:rPr>
                <w:kern w:val="0"/>
                <w:szCs w:val="24"/>
              </w:rPr>
            </w:pPr>
          </w:p>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Dotar con ropa y calzado a los niños y niñas de 1er. Grado.</w:t>
            </w:r>
          </w:p>
          <w:p w:rsidR="00490108" w:rsidRPr="00981E15" w:rsidRDefault="00490108" w:rsidP="00490108">
            <w:pPr>
              <w:tabs>
                <w:tab w:val="left" w:pos="288"/>
                <w:tab w:val="left" w:pos="576"/>
                <w:tab w:val="left" w:pos="864"/>
                <w:tab w:val="left" w:pos="1152"/>
              </w:tabs>
              <w:spacing w:before="40" w:after="80"/>
              <w:ind w:left="43" w:right="43"/>
              <w:rPr>
                <w:kern w:val="0"/>
                <w:szCs w:val="24"/>
              </w:rPr>
            </w:pPr>
          </w:p>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Mejorar la i</w:t>
            </w:r>
            <w:r w:rsidRPr="00981E15">
              <w:rPr>
                <w:kern w:val="0"/>
                <w:szCs w:val="24"/>
              </w:rPr>
              <w:t>n</w:t>
            </w:r>
            <w:r w:rsidRPr="00981E15">
              <w:rPr>
                <w:kern w:val="0"/>
                <w:szCs w:val="24"/>
              </w:rPr>
              <w:t>fraestructura del aula</w:t>
            </w:r>
          </w:p>
          <w:p w:rsidR="00490108" w:rsidRPr="00981E15" w:rsidRDefault="00490108" w:rsidP="00490108">
            <w:pPr>
              <w:tabs>
                <w:tab w:val="left" w:pos="288"/>
                <w:tab w:val="left" w:pos="576"/>
                <w:tab w:val="left" w:pos="864"/>
                <w:tab w:val="left" w:pos="1152"/>
              </w:tabs>
              <w:spacing w:before="40" w:after="80"/>
              <w:ind w:left="43" w:right="43"/>
              <w:rPr>
                <w:kern w:val="0"/>
                <w:szCs w:val="24"/>
              </w:rPr>
            </w:pPr>
          </w:p>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Organizar e</w:t>
            </w:r>
            <w:r w:rsidRPr="00981E15">
              <w:rPr>
                <w:kern w:val="0"/>
                <w:szCs w:val="24"/>
              </w:rPr>
              <w:t>s</w:t>
            </w:r>
            <w:r w:rsidRPr="00981E15">
              <w:rPr>
                <w:kern w:val="0"/>
                <w:szCs w:val="24"/>
              </w:rPr>
              <w:t>cuela de padres</w:t>
            </w: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Becas de la Paz</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b/>
                <w:kern w:val="0"/>
                <w:szCs w:val="24"/>
              </w:rPr>
              <w:t>IPEC/OIT</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Niñas y niños trabajadores</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A través de Convenio entre el MINEDUC y la Organización Internacional del Trabajo (OIT) para llevar a cabo el Programa de Erradicación del Trabajo Infantil en lugares donde los niños y niñas son obligados (por necesidad) a trabajar, abandonando su proceso de escolariz</w:t>
            </w:r>
            <w:r w:rsidRPr="00981E15">
              <w:rPr>
                <w:kern w:val="0"/>
                <w:szCs w:val="24"/>
              </w:rPr>
              <w:t>a</w:t>
            </w:r>
            <w:r w:rsidRPr="00981E15">
              <w:rPr>
                <w:kern w:val="0"/>
                <w:szCs w:val="24"/>
              </w:rPr>
              <w:t>ción.</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Beneficiados 185,224 (2006-2007) niños y niñas.</w:t>
            </w:r>
          </w:p>
        </w:tc>
        <w:tc>
          <w:tcPr>
            <w:tcW w:w="2160" w:type="dxa"/>
            <w:shd w:val="clear" w:color="auto" w:fill="auto"/>
          </w:tcPr>
          <w:p w:rsidR="00490108" w:rsidRPr="00981E15" w:rsidRDefault="00490108" w:rsidP="00490108">
            <w:pPr>
              <w:tabs>
                <w:tab w:val="left" w:pos="288"/>
                <w:tab w:val="left" w:pos="576"/>
                <w:tab w:val="left" w:pos="864"/>
                <w:tab w:val="left" w:pos="1152"/>
              </w:tabs>
              <w:spacing w:before="40" w:after="80"/>
              <w:ind w:right="72"/>
              <w:rPr>
                <w:kern w:val="0"/>
                <w:szCs w:val="24"/>
              </w:rPr>
            </w:pPr>
            <w:r w:rsidRPr="00981E15">
              <w:rPr>
                <w:kern w:val="0"/>
                <w:szCs w:val="24"/>
              </w:rPr>
              <w:t>Escuelas ubicadas en zonas donde hay tr</w:t>
            </w:r>
            <w:r w:rsidRPr="00981E15">
              <w:rPr>
                <w:kern w:val="0"/>
                <w:szCs w:val="24"/>
              </w:rPr>
              <w:t>a</w:t>
            </w:r>
            <w:r w:rsidRPr="00981E15">
              <w:rPr>
                <w:kern w:val="0"/>
                <w:szCs w:val="24"/>
              </w:rPr>
              <w:t>bajo infantil</w:t>
            </w:r>
          </w:p>
        </w:tc>
        <w:tc>
          <w:tcPr>
            <w:tcW w:w="2544" w:type="dxa"/>
            <w:shd w:val="clear" w:color="auto" w:fill="auto"/>
          </w:tcPr>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Apoyar a niños y niñas de las escu</w:t>
            </w:r>
            <w:r w:rsidRPr="00981E15">
              <w:rPr>
                <w:kern w:val="0"/>
                <w:szCs w:val="24"/>
              </w:rPr>
              <w:t>e</w:t>
            </w:r>
            <w:r w:rsidRPr="00981E15">
              <w:rPr>
                <w:kern w:val="0"/>
                <w:szCs w:val="24"/>
              </w:rPr>
              <w:t>las beneficiadas.</w:t>
            </w:r>
          </w:p>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Definir en asamblea de padres, el dest</w:t>
            </w:r>
            <w:r w:rsidRPr="00981E15">
              <w:rPr>
                <w:kern w:val="0"/>
                <w:szCs w:val="24"/>
              </w:rPr>
              <w:t>i</w:t>
            </w:r>
            <w:r w:rsidRPr="00981E15">
              <w:rPr>
                <w:kern w:val="0"/>
                <w:szCs w:val="24"/>
              </w:rPr>
              <w:t>no de los fondos becarios para cada escuela.</w:t>
            </w: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Becas Becatón</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Niños y niñas de escuelas regulares en condiciones de pobreza y escuelas de PR</w:t>
            </w:r>
            <w:r w:rsidRPr="00981E15">
              <w:rPr>
                <w:kern w:val="0"/>
                <w:szCs w:val="24"/>
              </w:rPr>
              <w:t>O</w:t>
            </w:r>
            <w:r w:rsidRPr="00981E15">
              <w:rPr>
                <w:kern w:val="0"/>
                <w:szCs w:val="24"/>
              </w:rPr>
              <w:t>NADE.</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196 escuelas regulares b</w:t>
            </w:r>
            <w:r w:rsidRPr="00981E15">
              <w:rPr>
                <w:kern w:val="0"/>
                <w:szCs w:val="24"/>
              </w:rPr>
              <w:t>e</w:t>
            </w:r>
            <w:r w:rsidRPr="00981E15">
              <w:rPr>
                <w:kern w:val="0"/>
                <w:szCs w:val="24"/>
              </w:rPr>
              <w:t>neficiadas</w:t>
            </w:r>
            <w:r w:rsidRPr="00981E15">
              <w:rPr>
                <w:kern w:val="0"/>
                <w:szCs w:val="24"/>
              </w:rPr>
              <w:br/>
              <w:t>(2006)</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4875 niñas atendidas/4607 niños atendidos</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Becas de la Niña</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Escuelas de Autogestión/1230 escuelas beneficiadas (2006)</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22,983 niñas atendidas (1-4 Grado Primaria)</w:t>
            </w:r>
          </w:p>
        </w:tc>
        <w:tc>
          <w:tcPr>
            <w:tcW w:w="2160" w:type="dxa"/>
            <w:shd w:val="clear" w:color="auto" w:fill="auto"/>
          </w:tcPr>
          <w:p w:rsidR="00490108" w:rsidRPr="00981E15" w:rsidRDefault="00490108" w:rsidP="00490108">
            <w:pPr>
              <w:tabs>
                <w:tab w:val="left" w:pos="288"/>
                <w:tab w:val="left" w:pos="576"/>
                <w:tab w:val="left" w:pos="864"/>
                <w:tab w:val="left" w:pos="1152"/>
              </w:tabs>
              <w:spacing w:before="40" w:after="80"/>
              <w:ind w:right="72"/>
              <w:rPr>
                <w:kern w:val="0"/>
                <w:szCs w:val="24"/>
              </w:rPr>
            </w:pPr>
            <w:r w:rsidRPr="00981E15">
              <w:rPr>
                <w:kern w:val="0"/>
                <w:szCs w:val="24"/>
              </w:rPr>
              <w:t>Niños y niñas entre 8 y 14 años que NO ESTÉN inscritos en ningún grado.</w:t>
            </w:r>
          </w:p>
        </w:tc>
        <w:tc>
          <w:tcPr>
            <w:tcW w:w="2544" w:type="dxa"/>
            <w:shd w:val="clear" w:color="auto" w:fill="auto"/>
          </w:tcPr>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Identificación de niños y niñas.</w:t>
            </w:r>
          </w:p>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 xml:space="preserve">Entrega de fondos. </w:t>
            </w:r>
          </w:p>
          <w:p w:rsidR="00490108" w:rsidRPr="00981E15" w:rsidRDefault="00490108" w:rsidP="00490108">
            <w:pPr>
              <w:tabs>
                <w:tab w:val="left" w:pos="288"/>
                <w:tab w:val="left" w:pos="576"/>
                <w:tab w:val="left" w:pos="864"/>
                <w:tab w:val="left" w:pos="1152"/>
              </w:tabs>
              <w:spacing w:before="40" w:after="80"/>
              <w:ind w:left="43" w:right="43"/>
              <w:rPr>
                <w:kern w:val="0"/>
                <w:szCs w:val="24"/>
              </w:rPr>
            </w:pP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Becas para Discapacitados (en def</w:t>
            </w:r>
            <w:r w:rsidRPr="00981E15">
              <w:rPr>
                <w:b/>
                <w:kern w:val="0"/>
                <w:szCs w:val="24"/>
              </w:rPr>
              <w:t>i</w:t>
            </w:r>
            <w:r w:rsidRPr="00981E15">
              <w:rPr>
                <w:b/>
                <w:kern w:val="0"/>
                <w:szCs w:val="24"/>
              </w:rPr>
              <w:t>nición)</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 xml:space="preserve">Niños y niñas con alguna discapacidad </w:t>
            </w:r>
          </w:p>
          <w:p w:rsidR="00490108" w:rsidRPr="00981E15" w:rsidRDefault="00490108" w:rsidP="00490108">
            <w:pPr>
              <w:tabs>
                <w:tab w:val="left" w:pos="288"/>
                <w:tab w:val="left" w:pos="576"/>
                <w:tab w:val="left" w:pos="864"/>
                <w:tab w:val="left" w:pos="1152"/>
              </w:tabs>
              <w:spacing w:before="40" w:after="80"/>
              <w:ind w:right="40"/>
              <w:rPr>
                <w:kern w:val="0"/>
                <w:szCs w:val="24"/>
              </w:rPr>
            </w:pPr>
            <w:r w:rsidRPr="00981E15">
              <w:rPr>
                <w:kern w:val="0"/>
                <w:szCs w:val="24"/>
              </w:rPr>
              <w:t>2,014,067 (2004)/2,200,000 (2006)</w:t>
            </w:r>
          </w:p>
        </w:tc>
        <w:tc>
          <w:tcPr>
            <w:tcW w:w="2160" w:type="dxa"/>
            <w:shd w:val="clear" w:color="auto" w:fill="auto"/>
          </w:tcPr>
          <w:p w:rsidR="00490108" w:rsidRPr="00981E15" w:rsidRDefault="00490108" w:rsidP="00490108">
            <w:pPr>
              <w:tabs>
                <w:tab w:val="left" w:pos="288"/>
                <w:tab w:val="left" w:pos="576"/>
                <w:tab w:val="left" w:pos="864"/>
                <w:tab w:val="left" w:pos="1152"/>
              </w:tabs>
              <w:spacing w:before="40" w:after="80"/>
              <w:ind w:right="72"/>
              <w:rPr>
                <w:kern w:val="0"/>
                <w:szCs w:val="24"/>
              </w:rPr>
            </w:pPr>
            <w:r w:rsidRPr="00981E15">
              <w:rPr>
                <w:kern w:val="0"/>
                <w:szCs w:val="24"/>
              </w:rPr>
              <w:t>Alumnos de escuelas oficiales de nivel pr</w:t>
            </w:r>
            <w:r w:rsidRPr="00981E15">
              <w:rPr>
                <w:kern w:val="0"/>
                <w:szCs w:val="24"/>
              </w:rPr>
              <w:t>i</w:t>
            </w:r>
            <w:r w:rsidRPr="00981E15">
              <w:rPr>
                <w:kern w:val="0"/>
                <w:szCs w:val="24"/>
              </w:rPr>
              <w:t>mario</w:t>
            </w:r>
          </w:p>
        </w:tc>
        <w:tc>
          <w:tcPr>
            <w:tcW w:w="2544" w:type="dxa"/>
            <w:shd w:val="clear" w:color="auto" w:fill="auto"/>
          </w:tcPr>
          <w:p w:rsidR="00490108" w:rsidRPr="00981E15" w:rsidRDefault="00490108" w:rsidP="00490108">
            <w:pPr>
              <w:tabs>
                <w:tab w:val="left" w:pos="288"/>
                <w:tab w:val="left" w:pos="576"/>
                <w:tab w:val="left" w:pos="864"/>
                <w:tab w:val="left" w:pos="1152"/>
              </w:tabs>
              <w:spacing w:before="40" w:after="80"/>
              <w:ind w:left="43" w:right="43"/>
              <w:rPr>
                <w:kern w:val="0"/>
                <w:szCs w:val="24"/>
              </w:rPr>
            </w:pPr>
            <w:r w:rsidRPr="00981E15">
              <w:rPr>
                <w:kern w:val="0"/>
                <w:szCs w:val="24"/>
              </w:rPr>
              <w:t>Otorgar Q500 a las familias con niños o niñas con alguna discapacidad.</w:t>
            </w: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Bolsas de Estudio</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i/>
                <w:kern w:val="0"/>
                <w:szCs w:val="24"/>
              </w:rPr>
            </w:pPr>
            <w:r w:rsidRPr="00981E15">
              <w:rPr>
                <w:i/>
                <w:kern w:val="0"/>
                <w:szCs w:val="24"/>
              </w:rPr>
              <w:t>Jóvenes de básicos y diversificado que estudian en institutos oficiales.</w:t>
            </w:r>
            <w:r w:rsidR="001F48A0" w:rsidRPr="00981E15">
              <w:rPr>
                <w:i/>
                <w:kern w:val="0"/>
                <w:szCs w:val="24"/>
              </w:rPr>
              <w:t xml:space="preserve"> </w:t>
            </w:r>
            <w:r w:rsidRPr="00981E15">
              <w:rPr>
                <w:i/>
                <w:kern w:val="0"/>
                <w:szCs w:val="24"/>
              </w:rPr>
              <w:t>13,494 jóv</w:t>
            </w:r>
            <w:r w:rsidRPr="00981E15">
              <w:rPr>
                <w:i/>
                <w:kern w:val="0"/>
                <w:szCs w:val="24"/>
              </w:rPr>
              <w:t>e</w:t>
            </w:r>
            <w:r w:rsidRPr="00981E15">
              <w:rPr>
                <w:i/>
                <w:kern w:val="0"/>
                <w:szCs w:val="24"/>
              </w:rPr>
              <w:t>nes de todo el país</w:t>
            </w:r>
          </w:p>
        </w:tc>
        <w:tc>
          <w:tcPr>
            <w:tcW w:w="2160" w:type="dxa"/>
            <w:shd w:val="clear" w:color="auto" w:fill="auto"/>
          </w:tcPr>
          <w:p w:rsidR="00490108" w:rsidRPr="00981E15" w:rsidRDefault="00490108" w:rsidP="00490108">
            <w:pPr>
              <w:tabs>
                <w:tab w:val="left" w:pos="288"/>
                <w:tab w:val="left" w:pos="576"/>
                <w:tab w:val="left" w:pos="864"/>
                <w:tab w:val="left" w:pos="1152"/>
              </w:tabs>
              <w:spacing w:before="40" w:after="80"/>
              <w:ind w:right="72"/>
              <w:rPr>
                <w:i/>
                <w:kern w:val="0"/>
                <w:szCs w:val="24"/>
              </w:rPr>
            </w:pPr>
            <w:r w:rsidRPr="00981E15">
              <w:rPr>
                <w:i/>
                <w:kern w:val="0"/>
                <w:szCs w:val="24"/>
              </w:rPr>
              <w:t>Entre 13 y 18 años</w:t>
            </w:r>
          </w:p>
        </w:tc>
        <w:tc>
          <w:tcPr>
            <w:tcW w:w="2544" w:type="dxa"/>
            <w:shd w:val="clear" w:color="auto" w:fill="auto"/>
          </w:tcPr>
          <w:p w:rsidR="00490108" w:rsidRPr="00981E15" w:rsidRDefault="00490108" w:rsidP="00490108">
            <w:pPr>
              <w:tabs>
                <w:tab w:val="left" w:pos="288"/>
                <w:tab w:val="left" w:pos="576"/>
                <w:tab w:val="left" w:pos="864"/>
                <w:tab w:val="left" w:pos="1152"/>
              </w:tabs>
              <w:spacing w:before="40" w:after="80"/>
              <w:ind w:left="43" w:right="43"/>
              <w:rPr>
                <w:i/>
                <w:kern w:val="0"/>
                <w:szCs w:val="24"/>
              </w:rPr>
            </w:pPr>
            <w:r w:rsidRPr="00981E15">
              <w:rPr>
                <w:i/>
                <w:kern w:val="0"/>
                <w:szCs w:val="24"/>
              </w:rPr>
              <w:t>Otorgar Q900 a la familia de los jóv</w:t>
            </w:r>
            <w:r w:rsidRPr="00981E15">
              <w:rPr>
                <w:i/>
                <w:kern w:val="0"/>
                <w:szCs w:val="24"/>
              </w:rPr>
              <w:t>e</w:t>
            </w:r>
            <w:r w:rsidRPr="00981E15">
              <w:rPr>
                <w:i/>
                <w:kern w:val="0"/>
                <w:szCs w:val="24"/>
              </w:rPr>
              <w:t>nes seleccionados, en nueve pagos: Q100 mensuales de febrero a octubre del 2006</w:t>
            </w: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Becas en establecimientos oficiales que tienen inte</w:t>
            </w:r>
            <w:r w:rsidRPr="00981E15">
              <w:rPr>
                <w:b/>
                <w:kern w:val="0"/>
                <w:szCs w:val="24"/>
              </w:rPr>
              <w:t>r</w:t>
            </w:r>
            <w:r w:rsidRPr="00981E15">
              <w:rPr>
                <w:b/>
                <w:kern w:val="0"/>
                <w:szCs w:val="24"/>
              </w:rPr>
              <w:t>nado</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i/>
                <w:kern w:val="0"/>
                <w:szCs w:val="24"/>
              </w:rPr>
            </w:pPr>
            <w:r w:rsidRPr="00981E15">
              <w:rPr>
                <w:i/>
                <w:kern w:val="0"/>
                <w:szCs w:val="24"/>
              </w:rPr>
              <w:t>Jóvenes internados en:</w:t>
            </w:r>
          </w:p>
          <w:p w:rsidR="00490108" w:rsidRPr="00981E15" w:rsidRDefault="00490108" w:rsidP="00490108">
            <w:pPr>
              <w:tabs>
                <w:tab w:val="left" w:pos="475"/>
                <w:tab w:val="left" w:pos="965"/>
                <w:tab w:val="left" w:pos="1440"/>
                <w:tab w:val="left" w:pos="1915"/>
                <w:tab w:val="left" w:pos="2405"/>
                <w:tab w:val="left" w:pos="2880"/>
                <w:tab w:val="left" w:pos="3355"/>
              </w:tabs>
              <w:spacing w:before="40" w:after="80"/>
              <w:rPr>
                <w:i/>
                <w:kern w:val="0"/>
                <w:szCs w:val="24"/>
              </w:rPr>
            </w:pPr>
            <w:r w:rsidRPr="00981E15">
              <w:rPr>
                <w:i/>
                <w:kern w:val="0"/>
                <w:szCs w:val="24"/>
              </w:rPr>
              <w:t>Instituto Técnico George Kerchesteiner, Mazat</w:t>
            </w:r>
            <w:r w:rsidRPr="00981E15">
              <w:rPr>
                <w:i/>
                <w:kern w:val="0"/>
                <w:szCs w:val="24"/>
              </w:rPr>
              <w:t>e</w:t>
            </w:r>
            <w:r w:rsidRPr="00981E15">
              <w:rPr>
                <w:i/>
                <w:kern w:val="0"/>
                <w:szCs w:val="24"/>
              </w:rPr>
              <w:t xml:space="preserve">nango, </w:t>
            </w:r>
          </w:p>
          <w:p w:rsidR="00490108" w:rsidRPr="00981E15" w:rsidRDefault="00490108" w:rsidP="003E6D7F">
            <w:pPr>
              <w:spacing w:before="40" w:after="80"/>
              <w:ind w:left="279" w:hanging="279"/>
              <w:rPr>
                <w:i/>
                <w:kern w:val="0"/>
                <w:szCs w:val="24"/>
              </w:rPr>
            </w:pPr>
            <w:r w:rsidRPr="00981E15">
              <w:rPr>
                <w:i/>
                <w:kern w:val="0"/>
                <w:szCs w:val="24"/>
              </w:rPr>
              <w:t>–</w:t>
            </w:r>
            <w:r w:rsidR="003E6D7F" w:rsidRPr="00981E15">
              <w:rPr>
                <w:i/>
                <w:kern w:val="0"/>
                <w:szCs w:val="24"/>
              </w:rPr>
              <w:tab/>
            </w:r>
            <w:r w:rsidRPr="00981E15">
              <w:rPr>
                <w:i/>
                <w:kern w:val="0"/>
                <w:szCs w:val="24"/>
              </w:rPr>
              <w:t xml:space="preserve">Escuela Normal Pedro Molina, Chimaltenango, </w:t>
            </w:r>
          </w:p>
          <w:p w:rsidR="00490108" w:rsidRPr="00981E15" w:rsidRDefault="00490108" w:rsidP="003E6D7F">
            <w:pPr>
              <w:spacing w:before="40" w:after="80"/>
              <w:ind w:left="279" w:hanging="279"/>
              <w:rPr>
                <w:i/>
                <w:kern w:val="0"/>
                <w:szCs w:val="24"/>
              </w:rPr>
            </w:pPr>
            <w:r w:rsidRPr="00981E15">
              <w:rPr>
                <w:i/>
                <w:kern w:val="0"/>
                <w:szCs w:val="24"/>
              </w:rPr>
              <w:t>–</w:t>
            </w:r>
            <w:r w:rsidRPr="00981E15">
              <w:rPr>
                <w:i/>
                <w:kern w:val="0"/>
                <w:szCs w:val="24"/>
              </w:rPr>
              <w:tab/>
              <w:t>Escuela Normal Cleme</w:t>
            </w:r>
            <w:r w:rsidRPr="00981E15">
              <w:rPr>
                <w:i/>
                <w:kern w:val="0"/>
                <w:szCs w:val="24"/>
              </w:rPr>
              <w:t>n</w:t>
            </w:r>
            <w:r w:rsidRPr="00981E15">
              <w:rPr>
                <w:i/>
                <w:kern w:val="0"/>
                <w:szCs w:val="24"/>
              </w:rPr>
              <w:t xml:space="preserve">te Marroquín Rojas, Monjas, Jalapa y </w:t>
            </w:r>
          </w:p>
          <w:p w:rsidR="00490108" w:rsidRPr="00981E15" w:rsidRDefault="00490108" w:rsidP="003E6D7F">
            <w:pPr>
              <w:spacing w:before="40" w:after="80"/>
              <w:ind w:left="279" w:hanging="279"/>
              <w:rPr>
                <w:i/>
                <w:kern w:val="0"/>
                <w:szCs w:val="24"/>
              </w:rPr>
            </w:pPr>
            <w:r w:rsidRPr="00981E15">
              <w:rPr>
                <w:i/>
                <w:kern w:val="0"/>
                <w:szCs w:val="24"/>
              </w:rPr>
              <w:t>–</w:t>
            </w:r>
            <w:r w:rsidRPr="00981E15">
              <w:rPr>
                <w:i/>
                <w:kern w:val="0"/>
                <w:szCs w:val="24"/>
              </w:rPr>
              <w:tab/>
              <w:t>Escuela Regional Rural de Occidente.</w:t>
            </w:r>
          </w:p>
          <w:p w:rsidR="00490108" w:rsidRPr="00981E15" w:rsidRDefault="00490108" w:rsidP="00490108">
            <w:pPr>
              <w:tabs>
                <w:tab w:val="left" w:pos="288"/>
                <w:tab w:val="left" w:pos="576"/>
                <w:tab w:val="left" w:pos="864"/>
                <w:tab w:val="left" w:pos="1152"/>
              </w:tabs>
              <w:spacing w:before="40" w:after="80"/>
              <w:ind w:left="1152" w:right="40" w:hanging="1152"/>
              <w:rPr>
                <w:i/>
                <w:kern w:val="0"/>
                <w:szCs w:val="24"/>
              </w:rPr>
            </w:pPr>
            <w:r w:rsidRPr="00981E15">
              <w:rPr>
                <w:i/>
                <w:kern w:val="0"/>
                <w:szCs w:val="24"/>
              </w:rPr>
              <w:t>1,784 jóvenes</w:t>
            </w:r>
          </w:p>
        </w:tc>
        <w:tc>
          <w:tcPr>
            <w:tcW w:w="2160" w:type="dxa"/>
            <w:shd w:val="clear" w:color="auto" w:fill="auto"/>
          </w:tcPr>
          <w:p w:rsidR="00490108" w:rsidRPr="00981E15" w:rsidRDefault="00A61AED" w:rsidP="00490108">
            <w:pPr>
              <w:tabs>
                <w:tab w:val="left" w:pos="288"/>
                <w:tab w:val="left" w:pos="576"/>
                <w:tab w:val="left" w:pos="864"/>
                <w:tab w:val="left" w:pos="1152"/>
              </w:tabs>
              <w:spacing w:before="40" w:after="80"/>
              <w:ind w:right="72"/>
              <w:rPr>
                <w:i/>
                <w:kern w:val="0"/>
                <w:szCs w:val="24"/>
              </w:rPr>
            </w:pPr>
            <w:r w:rsidRPr="00981E15">
              <w:rPr>
                <w:i/>
                <w:kern w:val="0"/>
                <w:szCs w:val="24"/>
              </w:rPr>
              <w:t>Entre 15 y 18 años</w:t>
            </w:r>
          </w:p>
        </w:tc>
        <w:tc>
          <w:tcPr>
            <w:tcW w:w="2544" w:type="dxa"/>
            <w:shd w:val="clear" w:color="auto" w:fill="auto"/>
          </w:tcPr>
          <w:p w:rsidR="00490108" w:rsidRPr="00981E15" w:rsidRDefault="00490108" w:rsidP="00490108">
            <w:pPr>
              <w:tabs>
                <w:tab w:val="left" w:pos="288"/>
                <w:tab w:val="left" w:pos="576"/>
                <w:tab w:val="left" w:pos="864"/>
                <w:tab w:val="left" w:pos="1152"/>
              </w:tabs>
              <w:spacing w:before="40" w:after="80"/>
              <w:ind w:left="43" w:right="43"/>
              <w:rPr>
                <w:i/>
                <w:kern w:val="0"/>
                <w:szCs w:val="24"/>
              </w:rPr>
            </w:pPr>
            <w:r w:rsidRPr="00981E15">
              <w:rPr>
                <w:i/>
                <w:kern w:val="0"/>
                <w:szCs w:val="24"/>
              </w:rPr>
              <w:t>Alojamiento y alimentación en los establecimientos indicados para estudiar carreras técnicas en Mazatenango y Magisterio en las otras 3 escuelas normales. Se otorgan Q400 mensuales por 9 meses a cada estudiante. En total se entregan Q3, 600 anuales a cada e</w:t>
            </w:r>
            <w:r w:rsidRPr="00981E15">
              <w:rPr>
                <w:i/>
                <w:kern w:val="0"/>
                <w:szCs w:val="24"/>
              </w:rPr>
              <w:t>s</w:t>
            </w:r>
            <w:r w:rsidRPr="00981E15">
              <w:rPr>
                <w:i/>
                <w:kern w:val="0"/>
                <w:szCs w:val="24"/>
              </w:rPr>
              <w:t>tudiante que recibe beca de internado.</w:t>
            </w:r>
          </w:p>
        </w:tc>
      </w:tr>
      <w:tr w:rsidR="00490108" w:rsidRPr="00981E15">
        <w:tblPrEx>
          <w:tblCellMar>
            <w:top w:w="0" w:type="dxa"/>
            <w:bottom w:w="0" w:type="dxa"/>
          </w:tblCellMar>
        </w:tblPrEx>
        <w:tc>
          <w:tcPr>
            <w:tcW w:w="1674" w:type="dxa"/>
            <w:shd w:val="clear" w:color="auto" w:fill="auto"/>
          </w:tcPr>
          <w:p w:rsidR="00490108" w:rsidRPr="00981E15" w:rsidRDefault="00490108" w:rsidP="00490108">
            <w:pPr>
              <w:tabs>
                <w:tab w:val="left" w:pos="288"/>
                <w:tab w:val="left" w:pos="576"/>
                <w:tab w:val="left" w:pos="864"/>
                <w:tab w:val="left" w:pos="1152"/>
              </w:tabs>
              <w:spacing w:before="40" w:after="80"/>
              <w:ind w:right="40"/>
              <w:rPr>
                <w:b/>
                <w:kern w:val="0"/>
                <w:szCs w:val="24"/>
              </w:rPr>
            </w:pPr>
            <w:r w:rsidRPr="00981E15">
              <w:rPr>
                <w:b/>
                <w:kern w:val="0"/>
                <w:szCs w:val="24"/>
              </w:rPr>
              <w:t>Becas de la Exc</w:t>
            </w:r>
            <w:r w:rsidRPr="00981E15">
              <w:rPr>
                <w:b/>
                <w:kern w:val="0"/>
                <w:szCs w:val="24"/>
              </w:rPr>
              <w:t>e</w:t>
            </w:r>
            <w:r w:rsidRPr="00981E15">
              <w:rPr>
                <w:b/>
                <w:kern w:val="0"/>
                <w:szCs w:val="24"/>
              </w:rPr>
              <w:t>lencia</w:t>
            </w:r>
          </w:p>
        </w:tc>
        <w:tc>
          <w:tcPr>
            <w:tcW w:w="3465" w:type="dxa"/>
            <w:shd w:val="clear" w:color="auto" w:fill="auto"/>
          </w:tcPr>
          <w:p w:rsidR="00490108" w:rsidRPr="00981E15" w:rsidRDefault="00490108" w:rsidP="00490108">
            <w:pPr>
              <w:tabs>
                <w:tab w:val="left" w:pos="288"/>
                <w:tab w:val="left" w:pos="576"/>
                <w:tab w:val="left" w:pos="864"/>
                <w:tab w:val="left" w:pos="1152"/>
              </w:tabs>
              <w:spacing w:before="40" w:after="80"/>
              <w:ind w:right="40"/>
              <w:rPr>
                <w:i/>
                <w:kern w:val="0"/>
                <w:szCs w:val="24"/>
              </w:rPr>
            </w:pPr>
            <w:r w:rsidRPr="00981E15">
              <w:rPr>
                <w:i/>
                <w:kern w:val="0"/>
                <w:szCs w:val="24"/>
              </w:rPr>
              <w:t>Jóvenes de diversificado con alto rendimiento académico en los básicos: 176 jóvenes para el año 2005. Los jóvenes estudian en 6 establ</w:t>
            </w:r>
            <w:r w:rsidRPr="00981E15">
              <w:rPr>
                <w:i/>
                <w:kern w:val="0"/>
                <w:szCs w:val="24"/>
              </w:rPr>
              <w:t>e</w:t>
            </w:r>
            <w:r w:rsidRPr="00981E15">
              <w:rPr>
                <w:i/>
                <w:kern w:val="0"/>
                <w:szCs w:val="24"/>
              </w:rPr>
              <w:t>cimientos privados, que calificaron alto en la prueba diagnóstica de graduando de 2004:</w:t>
            </w:r>
          </w:p>
          <w:p w:rsidR="00490108" w:rsidRPr="00981E15" w:rsidRDefault="00490108" w:rsidP="00490108">
            <w:pPr>
              <w:tabs>
                <w:tab w:val="left" w:pos="288"/>
                <w:tab w:val="left" w:pos="576"/>
                <w:tab w:val="left" w:pos="864"/>
                <w:tab w:val="left" w:pos="1152"/>
              </w:tabs>
              <w:spacing w:before="40" w:after="80"/>
              <w:ind w:right="40"/>
              <w:rPr>
                <w:i/>
                <w:kern w:val="0"/>
                <w:szCs w:val="24"/>
              </w:rPr>
            </w:pPr>
            <w:r w:rsidRPr="00981E15">
              <w:rPr>
                <w:i/>
                <w:kern w:val="0"/>
                <w:szCs w:val="24"/>
              </w:rPr>
              <w:t>Colegio San Benito (Esquip</w:t>
            </w:r>
            <w:r w:rsidRPr="00981E15">
              <w:rPr>
                <w:i/>
                <w:kern w:val="0"/>
                <w:szCs w:val="24"/>
              </w:rPr>
              <w:t>u</w:t>
            </w:r>
            <w:r w:rsidRPr="00981E15">
              <w:rPr>
                <w:i/>
                <w:kern w:val="0"/>
                <w:szCs w:val="24"/>
              </w:rPr>
              <w:t>las),</w:t>
            </w:r>
          </w:p>
          <w:p w:rsidR="00490108" w:rsidRPr="00981E15" w:rsidRDefault="00490108" w:rsidP="00490108">
            <w:pPr>
              <w:tabs>
                <w:tab w:val="left" w:pos="288"/>
                <w:tab w:val="left" w:pos="576"/>
                <w:tab w:val="left" w:pos="864"/>
                <w:tab w:val="left" w:pos="1152"/>
              </w:tabs>
              <w:spacing w:before="40" w:after="80"/>
              <w:ind w:right="40"/>
              <w:rPr>
                <w:i/>
                <w:kern w:val="0"/>
                <w:szCs w:val="24"/>
              </w:rPr>
            </w:pPr>
            <w:r w:rsidRPr="00981E15">
              <w:rPr>
                <w:i/>
                <w:kern w:val="0"/>
                <w:szCs w:val="24"/>
              </w:rPr>
              <w:t>Colegio Tecnológico en I</w:t>
            </w:r>
            <w:r w:rsidRPr="00981E15">
              <w:rPr>
                <w:i/>
                <w:kern w:val="0"/>
                <w:szCs w:val="24"/>
              </w:rPr>
              <w:t>n</w:t>
            </w:r>
            <w:r w:rsidRPr="00981E15">
              <w:rPr>
                <w:i/>
                <w:kern w:val="0"/>
                <w:szCs w:val="24"/>
              </w:rPr>
              <w:t>formática,</w:t>
            </w:r>
          </w:p>
          <w:p w:rsidR="00490108" w:rsidRPr="00981E15" w:rsidRDefault="00490108" w:rsidP="00490108">
            <w:pPr>
              <w:tabs>
                <w:tab w:val="left" w:pos="288"/>
                <w:tab w:val="left" w:pos="576"/>
                <w:tab w:val="left" w:pos="864"/>
                <w:tab w:val="left" w:pos="1152"/>
              </w:tabs>
              <w:spacing w:before="40" w:after="80"/>
              <w:ind w:right="40"/>
              <w:rPr>
                <w:i/>
                <w:kern w:val="0"/>
                <w:szCs w:val="24"/>
              </w:rPr>
            </w:pPr>
            <w:r w:rsidRPr="00981E15">
              <w:rPr>
                <w:i/>
                <w:kern w:val="0"/>
                <w:szCs w:val="24"/>
              </w:rPr>
              <w:t>Colegio Cobán, Instituto Tecnológico UVG (Sololá).</w:t>
            </w:r>
          </w:p>
          <w:p w:rsidR="00490108" w:rsidRPr="00981E15" w:rsidRDefault="00490108" w:rsidP="00490108">
            <w:pPr>
              <w:tabs>
                <w:tab w:val="left" w:pos="288"/>
                <w:tab w:val="left" w:pos="576"/>
                <w:tab w:val="left" w:pos="864"/>
                <w:tab w:val="left" w:pos="1152"/>
              </w:tabs>
              <w:spacing w:before="40" w:after="80"/>
              <w:ind w:right="40"/>
              <w:rPr>
                <w:i/>
                <w:kern w:val="0"/>
                <w:szCs w:val="24"/>
              </w:rPr>
            </w:pPr>
            <w:r w:rsidRPr="00981E15">
              <w:rPr>
                <w:i/>
                <w:kern w:val="0"/>
                <w:szCs w:val="24"/>
              </w:rPr>
              <w:t>15,454 becarios (2005)</w:t>
            </w:r>
          </w:p>
        </w:tc>
        <w:tc>
          <w:tcPr>
            <w:tcW w:w="2160" w:type="dxa"/>
            <w:shd w:val="clear" w:color="auto" w:fill="auto"/>
          </w:tcPr>
          <w:p w:rsidR="00490108" w:rsidRPr="00981E15" w:rsidRDefault="00490108" w:rsidP="00490108">
            <w:pPr>
              <w:tabs>
                <w:tab w:val="left" w:pos="288"/>
                <w:tab w:val="left" w:pos="576"/>
                <w:tab w:val="left" w:pos="864"/>
                <w:tab w:val="left" w:pos="1152"/>
              </w:tabs>
              <w:spacing w:before="40" w:after="80"/>
              <w:ind w:right="72"/>
              <w:rPr>
                <w:i/>
                <w:kern w:val="0"/>
                <w:szCs w:val="24"/>
              </w:rPr>
            </w:pPr>
            <w:r w:rsidRPr="00981E15">
              <w:rPr>
                <w:i/>
                <w:kern w:val="0"/>
                <w:szCs w:val="24"/>
              </w:rPr>
              <w:t>Jóvenes entre 15 y 18 años (se han atendido también jóvenes hasta 20 años). Los jóvenes pasan por un proceso de selección. Hay 3,000 candidatos para 300 cupos para el año 2006.</w:t>
            </w:r>
          </w:p>
          <w:p w:rsidR="00490108" w:rsidRPr="00981E15" w:rsidRDefault="00490108" w:rsidP="00490108">
            <w:pPr>
              <w:tabs>
                <w:tab w:val="left" w:pos="288"/>
                <w:tab w:val="left" w:pos="576"/>
                <w:tab w:val="left" w:pos="864"/>
                <w:tab w:val="left" w:pos="1152"/>
              </w:tabs>
              <w:spacing w:before="40" w:after="80"/>
              <w:ind w:right="72"/>
              <w:rPr>
                <w:i/>
                <w:kern w:val="0"/>
                <w:szCs w:val="24"/>
              </w:rPr>
            </w:pPr>
            <w:r w:rsidRPr="00981E15">
              <w:rPr>
                <w:i/>
                <w:kern w:val="0"/>
                <w:szCs w:val="24"/>
              </w:rPr>
              <w:t xml:space="preserve">Colegio </w:t>
            </w:r>
            <w:smartTag w:uri="urn:schemas-microsoft-com:office:smarttags" w:element="PersonName">
              <w:smartTagPr>
                <w:attr w:name="ProductID" w:val="La Sall￩"/>
              </w:smartTagPr>
              <w:r w:rsidRPr="00981E15">
                <w:rPr>
                  <w:i/>
                  <w:kern w:val="0"/>
                  <w:szCs w:val="24"/>
                </w:rPr>
                <w:t>La Sallé</w:t>
              </w:r>
            </w:smartTag>
            <w:r w:rsidRPr="00981E15">
              <w:rPr>
                <w:i/>
                <w:kern w:val="0"/>
                <w:szCs w:val="24"/>
              </w:rPr>
              <w:t xml:space="preserve"> (</w:t>
            </w:r>
            <w:smartTag w:uri="urn:schemas-microsoft-com:office:smarttags" w:element="PersonName">
              <w:smartTagPr>
                <w:attr w:name="ProductID" w:val="La Antigua"/>
              </w:smartTagPr>
              <w:r w:rsidRPr="00981E15">
                <w:rPr>
                  <w:i/>
                  <w:kern w:val="0"/>
                  <w:szCs w:val="24"/>
                </w:rPr>
                <w:t>La Antigua</w:t>
              </w:r>
            </w:smartTag>
            <w:r w:rsidRPr="00981E15">
              <w:rPr>
                <w:i/>
                <w:kern w:val="0"/>
                <w:szCs w:val="24"/>
              </w:rPr>
              <w:t>) e Instituto Kinal (Ciudad Capital).</w:t>
            </w:r>
          </w:p>
        </w:tc>
        <w:tc>
          <w:tcPr>
            <w:tcW w:w="2544" w:type="dxa"/>
            <w:shd w:val="clear" w:color="auto" w:fill="auto"/>
          </w:tcPr>
          <w:p w:rsidR="00490108" w:rsidRPr="00981E15" w:rsidRDefault="00490108" w:rsidP="00490108">
            <w:pPr>
              <w:numPr>
                <w:ilvl w:val="0"/>
                <w:numId w:val="26"/>
              </w:numPr>
              <w:tabs>
                <w:tab w:val="left" w:pos="288"/>
                <w:tab w:val="left" w:pos="576"/>
                <w:tab w:val="left" w:pos="864"/>
                <w:tab w:val="left" w:pos="1152"/>
              </w:tabs>
              <w:spacing w:before="40" w:after="80"/>
              <w:ind w:left="43" w:right="43" w:firstLine="0"/>
              <w:rPr>
                <w:i/>
                <w:kern w:val="0"/>
                <w:szCs w:val="24"/>
              </w:rPr>
            </w:pPr>
            <w:r w:rsidRPr="00981E15">
              <w:rPr>
                <w:i/>
                <w:kern w:val="0"/>
                <w:szCs w:val="24"/>
              </w:rPr>
              <w:t>Matrícula de estudio en el e</w:t>
            </w:r>
            <w:r w:rsidRPr="00981E15">
              <w:rPr>
                <w:i/>
                <w:kern w:val="0"/>
                <w:szCs w:val="24"/>
              </w:rPr>
              <w:t>s</w:t>
            </w:r>
            <w:r w:rsidRPr="00981E15">
              <w:rPr>
                <w:i/>
                <w:kern w:val="0"/>
                <w:szCs w:val="24"/>
              </w:rPr>
              <w:t>tablecimiento.</w:t>
            </w:r>
          </w:p>
          <w:p w:rsidR="00490108" w:rsidRPr="00981E15" w:rsidRDefault="00490108" w:rsidP="00490108">
            <w:pPr>
              <w:numPr>
                <w:ilvl w:val="0"/>
                <w:numId w:val="26"/>
              </w:numPr>
              <w:tabs>
                <w:tab w:val="left" w:pos="288"/>
                <w:tab w:val="left" w:pos="576"/>
                <w:tab w:val="left" w:pos="864"/>
                <w:tab w:val="left" w:pos="1152"/>
              </w:tabs>
              <w:spacing w:before="40" w:after="80"/>
              <w:ind w:left="43" w:right="43" w:firstLine="0"/>
              <w:rPr>
                <w:i/>
                <w:kern w:val="0"/>
                <w:szCs w:val="24"/>
              </w:rPr>
            </w:pPr>
            <w:r w:rsidRPr="00981E15">
              <w:rPr>
                <w:i/>
                <w:kern w:val="0"/>
                <w:szCs w:val="24"/>
              </w:rPr>
              <w:t>Gastos de materiales educ</w:t>
            </w:r>
            <w:r w:rsidRPr="00981E15">
              <w:rPr>
                <w:i/>
                <w:kern w:val="0"/>
                <w:szCs w:val="24"/>
              </w:rPr>
              <w:t>a</w:t>
            </w:r>
            <w:r w:rsidRPr="00981E15">
              <w:rPr>
                <w:i/>
                <w:kern w:val="0"/>
                <w:szCs w:val="24"/>
              </w:rPr>
              <w:t>tivos.</w:t>
            </w:r>
          </w:p>
          <w:p w:rsidR="00490108" w:rsidRPr="00981E15" w:rsidRDefault="00490108" w:rsidP="00490108">
            <w:pPr>
              <w:numPr>
                <w:ilvl w:val="0"/>
                <w:numId w:val="26"/>
              </w:numPr>
              <w:tabs>
                <w:tab w:val="left" w:pos="288"/>
                <w:tab w:val="left" w:pos="576"/>
                <w:tab w:val="left" w:pos="864"/>
                <w:tab w:val="left" w:pos="1152"/>
              </w:tabs>
              <w:spacing w:before="40" w:after="80"/>
              <w:ind w:left="43" w:right="43" w:firstLine="0"/>
              <w:rPr>
                <w:i/>
                <w:kern w:val="0"/>
                <w:szCs w:val="24"/>
              </w:rPr>
            </w:pPr>
            <w:r w:rsidRPr="00981E15">
              <w:rPr>
                <w:i/>
                <w:kern w:val="0"/>
                <w:szCs w:val="24"/>
              </w:rPr>
              <w:t>Gastos de alojamiento y al</w:t>
            </w:r>
            <w:r w:rsidRPr="00981E15">
              <w:rPr>
                <w:i/>
                <w:kern w:val="0"/>
                <w:szCs w:val="24"/>
              </w:rPr>
              <w:t>i</w:t>
            </w:r>
            <w:r w:rsidRPr="00981E15">
              <w:rPr>
                <w:i/>
                <w:kern w:val="0"/>
                <w:szCs w:val="24"/>
              </w:rPr>
              <w:t>mentación</w:t>
            </w:r>
          </w:p>
          <w:p w:rsidR="00490108" w:rsidRPr="00981E15" w:rsidRDefault="00490108" w:rsidP="00490108">
            <w:pPr>
              <w:numPr>
                <w:ilvl w:val="0"/>
                <w:numId w:val="26"/>
              </w:numPr>
              <w:tabs>
                <w:tab w:val="left" w:pos="288"/>
                <w:tab w:val="left" w:pos="576"/>
                <w:tab w:val="left" w:pos="864"/>
                <w:tab w:val="left" w:pos="1152"/>
              </w:tabs>
              <w:spacing w:before="40" w:after="80"/>
              <w:ind w:left="43" w:right="43" w:firstLine="0"/>
              <w:rPr>
                <w:i/>
                <w:kern w:val="0"/>
                <w:szCs w:val="24"/>
              </w:rPr>
            </w:pPr>
            <w:r w:rsidRPr="00981E15">
              <w:rPr>
                <w:i/>
                <w:kern w:val="0"/>
                <w:szCs w:val="24"/>
              </w:rPr>
              <w:t>Gastos de transporte</w:t>
            </w:r>
          </w:p>
          <w:p w:rsidR="00490108" w:rsidRPr="00981E15" w:rsidRDefault="00490108" w:rsidP="00490108">
            <w:pPr>
              <w:numPr>
                <w:ilvl w:val="0"/>
                <w:numId w:val="26"/>
              </w:numPr>
              <w:tabs>
                <w:tab w:val="left" w:pos="288"/>
                <w:tab w:val="left" w:pos="576"/>
                <w:tab w:val="left" w:pos="864"/>
                <w:tab w:val="left" w:pos="1152"/>
              </w:tabs>
              <w:spacing w:before="40" w:after="80"/>
              <w:ind w:left="43" w:right="43" w:firstLine="0"/>
              <w:rPr>
                <w:i/>
                <w:kern w:val="0"/>
                <w:szCs w:val="24"/>
              </w:rPr>
            </w:pPr>
            <w:r w:rsidRPr="00981E15">
              <w:rPr>
                <w:i/>
                <w:kern w:val="0"/>
                <w:szCs w:val="24"/>
              </w:rPr>
              <w:t>Seguro Médico colectivo</w:t>
            </w:r>
          </w:p>
          <w:p w:rsidR="00490108" w:rsidRPr="00981E15" w:rsidRDefault="00490108" w:rsidP="00490108">
            <w:pPr>
              <w:tabs>
                <w:tab w:val="left" w:pos="288"/>
                <w:tab w:val="left" w:pos="576"/>
                <w:tab w:val="left" w:pos="864"/>
                <w:tab w:val="left" w:pos="1152"/>
              </w:tabs>
              <w:spacing w:before="40" w:after="80"/>
              <w:ind w:left="43" w:right="43"/>
              <w:rPr>
                <w:i/>
                <w:kern w:val="0"/>
                <w:szCs w:val="24"/>
              </w:rPr>
            </w:pPr>
            <w:r w:rsidRPr="00981E15">
              <w:rPr>
                <w:i/>
                <w:kern w:val="0"/>
                <w:szCs w:val="24"/>
              </w:rPr>
              <w:t>Se otorgan Q15, 000 anuales por est</w:t>
            </w:r>
            <w:r w:rsidRPr="00981E15">
              <w:rPr>
                <w:i/>
                <w:kern w:val="0"/>
                <w:szCs w:val="24"/>
              </w:rPr>
              <w:t>u</w:t>
            </w:r>
            <w:r w:rsidRPr="00981E15">
              <w:rPr>
                <w:i/>
                <w:kern w:val="0"/>
                <w:szCs w:val="24"/>
              </w:rPr>
              <w:t>diante en promedio.</w:t>
            </w:r>
          </w:p>
          <w:p w:rsidR="00490108" w:rsidRPr="00981E15" w:rsidRDefault="00490108" w:rsidP="00490108">
            <w:pPr>
              <w:tabs>
                <w:tab w:val="left" w:pos="288"/>
                <w:tab w:val="left" w:pos="576"/>
                <w:tab w:val="left" w:pos="864"/>
                <w:tab w:val="left" w:pos="1152"/>
              </w:tabs>
              <w:spacing w:before="40" w:after="80"/>
              <w:ind w:left="43" w:right="43"/>
              <w:rPr>
                <w:i/>
                <w:kern w:val="0"/>
                <w:szCs w:val="24"/>
              </w:rPr>
            </w:pPr>
            <w:r w:rsidRPr="00981E15">
              <w:rPr>
                <w:i/>
                <w:kern w:val="0"/>
                <w:szCs w:val="24"/>
              </w:rPr>
              <w:t>474,585 en básicos oficial y privado</w:t>
            </w:r>
          </w:p>
          <w:p w:rsidR="00490108" w:rsidRPr="00981E15" w:rsidRDefault="00490108" w:rsidP="00490108">
            <w:pPr>
              <w:tabs>
                <w:tab w:val="left" w:pos="288"/>
                <w:tab w:val="left" w:pos="576"/>
                <w:tab w:val="left" w:pos="864"/>
                <w:tab w:val="left" w:pos="1152"/>
              </w:tabs>
              <w:spacing w:before="40" w:after="80"/>
              <w:ind w:left="43" w:right="43"/>
              <w:rPr>
                <w:i/>
                <w:kern w:val="0"/>
                <w:szCs w:val="24"/>
              </w:rPr>
            </w:pPr>
            <w:r w:rsidRPr="00981E15">
              <w:rPr>
                <w:i/>
                <w:kern w:val="0"/>
                <w:szCs w:val="24"/>
                <w:u w:val="single"/>
              </w:rPr>
              <w:t>223,976</w:t>
            </w:r>
            <w:r w:rsidRPr="00981E15">
              <w:rPr>
                <w:i/>
                <w:kern w:val="0"/>
                <w:szCs w:val="24"/>
              </w:rPr>
              <w:t xml:space="preserve"> en diversificado oficial y pr</w:t>
            </w:r>
            <w:r w:rsidRPr="00981E15">
              <w:rPr>
                <w:i/>
                <w:kern w:val="0"/>
                <w:szCs w:val="24"/>
              </w:rPr>
              <w:t>i</w:t>
            </w:r>
            <w:r w:rsidRPr="00981E15">
              <w:rPr>
                <w:i/>
                <w:kern w:val="0"/>
                <w:szCs w:val="24"/>
              </w:rPr>
              <w:t>vado</w:t>
            </w:r>
          </w:p>
        </w:tc>
      </w:tr>
      <w:tr w:rsidR="00490108" w:rsidRPr="00981E15">
        <w:tblPrEx>
          <w:tblCellMar>
            <w:top w:w="0" w:type="dxa"/>
            <w:bottom w:w="0" w:type="dxa"/>
          </w:tblCellMar>
        </w:tblPrEx>
        <w:tc>
          <w:tcPr>
            <w:tcW w:w="1674" w:type="dxa"/>
            <w:tcBorders>
              <w:bottom w:val="single" w:sz="12" w:space="0" w:color="auto"/>
            </w:tcBorders>
            <w:shd w:val="clear" w:color="auto" w:fill="auto"/>
          </w:tcPr>
          <w:p w:rsidR="00490108" w:rsidRPr="00981E15" w:rsidRDefault="00490108" w:rsidP="00490108">
            <w:pPr>
              <w:tabs>
                <w:tab w:val="left" w:pos="288"/>
                <w:tab w:val="left" w:pos="576"/>
                <w:tab w:val="left" w:pos="864"/>
                <w:tab w:val="left" w:pos="1152"/>
              </w:tabs>
              <w:spacing w:before="40" w:after="80"/>
              <w:ind w:right="40"/>
              <w:rPr>
                <w:kern w:val="0"/>
              </w:rPr>
            </w:pPr>
          </w:p>
        </w:tc>
        <w:tc>
          <w:tcPr>
            <w:tcW w:w="3465" w:type="dxa"/>
            <w:tcBorders>
              <w:bottom w:val="single" w:sz="12" w:space="0" w:color="auto"/>
            </w:tcBorders>
            <w:shd w:val="clear" w:color="auto" w:fill="auto"/>
          </w:tcPr>
          <w:p w:rsidR="00490108" w:rsidRPr="00981E15" w:rsidRDefault="00490108" w:rsidP="00490108">
            <w:pPr>
              <w:tabs>
                <w:tab w:val="left" w:pos="288"/>
                <w:tab w:val="left" w:pos="576"/>
                <w:tab w:val="left" w:pos="864"/>
                <w:tab w:val="left" w:pos="1152"/>
              </w:tabs>
              <w:spacing w:before="40" w:after="80"/>
              <w:ind w:right="40"/>
              <w:rPr>
                <w:kern w:val="0"/>
              </w:rPr>
            </w:pPr>
          </w:p>
        </w:tc>
        <w:tc>
          <w:tcPr>
            <w:tcW w:w="2160" w:type="dxa"/>
            <w:tcBorders>
              <w:bottom w:val="single" w:sz="12" w:space="0" w:color="auto"/>
            </w:tcBorders>
            <w:shd w:val="clear" w:color="auto" w:fill="auto"/>
          </w:tcPr>
          <w:p w:rsidR="00490108" w:rsidRPr="00981E15" w:rsidRDefault="00490108" w:rsidP="00490108">
            <w:pPr>
              <w:tabs>
                <w:tab w:val="left" w:pos="288"/>
                <w:tab w:val="left" w:pos="576"/>
                <w:tab w:val="left" w:pos="864"/>
                <w:tab w:val="left" w:pos="1152"/>
              </w:tabs>
              <w:spacing w:before="40" w:after="80"/>
              <w:ind w:right="72"/>
              <w:rPr>
                <w:kern w:val="0"/>
              </w:rPr>
            </w:pPr>
          </w:p>
        </w:tc>
        <w:tc>
          <w:tcPr>
            <w:tcW w:w="2544" w:type="dxa"/>
            <w:tcBorders>
              <w:bottom w:val="single" w:sz="12" w:space="0" w:color="auto"/>
            </w:tcBorders>
            <w:shd w:val="clear" w:color="auto" w:fill="auto"/>
          </w:tcPr>
          <w:p w:rsidR="00490108" w:rsidRPr="00981E15" w:rsidRDefault="00490108" w:rsidP="00490108">
            <w:pPr>
              <w:tabs>
                <w:tab w:val="left" w:pos="288"/>
                <w:tab w:val="left" w:pos="576"/>
                <w:tab w:val="left" w:pos="864"/>
                <w:tab w:val="left" w:pos="1152"/>
              </w:tabs>
              <w:spacing w:before="40" w:after="80"/>
              <w:ind w:left="43" w:right="43"/>
              <w:rPr>
                <w:kern w:val="0"/>
              </w:rPr>
            </w:pPr>
            <w:r w:rsidRPr="00981E15">
              <w:rPr>
                <w:i/>
                <w:kern w:val="0"/>
                <w:szCs w:val="24"/>
              </w:rPr>
              <w:t>698,561 en nivel medio (2004)</w:t>
            </w:r>
          </w:p>
        </w:tc>
      </w:tr>
    </w:tbl>
    <w:p w:rsidR="00490108" w:rsidRPr="00981E15" w:rsidRDefault="00490108" w:rsidP="00490108">
      <w:pPr>
        <w:pStyle w:val="SingleTxt"/>
        <w:spacing w:after="0" w:line="120" w:lineRule="exact"/>
        <w:rPr>
          <w:sz w:val="10"/>
        </w:rPr>
      </w:pPr>
    </w:p>
    <w:p w:rsidR="00490108" w:rsidRPr="00981E15" w:rsidRDefault="00490108" w:rsidP="00490108">
      <w:pPr>
        <w:pStyle w:val="FootnoteText"/>
        <w:tabs>
          <w:tab w:val="clear" w:pos="418"/>
          <w:tab w:val="right" w:pos="216"/>
          <w:tab w:val="left" w:pos="288"/>
          <w:tab w:val="right" w:pos="576"/>
          <w:tab w:val="left" w:pos="648"/>
        </w:tabs>
        <w:ind w:left="288" w:hanging="288"/>
      </w:pPr>
      <w:r w:rsidRPr="00981E15">
        <w:tab/>
      </w:r>
      <w:r w:rsidRPr="00981E15">
        <w:tab/>
      </w:r>
      <w:r w:rsidRPr="00981E15">
        <w:rPr>
          <w:i/>
        </w:rPr>
        <w:t>Fuente</w:t>
      </w:r>
      <w:r w:rsidRPr="00981E15">
        <w:t>: Departamento de Becas, MINEDUC, 2007.</w:t>
      </w:r>
    </w:p>
    <w:p w:rsidR="00490108" w:rsidRPr="00981E15" w:rsidRDefault="00490108" w:rsidP="00490108">
      <w:pPr>
        <w:pStyle w:val="SingleTxt"/>
        <w:tabs>
          <w:tab w:val="clear" w:pos="1742"/>
        </w:tabs>
        <w:suppressAutoHyphens/>
        <w:spacing w:after="0" w:line="120" w:lineRule="exact"/>
        <w:ind w:left="0"/>
        <w:rPr>
          <w:sz w:val="10"/>
        </w:rPr>
      </w:pPr>
    </w:p>
    <w:p w:rsidR="00490108" w:rsidRPr="00981E15" w:rsidRDefault="001F48A0" w:rsidP="001F48A0">
      <w:pPr>
        <w:pStyle w:val="FootnoteText"/>
        <w:tabs>
          <w:tab w:val="clear" w:pos="418"/>
          <w:tab w:val="right" w:pos="216"/>
          <w:tab w:val="left" w:pos="288"/>
          <w:tab w:val="right" w:pos="576"/>
          <w:tab w:val="left" w:pos="648"/>
        </w:tabs>
        <w:ind w:left="288" w:hanging="288"/>
      </w:pPr>
      <w:r w:rsidRPr="00981E15">
        <w:tab/>
        <w:t>*</w:t>
      </w:r>
      <w:r w:rsidRPr="00981E15">
        <w:tab/>
        <w:t>Tipo de cambio Q.7.5/USD1.00.</w:t>
      </w:r>
    </w:p>
    <w:p w:rsidR="001F48A0" w:rsidRPr="00981E15" w:rsidRDefault="001F48A0" w:rsidP="001F48A0">
      <w:pPr>
        <w:pStyle w:val="SingleTxt"/>
        <w:suppressAutoHyphens/>
        <w:spacing w:after="0" w:line="120" w:lineRule="exact"/>
        <w:rPr>
          <w:sz w:val="10"/>
        </w:rPr>
      </w:pPr>
    </w:p>
    <w:p w:rsidR="00490108" w:rsidRPr="00981E15" w:rsidRDefault="00490108" w:rsidP="00F152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Educación bilingüe e intercultural</w:t>
      </w:r>
    </w:p>
    <w:p w:rsidR="00490108" w:rsidRDefault="00490108" w:rsidP="00490108">
      <w:pPr>
        <w:pStyle w:val="SingleTxt"/>
        <w:tabs>
          <w:tab w:val="clear" w:pos="1742"/>
        </w:tabs>
        <w:suppressAutoHyphens/>
        <w:spacing w:after="0" w:line="120" w:lineRule="exact"/>
        <w:rPr>
          <w:sz w:val="10"/>
        </w:rPr>
      </w:pPr>
    </w:p>
    <w:p w:rsidR="005D453A" w:rsidRPr="00981E15" w:rsidRDefault="005D453A" w:rsidP="00490108">
      <w:pPr>
        <w:pStyle w:val="SingleTxt"/>
        <w:tabs>
          <w:tab w:val="clear" w:pos="1742"/>
        </w:tabs>
        <w:suppressAutoHyphens/>
        <w:spacing w:after="0" w:line="120" w:lineRule="exact"/>
        <w:rPr>
          <w:sz w:val="10"/>
        </w:rPr>
      </w:pPr>
    </w:p>
    <w:p w:rsidR="00490108" w:rsidRPr="00981E15" w:rsidRDefault="00490108" w:rsidP="00490108">
      <w:pPr>
        <w:pStyle w:val="SingleTxt"/>
        <w:numPr>
          <w:ilvl w:val="0"/>
          <w:numId w:val="27"/>
        </w:numPr>
        <w:tabs>
          <w:tab w:val="clear" w:pos="475"/>
          <w:tab w:val="right" w:pos="1022"/>
        </w:tabs>
        <w:suppressAutoHyphens/>
        <w:ind w:left="1267" w:right="1260"/>
      </w:pPr>
      <w:r w:rsidRPr="00981E15">
        <w:t>El Acuerdo Gubernativo No. 22-2004, establece para la Dirección General Bilingüe Intercultural (DIGEBI) del Ministerio de Educación, la generalización del bilingüismo y la obligatoriedad de idiomas nacionales como política lingüística nacional, dándole prioridad al idioma materno, el segundo idioma otro nacional y el tercer idioma el extranjero. Se establece la obligatoriedad de la enseñanza y práctica de la multiculturalidad e interculturalidad en el aula en los idiomas: maya, garífuna o xinka y/o español.</w:t>
      </w:r>
    </w:p>
    <w:p w:rsidR="00490108" w:rsidRPr="00981E15" w:rsidRDefault="00490108" w:rsidP="00490108">
      <w:pPr>
        <w:pStyle w:val="SingleTxt"/>
        <w:numPr>
          <w:ilvl w:val="0"/>
          <w:numId w:val="27"/>
        </w:numPr>
        <w:tabs>
          <w:tab w:val="clear" w:pos="475"/>
          <w:tab w:val="num" w:pos="1742"/>
        </w:tabs>
        <w:suppressAutoHyphens/>
        <w:ind w:left="1267"/>
      </w:pPr>
      <w:r w:rsidRPr="00981E15">
        <w:t xml:space="preserve">El MINEDUC cuenta con 12 Escuelas Normales Bilingües Interculturales, en donde se forman docentes bilingües, quienes imparten clases en otros idiomas del país. Por medio de la educación bilingüe intercultural se tiene como objetivo primordial el desarrollo de las habilidades cognitivas y socio-afectivas de las y los educandos (particularmente indígenas), que les capacite para interactuar competentemente en contextos multiculturales, utilizando su idioma materno (indígena) y/o su segundo idioma. La currícula de la educación bilingüe tiene entre sus características básicas, el propiciar un diálogo entre las culturas de los diferentes contextos, y privilegiar el idioma materno, junto con el segundo idioma, como medio y como contenido de aprendizaje. </w:t>
      </w:r>
    </w:p>
    <w:p w:rsidR="00490108" w:rsidRPr="00981E15" w:rsidRDefault="00490108" w:rsidP="00490108">
      <w:pPr>
        <w:pStyle w:val="SingleTxt"/>
        <w:numPr>
          <w:ilvl w:val="0"/>
          <w:numId w:val="27"/>
        </w:numPr>
        <w:tabs>
          <w:tab w:val="clear" w:pos="475"/>
          <w:tab w:val="num" w:pos="1742"/>
        </w:tabs>
        <w:suppressAutoHyphens/>
        <w:ind w:left="1267"/>
      </w:pPr>
      <w:r w:rsidRPr="00981E15">
        <w:t>El MINEDUC ha revitalizado la Educación Bilingüe Intercultural (EBI), se crearon 1,844 plazas docentes bilingües. Se publicaron 432 plazas bilingües a oposición. Las 293,300 guías de auto aprendizaje y módulos docentes fueron contextualizados en cuatro idiomas mayas mayoritarios y distribuidos en dos mayoritarios (Mam y K</w:t>
      </w:r>
      <w:r w:rsidR="007352CD">
        <w:t>’</w:t>
      </w:r>
      <w:r w:rsidRPr="00981E15">
        <w:t>iche</w:t>
      </w:r>
      <w:r w:rsidR="007352CD">
        <w:t>’</w:t>
      </w:r>
      <w:r w:rsidRPr="00981E15">
        <w:t>), en 1,170 escuelas EBI. Se reprodujeron 1.7 millones de textos y guías de primaria en idiomas mayas (K</w:t>
      </w:r>
      <w:r w:rsidR="007352CD">
        <w:t>’</w:t>
      </w:r>
      <w:r w:rsidRPr="00981E15">
        <w:t>iche</w:t>
      </w:r>
      <w:r w:rsidR="007352CD">
        <w:t>’</w:t>
      </w:r>
      <w:r w:rsidRPr="00981E15">
        <w:t>, Kaqchikel, Mam y Q</w:t>
      </w:r>
      <w:r w:rsidR="007352CD">
        <w:t>’</w:t>
      </w:r>
      <w:r w:rsidRPr="00981E15">
        <w:t>eqchi</w:t>
      </w:r>
      <w:r w:rsidR="007352CD">
        <w:t>’</w:t>
      </w:r>
      <w:r w:rsidRPr="00981E15">
        <w:t>) en las áreas de comunicación y lenguajes, matemáticas y castellano como segundo idioma.</w:t>
      </w:r>
    </w:p>
    <w:p w:rsidR="00490108" w:rsidRPr="00981E15" w:rsidRDefault="00490108" w:rsidP="00490108">
      <w:pPr>
        <w:pStyle w:val="SingleTxt"/>
        <w:numPr>
          <w:ilvl w:val="0"/>
          <w:numId w:val="27"/>
        </w:numPr>
        <w:tabs>
          <w:tab w:val="clear" w:pos="475"/>
          <w:tab w:val="num" w:pos="1742"/>
        </w:tabs>
        <w:suppressAutoHyphens/>
        <w:ind w:left="1267"/>
      </w:pPr>
      <w:r w:rsidRPr="00981E15">
        <w:t>Se capacitó a 2,400 docentes en el uso de la metodología activa. Para garantizar la aplicación de la educación bilingüe en el aula, se dio acompañamiento técnico pedagógico a 5,474 docentes bilingües y fueron visitadas 2,737 escuelas en cuatro oportunidades durante el 2006.</w:t>
      </w:r>
    </w:p>
    <w:p w:rsidR="00490108" w:rsidRPr="00981E15" w:rsidRDefault="00490108" w:rsidP="00490108">
      <w:pPr>
        <w:pStyle w:val="SingleTxt"/>
        <w:suppressAutoHyphens/>
      </w:pPr>
      <w:r w:rsidRPr="00981E15">
        <w:t>El Vice Ministerio de Educación Bilingüe Intercultural del MINEDUC y la Comisión Presidencial contra la Discriminación y el Racismo (CODISRA) han diseñado y elaborado una “Guía Metodológica para el Desarrollo de los Ejes Curriculares de Multiculturalidad, Interculturalidad, Equidad y Valores”, para docentes en servicio, con un tiraje de 6,000 ejemplares, mismos que fueron distribuidos a nivel de las escuelas involucradas en el proyecto.</w:t>
      </w:r>
    </w:p>
    <w:p w:rsidR="00C244C2" w:rsidRPr="00981E15" w:rsidRDefault="00C244C2" w:rsidP="00C244C2">
      <w:pPr>
        <w:pStyle w:val="SingleTxt"/>
        <w:suppressAutoHyphens/>
        <w:spacing w:after="0" w:line="120" w:lineRule="exact"/>
        <w:rPr>
          <w:sz w:val="10"/>
        </w:rPr>
      </w:pPr>
    </w:p>
    <w:p w:rsidR="00C244C2" w:rsidRPr="00981E15" w:rsidRDefault="00C244C2" w:rsidP="00C244C2">
      <w:pPr>
        <w:pStyle w:val="SingleTxt"/>
        <w:suppressAutoHyphens/>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br w:type="page"/>
      </w:r>
      <w:r w:rsidRPr="00981E15">
        <w:tab/>
      </w:r>
      <w:r w:rsidRPr="00981E15">
        <w:tab/>
        <w:t>Alfabetización</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SingleTxt"/>
        <w:suppressAutoHyphens/>
        <w:jc w:val="left"/>
        <w:rPr>
          <w:b/>
        </w:rPr>
      </w:pPr>
      <w:r w:rsidRPr="00981E15">
        <w:t>Cuadro 19</w:t>
      </w:r>
      <w:r w:rsidRPr="00981E15">
        <w:br/>
      </w:r>
      <w:r w:rsidRPr="00981E15">
        <w:rPr>
          <w:b/>
        </w:rPr>
        <w:t>Comportamiento del analfabetismo en Guatemala durante los</w:t>
      </w:r>
      <w:r w:rsidRPr="00981E15">
        <w:rPr>
          <w:b/>
        </w:rPr>
        <w:br/>
        <w:t>años de 1996 al 2006</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r w:rsidRPr="00981E15">
        <w:rPr>
          <w:noProof/>
          <w:w w:val="100"/>
        </w:rPr>
        <w:pict>
          <v:shape id="_x0000_s1451" type="#_x0000_t75" style="position:absolute;left:0;text-align:left;margin-left:66.5pt;margin-top:9.05pt;width:378.15pt;height:283.9pt;z-index:7" fillcolor="#212164" stroked="t">
            <v:fill color2="#686a69"/>
            <v:imagedata r:id="rId20" o:title="" grayscale="t"/>
            <w10:wrap type="topAndBottom"/>
          </v:shape>
        </w:pict>
      </w:r>
    </w:p>
    <w:p w:rsidR="009934AE" w:rsidRPr="00981E15" w:rsidRDefault="009934AE" w:rsidP="009934AE">
      <w:pPr>
        <w:pStyle w:val="FootnoteText"/>
        <w:tabs>
          <w:tab w:val="clear" w:pos="418"/>
          <w:tab w:val="right" w:pos="1476"/>
          <w:tab w:val="left" w:pos="1548"/>
          <w:tab w:val="right" w:pos="1836"/>
          <w:tab w:val="left" w:pos="1908"/>
        </w:tabs>
        <w:spacing w:line="120" w:lineRule="exact"/>
        <w:ind w:left="1548" w:hanging="288"/>
        <w:rPr>
          <w:i/>
          <w:sz w:val="10"/>
        </w:rPr>
      </w:pPr>
    </w:p>
    <w:p w:rsidR="00C244C2" w:rsidRPr="00981E15" w:rsidRDefault="00C244C2" w:rsidP="00C244C2">
      <w:pPr>
        <w:pStyle w:val="FootnoteText"/>
        <w:tabs>
          <w:tab w:val="clear" w:pos="418"/>
          <w:tab w:val="right" w:pos="1476"/>
          <w:tab w:val="left" w:pos="1548"/>
          <w:tab w:val="right" w:pos="1836"/>
          <w:tab w:val="left" w:pos="1908"/>
        </w:tabs>
        <w:ind w:left="1548" w:hanging="288"/>
      </w:pPr>
      <w:r w:rsidRPr="00981E15">
        <w:rPr>
          <w:i/>
        </w:rPr>
        <w:t>Fuente</w:t>
      </w:r>
      <w:r w:rsidRPr="00981E15">
        <w:t>: Datos obtenidos del informe estadístico, elaborado por el Centro de Cómputo, sección de estadística, CONALFA 2007.</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sidRPr="00981E15">
        <w:rPr>
          <w:w w:val="104"/>
        </w:rPr>
        <w:tab/>
      </w:r>
      <w:r w:rsidRPr="00981E15">
        <w:rPr>
          <w:w w:val="104"/>
        </w:rPr>
        <w:tab/>
        <w:t>Comité Nacional de Alfabetización (CONALFA)</w:t>
      </w:r>
    </w:p>
    <w:p w:rsidR="00C244C2" w:rsidRPr="00981E15" w:rsidRDefault="00C244C2" w:rsidP="00C244C2">
      <w:pPr>
        <w:pStyle w:val="SingleTxt"/>
        <w:spacing w:after="0" w:line="120" w:lineRule="exact"/>
        <w:rPr>
          <w:sz w:val="10"/>
        </w:rPr>
      </w:pPr>
    </w:p>
    <w:p w:rsidR="00C244C2" w:rsidRPr="00981E15" w:rsidRDefault="00C244C2" w:rsidP="00697D59">
      <w:pPr>
        <w:pStyle w:val="SingleTxt"/>
        <w:numPr>
          <w:ilvl w:val="0"/>
          <w:numId w:val="3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spacing w:val="5"/>
          <w:w w:val="104"/>
          <w:sz w:val="17"/>
        </w:rPr>
      </w:pPr>
      <w:r w:rsidRPr="00981E15">
        <w:rPr>
          <w:w w:val="104"/>
        </w:rPr>
        <w:t>En marzo de 2004 el Comité Nacional de Alfabetización (CONALFA) retoma el papel rector de la alfabetización y se le da continuidad a la política de atención prioritaria de la mujer en el proceso de alfabetización, con el propósito de contribuir a satisfacer sus necesidades y demandas. La propuesta actual de CONALFA se recoge en la Estrategia Nacional de Alfabetización Integral para el período 2004-2008. Durante los años transcurridos, la estrategia ha encaminado sus acciones principalmente a cubrir las necesidades puntuales de sus macro componentes que son: 1) la etapa inicial de alfabetización y 2) la post alfabetización; donde se desarrollan los programas tanto en idioma español como en 17 idiomas mayas.</w:t>
      </w:r>
    </w:p>
    <w:p w:rsidR="00C244C2" w:rsidRPr="00981E15" w:rsidRDefault="00C244C2" w:rsidP="00697D59">
      <w:pPr>
        <w:pStyle w:val="SingleTxt"/>
        <w:numPr>
          <w:ilvl w:val="0"/>
          <w:numId w:val="31"/>
        </w:numPr>
        <w:tabs>
          <w:tab w:val="clear" w:pos="475"/>
          <w:tab w:val="num" w:pos="1742"/>
        </w:tabs>
        <w:suppressAutoHyphens/>
        <w:ind w:left="1267"/>
        <w:rPr>
          <w:w w:val="104"/>
        </w:rPr>
      </w:pPr>
      <w:r w:rsidRPr="00981E15">
        <w:rPr>
          <w:w w:val="104"/>
        </w:rPr>
        <w:t>La reducción del índice de analfabetismo en los últimos tres años es de 3.42%; en una constante promedio de 1.20% por año ejecutado. Los resultados alcanzados anualmente, se registran en el siguiente cuadro.</w:t>
      </w: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sidRPr="00981E15">
        <w:rPr>
          <w:w w:val="104"/>
        </w:rPr>
        <w:tab/>
      </w:r>
      <w:r w:rsidRPr="00981E15">
        <w:rPr>
          <w:w w:val="104"/>
        </w:rPr>
        <w:tab/>
      </w:r>
      <w:r w:rsidRPr="00981E15">
        <w:rPr>
          <w:b w:val="0"/>
          <w:w w:val="104"/>
        </w:rPr>
        <w:t>Cuadro 20</w:t>
      </w:r>
      <w:r w:rsidRPr="00981E15">
        <w:rPr>
          <w:b w:val="0"/>
          <w:w w:val="104"/>
        </w:rPr>
        <w:br/>
      </w:r>
      <w:r w:rsidRPr="00981E15">
        <w:rPr>
          <w:w w:val="104"/>
        </w:rPr>
        <w:t>Reducción del índice de analfabetismo</w:t>
      </w:r>
      <w:r w:rsidR="005D453A">
        <w:rPr>
          <w:w w:val="104"/>
        </w:rPr>
        <w:t>,</w:t>
      </w:r>
      <w:r w:rsidRPr="00981E15">
        <w:rPr>
          <w:w w:val="104"/>
        </w:rPr>
        <w:br/>
      </w:r>
      <w:r w:rsidR="005D453A" w:rsidRPr="00981E15">
        <w:rPr>
          <w:w w:val="104"/>
        </w:rPr>
        <w:t xml:space="preserve">período </w:t>
      </w:r>
      <w:r w:rsidRPr="00981E15">
        <w:rPr>
          <w:w w:val="104"/>
        </w:rPr>
        <w:t>de 2004 al 2006</w:t>
      </w:r>
    </w:p>
    <w:p w:rsidR="00C244C2" w:rsidRPr="00981E15" w:rsidRDefault="00C244C2" w:rsidP="00C244C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C244C2" w:rsidRPr="00981E15">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rPr>
                <w:i/>
                <w:kern w:val="0"/>
                <w:sz w:val="14"/>
              </w:rPr>
            </w:pPr>
            <w:r w:rsidRPr="00981E15">
              <w:rPr>
                <w:i/>
                <w:kern w:val="0"/>
                <w:sz w:val="14"/>
              </w:rPr>
              <w:t>Año</w:t>
            </w:r>
          </w:p>
        </w:tc>
        <w:tc>
          <w:tcPr>
            <w:tcW w:w="1464"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Meta</w:t>
            </w:r>
          </w:p>
        </w:tc>
        <w:tc>
          <w:tcPr>
            <w:tcW w:w="1464"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Inscritos</w:t>
            </w:r>
          </w:p>
        </w:tc>
        <w:tc>
          <w:tcPr>
            <w:tcW w:w="1464"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Promovidos</w:t>
            </w:r>
          </w:p>
        </w:tc>
        <w:tc>
          <w:tcPr>
            <w:tcW w:w="1464"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Reducción del índice de Analfabetismo (%)</w:t>
            </w:r>
          </w:p>
        </w:tc>
      </w:tr>
      <w:tr w:rsidR="00C244C2" w:rsidRPr="00981E15">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r>
      <w:tr w:rsidR="00C244C2" w:rsidRPr="00981E15">
        <w:tblPrEx>
          <w:tblCellMar>
            <w:top w:w="0" w:type="dxa"/>
            <w:bottom w:w="0" w:type="dxa"/>
          </w:tblCellMar>
        </w:tblPrEx>
        <w:tc>
          <w:tcPr>
            <w:tcW w:w="1464" w:type="dxa"/>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2003</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w:t>
            </w:r>
          </w:p>
        </w:tc>
        <w:tc>
          <w:tcPr>
            <w:tcW w:w="1464" w:type="dxa"/>
            <w:shd w:val="clear" w:color="auto" w:fill="auto"/>
            <w:vAlign w:val="bottom"/>
          </w:tcPr>
          <w:p w:rsidR="00C244C2" w:rsidRPr="00981E15" w:rsidRDefault="00C244C2" w:rsidP="00C244C2">
            <w:pPr>
              <w:tabs>
                <w:tab w:val="decimal" w:pos="1044"/>
              </w:tabs>
              <w:spacing w:before="40" w:after="40" w:line="210" w:lineRule="exact"/>
              <w:jc w:val="right"/>
              <w:rPr>
                <w:sz w:val="17"/>
                <w:szCs w:val="17"/>
              </w:rPr>
            </w:pPr>
            <w:r w:rsidRPr="00981E15">
              <w:rPr>
                <w:sz w:val="17"/>
                <w:szCs w:val="17"/>
              </w:rPr>
              <w:t>27.49*</w:t>
            </w:r>
          </w:p>
        </w:tc>
      </w:tr>
      <w:tr w:rsidR="00C244C2" w:rsidRPr="00981E15">
        <w:tblPrEx>
          <w:tblCellMar>
            <w:top w:w="0" w:type="dxa"/>
            <w:bottom w:w="0" w:type="dxa"/>
          </w:tblCellMar>
        </w:tblPrEx>
        <w:tc>
          <w:tcPr>
            <w:tcW w:w="1464" w:type="dxa"/>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2004</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202,928</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171,139</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64,871</w:t>
            </w:r>
          </w:p>
        </w:tc>
        <w:tc>
          <w:tcPr>
            <w:tcW w:w="1464" w:type="dxa"/>
            <w:shd w:val="clear" w:color="auto" w:fill="auto"/>
            <w:vAlign w:val="bottom"/>
          </w:tcPr>
          <w:p w:rsidR="00C244C2" w:rsidRPr="00981E15" w:rsidRDefault="00C244C2" w:rsidP="00C244C2">
            <w:pPr>
              <w:tabs>
                <w:tab w:val="decimal" w:pos="1044"/>
              </w:tabs>
              <w:spacing w:before="40" w:after="40" w:line="210" w:lineRule="exact"/>
              <w:jc w:val="right"/>
              <w:rPr>
                <w:sz w:val="17"/>
                <w:szCs w:val="17"/>
              </w:rPr>
            </w:pPr>
            <w:r w:rsidRPr="00981E15">
              <w:rPr>
                <w:sz w:val="17"/>
                <w:szCs w:val="17"/>
              </w:rPr>
              <w:t>26.28</w:t>
            </w:r>
          </w:p>
        </w:tc>
      </w:tr>
      <w:tr w:rsidR="00C244C2" w:rsidRPr="00981E15">
        <w:tblPrEx>
          <w:tblCellMar>
            <w:top w:w="0" w:type="dxa"/>
            <w:bottom w:w="0" w:type="dxa"/>
          </w:tblCellMar>
        </w:tblPrEx>
        <w:tc>
          <w:tcPr>
            <w:tcW w:w="1464" w:type="dxa"/>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2005</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202,928</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171,139</w:t>
            </w:r>
          </w:p>
        </w:tc>
        <w:tc>
          <w:tcPr>
            <w:tcW w:w="1464" w:type="dxa"/>
            <w:shd w:val="clear" w:color="auto" w:fill="auto"/>
            <w:vAlign w:val="bottom"/>
          </w:tcPr>
          <w:p w:rsidR="00C244C2" w:rsidRPr="00981E15" w:rsidRDefault="00C244C2" w:rsidP="00C244C2">
            <w:pPr>
              <w:spacing w:before="40" w:after="40" w:line="210" w:lineRule="exact"/>
              <w:jc w:val="right"/>
              <w:rPr>
                <w:sz w:val="17"/>
                <w:szCs w:val="17"/>
              </w:rPr>
            </w:pPr>
            <w:r w:rsidRPr="00981E15">
              <w:rPr>
                <w:sz w:val="17"/>
                <w:szCs w:val="17"/>
              </w:rPr>
              <w:t>108,027</w:t>
            </w:r>
          </w:p>
        </w:tc>
        <w:tc>
          <w:tcPr>
            <w:tcW w:w="1464" w:type="dxa"/>
            <w:shd w:val="clear" w:color="auto" w:fill="auto"/>
            <w:vAlign w:val="bottom"/>
          </w:tcPr>
          <w:p w:rsidR="00C244C2" w:rsidRPr="00981E15" w:rsidRDefault="00C244C2" w:rsidP="00C244C2">
            <w:pPr>
              <w:tabs>
                <w:tab w:val="decimal" w:pos="1044"/>
              </w:tabs>
              <w:spacing w:before="40" w:after="40" w:line="210" w:lineRule="exact"/>
              <w:jc w:val="right"/>
              <w:rPr>
                <w:sz w:val="17"/>
                <w:szCs w:val="17"/>
              </w:rPr>
            </w:pPr>
            <w:r w:rsidRPr="00981E15">
              <w:rPr>
                <w:sz w:val="17"/>
                <w:szCs w:val="17"/>
              </w:rPr>
              <w:t>24.51</w:t>
            </w:r>
          </w:p>
        </w:tc>
      </w:tr>
      <w:tr w:rsidR="00C244C2" w:rsidRPr="00981E15">
        <w:tblPrEx>
          <w:tblCellMar>
            <w:top w:w="0" w:type="dxa"/>
            <w:bottom w:w="0" w:type="dxa"/>
          </w:tblCellMar>
        </w:tblPrEx>
        <w:tc>
          <w:tcPr>
            <w:tcW w:w="1464" w:type="dxa"/>
            <w:tcBorders>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80" w:line="210" w:lineRule="exact"/>
              <w:ind w:right="40"/>
              <w:rPr>
                <w:kern w:val="0"/>
                <w:sz w:val="17"/>
              </w:rPr>
            </w:pPr>
            <w:r w:rsidRPr="00981E15">
              <w:rPr>
                <w:kern w:val="0"/>
                <w:sz w:val="17"/>
              </w:rPr>
              <w:t>2006</w:t>
            </w:r>
          </w:p>
        </w:tc>
        <w:tc>
          <w:tcPr>
            <w:tcW w:w="1464" w:type="dxa"/>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180,440</w:t>
            </w:r>
          </w:p>
        </w:tc>
        <w:tc>
          <w:tcPr>
            <w:tcW w:w="1464" w:type="dxa"/>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152,410</w:t>
            </w:r>
          </w:p>
        </w:tc>
        <w:tc>
          <w:tcPr>
            <w:tcW w:w="1464" w:type="dxa"/>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111,478</w:t>
            </w:r>
          </w:p>
        </w:tc>
        <w:tc>
          <w:tcPr>
            <w:tcW w:w="1464" w:type="dxa"/>
            <w:tcBorders>
              <w:bottom w:val="single" w:sz="12" w:space="0" w:color="auto"/>
            </w:tcBorders>
            <w:shd w:val="clear" w:color="auto" w:fill="auto"/>
            <w:vAlign w:val="bottom"/>
          </w:tcPr>
          <w:p w:rsidR="00C244C2" w:rsidRPr="00981E15" w:rsidRDefault="00C244C2" w:rsidP="00C244C2">
            <w:pPr>
              <w:tabs>
                <w:tab w:val="decimal" w:pos="1044"/>
              </w:tabs>
              <w:spacing w:before="40" w:after="80" w:line="210" w:lineRule="exact"/>
              <w:jc w:val="right"/>
              <w:rPr>
                <w:sz w:val="17"/>
                <w:szCs w:val="17"/>
              </w:rPr>
            </w:pPr>
            <w:r w:rsidRPr="00981E15">
              <w:rPr>
                <w:sz w:val="17"/>
                <w:szCs w:val="17"/>
              </w:rPr>
              <w:t>23.97</w:t>
            </w:r>
          </w:p>
        </w:tc>
      </w:tr>
    </w:tbl>
    <w:p w:rsidR="00C244C2" w:rsidRPr="00981E15" w:rsidRDefault="00C244C2" w:rsidP="00C244C2">
      <w:pPr>
        <w:pStyle w:val="SingleTxt"/>
        <w:spacing w:after="0" w:line="120" w:lineRule="exact"/>
        <w:rPr>
          <w:sz w:val="10"/>
        </w:rPr>
      </w:pPr>
    </w:p>
    <w:p w:rsidR="00C244C2" w:rsidRPr="00981E15" w:rsidRDefault="00C244C2" w:rsidP="001A5BEE">
      <w:pPr>
        <w:pStyle w:val="FootnoteText"/>
        <w:tabs>
          <w:tab w:val="clear" w:pos="418"/>
          <w:tab w:val="right" w:pos="1476"/>
          <w:tab w:val="left" w:pos="1548"/>
          <w:tab w:val="right" w:pos="1836"/>
          <w:tab w:val="left" w:pos="1908"/>
        </w:tabs>
        <w:ind w:left="1548" w:right="1267" w:hanging="288"/>
      </w:pPr>
      <w:r w:rsidRPr="00981E15">
        <w:rPr>
          <w:i/>
        </w:rPr>
        <w:t>Fuente:</w:t>
      </w:r>
      <w:r w:rsidRPr="00981E15">
        <w:t xml:space="preserve"> Proyecciones de Población, censo año 2002. INE, Comportamiento de la cobertura de atención del proceso 2004 y redefinición de estrategia CONALFA 2005-2007. Elaboración del Área de estadística de la Unidad de Informática y Estadística, CONALFA (18-01-2006).</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697D59">
      <w:pPr>
        <w:pStyle w:val="SingleTxt"/>
        <w:numPr>
          <w:ilvl w:val="0"/>
          <w:numId w:val="31"/>
        </w:numPr>
        <w:tabs>
          <w:tab w:val="clear" w:pos="475"/>
          <w:tab w:val="num" w:pos="1742"/>
        </w:tabs>
        <w:suppressAutoHyphens/>
        <w:ind w:left="1267"/>
        <w:rPr>
          <w:w w:val="104"/>
        </w:rPr>
      </w:pPr>
      <w:r w:rsidRPr="00981E15">
        <w:rPr>
          <w:w w:val="104"/>
        </w:rPr>
        <w:t>A partir del año 2004, se ha registrado un importante crecimiento en el índice de la participación de las mujeres en los procesos de alfabetización. Cabe señalar que además de la participación, se ha logrado la retención en los grupos y por lo mismo la promoción en mujeres ha crecido anualmente. Los datos comparativos de la población alfabetizada por género se presentan en la gráfica siguiente:</w:t>
      </w:r>
    </w:p>
    <w:p w:rsidR="005D453A" w:rsidRPr="005D453A" w:rsidRDefault="005D453A" w:rsidP="005D45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b w:val="0"/>
          <w:w w:val="104"/>
          <w:sz w:val="10"/>
        </w:rPr>
      </w:pPr>
    </w:p>
    <w:p w:rsidR="00C244C2" w:rsidRPr="005D453A"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w w:val="104"/>
        </w:rPr>
      </w:pPr>
      <w:r w:rsidRPr="005D453A">
        <w:rPr>
          <w:b w:val="0"/>
          <w:w w:val="104"/>
        </w:rPr>
        <w:tab/>
      </w:r>
      <w:r w:rsidRPr="005D453A">
        <w:rPr>
          <w:b w:val="0"/>
          <w:w w:val="104"/>
        </w:rPr>
        <w:tab/>
        <w:t>Gráfica 2</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9934AE" w:rsidP="009934AE">
      <w:pPr>
        <w:pStyle w:val="SingleTxt"/>
        <w:suppressAutoHyphens/>
        <w:spacing w:line="240" w:lineRule="auto"/>
        <w:rPr>
          <w:w w:val="104"/>
        </w:rPr>
      </w:pPr>
      <w:r w:rsidRPr="00981E15">
        <w:rPr>
          <w:noProof/>
          <w:w w:val="100"/>
        </w:rPr>
      </w:r>
      <w:r w:rsidRPr="00981E15">
        <w:pict>
          <v:group id="_x0000_s1452" editas="canvas" style="width:382.9pt;height:208.4pt;mso-position-horizontal-relative:char;mso-position-vertical-relative:line" coordsize="7658,4168">
            <o:lock v:ext="edit" aspectratio="t"/>
            <v:shape id="_x0000_s1453" type="#_x0000_t75" style="position:absolute;width:7658;height:4168" o:preferrelative="f">
              <v:fill o:detectmouseclick="t"/>
              <v:path o:extrusionok="t" o:connecttype="none"/>
              <o:lock v:ext="edit" text="t"/>
            </v:shape>
            <v:group id="_x0000_s1454" style="position:absolute;left:36;top:37;width:6401;height:4056" coordorigin="36,37" coordsize="6401,4056">
              <v:rect id="_x0000_s1455" style="position:absolute;left:36;top:37;width:6401;height:169" fillcolor="#cfc" stroked="f"/>
              <v:rect id="_x0000_s1456" style="position:absolute;left:36;top:206;width:6401;height:140" fillcolor="#ceffce" stroked="f"/>
              <v:rect id="_x0000_s1457" style="position:absolute;left:36;top:346;width:6401;height:96" fillcolor="#d0ffd0" stroked="f"/>
              <v:rect id="_x0000_s1458" style="position:absolute;left:36;top:442;width:6401;height:81" fillcolor="#d2ffd2" stroked="f"/>
              <v:rect id="_x0000_s1459" style="position:absolute;left:36;top:523;width:6401;height:59" fillcolor="#d4ffd4" stroked="f"/>
              <v:rect id="_x0000_s1460" style="position:absolute;left:36;top:582;width:6401;height:66" fillcolor="#d6ffd6" stroked="f"/>
              <v:rect id="_x0000_s1461" style="position:absolute;left:36;top:648;width:6401;height:59" fillcolor="#d8ffd8" stroked="f"/>
              <v:rect id="_x0000_s1462" style="position:absolute;left:36;top:707;width:6401;height:51" fillcolor="#daffda" stroked="f"/>
              <v:rect id="_x0000_s1463" style="position:absolute;left:36;top:758;width:6401;height:67" fillcolor="#dcffdc" stroked="f"/>
              <v:rect id="_x0000_s1464" style="position:absolute;left:36;top:825;width:6401;height:44" fillcolor="#deffde" stroked="f"/>
              <v:rect id="_x0000_s1465" style="position:absolute;left:36;top:869;width:6401;height:44" fillcolor="#e0ffe0" stroked="f"/>
              <v:rect id="_x0000_s1466" style="position:absolute;left:36;top:913;width:6401;height:51" fillcolor="#e2ffe2" stroked="f"/>
              <v:rect id="_x0000_s1467" style="position:absolute;left:36;top:964;width:6401;height:45" fillcolor="#e4ffe4" stroked="f"/>
              <v:rect id="_x0000_s1468" style="position:absolute;left:36;top:1009;width:6401;height:51" fillcolor="#e6ffe6" stroked="f"/>
              <v:rect id="_x0000_s1469" style="position:absolute;left:36;top:1060;width:6401;height:44" fillcolor="#e8ffe8" stroked="f"/>
              <v:rect id="_x0000_s1470" style="position:absolute;left:36;top:1104;width:6401;height:52" fillcolor="#eaffea" stroked="f"/>
              <v:rect id="_x0000_s1471" style="position:absolute;left:36;top:1156;width:6401;height:44" fillcolor="#ecffec" stroked="f"/>
              <v:rect id="_x0000_s1472" style="position:absolute;left:36;top:1200;width:6401;height:66" fillcolor="#efe" stroked="f"/>
              <v:rect id="_x0000_s1473" style="position:absolute;left:36;top:1266;width:6401;height:44" fillcolor="#f0fff0" stroked="f"/>
              <v:rect id="_x0000_s1474" style="position:absolute;left:36;top:1310;width:6401;height:67" fillcolor="#f2fff2" stroked="f"/>
              <v:rect id="_x0000_s1475" style="position:absolute;left:36;top:1377;width:6401;height:59" fillcolor="#f4fff4" stroked="f"/>
              <v:rect id="_x0000_s1476" style="position:absolute;left:36;top:1436;width:6401;height:81" fillcolor="#f6fff6" stroked="f"/>
              <v:rect id="_x0000_s1477" style="position:absolute;left:36;top:1517;width:6401;height:95" fillcolor="#f8fff8" stroked="f"/>
              <v:rect id="_x0000_s1478" style="position:absolute;left:36;top:1612;width:6401;height:96" fillcolor="#fafffa" stroked="f"/>
              <v:rect id="_x0000_s1479" style="position:absolute;left:36;top:1708;width:6401;height:162" fillcolor="#fcfffc" stroked="f"/>
              <v:rect id="_x0000_s1480" style="position:absolute;left:36;top:1870;width:6401;height:471" fillcolor="#fefffe" stroked="f"/>
              <v:rect id="_x0000_s1481" style="position:absolute;left:36;top:2341;width:6401;height:147" fillcolor="#fcfffc" stroked="f"/>
              <v:rect id="_x0000_s1482" style="position:absolute;left:36;top:2488;width:6401;height:74" fillcolor="#fafffa" stroked="f"/>
              <v:rect id="_x0000_s1483" style="position:absolute;left:36;top:2562;width:6401;height:96" fillcolor="#f8fff8" stroked="f"/>
              <v:rect id="_x0000_s1484" style="position:absolute;left:36;top:2658;width:6401;height:66" fillcolor="#f6fff6" stroked="f"/>
              <v:rect id="_x0000_s1485" style="position:absolute;left:36;top:2724;width:6401;height:59" fillcolor="#f4fff4" stroked="f"/>
              <v:rect id="_x0000_s1486" style="position:absolute;left:36;top:2783;width:6401;height:66" fillcolor="#f2fff2" stroked="f"/>
              <v:rect id="_x0000_s1487" style="position:absolute;left:36;top:2849;width:6401;height:52" fillcolor="#f0fff0" stroked="f"/>
              <v:rect id="_x0000_s1488" style="position:absolute;left:36;top:2901;width:6401;height:44" fillcolor="#efe" stroked="f"/>
              <v:rect id="_x0000_s1489" style="position:absolute;left:36;top:2945;width:6401;height:44" fillcolor="#ecffec" stroked="f"/>
              <v:rect id="_x0000_s1490" style="position:absolute;left:36;top:2989;width:6401;height:66" fillcolor="#eaffea" stroked="f"/>
              <v:rect id="_x0000_s1491" style="position:absolute;left:36;top:3055;width:6401;height:30" fillcolor="#e8ffe8" stroked="f"/>
              <v:rect id="_x0000_s1492" style="position:absolute;left:36;top:3085;width:6401;height:66" fillcolor="#e6ffe6" stroked="f"/>
              <v:rect id="_x0000_s1493" style="position:absolute;left:36;top:3151;width:6401;height:44" fillcolor="#e4ffe4" stroked="f"/>
              <v:rect id="_x0000_s1494" style="position:absolute;left:36;top:3195;width:6401;height:52" fillcolor="#e2ffe2" stroked="f"/>
              <v:rect id="_x0000_s1495" style="position:absolute;left:36;top:3247;width:6401;height:44" fillcolor="#e0ffe0" stroked="f"/>
              <v:rect id="_x0000_s1496" style="position:absolute;left:36;top:3291;width:6401;height:51" fillcolor="#deffde" stroked="f"/>
              <v:rect id="_x0000_s1497" style="position:absolute;left:36;top:3342;width:6401;height:45" fillcolor="#dcffdc" stroked="f"/>
              <v:rect id="_x0000_s1498" style="position:absolute;left:36;top:3387;width:6401;height:66" fillcolor="#daffda" stroked="f"/>
              <v:rect id="_x0000_s1499" style="position:absolute;left:36;top:3453;width:6401;height:59" fillcolor="#d8ffd8" stroked="f"/>
              <v:rect id="_x0000_s1500" style="position:absolute;left:36;top:3512;width:6401;height:66" fillcolor="#d6ffd6" stroked="f"/>
              <v:rect id="_x0000_s1501" style="position:absolute;left:36;top:3578;width:6401;height:81" fillcolor="#d4ffd4" stroked="f"/>
              <v:rect id="_x0000_s1502" style="position:absolute;left:36;top:3659;width:6401;height:81" fillcolor="#d2ffd2" stroked="f"/>
              <v:rect id="_x0000_s1503" style="position:absolute;left:36;top:3740;width:6401;height:110" fillcolor="#d0ffd0" stroked="f"/>
              <v:rect id="_x0000_s1504" style="position:absolute;left:36;top:3850;width:6401;height:170" fillcolor="#ceffce" stroked="f"/>
              <v:rect id="_x0000_s1505" style="position:absolute;left:36;top:4020;width:6401;height:73" fillcolor="#cfc" stroked="f"/>
              <v:rect id="_x0000_s1506" style="position:absolute;left:36;top:37;width:6401;height:4056" filled="f" strokeweight="0"/>
              <v:rect id="_x0000_s1507" style="position:absolute;left:519;top:3387;width:5442;height:7" fillcolor="#cdffcd" stroked="f"/>
              <v:rect id="_x0000_s1508" style="position:absolute;left:519;top:3394;width:5442;height:7" fillcolor="#ceffce" stroked="f"/>
              <v:rect id="_x0000_s1509" style="position:absolute;left:519;top:3401;width:5442;height:8" fillcolor="#cfffcf" stroked="f"/>
              <v:rect id="_x0000_s1510" style="position:absolute;left:519;top:3409;width:5442;height:7" fillcolor="#d1ffd1" stroked="f"/>
              <v:rect id="_x0000_s1511" style="position:absolute;left:519;top:3416;width:5442;height:7" fillcolor="#d2ffd2" stroked="f"/>
              <v:rect id="_x0000_s1512" style="position:absolute;left:519;top:3423;width:5442;height:8" fillcolor="#d4ffd4" stroked="f"/>
              <v:rect id="_x0000_s1513" style="position:absolute;left:519;top:3431;width:5442;height:7" fillcolor="#d8ffd8" stroked="f"/>
              <v:rect id="_x0000_s1514" style="position:absolute;left:519;top:3438;width:5442;height:7" fillcolor="#dbffdb" stroked="f"/>
              <v:rect id="_x0000_s1515" style="position:absolute;left:519;top:3445;width:5442;height:8" fillcolor="#dfffdf" stroked="f"/>
              <v:rect id="_x0000_s1516" style="position:absolute;left:519;top:3453;width:5442;height:7" fillcolor="#e2ffe2" stroked="f"/>
              <v:rect id="_x0000_s1517" style="position:absolute;left:519;top:3460;width:5442;height:8" fillcolor="#e6ffe6" stroked="f"/>
              <v:rect id="_x0000_s1518" style="position:absolute;left:519;top:3468;width:5442;height:7" fillcolor="#eaffea" stroked="f"/>
              <v:rect id="_x0000_s1519" style="position:absolute;left:519;top:3475;width:5442;height:7" fillcolor="#edffed" stroked="f"/>
              <v:rect id="_x0000_s1520" style="position:absolute;left:519;top:3482;width:5442;height:8" fillcolor="#f1fff1" stroked="f"/>
              <v:rect id="_x0000_s1521" style="position:absolute;left:519;top:3490;width:5442;height:7" fillcolor="#f4fff4" stroked="f"/>
              <v:rect id="_x0000_s1522" style="position:absolute;left:519;top:3497;width:5442;height:7" fillcolor="#f6fff6" stroked="f"/>
              <v:rect id="_x0000_s1523" style="position:absolute;left:519;top:3504;width:5442;height:8" fillcolor="#f9fff9" stroked="f"/>
              <v:rect id="_x0000_s1524" style="position:absolute;left:519;top:3512;width:5442;height:7" fillcolor="#fbfffb" stroked="f"/>
              <v:rect id="_x0000_s1525" style="position:absolute;left:519;top:3519;width:5442;height:7" fillcolor="#fcfffc" stroked="f"/>
              <v:rect id="_x0000_s1526" style="position:absolute;left:519;top:3526;width:5442;height:15" fillcolor="#fefffe" stroked="f"/>
              <v:rect id="_x0000_s1527" style="position:absolute;left:519;top:3541;width:5442;height:7" stroked="f"/>
              <v:rect id="_x0000_s1528" style="position:absolute;left:519;top:3548;width:5442;height:15" fillcolor="#fefffe" stroked="f"/>
              <v:rect id="_x0000_s1529" style="position:absolute;left:519;top:3563;width:5442;height:8" fillcolor="#fcfffc" stroked="f"/>
              <v:rect id="_x0000_s1530" style="position:absolute;left:519;top:3571;width:5442;height:7" fillcolor="#fbfffb" stroked="f"/>
              <v:rect id="_x0000_s1531" style="position:absolute;left:519;top:3578;width:5442;height:7" fillcolor="#f9fff9" stroked="f"/>
              <v:rect id="_x0000_s1532" style="position:absolute;left:519;top:3585;width:5442;height:8" fillcolor="#f6fff6" stroked="f"/>
              <v:rect id="_x0000_s1533" style="position:absolute;left:519;top:3593;width:5442;height:7" fillcolor="#f4fff4" stroked="f"/>
              <v:rect id="_x0000_s1534" style="position:absolute;left:519;top:3600;width:5442;height:7" fillcolor="#f1fff1" stroked="f"/>
              <v:rect id="_x0000_s1535" style="position:absolute;left:519;top:3607;width:5442;height:8" fillcolor="#efe" stroked="f"/>
              <v:rect id="_x0000_s1536" style="position:absolute;left:519;top:3615;width:5442;height:7" fillcolor="#eaffea" stroked="f"/>
              <v:rect id="_x0000_s1537" style="position:absolute;left:519;top:3622;width:5442;height:7" fillcolor="#e6ffe6" stroked="f"/>
              <v:rect id="_x0000_s1538" style="position:absolute;left:519;top:3629;width:5442;height:8" fillcolor="#e2ffe2" stroked="f"/>
              <v:rect id="_x0000_s1539" style="position:absolute;left:519;top:3637;width:5442;height:7" fillcolor="#dfffdf" stroked="f"/>
              <v:rect id="_x0000_s1540" style="position:absolute;left:519;top:3644;width:5442;height:8" fillcolor="#dbffdb" stroked="f"/>
              <v:rect id="_x0000_s1541" style="position:absolute;left:519;top:3652;width:5442;height:7" fillcolor="#d8ffd8" stroked="f"/>
              <v:rect id="_x0000_s1542" style="position:absolute;left:519;top:3659;width:5442;height:7" fillcolor="#d4ffd4" stroked="f"/>
              <v:rect id="_x0000_s1543" style="position:absolute;left:519;top:3666;width:5442;height:8" fillcolor="#d2ffd2" stroked="f"/>
              <v:rect id="_x0000_s1544" style="position:absolute;left:519;top:3674;width:5442;height:7" fillcolor="#d1ffd1" stroked="f"/>
              <v:rect id="_x0000_s1545" style="position:absolute;left:519;top:3681;width:5442;height:7" fillcolor="#cfffcf" stroked="f"/>
              <v:rect id="_x0000_s1546" style="position:absolute;left:519;top:3688;width:5442;height:8" fillcolor="#ceffce" stroked="f"/>
              <v:rect id="_x0000_s1547" style="position:absolute;left:519;top:3696;width:5442;height:14" fillcolor="#cdffcd" stroked="f"/>
              <v:shape id="_x0000_s1548" style="position:absolute;left:519;top:3387;width:5435;height:316" coordsize="5435,316" path="m,316l411,,5435,,5024,316,,316xe" filled="f" stroked="f">
                <v:path arrowok="t"/>
              </v:shape>
              <v:rect id="_x0000_s1549" style="position:absolute;left:519;top:670;width:418;height:125" fillcolor="#cfc" stroked="f"/>
              <v:rect id="_x0000_s1550" style="position:absolute;left:519;top:795;width:418;height:103" fillcolor="#ceffce" stroked="f"/>
              <v:rect id="_x0000_s1551" style="position:absolute;left:519;top:898;width:418;height:74" fillcolor="#d0ffd0" stroked="f"/>
              <v:rect id="_x0000_s1552" style="position:absolute;left:519;top:972;width:418;height:59" fillcolor="#d2ffd2" stroked="f"/>
              <v:rect id="_x0000_s1553" style="position:absolute;left:519;top:1031;width:418;height:51" fillcolor="#d4ffd4" stroked="f"/>
              <v:rect id="_x0000_s1554" style="position:absolute;left:519;top:1082;width:418;height:44" fillcolor="#d6ffd6" stroked="f"/>
              <v:rect id="_x0000_s1555" style="position:absolute;left:519;top:1126;width:418;height:45" fillcolor="#d8ffd8" stroked="f"/>
              <v:rect id="_x0000_s1556" style="position:absolute;left:519;top:1171;width:418;height:36" fillcolor="#daffda" stroked="f"/>
              <v:rect id="_x0000_s1557" style="position:absolute;left:519;top:1207;width:418;height:52" fillcolor="#dcffdc" stroked="f"/>
              <v:rect id="_x0000_s1558" style="position:absolute;left:519;top:1259;width:418;height:29" fillcolor="#deffde" stroked="f"/>
              <v:rect id="_x0000_s1559" style="position:absolute;left:519;top:1288;width:418;height:37" fillcolor="#e0ffe0" stroked="f"/>
              <v:rect id="_x0000_s1560" style="position:absolute;left:519;top:1325;width:418;height:37" fillcolor="#e2ffe2" stroked="f"/>
              <v:rect id="_x0000_s1561" style="position:absolute;left:519;top:1362;width:418;height:37" fillcolor="#e4ffe4" stroked="f"/>
              <v:rect id="_x0000_s1562" style="position:absolute;left:519;top:1399;width:418;height:37" fillcolor="#e6ffe6" stroked="f"/>
              <v:rect id="_x0000_s1563" style="position:absolute;left:519;top:1436;width:418;height:36" fillcolor="#e8ffe8" stroked="f"/>
              <v:rect id="_x0000_s1564" style="position:absolute;left:519;top:1472;width:418;height:30" fillcolor="#eaffea" stroked="f"/>
              <v:rect id="_x0000_s1565" style="position:absolute;left:519;top:1502;width:418;height:37" fillcolor="#ecffec" stroked="f"/>
              <v:rect id="_x0000_s1566" style="position:absolute;left:519;top:1539;width:418;height:51" fillcolor="#efe" stroked="f"/>
              <v:rect id="_x0000_s1567" style="position:absolute;left:519;top:1590;width:418;height:37" fillcolor="#f0fff0" stroked="f"/>
              <v:rect id="_x0000_s1568" style="position:absolute;left:519;top:1627;width:418;height:44" fillcolor="#f2fff2" stroked="f"/>
              <v:rect id="_x0000_s1569" style="position:absolute;left:519;top:1671;width:418;height:44" fillcolor="#f4fff4" stroked="f"/>
              <v:rect id="_x0000_s1570" style="position:absolute;left:519;top:1715;width:418;height:59" fillcolor="#f6fff6" stroked="f"/>
              <v:rect id="_x0000_s1571" style="position:absolute;left:519;top:1774;width:418;height:74" fillcolor="#f8fff8" stroked="f"/>
              <v:rect id="_x0000_s1572" style="position:absolute;left:519;top:1848;width:418;height:74" fillcolor="#fafffa" stroked="f"/>
              <v:rect id="_x0000_s1573" style="position:absolute;left:519;top:1922;width:418;height:117" fillcolor="#fcfffc" stroked="f"/>
              <v:rect id="_x0000_s1574" style="position:absolute;left:519;top:2039;width:418;height:354" fillcolor="#fefffe" stroked="f"/>
              <v:rect id="_x0000_s1575" style="position:absolute;left:519;top:2393;width:418;height:110" fillcolor="#fcfffc" stroked="f"/>
              <v:rect id="_x0000_s1576" style="position:absolute;left:519;top:2503;width:418;height:59" fillcolor="#fafffa" stroked="f"/>
              <v:rect id="_x0000_s1577" style="position:absolute;left:519;top:2562;width:418;height:66" fillcolor="#f8fff8" stroked="f"/>
              <v:rect id="_x0000_s1578" style="position:absolute;left:519;top:2628;width:418;height:52" fillcolor="#f6fff6" stroked="f"/>
              <v:rect id="_x0000_s1579" style="position:absolute;left:519;top:2680;width:418;height:44" fillcolor="#f4fff4" stroked="f"/>
              <v:rect id="_x0000_s1580" style="position:absolute;left:519;top:2724;width:418;height:51" fillcolor="#f2fff2" stroked="f"/>
              <v:rect id="_x0000_s1581" style="position:absolute;left:519;top:2775;width:418;height:37" fillcolor="#f0fff0" stroked="f"/>
              <v:rect id="_x0000_s1582" style="position:absolute;left:519;top:2812;width:418;height:30" fillcolor="#efe" stroked="f"/>
              <v:rect id="_x0000_s1583" style="position:absolute;left:519;top:2842;width:418;height:37" fillcolor="#ecffec" stroked="f"/>
              <v:rect id="_x0000_s1584" style="position:absolute;left:519;top:2879;width:418;height:51" fillcolor="#eaffea" stroked="f"/>
              <v:rect id="_x0000_s1585" style="position:absolute;left:519;top:2930;width:418;height:22" fillcolor="#e8ffe8" stroked="f"/>
              <v:rect id="_x0000_s1586" style="position:absolute;left:519;top:2952;width:418;height:44" fillcolor="#e6ffe6" stroked="f"/>
              <v:rect id="_x0000_s1587" style="position:absolute;left:519;top:2996;width:418;height:37" fillcolor="#e4ffe4" stroked="f"/>
              <v:rect id="_x0000_s1588" style="position:absolute;left:519;top:3033;width:418;height:37" fillcolor="#e2ffe2" stroked="f"/>
              <v:rect id="_x0000_s1589" style="position:absolute;left:519;top:3070;width:418;height:37" fillcolor="#e0ffe0" stroked="f"/>
              <v:rect id="_x0000_s1590" style="position:absolute;left:519;top:3107;width:418;height:37" fillcolor="#deffde" stroked="f"/>
              <v:rect id="_x0000_s1591" style="position:absolute;left:519;top:3144;width:418;height:29" fillcolor="#dcffdc" stroked="f"/>
              <v:rect id="_x0000_s1592" style="position:absolute;left:519;top:3173;width:418;height:52" fillcolor="#daffda" stroked="f"/>
              <v:rect id="_x0000_s1593" style="position:absolute;left:519;top:3225;width:418;height:44" fillcolor="#d8ffd8" stroked="f"/>
              <v:rect id="_x0000_s1594" style="position:absolute;left:519;top:3269;width:418;height:51" fillcolor="#d6ffd6" stroked="f"/>
              <v:rect id="_x0000_s1595" style="position:absolute;left:519;top:3320;width:418;height:59" fillcolor="#d4ffd4" stroked="f"/>
              <v:rect id="_x0000_s1596" style="position:absolute;left:519;top:3379;width:418;height:59" fillcolor="#d2ffd2" stroked="f"/>
              <v:rect id="_x0000_s1597" style="position:absolute;left:519;top:3438;width:418;height:81" fillcolor="#d0ffd0" stroked="f"/>
              <v:rect id="_x0000_s1598" style="position:absolute;left:519;top:3519;width:418;height:133" fillcolor="#ceffce" stroked="f"/>
              <v:rect id="_x0000_s1599" style="position:absolute;left:519;top:3652;width:418;height:58" fillcolor="#cfc" stroked="f"/>
              <v:shape id="_x0000_s1600" style="position:absolute;left:519;top:670;width:411;height:3033" coordsize="411,3033" path="m,3033l,317,411,r,2717l,3033xe" filled="f" stroked="f">
                <v:path arrowok="t"/>
              </v:shape>
              <v:rect id="_x0000_s1601" style="position:absolute;left:930;top:670;width:5024;height:110" fillcolor="#cfc" stroked="f"/>
              <v:rect id="_x0000_s1602" style="position:absolute;left:930;top:780;width:5024;height:96" fillcolor="#ceffce" stroked="f"/>
              <v:rect id="_x0000_s1603" style="position:absolute;left:930;top:876;width:5024;height:66" fillcolor="#d0ffd0" stroked="f"/>
              <v:rect id="_x0000_s1604" style="position:absolute;left:930;top:942;width:5024;height:52" fillcolor="#d2ffd2" stroked="f"/>
              <v:rect id="_x0000_s1605" style="position:absolute;left:930;top:994;width:5024;height:44" fillcolor="#d4ffd4" stroked="f"/>
              <v:rect id="_x0000_s1606" style="position:absolute;left:930;top:1038;width:5024;height:37" fillcolor="#d6ffd6" stroked="f"/>
              <v:rect id="_x0000_s1607" style="position:absolute;left:930;top:1075;width:5024;height:44" fillcolor="#d8ffd8" stroked="f"/>
              <v:rect id="_x0000_s1608" style="position:absolute;left:930;top:1119;width:5024;height:37" fillcolor="#daffda" stroked="f"/>
              <v:rect id="_x0000_s1609" style="position:absolute;left:930;top:1156;width:5024;height:37" fillcolor="#dcffdc" stroked="f"/>
              <v:rect id="_x0000_s1610" style="position:absolute;left:930;top:1193;width:5024;height:36" fillcolor="#deffde" stroked="f"/>
              <v:rect id="_x0000_s1611" style="position:absolute;left:930;top:1229;width:5024;height:30" fillcolor="#e0ffe0" stroked="f"/>
              <v:rect id="_x0000_s1612" style="position:absolute;left:930;top:1259;width:5024;height:29" fillcolor="#e2ffe2" stroked="f"/>
              <v:rect id="_x0000_s1613" style="position:absolute;left:930;top:1288;width:5024;height:37" fillcolor="#e4ffe4" stroked="f"/>
              <v:rect id="_x0000_s1614" style="position:absolute;left:930;top:1325;width:5024;height:30" fillcolor="#e6ffe6" stroked="f"/>
              <v:rect id="_x0000_s1615" style="position:absolute;left:930;top:1355;width:5024;height:29" fillcolor="#e8ffe8" stroked="f"/>
              <v:rect id="_x0000_s1616" style="position:absolute;left:930;top:1384;width:5024;height:37" fillcolor="#eaffea" stroked="f"/>
              <v:rect id="_x0000_s1617" style="position:absolute;left:930;top:1421;width:5024;height:29" fillcolor="#ecffec" stroked="f"/>
              <v:rect id="_x0000_s1618" style="position:absolute;left:930;top:1450;width:5024;height:45" fillcolor="#efe" stroked="f"/>
              <v:rect id="_x0000_s1619" style="position:absolute;left:930;top:1495;width:5024;height:29" fillcolor="#f0fff0" stroked="f"/>
              <v:rect id="_x0000_s1620" style="position:absolute;left:930;top:1524;width:5024;height:44" fillcolor="#f2fff2" stroked="f"/>
              <v:rect id="_x0000_s1621" style="position:absolute;left:930;top:1568;width:5024;height:44" fillcolor="#f4fff4" stroked="f"/>
              <v:rect id="_x0000_s1622" style="position:absolute;left:930;top:1612;width:5024;height:52" fillcolor="#f6fff6" stroked="f"/>
              <v:rect id="_x0000_s1623" style="position:absolute;left:930;top:1664;width:5024;height:59" fillcolor="#f8fff8" stroked="f"/>
              <v:rect id="_x0000_s1624" style="position:absolute;left:930;top:1723;width:5024;height:66" fillcolor="#fafffa" stroked="f"/>
              <v:rect id="_x0000_s1625" style="position:absolute;left:930;top:1789;width:5024;height:103" fillcolor="#fcfffc" stroked="f"/>
              <v:rect id="_x0000_s1626" style="position:absolute;left:930;top:1892;width:5024;height:324" fillcolor="#fefffe" stroked="f"/>
              <v:rect id="_x0000_s1627" style="position:absolute;left:930;top:2216;width:5024;height:96" fillcolor="#fcfffc" stroked="f"/>
              <v:rect id="_x0000_s1628" style="position:absolute;left:930;top:2312;width:5024;height:51" fillcolor="#fafffa" stroked="f"/>
              <v:rect id="_x0000_s1629" style="position:absolute;left:930;top:2363;width:5024;height:66" fillcolor="#f8fff8" stroked="f"/>
              <v:rect id="_x0000_s1630" style="position:absolute;left:930;top:2429;width:5024;height:37" fillcolor="#f6fff6" stroked="f"/>
              <v:rect id="_x0000_s1631" style="position:absolute;left:930;top:2466;width:5024;height:44" fillcolor="#f4fff4" stroked="f"/>
              <v:rect id="_x0000_s1632" style="position:absolute;left:930;top:2510;width:5024;height:45" fillcolor="#f2fff2" stroked="f"/>
              <v:rect id="_x0000_s1633" style="position:absolute;left:930;top:2555;width:5024;height:29" fillcolor="#f0fff0" stroked="f"/>
              <v:rect id="_x0000_s1634" style="position:absolute;left:930;top:2584;width:5024;height:37" fillcolor="#efe" stroked="f"/>
              <v:rect id="_x0000_s1635" style="position:absolute;left:930;top:2621;width:5024;height:29" fillcolor="#ecffec" stroked="f"/>
              <v:rect id="_x0000_s1636" style="position:absolute;left:930;top:2650;width:5024;height:45" fillcolor="#eaffea" stroked="f"/>
              <v:rect id="_x0000_s1637" style="position:absolute;left:930;top:2695;width:5024;height:14" fillcolor="#e8ffe8" stroked="f"/>
              <v:rect id="_x0000_s1638" style="position:absolute;left:930;top:2709;width:5024;height:44" fillcolor="#e6ffe6" stroked="f"/>
              <v:rect id="_x0000_s1639" style="position:absolute;left:930;top:2753;width:5024;height:37" fillcolor="#e4ffe4" stroked="f"/>
              <v:rect id="_x0000_s1640" style="position:absolute;left:930;top:2790;width:5024;height:30" fillcolor="#e2ffe2" stroked="f"/>
              <v:rect id="_x0000_s1641" style="position:absolute;left:930;top:2820;width:5024;height:29" fillcolor="#e0ffe0" stroked="f"/>
              <v:rect id="_x0000_s1642" style="position:absolute;left:930;top:2849;width:5024;height:37" fillcolor="#deffde" stroked="f"/>
              <v:rect id="_x0000_s1643" style="position:absolute;left:930;top:2886;width:5024;height:29" fillcolor="#dcffdc" stroked="f"/>
              <v:rect id="_x0000_s1644" style="position:absolute;left:930;top:2915;width:5024;height:45" fillcolor="#daffda" stroked="f"/>
              <v:rect id="_x0000_s1645" style="position:absolute;left:930;top:2960;width:5024;height:36" fillcolor="#d8ffd8" stroked="f"/>
              <v:rect id="_x0000_s1646" style="position:absolute;left:930;top:2996;width:5024;height:45" fillcolor="#d6ffd6" stroked="f"/>
              <v:rect id="_x0000_s1647" style="position:absolute;left:930;top:3041;width:5024;height:51" fillcolor="#d4ffd4" stroked="f"/>
              <v:rect id="_x0000_s1648" style="position:absolute;left:930;top:3092;width:5024;height:59" fillcolor="#d2ffd2" stroked="f"/>
              <v:rect id="_x0000_s1649" style="position:absolute;left:930;top:3151;width:5024;height:74" fillcolor="#d0ffd0" stroked="f"/>
              <v:rect id="_x0000_s1650" style="position:absolute;left:930;top:3225;width:5024;height:117" fillcolor="#ceffce" stroked="f"/>
              <v:rect id="_x0000_s1651" style="position:absolute;left:930;top:3342;width:5024;height:45" fillcolor="#cfc" stroked="f"/>
              <v:rect id="_x0000_s1652" style="position:absolute;left:930;top:670;width:5024;height:2717" filled="f" stroked="f"/>
              <v:shape id="_x0000_s1653" style="position:absolute;left:519;top:3387;width:5435;height:316" coordsize="754,43" path="m,43l57,,754,e" filled="f" strokecolor="white" strokeweight="0">
                <v:path arrowok="t"/>
              </v:shape>
              <v:shape id="_x0000_s1654" style="position:absolute;left:519;top:3085;width:5435;height:316" coordsize="754,43" path="m,43l57,,754,e" filled="f" strokecolor="white" strokeweight="0">
                <v:path arrowok="t"/>
              </v:shape>
            </v:group>
            <v:shape id="_x0000_s1655" style="position:absolute;left:519;top:2783;width:5435;height:316" coordsize="754,43" path="m,43l57,,754,e" filled="f" strokecolor="white" strokeweight="0">
              <v:path arrowok="t"/>
            </v:shape>
            <v:shape id="_x0000_s1656" style="position:absolute;left:519;top:2481;width:5435;height:317" coordsize="754,43" path="m,43l57,,754,e" filled="f" strokecolor="white" strokeweight="0">
              <v:path arrowok="t"/>
            </v:shape>
            <v:shape id="_x0000_s1657" style="position:absolute;left:519;top:2179;width:5435;height:317" coordsize="754,43" path="m,43l57,,754,e" filled="f" strokecolor="white" strokeweight="0">
              <v:path arrowok="t"/>
            </v:shape>
            <v:shape id="_x0000_s1658" style="position:absolute;left:519;top:1877;width:5435;height:317" coordsize="754,43" path="m,43l57,,754,e" filled="f" strokecolor="white" strokeweight="0">
              <v:path arrowok="t"/>
            </v:shape>
            <v:shape id="_x0000_s1659" style="position:absolute;left:519;top:1575;width:5435;height:317" coordsize="754,43" path="m,43l57,,754,e" filled="f" strokecolor="white" strokeweight="0">
              <v:path arrowok="t"/>
            </v:shape>
            <v:shape id="_x0000_s1660" style="position:absolute;left:519;top:1274;width:5435;height:316" coordsize="754,43" path="m,43l57,,754,e" filled="f" strokecolor="white" strokeweight="0">
              <v:path arrowok="t"/>
            </v:shape>
            <v:shape id="_x0000_s1661" style="position:absolute;left:519;top:972;width:5435;height:316" coordsize="754,43" path="m,43l57,,754,e" filled="f" strokecolor="white" strokeweight="0">
              <v:path arrowok="t"/>
            </v:shape>
            <v:shape id="_x0000_s1662" style="position:absolute;left:519;top:670;width:5435;height:317" coordsize="754,43" path="m,43l57,,754,e" filled="f" strokecolor="white" strokeweight="0">
              <v:path arrowok="t"/>
            </v:shape>
            <v:shape id="_x0000_s1663" style="position:absolute;left:519;top:3387;width:5435;height:316" coordsize="5435,316" path="m5435,l5024,316,,316,411,,5435,xe" filled="f" strokecolor="gray" strokeweight=".35pt">
              <v:path arrowok="t"/>
            </v:shape>
            <v:shape id="_x0000_s1664" style="position:absolute;left:519;top:670;width:411;height:3033" coordsize="411,3033" path="m,3033l,317,411,r,2717l,3033xe" filled="f" strokecolor="gray" strokeweight=".35pt">
              <v:path arrowok="t"/>
            </v:shape>
            <v:rect id="_x0000_s1665" style="position:absolute;left:930;top:670;width:5024;height:2717" filled="f" strokecolor="gray" strokeweight=".35pt"/>
            <v:shape id="_x0000_s1666" type="#_x0000_t75" style="position:absolute;left:1485;top:2187;width:166;height:1428">
              <v:imagedata r:id="rId21" o:title=""/>
            </v:shape>
            <v:shape id="_x0000_s1667" style="position:absolute;left:1485;top:2187;width:158;height:1420" coordsize="158,1420" path="m,1420l,125,158,r,1295l,1420xe" filled="f" strokeweight=".35pt">
              <v:path arrowok="t"/>
            </v:shape>
            <v:shape id="_x0000_s1668" type="#_x0000_t75" style="position:absolute;left:1002;top:2312;width:483;height:1295">
              <v:imagedata r:id="rId22" o:title=""/>
            </v:shape>
            <v:rect id="_x0000_s1669" style="position:absolute;left:1002;top:2312;width:483;height:1295" filled="f" strokeweight=".35pt"/>
            <v:shape id="_x0000_s1670" type="#_x0000_t75" style="position:absolute;left:1002;top:2187;width:649;height:132">
              <v:imagedata r:id="rId23" o:title=""/>
            </v:shape>
            <v:shape id="_x0000_s1671" style="position:absolute;left:1002;top:2187;width:641;height:125" coordsize="641,125" path="m483,125l641,,166,,,125r483,xe" filled="f" strokeweight=".35pt">
              <v:path arrowok="t"/>
            </v:shape>
            <v:shape id="_x0000_s1672" type="#_x0000_t75" style="position:absolute;left:1961;top:1325;width:173;height:2290">
              <v:imagedata r:id="rId24" o:title=""/>
            </v:shape>
            <v:shape id="_x0000_s1673" style="position:absolute;left:1961;top:1325;width:165;height:2282" coordsize="165,2282" path="m,2282l,125,165,r,2157l,2282xe" filled="f" strokeweight=".35pt">
              <v:path arrowok="t"/>
            </v:shape>
            <v:shape id="_x0000_s1674" type="#_x0000_t75" style="position:absolute;left:1485;top:1450;width:476;height:2157">
              <v:imagedata r:id="rId25" o:title=""/>
            </v:shape>
            <v:rect id="_x0000_s1675" style="position:absolute;left:1485;top:1450;width:476;height:2157" filled="f" strokeweight=".35pt"/>
            <v:shape id="_x0000_s1676" type="#_x0000_t75" style="position:absolute;left:1485;top:1325;width:649;height:133">
              <v:imagedata r:id="rId26" o:title=""/>
            </v:shape>
            <v:shape id="_x0000_s1677" style="position:absolute;left:1485;top:1325;width:641;height:125" coordsize="641,125" path="m476,125l641,,158,,,125r476,xe" filled="f" strokeweight=".35pt">
              <v:path arrowok="t"/>
            </v:shape>
            <v:rect id="_x0000_s1678" style="position:absolute;left:1079;top:2844;width:402;height:480;rotation:315;mso-wrap-style:none" filled="f" stroked="f">
              <v:textbox style="mso-next-textbox:#_x0000_s1678;mso-fit-shape-to-text:t" inset="0,0,0,0">
                <w:txbxContent>
                  <w:p w:rsidR="00FF2C64" w:rsidRDefault="00FF2C64" w:rsidP="009934AE">
                    <w:r>
                      <w:rPr>
                        <w:rFonts w:ascii="Futura Lt BT" w:hAnsi="Futura Lt BT" w:cs="Futura Lt BT"/>
                        <w:color w:val="000000"/>
                        <w:sz w:val="12"/>
                        <w:szCs w:val="12"/>
                      </w:rPr>
                      <w:t>42,948</w:t>
                    </w:r>
                  </w:p>
                </w:txbxContent>
              </v:textbox>
            </v:rect>
            <v:rect id="_x0000_s1679" style="position:absolute;left:1555;top:2454;width:402;height:480;rotation:315;mso-wrap-style:none" filled="f" stroked="f">
              <v:textbox style="mso-next-textbox:#_x0000_s1679;mso-fit-shape-to-text:t" inset="0,0,0,0">
                <w:txbxContent>
                  <w:p w:rsidR="00FF2C64" w:rsidRDefault="00FF2C64" w:rsidP="009934AE">
                    <w:r>
                      <w:rPr>
                        <w:rFonts w:ascii="Futura Lt BT" w:hAnsi="Futura Lt BT" w:cs="Futura Lt BT"/>
                        <w:color w:val="000000"/>
                        <w:sz w:val="12"/>
                        <w:szCs w:val="12"/>
                      </w:rPr>
                      <w:t>71,403</w:t>
                    </w:r>
                  </w:p>
                </w:txbxContent>
              </v:textbox>
            </v:rect>
            <v:shape id="_x0000_s1680" type="#_x0000_t75" style="position:absolute;left:3157;top:2209;width:166;height:1406">
              <v:imagedata r:id="rId27" o:title=""/>
            </v:shape>
            <v:shape id="_x0000_s1681" style="position:absolute;left:3157;top:2209;width:159;height:1398" coordsize="159,1398" path="m,1398l,125,159,r,1273l,1398xe" filled="f" strokeweight=".35pt">
              <v:path arrowok="t"/>
            </v:shape>
            <v:shape id="_x0000_s1682" type="#_x0000_t75" style="position:absolute;left:2674;top:2334;width:483;height:1273">
              <v:imagedata r:id="rId28" o:title=""/>
            </v:shape>
            <v:rect id="_x0000_s1683" style="position:absolute;left:2674;top:2334;width:483;height:1273" filled="f" strokeweight=".35pt"/>
            <v:shape id="_x0000_s1684" type="#_x0000_t75" style="position:absolute;left:2674;top:2209;width:649;height:132">
              <v:imagedata r:id="rId23" o:title=""/>
            </v:shape>
            <v:shape id="_x0000_s1685" style="position:absolute;left:2674;top:2209;width:642;height:125" coordsize="642,125" path="m483,125l642,,166,,,125r483,xe" filled="f" strokeweight=".35pt">
              <v:path arrowok="t"/>
            </v:shape>
            <v:shape id="_x0000_s1686" type="#_x0000_t75" style="position:absolute;left:3633;top:1274;width:173;height:2341">
              <v:imagedata r:id="rId29" o:title=""/>
            </v:shape>
            <v:shape id="_x0000_s1687" style="position:absolute;left:3633;top:1274;width:166;height:2333" coordsize="166,2333" path="m,2333l,125,166,r,2208l,2333xe" filled="f" strokeweight=".35pt">
              <v:path arrowok="t"/>
            </v:shape>
            <v:shape id="_x0000_s1688" type="#_x0000_t75" style="position:absolute;left:3157;top:1399;width:476;height:2208">
              <v:imagedata r:id="rId30" o:title=""/>
            </v:shape>
            <v:rect id="_x0000_s1689" style="position:absolute;left:3157;top:1399;width:476;height:2208" filled="f" strokeweight=".35pt"/>
            <v:shape id="_x0000_s1690" type="#_x0000_t75" style="position:absolute;left:3157;top:1274;width:649;height:132">
              <v:imagedata r:id="rId26" o:title=""/>
            </v:shape>
            <v:shape id="_x0000_s1691" style="position:absolute;left:3157;top:1274;width:642;height:125" coordsize="642,125" path="m476,125l642,,159,,,125r476,xe" filled="f" strokeweight=".35pt">
              <v:path arrowok="t"/>
            </v:shape>
            <v:rect id="_x0000_s1692" style="position:absolute;left:2737;top:2874;width:402;height:480;rotation:315;mso-wrap-style:none" filled="f" stroked="f">
              <v:textbox style="mso-next-textbox:#_x0000_s1692;mso-fit-shape-to-text:t" inset="0,0,0,0">
                <w:txbxContent>
                  <w:p w:rsidR="00FF2C64" w:rsidRDefault="00FF2C64" w:rsidP="009934AE">
                    <w:r>
                      <w:rPr>
                        <w:rFonts w:ascii="Futura Lt BT" w:hAnsi="Futura Lt BT" w:cs="Futura Lt BT"/>
                        <w:color w:val="000000"/>
                        <w:sz w:val="12"/>
                        <w:szCs w:val="12"/>
                      </w:rPr>
                      <w:t>42,197</w:t>
                    </w:r>
                  </w:p>
                </w:txbxContent>
              </v:textbox>
            </v:rect>
            <v:rect id="_x0000_s1693" style="position:absolute;left:3213;top:2447;width:402;height:480;rotation:315;mso-wrap-style:none" filled="f" stroked="f">
              <v:textbox style="mso-next-textbox:#_x0000_s1693;mso-fit-shape-to-text:t" inset="0,0,0,0">
                <w:txbxContent>
                  <w:p w:rsidR="00FF2C64" w:rsidRDefault="00FF2C64" w:rsidP="009934AE">
                    <w:r>
                      <w:rPr>
                        <w:rFonts w:ascii="Futura Lt BT" w:hAnsi="Futura Lt BT" w:cs="Futura Lt BT"/>
                        <w:color w:val="000000"/>
                        <w:sz w:val="12"/>
                        <w:szCs w:val="12"/>
                      </w:rPr>
                      <w:t>73,131</w:t>
                    </w:r>
                  </w:p>
                </w:txbxContent>
              </v:textbox>
            </v:rect>
            <v:shape id="_x0000_s1694" type="#_x0000_t75" style="position:absolute;left:4829;top:2091;width:166;height:1524">
              <v:imagedata r:id="rId31" o:title=""/>
            </v:shape>
            <v:shape id="_x0000_s1695" style="position:absolute;left:4829;top:2091;width:159;height:1516" coordsize="159,1516" path="m,1516l,125,159,r,1391l,1516xe" filled="f" strokeweight=".35pt">
              <v:path arrowok="t"/>
            </v:shape>
            <v:shape id="_x0000_s1696" type="#_x0000_t75" style="position:absolute;left:4346;top:2216;width:483;height:1391">
              <v:imagedata r:id="rId32" o:title=""/>
            </v:shape>
            <v:rect id="_x0000_s1697" style="position:absolute;left:4346;top:2216;width:483;height:1391" filled="f" strokeweight=".35pt"/>
            <v:shape id="_x0000_s1698" type="#_x0000_t75" style="position:absolute;left:4346;top:2091;width:649;height:132">
              <v:imagedata r:id="rId23" o:title=""/>
            </v:shape>
            <v:shape id="_x0000_s1699" style="position:absolute;left:4346;top:2091;width:642;height:125" coordsize="642,125" path="m483,125l642,,166,,,125r483,xe" filled="f" strokeweight=".35pt">
              <v:path arrowok="t"/>
            </v:shape>
            <v:shape id="_x0000_s1700" type="#_x0000_t75" style="position:absolute;left:5305;top:891;width:173;height:2724">
              <v:imagedata r:id="rId33" o:title=""/>
            </v:shape>
            <v:shape id="_x0000_s1701" style="position:absolute;left:5305;top:891;width:166;height:2716" coordsize="166,2716" path="m,2716l,125,166,r,2591l,2716xe" filled="f" strokeweight=".35pt">
              <v:path arrowok="t"/>
            </v:shape>
            <v:shape id="_x0000_s1702" type="#_x0000_t75" style="position:absolute;left:4829;top:1016;width:476;height:2591">
              <v:imagedata r:id="rId34" o:title=""/>
            </v:shape>
            <v:rect id="_x0000_s1703" style="position:absolute;left:4829;top:1016;width:476;height:2591" filled="f" strokeweight=".35pt"/>
            <v:shape id="_x0000_s1704" type="#_x0000_t75" style="position:absolute;left:4829;top:891;width:649;height:132">
              <v:imagedata r:id="rId26" o:title=""/>
            </v:shape>
            <v:shape id="_x0000_s1705" style="position:absolute;left:4829;top:891;width:642;height:125" coordsize="642,125" path="m476,125l642,,159,,,125r476,xe" filled="f" strokeweight=".35pt">
              <v:path arrowok="t"/>
            </v:shape>
            <v:rect id="_x0000_s1706" style="position:absolute;left:4438;top:2859;width:402;height:480;rotation:315;mso-wrap-style:none" filled="f" stroked="f">
              <v:textbox style="mso-next-textbox:#_x0000_s1706;mso-fit-shape-to-text:t" inset="0,0,0,0">
                <w:txbxContent>
                  <w:p w:rsidR="00FF2C64" w:rsidRDefault="00FF2C64" w:rsidP="009934AE">
                    <w:r>
                      <w:rPr>
                        <w:rFonts w:ascii="Futura Lt BT" w:hAnsi="Futura Lt BT" w:cs="Futura Lt BT"/>
                        <w:color w:val="000000"/>
                        <w:sz w:val="12"/>
                        <w:szCs w:val="12"/>
                      </w:rPr>
                      <w:t>46,150</w:t>
                    </w:r>
                  </w:p>
                </w:txbxContent>
              </v:textbox>
            </v:rect>
            <v:rect id="_x0000_s1707" style="position:absolute;left:4899;top:2218;width:402;height:480;rotation:315;mso-wrap-style:none" filled="f" stroked="f">
              <v:textbox style="mso-next-textbox:#_x0000_s1707;mso-fit-shape-to-text:t" inset="0,0,0,0">
                <w:txbxContent>
                  <w:p w:rsidR="00FF2C64" w:rsidRDefault="00FF2C64" w:rsidP="009934AE">
                    <w:r>
                      <w:rPr>
                        <w:rFonts w:ascii="Futura Lt BT" w:hAnsi="Futura Lt BT" w:cs="Futura Lt BT"/>
                        <w:color w:val="000000"/>
                        <w:sz w:val="12"/>
                        <w:szCs w:val="12"/>
                      </w:rPr>
                      <w:t>85,774</w:t>
                    </w:r>
                  </w:p>
                </w:txbxContent>
              </v:textbox>
            </v:rect>
            <v:line id="_x0000_s1708" style="position:absolute;flip:y" from="519,987" to="519,3703" strokeweight="0"/>
            <v:line id="_x0000_s1709" style="position:absolute;flip:x" from="476,3703" to="519,3703" strokeweight="0"/>
            <v:line id="_x0000_s1710" style="position:absolute;flip:x" from="476,3401" to="519,3401" strokeweight="0"/>
            <v:line id="_x0000_s1711" style="position:absolute;flip:x" from="476,3099" to="519,3099" strokeweight="0"/>
            <v:line id="_x0000_s1712" style="position:absolute;flip:x" from="476,2798" to="519,2798" strokeweight="0"/>
            <v:line id="_x0000_s1713" style="position:absolute;flip:x" from="476,2496" to="519,2496" strokeweight="0"/>
            <v:line id="_x0000_s1714" style="position:absolute;flip:x" from="476,2194" to="519,2194" strokeweight="0"/>
            <v:line id="_x0000_s1715" style="position:absolute;flip:x" from="476,1892" to="519,1892" strokeweight="0"/>
            <v:line id="_x0000_s1716" style="position:absolute;flip:x" from="476,1590" to="519,1590" strokeweight="0"/>
            <v:line id="_x0000_s1717" style="position:absolute;flip:x" from="476,1288" to="519,1288" strokeweight="0"/>
            <v:line id="_x0000_s1718" style="position:absolute;flip:x" from="476,987" to="519,987" strokeweight="0"/>
            <v:rect id="_x0000_s1719" style="position:absolute;left:389;top:3637;width:73;height:240;mso-wrap-style:none" filled="f" stroked="f">
              <v:textbox style="mso-next-textbox:#_x0000_s1719;mso-fit-shape-to-text:t" inset="0,0,0,0">
                <w:txbxContent>
                  <w:p w:rsidR="00FF2C64" w:rsidRDefault="00FF2C64" w:rsidP="009934AE">
                    <w:r>
                      <w:rPr>
                        <w:rFonts w:ascii="Futura Lt BT" w:hAnsi="Futura Lt BT" w:cs="Futura Lt BT"/>
                        <w:color w:val="000000"/>
                        <w:sz w:val="12"/>
                        <w:szCs w:val="12"/>
                      </w:rPr>
                      <w:t>0</w:t>
                    </w:r>
                  </w:p>
                </w:txbxContent>
              </v:textbox>
            </v:rect>
            <v:rect id="_x0000_s1720" style="position:absolute;left:130;top:3335;width:364;height:480;mso-wrap-style:none" filled="f" stroked="f">
              <v:textbox style="mso-next-textbox:#_x0000_s1720;mso-fit-shape-to-text:t" inset="0,0,0,0">
                <w:txbxContent>
                  <w:p w:rsidR="00FF2C64" w:rsidRDefault="00FF2C64" w:rsidP="009934AE">
                    <w:r>
                      <w:rPr>
                        <w:rFonts w:ascii="Futura Lt BT" w:hAnsi="Futura Lt BT" w:cs="Futura Lt BT"/>
                        <w:color w:val="000000"/>
                        <w:sz w:val="12"/>
                        <w:szCs w:val="12"/>
                      </w:rPr>
                      <w:t>10000</w:t>
                    </w:r>
                  </w:p>
                </w:txbxContent>
              </v:textbox>
            </v:rect>
            <v:rect id="_x0000_s1721" style="position:absolute;left:130;top:3033;width:364;height:480;mso-wrap-style:none" filled="f" stroked="f">
              <v:textbox style="mso-next-textbox:#_x0000_s1721;mso-fit-shape-to-text:t" inset="0,0,0,0">
                <w:txbxContent>
                  <w:p w:rsidR="00FF2C64" w:rsidRDefault="00FF2C64" w:rsidP="009934AE">
                    <w:r>
                      <w:rPr>
                        <w:rFonts w:ascii="Futura Lt BT" w:hAnsi="Futura Lt BT" w:cs="Futura Lt BT"/>
                        <w:color w:val="000000"/>
                        <w:sz w:val="12"/>
                        <w:szCs w:val="12"/>
                      </w:rPr>
                      <w:t>20000</w:t>
                    </w:r>
                  </w:p>
                </w:txbxContent>
              </v:textbox>
            </v:rect>
            <v:rect id="_x0000_s1722" style="position:absolute;left:130;top:2731;width:364;height:480;mso-wrap-style:none" filled="f" stroked="f">
              <v:textbox style="mso-next-textbox:#_x0000_s1722;mso-fit-shape-to-text:t" inset="0,0,0,0">
                <w:txbxContent>
                  <w:p w:rsidR="00FF2C64" w:rsidRDefault="00FF2C64" w:rsidP="009934AE">
                    <w:r>
                      <w:rPr>
                        <w:rFonts w:ascii="Futura Lt BT" w:hAnsi="Futura Lt BT" w:cs="Futura Lt BT"/>
                        <w:color w:val="000000"/>
                        <w:sz w:val="12"/>
                        <w:szCs w:val="12"/>
                      </w:rPr>
                      <w:t>30000</w:t>
                    </w:r>
                  </w:p>
                </w:txbxContent>
              </v:textbox>
            </v:rect>
            <v:rect id="_x0000_s1723" style="position:absolute;left:130;top:2429;width:364;height:480;mso-wrap-style:none" filled="f" stroked="f">
              <v:textbox style="mso-next-textbox:#_x0000_s1723;mso-fit-shape-to-text:t" inset="0,0,0,0">
                <w:txbxContent>
                  <w:p w:rsidR="00FF2C64" w:rsidRDefault="00FF2C64" w:rsidP="009934AE">
                    <w:r>
                      <w:rPr>
                        <w:rFonts w:ascii="Futura Lt BT" w:hAnsi="Futura Lt BT" w:cs="Futura Lt BT"/>
                        <w:color w:val="000000"/>
                        <w:sz w:val="12"/>
                        <w:szCs w:val="12"/>
                      </w:rPr>
                      <w:t>40000</w:t>
                    </w:r>
                  </w:p>
                </w:txbxContent>
              </v:textbox>
            </v:rect>
            <v:rect id="_x0000_s1724" style="position:absolute;left:130;top:2128;width:364;height:480;mso-wrap-style:none" filled="f" stroked="f">
              <v:textbox style="mso-next-textbox:#_x0000_s1724;mso-fit-shape-to-text:t" inset="0,0,0,0">
                <w:txbxContent>
                  <w:p w:rsidR="00FF2C64" w:rsidRDefault="00FF2C64" w:rsidP="009934AE">
                    <w:r>
                      <w:rPr>
                        <w:rFonts w:ascii="Futura Lt BT" w:hAnsi="Futura Lt BT" w:cs="Futura Lt BT"/>
                        <w:color w:val="000000"/>
                        <w:sz w:val="12"/>
                        <w:szCs w:val="12"/>
                      </w:rPr>
                      <w:t>50000</w:t>
                    </w:r>
                  </w:p>
                </w:txbxContent>
              </v:textbox>
            </v:rect>
            <v:rect id="_x0000_s1725" style="position:absolute;left:130;top:1826;width:364;height:480;mso-wrap-style:none" filled="f" stroked="f">
              <v:textbox style="mso-next-textbox:#_x0000_s1725;mso-fit-shape-to-text:t" inset="0,0,0,0">
                <w:txbxContent>
                  <w:p w:rsidR="00FF2C64" w:rsidRDefault="00FF2C64" w:rsidP="009934AE">
                    <w:r>
                      <w:rPr>
                        <w:rFonts w:ascii="Futura Lt BT" w:hAnsi="Futura Lt BT" w:cs="Futura Lt BT"/>
                        <w:color w:val="000000"/>
                        <w:sz w:val="12"/>
                        <w:szCs w:val="12"/>
                      </w:rPr>
                      <w:t>60000</w:t>
                    </w:r>
                  </w:p>
                </w:txbxContent>
              </v:textbox>
            </v:rect>
            <v:rect id="_x0000_s1726" style="position:absolute;left:130;top:1524;width:364;height:480;mso-wrap-style:none" filled="f" stroked="f">
              <v:textbox style="mso-next-textbox:#_x0000_s1726;mso-fit-shape-to-text:t" inset="0,0,0,0">
                <w:txbxContent>
                  <w:p w:rsidR="00FF2C64" w:rsidRDefault="00FF2C64" w:rsidP="009934AE">
                    <w:r>
                      <w:rPr>
                        <w:rFonts w:ascii="Futura Lt BT" w:hAnsi="Futura Lt BT" w:cs="Futura Lt BT"/>
                        <w:color w:val="000000"/>
                        <w:sz w:val="12"/>
                        <w:szCs w:val="12"/>
                      </w:rPr>
                      <w:t>70000</w:t>
                    </w:r>
                  </w:p>
                </w:txbxContent>
              </v:textbox>
            </v:rect>
            <v:rect id="_x0000_s1727" style="position:absolute;left:130;top:1222;width:364;height:480;mso-wrap-style:none" filled="f" stroked="f">
              <v:textbox style="mso-next-textbox:#_x0000_s1727;mso-fit-shape-to-text:t" inset="0,0,0,0">
                <w:txbxContent>
                  <w:p w:rsidR="00FF2C64" w:rsidRDefault="00FF2C64" w:rsidP="009934AE">
                    <w:r>
                      <w:rPr>
                        <w:rFonts w:ascii="Futura Lt BT" w:hAnsi="Futura Lt BT" w:cs="Futura Lt BT"/>
                        <w:color w:val="000000"/>
                        <w:sz w:val="12"/>
                        <w:szCs w:val="12"/>
                      </w:rPr>
                      <w:t>80000</w:t>
                    </w:r>
                  </w:p>
                </w:txbxContent>
              </v:textbox>
            </v:rect>
            <v:rect id="_x0000_s1728" style="position:absolute;left:130;top:920;width:364;height:480;mso-wrap-style:none" filled="f" stroked="f">
              <v:textbox style="mso-next-textbox:#_x0000_s1728;mso-fit-shape-to-text:t" inset="0,0,0,0">
                <w:txbxContent>
                  <w:p w:rsidR="00FF2C64" w:rsidRDefault="00FF2C64" w:rsidP="009934AE">
                    <w:r>
                      <w:rPr>
                        <w:rFonts w:ascii="Futura Lt BT" w:hAnsi="Futura Lt BT" w:cs="Futura Lt BT"/>
                        <w:color w:val="000000"/>
                        <w:sz w:val="12"/>
                        <w:szCs w:val="12"/>
                      </w:rPr>
                      <w:t>90000</w:t>
                    </w:r>
                  </w:p>
                </w:txbxContent>
              </v:textbox>
            </v:rect>
            <v:rect id="_x0000_s1729" style="position:absolute;left:2328;top:199;width:2653;height:480;mso-wrap-style:none" filled="f" stroked="f">
              <v:textbox style="mso-next-textbox:#_x0000_s1729;mso-fit-shape-to-text:t" inset="0,0,0,0">
                <w:txbxContent>
                  <w:p w:rsidR="00FF2C64" w:rsidRDefault="00FF2C64" w:rsidP="009934AE">
                    <w:r>
                      <w:rPr>
                        <w:rFonts w:ascii="Futura Lt BT" w:hAnsi="Futura Lt BT" w:cs="Futura Lt BT"/>
                        <w:color w:val="000000"/>
                        <w:sz w:val="12"/>
                        <w:szCs w:val="12"/>
                      </w:rPr>
                      <w:t>POBLACIÓN ALFABETIZADA SEGÚN SEXO</w:t>
                    </w:r>
                  </w:p>
                </w:txbxContent>
              </v:textbox>
            </v:rect>
            <v:rect id="_x0000_s1730" style="position:absolute;left:2775;top:346;width:1302;height:480;mso-wrap-style:none" filled="f" stroked="f">
              <v:textbox style="mso-next-textbox:#_x0000_s1730;mso-fit-shape-to-text:t" inset="0,0,0,0">
                <w:txbxContent>
                  <w:p w:rsidR="00FF2C64" w:rsidRDefault="00FF2C64" w:rsidP="009934AE">
                    <w:r>
                      <w:rPr>
                        <w:rFonts w:ascii="Futura Lt BT" w:hAnsi="Futura Lt BT" w:cs="Futura Lt BT"/>
                        <w:color w:val="000000"/>
                        <w:sz w:val="12"/>
                        <w:szCs w:val="12"/>
                      </w:rPr>
                      <w:t xml:space="preserve"> PERIODO 2004-2006 </w:t>
                    </w:r>
                  </w:p>
                </w:txbxContent>
              </v:textbox>
            </v:rect>
            <v:rect id="_x0000_s1731" style="position:absolute;left:5549;top:2692;width:873;height:640" strokeweight="0"/>
            <v:shape id="_x0000_s1732" type="#_x0000_t75" style="position:absolute;left:5637;top:2849;width:65;height:66">
              <v:imagedata r:id="rId35" o:title=""/>
            </v:shape>
            <v:rect id="_x0000_s1733" style="position:absolute;left:5637;top:2849;width:65;height:66" filled="f" strokeweight=".35pt"/>
            <v:rect id="_x0000_s1734" style="position:absolute;left:5738;top:2730;width:653;height:480;mso-wrap-style:none" filled="f" stroked="f">
              <v:textbox style="mso-next-textbox:#_x0000_s1734;mso-fit-shape-to-text:t" inset="0,0,0,0">
                <w:txbxContent>
                  <w:p w:rsidR="00FF2C64" w:rsidRDefault="00FF2C64" w:rsidP="009934AE">
                    <w:r>
                      <w:rPr>
                        <w:rFonts w:ascii="Futura Lt BT" w:hAnsi="Futura Lt BT" w:cs="Futura Lt BT"/>
                        <w:color w:val="000000"/>
                        <w:sz w:val="12"/>
                        <w:szCs w:val="12"/>
                      </w:rPr>
                      <w:t>HOMBRES</w:t>
                    </w:r>
                  </w:p>
                </w:txbxContent>
              </v:textbox>
            </v:rect>
            <v:shape id="_x0000_s1735" type="#_x0000_t75" style="position:absolute;left:5637;top:3107;width:65;height:66">
              <v:imagedata r:id="rId36" o:title=""/>
            </v:shape>
            <v:rect id="_x0000_s1736" style="position:absolute;left:5637;top:3107;width:65;height:66" filled="f" strokeweight=".35pt"/>
            <v:rect id="_x0000_s1737" style="position:absolute;left:5738;top:2987;width:619;height:480;mso-wrap-style:none" filled="f" stroked="f">
              <v:textbox style="mso-next-textbox:#_x0000_s1737;mso-fit-shape-to-text:t" inset="0,0,0,0">
                <w:txbxContent>
                  <w:p w:rsidR="00FF2C64" w:rsidRDefault="00FF2C64" w:rsidP="009934AE">
                    <w:r>
                      <w:rPr>
                        <w:rFonts w:ascii="Futura Lt BT" w:hAnsi="Futura Lt BT" w:cs="Futura Lt BT"/>
                        <w:color w:val="000000"/>
                        <w:sz w:val="12"/>
                        <w:szCs w:val="12"/>
                      </w:rPr>
                      <w:t>MUJERES</w:t>
                    </w:r>
                  </w:p>
                </w:txbxContent>
              </v:textbox>
            </v:rect>
            <v:rect id="_x0000_s1738" style="position:absolute;left:36;top:37;width:6401;height:4056" filled="f" strokeweight="0"/>
            <v:rect id="_x0000_s1739" style="position:absolute;left:1305;top:3688;width:291;height:480;mso-wrap-style:none" filled="f" stroked="f">
              <v:textbox style="mso-next-textbox:#_x0000_s1739;mso-fit-shape-to-text:t" inset="0,0,0,0">
                <w:txbxContent>
                  <w:p w:rsidR="00FF2C64" w:rsidRDefault="00FF2C64" w:rsidP="009934AE">
                    <w:r>
                      <w:rPr>
                        <w:rFonts w:ascii="Futura Lt BT" w:hAnsi="Futura Lt BT" w:cs="Futura Lt BT"/>
                        <w:color w:val="000000"/>
                        <w:sz w:val="12"/>
                        <w:szCs w:val="12"/>
                      </w:rPr>
                      <w:t>2004</w:t>
                    </w:r>
                  </w:p>
                </w:txbxContent>
              </v:textbox>
            </v:rect>
            <v:rect id="_x0000_s1740" style="position:absolute;left:4519;top:3666;width:291;height:480;mso-wrap-style:none" filled="f" stroked="f">
              <v:textbox style="mso-next-textbox:#_x0000_s1740;mso-fit-shape-to-text:t" inset="0,0,0,0">
                <w:txbxContent>
                  <w:p w:rsidR="00FF2C64" w:rsidRDefault="00FF2C64" w:rsidP="009934AE">
                    <w:r>
                      <w:rPr>
                        <w:rFonts w:ascii="Futura Lt BT" w:hAnsi="Futura Lt BT" w:cs="Futura Lt BT"/>
                        <w:color w:val="000000"/>
                        <w:sz w:val="12"/>
                        <w:szCs w:val="12"/>
                      </w:rPr>
                      <w:t>2006</w:t>
                    </w:r>
                  </w:p>
                </w:txbxContent>
              </v:textbox>
            </v:rect>
            <v:rect id="_x0000_s1741" style="position:absolute;left:2919;top:3666;width:291;height:480;mso-wrap-style:none" filled="f" stroked="f">
              <v:textbox style="mso-next-textbox:#_x0000_s1741;mso-fit-shape-to-text:t" inset="0,0,0,0">
                <w:txbxContent>
                  <w:p w:rsidR="00FF2C64" w:rsidRDefault="00FF2C64" w:rsidP="009934AE">
                    <w:r>
                      <w:rPr>
                        <w:rFonts w:ascii="Futura Lt BT" w:hAnsi="Futura Lt BT" w:cs="Futura Lt BT"/>
                        <w:color w:val="000000"/>
                        <w:sz w:val="12"/>
                        <w:szCs w:val="12"/>
                      </w:rPr>
                      <w:t>2005</w:t>
                    </w:r>
                  </w:p>
                </w:txbxContent>
              </v:textbox>
            </v:rect>
            <w10:anchorlock/>
          </v:group>
        </w:pict>
      </w:r>
    </w:p>
    <w:p w:rsidR="00A90A13" w:rsidRPr="00981E15" w:rsidRDefault="00A90A13" w:rsidP="00A90A13">
      <w:pPr>
        <w:pStyle w:val="SingleTxt"/>
        <w:suppressAutoHyphens/>
        <w:spacing w:after="0" w:line="120" w:lineRule="exact"/>
        <w:rPr>
          <w:w w:val="104"/>
          <w:sz w:val="10"/>
        </w:rPr>
      </w:pPr>
    </w:p>
    <w:p w:rsidR="00C244C2" w:rsidRPr="00981E15" w:rsidRDefault="00C244C2" w:rsidP="00284084">
      <w:pPr>
        <w:pStyle w:val="FootnoteText"/>
        <w:tabs>
          <w:tab w:val="clear" w:pos="418"/>
          <w:tab w:val="right" w:pos="1476"/>
          <w:tab w:val="left" w:pos="1548"/>
          <w:tab w:val="right" w:pos="1836"/>
          <w:tab w:val="left" w:pos="1908"/>
        </w:tabs>
        <w:ind w:left="1548" w:right="1267" w:hanging="288"/>
      </w:pPr>
      <w:r w:rsidRPr="00981E15">
        <w:rPr>
          <w:i/>
        </w:rPr>
        <w:t>Fuente</w:t>
      </w:r>
      <w:r w:rsidR="002E0352">
        <w:t>: Centro de Cómputo -CONALFA-</w:t>
      </w:r>
      <w:r w:rsidRPr="00981E15">
        <w:t>2007.</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697D59">
      <w:pPr>
        <w:pStyle w:val="SingleTxt"/>
        <w:numPr>
          <w:ilvl w:val="0"/>
          <w:numId w:val="31"/>
        </w:numPr>
        <w:tabs>
          <w:tab w:val="clear" w:pos="475"/>
          <w:tab w:val="num" w:pos="1742"/>
        </w:tabs>
        <w:suppressAutoHyphens/>
        <w:ind w:left="1267"/>
        <w:rPr>
          <w:w w:val="104"/>
        </w:rPr>
      </w:pPr>
      <w:r w:rsidRPr="00981E15">
        <w:rPr>
          <w:w w:val="104"/>
        </w:rPr>
        <w:t>Actualmente, CONALFA cuenta dentro de sus iniciativas, metodologías que se consideran importantes, principalmente por la promoción de diferentes modalidades de atención que involucra la participación y promueve acciones que favorecen a las mujeres. Tal es el caso de metodologías integrales de alfabetización:</w:t>
      </w:r>
    </w:p>
    <w:p w:rsidR="00C244C2" w:rsidRPr="00981E15" w:rsidRDefault="00C244C2" w:rsidP="00810A2B">
      <w:pPr>
        <w:pStyle w:val="SingleTxt"/>
        <w:keepNext/>
        <w:keepLines/>
        <w:tabs>
          <w:tab w:val="right" w:pos="1685"/>
        </w:tabs>
        <w:suppressAutoHyphens/>
        <w:ind w:left="1742" w:hanging="475"/>
      </w:pPr>
      <w:r w:rsidRPr="00981E15">
        <w:rPr>
          <w:b/>
        </w:rPr>
        <w:tab/>
        <w:t>•</w:t>
      </w:r>
      <w:r w:rsidRPr="00981E15">
        <w:rPr>
          <w:b/>
        </w:rPr>
        <w:tab/>
        <w:t>“bi-alfa”</w:t>
      </w:r>
      <w:r w:rsidRPr="00981E15">
        <w:t xml:space="preserve"> que resalta el valor del aprendizaje en el idioma materno y el segundo idioma. En el 2006 se alfabetizó en los idiomas español y mam, en cinco municipios del departamento de Huehuetenango. Esta modalidad contempló el desarrollo de cinco ejes: Producción, Medio Ambiente, Género, Organización Comunitaria y Derechos Humanos.</w:t>
      </w:r>
    </w:p>
    <w:p w:rsidR="00C244C2" w:rsidRPr="00981E15" w:rsidRDefault="00C244C2" w:rsidP="00C244C2">
      <w:pPr>
        <w:pStyle w:val="SingleTxt"/>
        <w:tabs>
          <w:tab w:val="right" w:pos="1685"/>
        </w:tabs>
        <w:suppressAutoHyphens/>
        <w:ind w:left="1742" w:hanging="475"/>
      </w:pPr>
      <w:r w:rsidRPr="00981E15">
        <w:rPr>
          <w:b/>
        </w:rPr>
        <w:tab/>
        <w:t>•</w:t>
      </w:r>
      <w:r w:rsidRPr="00981E15">
        <w:rPr>
          <w:b/>
        </w:rPr>
        <w:tab/>
        <w:t>“Toma mi mano”,</w:t>
      </w:r>
      <w:r w:rsidRPr="00981E15">
        <w:t xml:space="preserve"> esta modalidad está dirigida a las madres de los niños y las niñas que asisten a la escuela formal en el nivel inicial. Dentro de los contenidos de aprendizaje se incluyen actividades sobre nutrición, higiene, motricidad, comunicación y desarrollo de buenos hábitos. Las madres a su vez estimulan a sus pequeños hijos e hijas sobre los nuevos aprendizajes. Esta metodología se ha implementado en grupos de comunidades del área rural de los departamentos de Suchitepéquez, Totonicapán y Quetzaltenango. Los alfabetizadores y alfabetizadoras que atienden estos grupos reciben una dotación de materiales didácticos y de trabajo para desarrollar sus actividades con las madres y sus respectivos hijos e hijas. </w:t>
      </w:r>
    </w:p>
    <w:p w:rsidR="00C244C2" w:rsidRPr="00981E15" w:rsidRDefault="00C244C2" w:rsidP="00C244C2">
      <w:pPr>
        <w:pStyle w:val="SingleTxt"/>
        <w:tabs>
          <w:tab w:val="right" w:pos="1685"/>
        </w:tabs>
        <w:suppressAutoHyphens/>
        <w:ind w:left="1742" w:hanging="475"/>
      </w:pPr>
      <w:r w:rsidRPr="00981E15">
        <w:rPr>
          <w:b/>
        </w:rPr>
        <w:tab/>
        <w:t>•</w:t>
      </w:r>
      <w:r w:rsidRPr="00981E15">
        <w:rPr>
          <w:b/>
        </w:rPr>
        <w:tab/>
        <w:t>“Alfabetización integral intrafamiliar”</w:t>
      </w:r>
      <w:r w:rsidRPr="00981E15">
        <w:t xml:space="preserve"> donde los hijos e hijas alfabetizan a sus mamás y ocurre el proceso de aprendizaje dentro del hogar permitiendo una mejor comunicación intrafamiliar.</w:t>
      </w:r>
    </w:p>
    <w:p w:rsidR="00C244C2" w:rsidRPr="00981E15" w:rsidRDefault="00C244C2" w:rsidP="00C244C2">
      <w:pPr>
        <w:pStyle w:val="SingleTxt"/>
        <w:tabs>
          <w:tab w:val="right" w:pos="1685"/>
        </w:tabs>
        <w:suppressAutoHyphens/>
        <w:ind w:left="1742" w:hanging="475"/>
      </w:pPr>
      <w:r w:rsidRPr="00981E15">
        <w:rPr>
          <w:b/>
        </w:rPr>
        <w:tab/>
        <w:t>•</w:t>
      </w:r>
      <w:r w:rsidRPr="00981E15">
        <w:rPr>
          <w:b/>
        </w:rPr>
        <w:tab/>
        <w:t xml:space="preserve">“Alfabetización integral para el trabajo” (AIT). </w:t>
      </w:r>
      <w:r w:rsidRPr="00981E15">
        <w:t>Se desarrolla en coordinación con organizaciones no gubernamentales que, dentro de sus componentes se localizan proyectos relacionados con la capacitación en una rama laboral, por ejemplo: crianza de animales, tejido, bordado, corte y confección, entre otros.</w:t>
      </w:r>
    </w:p>
    <w:p w:rsidR="00C244C2" w:rsidRPr="00981E15" w:rsidRDefault="00C244C2" w:rsidP="00C244C2">
      <w:pPr>
        <w:pStyle w:val="SingleTxt"/>
        <w:tabs>
          <w:tab w:val="right" w:pos="1685"/>
        </w:tabs>
        <w:suppressAutoHyphens/>
        <w:ind w:left="1742" w:hanging="475"/>
      </w:pPr>
      <w:r w:rsidRPr="00981E15">
        <w:rPr>
          <w:b/>
        </w:rPr>
        <w:tab/>
        <w:t>•</w:t>
      </w:r>
      <w:r w:rsidRPr="00981E15">
        <w:rPr>
          <w:b/>
        </w:rPr>
        <w:tab/>
        <w:t>“Alfabetización con orientación en computación”</w:t>
      </w:r>
      <w:r w:rsidRPr="00981E15">
        <w:t>. Ésta se desarrolla principalmente en grupos de post-alfabetización donde la mayoría de participantes son jóvenes comprendidos y comprendidas entre los 15 y 24 años de edad.</w:t>
      </w:r>
    </w:p>
    <w:p w:rsidR="00C244C2" w:rsidRPr="00981E15" w:rsidRDefault="00C244C2" w:rsidP="002D05DD">
      <w:pPr>
        <w:pStyle w:val="SingleTxt"/>
        <w:numPr>
          <w:ilvl w:val="0"/>
          <w:numId w:val="31"/>
        </w:numPr>
        <w:tabs>
          <w:tab w:val="clear" w:pos="475"/>
          <w:tab w:val="num" w:pos="1742"/>
        </w:tabs>
        <w:suppressAutoHyphens/>
        <w:ind w:left="1267"/>
        <w:rPr>
          <w:spacing w:val="6"/>
        </w:rPr>
      </w:pPr>
      <w:r w:rsidRPr="00981E15">
        <w:rPr>
          <w:spacing w:val="6"/>
        </w:rPr>
        <w:t>Estas metodologías se han aplicado tanto en el programa de idioma español como en los idiomas mayas en los que se desarrolla el proceso. En esta línea de trabajo se han atendido las comunidades más lejanas del área rural, se implementó un sistema de supervisión permanente; se aplicó una estrategia de atención con</w:t>
      </w:r>
      <w:r w:rsidR="00810A2B" w:rsidRPr="00981E15">
        <w:rPr>
          <w:spacing w:val="6"/>
        </w:rPr>
        <w:t> </w:t>
      </w:r>
      <w:r w:rsidRPr="00981E15">
        <w:rPr>
          <w:spacing w:val="6"/>
        </w:rPr>
        <w:t>programas que respetan las creencias, las formas de expresión cultural y religiosa.</w:t>
      </w:r>
    </w:p>
    <w:p w:rsidR="00C244C2" w:rsidRPr="00981E15" w:rsidRDefault="00C244C2" w:rsidP="002D05DD">
      <w:pPr>
        <w:pStyle w:val="SingleTxt"/>
        <w:numPr>
          <w:ilvl w:val="0"/>
          <w:numId w:val="31"/>
        </w:numPr>
        <w:tabs>
          <w:tab w:val="clear" w:pos="475"/>
          <w:tab w:val="num" w:pos="1742"/>
        </w:tabs>
        <w:suppressAutoHyphens/>
        <w:ind w:left="1267"/>
      </w:pPr>
      <w:r w:rsidRPr="00981E15">
        <w:t xml:space="preserve">A continuación se presenta en gráficas, resultados de la atención al Programa de Alfabetización Bilingüe: </w:t>
      </w:r>
    </w:p>
    <w:p w:rsidR="00C244C2" w:rsidRPr="00981E15" w:rsidRDefault="00810A2B"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sidRPr="00981E15">
        <w:rPr>
          <w:w w:val="104"/>
        </w:rPr>
        <w:br w:type="page"/>
      </w:r>
      <w:r w:rsidR="00C244C2" w:rsidRPr="00981E15">
        <w:rPr>
          <w:w w:val="104"/>
        </w:rPr>
        <w:tab/>
      </w:r>
      <w:r w:rsidR="00C244C2" w:rsidRPr="00981E15">
        <w:rPr>
          <w:w w:val="104"/>
        </w:rPr>
        <w:tab/>
      </w:r>
      <w:r w:rsidR="00C244C2" w:rsidRPr="00981E15">
        <w:rPr>
          <w:b w:val="0"/>
          <w:w w:val="104"/>
        </w:rPr>
        <w:t>Gráfica 3</w:t>
      </w:r>
      <w:r w:rsidR="00C244C2" w:rsidRPr="00981E15">
        <w:rPr>
          <w:b w:val="0"/>
          <w:w w:val="104"/>
        </w:rPr>
        <w:br/>
      </w:r>
      <w:r w:rsidR="00C244C2" w:rsidRPr="00981E15">
        <w:rPr>
          <w:w w:val="104"/>
        </w:rPr>
        <w:t>Población atendida según programa bilingüe</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B50323" w:rsidRPr="00981E15" w:rsidRDefault="00B50323"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810A2B" w:rsidRPr="00981E15" w:rsidRDefault="00810A2B" w:rsidP="00C244C2">
      <w:pPr>
        <w:pStyle w:val="FootnoteText"/>
        <w:tabs>
          <w:tab w:val="right" w:pos="1476"/>
          <w:tab w:val="left" w:pos="1548"/>
          <w:tab w:val="right" w:pos="1836"/>
          <w:tab w:val="left" w:pos="1908"/>
        </w:tabs>
        <w:ind w:left="1267" w:right="1267" w:hanging="1267"/>
      </w:pPr>
    </w:p>
    <w:p w:rsidR="00810A2B" w:rsidRPr="00981E15" w:rsidRDefault="00810A2B" w:rsidP="00C244C2">
      <w:pPr>
        <w:pStyle w:val="FootnoteText"/>
        <w:tabs>
          <w:tab w:val="right" w:pos="1476"/>
          <w:tab w:val="left" w:pos="1548"/>
          <w:tab w:val="right" w:pos="1836"/>
          <w:tab w:val="left" w:pos="1908"/>
        </w:tabs>
        <w:ind w:left="1267" w:right="1267" w:hanging="1267"/>
      </w:pPr>
    </w:p>
    <w:p w:rsidR="00810A2B" w:rsidRPr="00981E15" w:rsidRDefault="00810A2B" w:rsidP="00C244C2">
      <w:pPr>
        <w:pStyle w:val="FootnoteText"/>
        <w:tabs>
          <w:tab w:val="right" w:pos="1476"/>
          <w:tab w:val="left" w:pos="1548"/>
          <w:tab w:val="right" w:pos="1836"/>
          <w:tab w:val="left" w:pos="1908"/>
        </w:tabs>
        <w:ind w:left="1267" w:right="1267" w:hanging="1267"/>
      </w:pPr>
    </w:p>
    <w:p w:rsidR="00810A2B" w:rsidRPr="00981E15" w:rsidRDefault="00810A2B" w:rsidP="00C244C2">
      <w:pPr>
        <w:pStyle w:val="FootnoteText"/>
        <w:tabs>
          <w:tab w:val="right" w:pos="1476"/>
          <w:tab w:val="left" w:pos="1548"/>
          <w:tab w:val="right" w:pos="1836"/>
          <w:tab w:val="left" w:pos="1908"/>
        </w:tabs>
        <w:ind w:left="1267" w:right="1267" w:hanging="1267"/>
      </w:pPr>
    </w:p>
    <w:p w:rsidR="00810A2B" w:rsidRPr="00981E15" w:rsidRDefault="00810A2B"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C244C2">
      <w:pPr>
        <w:pStyle w:val="FootnoteText"/>
        <w:tabs>
          <w:tab w:val="right" w:pos="1476"/>
          <w:tab w:val="left" w:pos="1548"/>
          <w:tab w:val="right" w:pos="1836"/>
          <w:tab w:val="left" w:pos="1908"/>
        </w:tabs>
        <w:ind w:left="1267" w:right="1267" w:hanging="1267"/>
      </w:pPr>
    </w:p>
    <w:p w:rsidR="00C244C2" w:rsidRPr="00981E15" w:rsidRDefault="00C244C2" w:rsidP="00094359">
      <w:pPr>
        <w:pStyle w:val="FootnoteText"/>
        <w:tabs>
          <w:tab w:val="right" w:pos="1476"/>
          <w:tab w:val="left" w:pos="1548"/>
          <w:tab w:val="right" w:pos="1836"/>
          <w:tab w:val="left" w:pos="1908"/>
        </w:tabs>
        <w:ind w:left="2534" w:right="1267" w:hanging="1267"/>
      </w:pPr>
      <w:r w:rsidRPr="00981E15">
        <w:rPr>
          <w:noProof/>
          <w:w w:val="100"/>
        </w:rPr>
      </w:r>
      <w:r w:rsidR="0067457F" w:rsidRPr="00981E15">
        <w:pict>
          <v:group id="_x0000_s1027" editas="canvas" style="width:257.55pt;height:195.65pt;mso-position-horizontal-relative:char;mso-position-vertical-relative:line" coordsize="5151,3913">
            <o:lock v:ext="edit" aspectratio="t"/>
            <v:shape id="_x0000_s1028" type="#_x0000_t75" style="position:absolute;width:5151;height:3913" o:preferrelative="f">
              <v:fill o:detectmouseclick="t"/>
              <v:path o:extrusionok="t" o:connecttype="none"/>
              <o:lock v:ext="edit" text="t"/>
            </v:shape>
            <v:rect id="_x0000_s1030" style="position:absolute;left:546;top:557;width:3733;height:116" fillcolor="#cfc" stroked="f"/>
            <v:rect id="_x0000_s1031" style="position:absolute;left:546;top:673;width:3733;height:100" fillcolor="#ceffce" stroked="f"/>
            <v:rect id="_x0000_s1032" style="position:absolute;left:546;top:773;width:3733;height:58" fillcolor="#d0ffd0" stroked="f"/>
            <v:rect id="_x0000_s1033" style="position:absolute;left:546;top:831;width:3733;height:58" fillcolor="#d2ffd2" stroked="f"/>
            <v:rect id="_x0000_s1034" style="position:absolute;left:546;top:889;width:3733;height:42" fillcolor="#d4ffd4" stroked="f"/>
            <v:rect id="_x0000_s1035" style="position:absolute;left:546;top:931;width:3733;height:42" fillcolor="#d6ffd6" stroked="f"/>
            <v:rect id="_x0000_s1036" style="position:absolute;left:546;top:973;width:3733;height:49" fillcolor="#d8ffd8" stroked="f"/>
            <v:rect id="_x0000_s1037" style="position:absolute;left:546;top:1022;width:3733;height:34" fillcolor="#daffda" stroked="f"/>
            <v:rect id="_x0000_s1038" style="position:absolute;left:546;top:1056;width:3733;height:41" fillcolor="#dcffdc" stroked="f"/>
            <v:rect id="_x0000_s1039" style="position:absolute;left:546;top:1097;width:3733;height:34" fillcolor="#deffde" stroked="f"/>
            <v:rect id="_x0000_s1040" style="position:absolute;left:546;top:1131;width:3733;height:33" fillcolor="#e0ffe0" stroked="f"/>
            <v:rect id="_x0000_s1041" style="position:absolute;left:546;top:1164;width:3733;height:33" fillcolor="#e2ffe2" stroked="f"/>
            <v:rect id="_x0000_s1042" style="position:absolute;left:546;top:1197;width:3733;height:25" fillcolor="#e4ffe4" stroked="f"/>
            <v:rect id="_x0000_s1043" style="position:absolute;left:546;top:1222;width:3733;height:33" fillcolor="#e6ffe6" stroked="f"/>
            <v:rect id="_x0000_s1044" style="position:absolute;left:546;top:1255;width:3733;height:33" fillcolor="#e8ffe8" stroked="f"/>
            <v:rect id="_x0000_s1045" style="position:absolute;left:546;top:1288;width:3733;height:34" fillcolor="#eaffea" stroked="f"/>
            <v:rect id="_x0000_s1046" style="position:absolute;left:546;top:1322;width:3733;height:33" fillcolor="#ecffec" stroked="f"/>
            <v:rect id="_x0000_s1047" style="position:absolute;left:546;top:1355;width:3733;height:42" fillcolor="#efe" stroked="f"/>
            <v:rect id="_x0000_s1048" style="position:absolute;left:546;top:1397;width:3733;height:33" fillcolor="#f0fff0" stroked="f"/>
            <v:rect id="_x0000_s1049" style="position:absolute;left:546;top:1430;width:3733;height:50" fillcolor="#f2fff2" stroked="f"/>
            <v:rect id="_x0000_s1050" style="position:absolute;left:546;top:1480;width:3733;height:41" fillcolor="#f4fff4" stroked="f"/>
            <v:rect id="_x0000_s1051" style="position:absolute;left:546;top:1521;width:3733;height:50" fillcolor="#f6fff6" stroked="f"/>
            <v:rect id="_x0000_s1052" style="position:absolute;left:546;top:1571;width:3733;height:67" fillcolor="#f8fff8" stroked="f"/>
            <v:rect id="_x0000_s1053" style="position:absolute;left:546;top:1638;width:3733;height:66" fillcolor="#fafffa" stroked="f"/>
            <v:rect id="_x0000_s1054" style="position:absolute;left:546;top:1704;width:3733;height:108" fillcolor="#fcfffc" stroked="f"/>
            <v:rect id="_x0000_s1055" style="position:absolute;left:546;top:1812;width:3733;height:324" fillcolor="#fefffe" stroked="f"/>
            <v:rect id="_x0000_s1056" style="position:absolute;left:546;top:2136;width:3733;height:100" fillcolor="#fcfffc" stroked="f"/>
            <v:rect id="_x0000_s1057" style="position:absolute;left:546;top:2236;width:3733;height:58" fillcolor="#fafffa" stroked="f"/>
            <v:rect id="_x0000_s1058" style="position:absolute;left:546;top:2294;width:3733;height:67" fillcolor="#f8fff8" stroked="f"/>
            <v:rect id="_x0000_s1059" style="position:absolute;left:546;top:2361;width:3733;height:41" fillcolor="#f6fff6" stroked="f"/>
            <v:rect id="_x0000_s1060" style="position:absolute;left:546;top:2402;width:3733;height:42" fillcolor="#f4fff4" stroked="f"/>
            <v:rect id="_x0000_s1061" style="position:absolute;left:546;top:2444;width:3733;height:41" fillcolor="#f2fff2" stroked="f"/>
            <v:rect id="_x0000_s1062" style="position:absolute;left:546;top:2485;width:3733;height:34" fillcolor="#f0fff0" stroked="f"/>
            <v:rect id="_x0000_s1063" style="position:absolute;left:546;top:2519;width:3733;height:33" fillcolor="#efe" stroked="f"/>
            <v:rect id="_x0000_s1064" style="position:absolute;left:546;top:2552;width:3733;height:33" fillcolor="#ecffec" stroked="f"/>
            <v:rect id="_x0000_s1065" style="position:absolute;left:546;top:2585;width:3733;height:42" fillcolor="#eaffea" stroked="f"/>
            <v:rect id="_x0000_s1066" style="position:absolute;left:546;top:2627;width:3733;height:25" fillcolor="#e8ffe8" stroked="f"/>
            <v:rect id="_x0000_s1067" style="position:absolute;left:546;top:2652;width:3733;height:41" fillcolor="#e6ffe6" stroked="f"/>
            <v:rect id="_x0000_s1068" style="position:absolute;left:546;top:2693;width:3733;height:34" fillcolor="#e4ffe4" stroked="f"/>
            <v:rect id="_x0000_s1069" style="position:absolute;left:546;top:2727;width:3733;height:33" fillcolor="#e2ffe2" stroked="f"/>
            <v:rect id="_x0000_s1070" style="position:absolute;left:546;top:2760;width:3733;height:33" fillcolor="#e0ffe0" stroked="f"/>
            <v:rect id="_x0000_s1071" style="position:absolute;left:546;top:2793;width:3733;height:33" fillcolor="#deffde" stroked="f"/>
            <v:rect id="_x0000_s1072" style="position:absolute;left:546;top:2826;width:3733;height:34" fillcolor="#dcffdc" stroked="f"/>
            <v:rect id="_x0000_s1073" style="position:absolute;left:546;top:2860;width:3733;height:41" fillcolor="#daffda" stroked="f"/>
            <v:rect id="_x0000_s1074" style="position:absolute;left:546;top:2901;width:3733;height:42" fillcolor="#d8ffd8" stroked="f"/>
            <v:rect id="_x0000_s1075" style="position:absolute;left:546;top:2943;width:3733;height:41" fillcolor="#d6ffd6" stroked="f"/>
            <v:rect id="_x0000_s1076" style="position:absolute;left:546;top:2984;width:3733;height:58" fillcolor="#d4ffd4" stroked="f"/>
            <v:rect id="_x0000_s1077" style="position:absolute;left:546;top:3042;width:3733;height:59" fillcolor="#d2ffd2" stroked="f"/>
            <v:rect id="_x0000_s1078" style="position:absolute;left:546;top:3101;width:3733;height:74" fillcolor="#d0ffd0" stroked="f"/>
            <v:rect id="_x0000_s1079" style="position:absolute;left:546;top:3175;width:3733;height:117" fillcolor="#ceffce" stroked="f"/>
            <v:rect id="_x0000_s1080" style="position:absolute;left:546;top:3292;width:3733;height:50" fillcolor="#cfc" stroked="f"/>
            <v:rect id="_x0000_s1081" style="position:absolute;left:546;top:557;width:3733;height:2785" filled="f" stroked="f"/>
            <v:line id="_x0000_s1082" style="position:absolute" from="546,3034" to="4279,3034" strokecolor="white" strokeweight="0"/>
            <v:line id="_x0000_s1083" style="position:absolute" from="546,2727" to="4279,2727" strokecolor="white" strokeweight="0"/>
            <v:line id="_x0000_s1084" style="position:absolute" from="546,2411" to="4279,2411" strokecolor="white" strokeweight="0"/>
            <v:line id="_x0000_s1085" style="position:absolute" from="546,2103" to="4279,2103" strokecolor="white" strokeweight="0"/>
            <v:line id="_x0000_s1086" style="position:absolute" from="546,1796" to="4279,1796" strokecolor="white" strokeweight="0"/>
            <v:line id="_x0000_s1087" style="position:absolute" from="546,1488" to="4279,1488" strokecolor="white" strokeweight="0"/>
            <v:line id="_x0000_s1088" style="position:absolute" from="546,1172" to="4279,1172" strokecolor="white" strokeweight="0"/>
            <v:line id="_x0000_s1089" style="position:absolute" from="546,865" to="4279,865" strokecolor="white" strokeweight="0"/>
            <v:line id="_x0000_s1090" style="position:absolute" from="546,557" to="4279,557" strokecolor="white" strokeweight="0"/>
            <v:rect id="_x0000_s1091" style="position:absolute;left:546;top:557;width:3733;height:2785" filled="f" strokecolor="gray" strokeweight=".4pt"/>
            <v:shape id="_x0000_s1092" type="#_x0000_t75" style="position:absolute;left:753;top:981;width:273;height:2361">
              <v:imagedata r:id="rId37" o:title=""/>
            </v:shape>
            <v:rect id="_x0000_s1093" style="position:absolute;left:753;top:981;width:273;height:2361" filled="f" strokeweight=".4pt"/>
            <v:shape id="_x0000_s1094" type="#_x0000_t75" style="position:absolute;left:1995;top:1363;width:281;height:1979">
              <v:imagedata r:id="rId38" o:title=""/>
            </v:shape>
            <v:rect id="_x0000_s1095" style="position:absolute;left:1995;top:1363;width:281;height:1979" filled="f" strokeweight=".4pt"/>
            <v:shape id="_x0000_s1096" type="#_x0000_t75" style="position:absolute;left:3244;top:1455;width:274;height:1887">
              <v:imagedata r:id="rId39" o:title=""/>
            </v:shape>
            <v:rect id="_x0000_s1097" style="position:absolute;left:3244;top:1455;width:274;height:1887" filled="f" strokeweight=".4pt"/>
            <v:shape id="_x0000_s1098" type="#_x0000_t75" style="position:absolute;left:1026;top:2136;width:282;height:1206">
              <v:imagedata r:id="rId40" o:title=""/>
            </v:shape>
            <v:rect id="_x0000_s1099" style="position:absolute;left:1026;top:2136;width:282;height:1206" filled="f" strokeweight=".4pt"/>
            <v:shape id="_x0000_s1100" type="#_x0000_t75" style="position:absolute;left:2276;top:2253;width:273;height:1089">
              <v:imagedata r:id="rId41" o:title=""/>
            </v:shape>
            <v:rect id="_x0000_s1101" style="position:absolute;left:2276;top:2253;width:273;height:1089" filled="f" strokeweight=".4pt"/>
            <v:shape id="_x0000_s1102" type="#_x0000_t75" style="position:absolute;left:3518;top:2219;width:281;height:1123">
              <v:imagedata r:id="rId42" o:title=""/>
            </v:shape>
            <v:rect id="_x0000_s1103" style="position:absolute;left:3518;top:2219;width:281;height:1123" filled="f" strokeweight=".4pt"/>
            <v:shape id="_x0000_s1104" type="#_x0000_t75" style="position:absolute;left:1308;top:2253;width:273;height:1089">
              <v:imagedata r:id="rId43" o:title=""/>
            </v:shape>
            <v:rect id="_x0000_s1105" style="position:absolute;left:1308;top:2253;width:273;height:1089" filled="f" strokeweight=".4pt"/>
            <v:shape id="_x0000_s1106" type="#_x0000_t75" style="position:absolute;left:2549;top:2328;width:282;height:1014">
              <v:imagedata r:id="rId44" o:title=""/>
            </v:shape>
            <v:rect id="_x0000_s1107" style="position:absolute;left:2549;top:2328;width:282;height:1014" filled="f" strokeweight=".4pt"/>
            <v:shape id="_x0000_s1108" type="#_x0000_t75" style="position:absolute;left:3799;top:2228;width:273;height:1114">
              <v:imagedata r:id="rId45" o:title=""/>
            </v:shape>
            <v:rect id="_x0000_s1109" style="position:absolute;left:3799;top:2228;width:273;height:1114" filled="f" strokeweight=".4pt"/>
            <v:line id="_x0000_s1110" style="position:absolute" from="546,557" to="546,3342" strokeweight="0"/>
            <v:line id="_x0000_s1111" style="position:absolute" from="513,3342" to="546,3342" strokeweight="0"/>
            <v:line id="_x0000_s1112" style="position:absolute" from="513,3034" to="546,3034" strokeweight="0"/>
            <v:line id="_x0000_s1113" style="position:absolute" from="513,2727" to="546,2727" strokeweight="0"/>
            <v:line id="_x0000_s1114" style="position:absolute" from="513,2411" to="546,2411" strokeweight="0"/>
            <v:line id="_x0000_s1115" style="position:absolute" from="513,2103" to="546,2103" strokeweight="0"/>
            <v:line id="_x0000_s1116" style="position:absolute" from="513,1796" to="546,1796" strokeweight="0"/>
            <v:line id="_x0000_s1117" style="position:absolute" from="513,1488" to="546,1488" strokeweight="0"/>
            <v:line id="_x0000_s1118" style="position:absolute" from="513,1172" to="546,1172" strokeweight="0"/>
            <v:line id="_x0000_s1119" style="position:absolute" from="513,865" to="546,865" strokeweight="0"/>
            <v:line id="_x0000_s1120" style="position:absolute" from="513,557" to="546,557" strokeweight="0"/>
            <v:line id="_x0000_s1121" style="position:absolute" from="546,3342" to="4279,3342" strokeweight="0"/>
            <v:line id="_x0000_s1122" style="position:absolute;flip:y" from="546,3342" to="546,3375" strokeweight="0"/>
            <v:line id="_x0000_s1123" style="position:absolute;flip:y" from="1788,3342" to="1788,3375" strokeweight="0"/>
            <v:line id="_x0000_s1124" style="position:absolute;flip:y" from="3038,3342" to="3038,3375" strokeweight="0"/>
            <v:line id="_x0000_s1125" style="position:absolute;flip:y" from="4279,3342" to="4279,3375" strokeweight="0"/>
            <v:rect id="_x0000_s1126" style="position:absolute;left:1026;top:141;width:2903;height:480;mso-wrap-style:none" filled="f" stroked="f">
              <v:textbox style="mso-fit-shape-to-text:t" inset="0,0,0,0">
                <w:txbxContent>
                  <w:p w:rsidR="00FF2C64" w:rsidRDefault="00FF2C64" w:rsidP="00C244C2">
                    <w:r>
                      <w:rPr>
                        <w:rFonts w:ascii="Futura Lt BT" w:hAnsi="Futura Lt BT" w:cs="Futura Lt BT"/>
                        <w:b/>
                        <w:bCs/>
                        <w:color w:val="000000"/>
                        <w:sz w:val="10"/>
                        <w:szCs w:val="10"/>
                      </w:rPr>
                      <w:t xml:space="preserve">POBLACIÓN ATENDIDA SEGÚN PROGRAMA BILINGÜE </w:t>
                    </w:r>
                  </w:p>
                </w:txbxContent>
              </v:textbox>
            </v:rect>
            <v:rect id="_x0000_s1127" style="position:absolute;left:1937;top:283;width:1064;height:480;mso-wrap-style:none" filled="f" stroked="f">
              <v:textbox style="mso-fit-shape-to-text:t" inset="0,0,0,0">
                <w:txbxContent>
                  <w:p w:rsidR="00FF2C64" w:rsidRDefault="00FF2C64" w:rsidP="00C244C2">
                    <w:r>
                      <w:rPr>
                        <w:rFonts w:ascii="Futura Lt BT" w:hAnsi="Futura Lt BT" w:cs="Futura Lt BT"/>
                        <w:b/>
                        <w:bCs/>
                        <w:color w:val="000000"/>
                        <w:sz w:val="10"/>
                        <w:szCs w:val="10"/>
                      </w:rPr>
                      <w:t>PERIODO 2004-2006</w:t>
                    </w:r>
                  </w:p>
                </w:txbxContent>
              </v:textbox>
            </v:rect>
            <v:rect id="_x0000_s1128" style="position:absolute;left:749;top:1175;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76,411</w:t>
                    </w:r>
                  </w:p>
                </w:txbxContent>
              </v:textbox>
            </v:rect>
            <v:rect id="_x0000_s1129" style="position:absolute;left:2007;top:1543;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63,851</w:t>
                    </w:r>
                  </w:p>
                </w:txbxContent>
              </v:textbox>
            </v:rect>
            <v:rect id="_x0000_s1130" style="position:absolute;left:3249;top:1632;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61,100</w:t>
                    </w:r>
                  </w:p>
                </w:txbxContent>
              </v:textbox>
            </v:rect>
            <v:rect id="_x0000_s1131" style="position:absolute;left:1038;top:2273;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38,893</w:t>
                    </w:r>
                  </w:p>
                </w:txbxContent>
              </v:textbox>
            </v:rect>
            <v:rect id="_x0000_s1132" style="position:absolute;left:2281;top:2389;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35,233</w:t>
                    </w:r>
                  </w:p>
                </w:txbxContent>
              </v:textbox>
            </v:rect>
            <v:rect id="_x0000_s1133" style="position:absolute;left:3521;top:2330;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36,282</w:t>
                    </w:r>
                  </w:p>
                </w:txbxContent>
              </v:textbox>
            </v:rect>
            <v:rect id="_x0000_s1134" style="position:absolute;left:2562;top:2455;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32,904</w:t>
                    </w:r>
                  </w:p>
                </w:txbxContent>
              </v:textbox>
            </v:rect>
            <v:rect id="_x0000_s1135" style="position:absolute;left:1312;top:2365;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35,197</w:t>
                    </w:r>
                  </w:p>
                </w:txbxContent>
              </v:textbox>
            </v:rect>
            <v:rect id="_x0000_s1136" style="position:absolute;left:3803;top:2364;width:480;height:339;rotation:270;mso-wrap-style:none" filled="f" stroked="f">
              <v:textbox style="mso-fit-shape-to-text:t" inset="0,0,0,0">
                <w:txbxContent>
                  <w:p w:rsidR="00FF2C64" w:rsidRDefault="00FF2C64" w:rsidP="00C244C2">
                    <w:r>
                      <w:rPr>
                        <w:rFonts w:ascii="Futura Lt BT" w:hAnsi="Futura Lt BT" w:cs="Futura Lt BT"/>
                        <w:color w:val="000000"/>
                        <w:sz w:val="10"/>
                        <w:szCs w:val="10"/>
                      </w:rPr>
                      <w:t>35,935</w:t>
                    </w:r>
                  </w:p>
                </w:txbxContent>
              </v:textbox>
            </v:rect>
            <v:rect id="_x0000_s1137" style="position:absolute;left:406;top:3275;width:62;height:240;mso-wrap-style:none" filled="f" stroked="f">
              <v:textbox style="mso-fit-shape-to-text:t" inset="0,0,0,0">
                <w:txbxContent>
                  <w:p w:rsidR="00FF2C64" w:rsidRDefault="00FF2C64" w:rsidP="00C244C2">
                    <w:r>
                      <w:rPr>
                        <w:rFonts w:ascii="Futura Lt BT" w:hAnsi="Futura Lt BT" w:cs="Futura Lt BT"/>
                        <w:color w:val="000000"/>
                        <w:sz w:val="10"/>
                        <w:szCs w:val="10"/>
                      </w:rPr>
                      <w:t>0</w:t>
                    </w:r>
                  </w:p>
                </w:txbxContent>
              </v:textbox>
            </v:rect>
            <v:rect id="_x0000_s1138" style="position:absolute;left:141;top:2968;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10,000</w:t>
                    </w:r>
                  </w:p>
                </w:txbxContent>
              </v:textbox>
            </v:rect>
            <v:rect id="_x0000_s1139" style="position:absolute;left:141;top:2660;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20,000</w:t>
                    </w:r>
                  </w:p>
                </w:txbxContent>
              </v:textbox>
            </v:rect>
            <v:rect id="_x0000_s1140" style="position:absolute;left:141;top:2344;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30,000</w:t>
                    </w:r>
                  </w:p>
                </w:txbxContent>
              </v:textbox>
            </v:rect>
            <v:rect id="_x0000_s1141" style="position:absolute;left:141;top:2037;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40,000</w:t>
                    </w:r>
                  </w:p>
                </w:txbxContent>
              </v:textbox>
            </v:rect>
            <v:rect id="_x0000_s1142" style="position:absolute;left:141;top:1729;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50,000</w:t>
                    </w:r>
                  </w:p>
                </w:txbxContent>
              </v:textbox>
            </v:rect>
            <v:rect id="_x0000_s1143" style="position:absolute;left:141;top:1421;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60,000</w:t>
                    </w:r>
                  </w:p>
                </w:txbxContent>
              </v:textbox>
            </v:rect>
            <v:rect id="_x0000_s1144" style="position:absolute;left:141;top:1106;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70,000</w:t>
                    </w:r>
                  </w:p>
                </w:txbxContent>
              </v:textbox>
            </v:rect>
            <v:rect id="_x0000_s1145" style="position:absolute;left:141;top:798;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80,000</w:t>
                    </w:r>
                  </w:p>
                </w:txbxContent>
              </v:textbox>
            </v:rect>
            <v:rect id="_x0000_s1146" style="position:absolute;left:141;top:490;width:339;height:480;mso-wrap-style:none" filled="f" stroked="f">
              <v:textbox style="mso-fit-shape-to-text:t" inset="0,0,0,0">
                <w:txbxContent>
                  <w:p w:rsidR="00FF2C64" w:rsidRDefault="00FF2C64" w:rsidP="00C244C2">
                    <w:r>
                      <w:rPr>
                        <w:rFonts w:ascii="Futura Lt BT" w:hAnsi="Futura Lt BT" w:cs="Futura Lt BT"/>
                        <w:color w:val="000000"/>
                        <w:sz w:val="10"/>
                        <w:szCs w:val="10"/>
                      </w:rPr>
                      <w:t>90,000</w:t>
                    </w:r>
                  </w:p>
                </w:txbxContent>
              </v:textbox>
            </v:rect>
            <v:rect id="_x0000_s1147" style="position:absolute;left:1051;top:3433;width:246;height:480;mso-wrap-style:none" filled="f" stroked="f">
              <v:textbox style="mso-fit-shape-to-text:t" inset="0,0,0,0">
                <w:txbxContent>
                  <w:p w:rsidR="00FF2C64" w:rsidRDefault="00FF2C64" w:rsidP="00C244C2">
                    <w:r>
                      <w:rPr>
                        <w:rFonts w:ascii="Futura Lt BT" w:hAnsi="Futura Lt BT" w:cs="Futura Lt BT"/>
                        <w:color w:val="000000"/>
                        <w:sz w:val="10"/>
                        <w:szCs w:val="10"/>
                      </w:rPr>
                      <w:t>2004</w:t>
                    </w:r>
                  </w:p>
                </w:txbxContent>
              </v:textbox>
            </v:rect>
            <v:rect id="_x0000_s1148" style="position:absolute;left:2301;top:3433;width:246;height:480;mso-wrap-style:none" filled="f" stroked="f">
              <v:textbox style="mso-fit-shape-to-text:t" inset="0,0,0,0">
                <w:txbxContent>
                  <w:p w:rsidR="00FF2C64" w:rsidRDefault="00FF2C64" w:rsidP="00C244C2">
                    <w:r>
                      <w:rPr>
                        <w:rFonts w:ascii="Futura Lt BT" w:hAnsi="Futura Lt BT" w:cs="Futura Lt BT"/>
                        <w:color w:val="000000"/>
                        <w:sz w:val="10"/>
                        <w:szCs w:val="10"/>
                      </w:rPr>
                      <w:t>2005</w:t>
                    </w:r>
                  </w:p>
                </w:txbxContent>
              </v:textbox>
            </v:rect>
            <v:rect id="_x0000_s1149" style="position:absolute;left:3542;top:3433;width:246;height:480;mso-wrap-style:none" filled="f" stroked="f">
              <v:textbox style="mso-fit-shape-to-text:t" inset="0,0,0,0">
                <w:txbxContent>
                  <w:p w:rsidR="00FF2C64" w:rsidRDefault="00FF2C64" w:rsidP="00C244C2">
                    <w:r>
                      <w:rPr>
                        <w:rFonts w:ascii="Futura Lt BT" w:hAnsi="Futura Lt BT" w:cs="Futura Lt BT"/>
                        <w:color w:val="000000"/>
                        <w:sz w:val="10"/>
                        <w:szCs w:val="10"/>
                      </w:rPr>
                      <w:t>2006</w:t>
                    </w:r>
                  </w:p>
                </w:txbxContent>
              </v:textbox>
            </v:rect>
            <v:rect id="_x0000_s1150" style="position:absolute;left:4171;top:765;width:750;height:657" strokeweight="0"/>
            <v:shape id="_x0000_s1151" type="#_x0000_t75" style="position:absolute;left:4213;top:831;width:58;height:58">
              <v:imagedata r:id="rId46" o:title=""/>
            </v:shape>
            <v:rect id="_x0000_s1152" style="position:absolute;left:4213;top:831;width:58;height:58" filled="f" strokeweight=".4pt"/>
            <v:rect id="_x0000_s1153" style="position:absolute;left:4304;top:790;width:420;height:480;mso-wrap-style:none" filled="f" stroked="f">
              <v:textbox style="mso-fit-shape-to-text:t" inset="0,0,0,0">
                <w:txbxContent>
                  <w:p w:rsidR="00FF2C64" w:rsidRDefault="00FF2C64" w:rsidP="00C244C2">
                    <w:r>
                      <w:rPr>
                        <w:rFonts w:ascii="Futura Lt BT" w:hAnsi="Futura Lt BT" w:cs="Futura Lt BT"/>
                        <w:color w:val="000000"/>
                        <w:sz w:val="10"/>
                        <w:szCs w:val="10"/>
                      </w:rPr>
                      <w:t>Inscritos</w:t>
                    </w:r>
                  </w:p>
                </w:txbxContent>
              </v:textbox>
            </v:rect>
            <v:shape id="_x0000_s1154" type="#_x0000_t75" style="position:absolute;left:4213;top:1006;width:58;height:58">
              <v:imagedata r:id="rId47" o:title=""/>
            </v:shape>
            <v:rect id="_x0000_s1155" style="position:absolute;left:4213;top:1006;width:58;height:58" filled="f" strokeweight=".4pt"/>
            <v:rect id="_x0000_s1156" style="position:absolute;left:4304;top:964;width:518;height:240;mso-wrap-style:none" filled="f" stroked="f">
              <v:textbox style="mso-fit-shape-to-text:t" inset="0,0,0,0">
                <w:txbxContent>
                  <w:p w:rsidR="00FF2C64" w:rsidRDefault="00FF2C64" w:rsidP="00C244C2">
                    <w:r>
                      <w:rPr>
                        <w:rFonts w:ascii="Futura Lt BT" w:hAnsi="Futura Lt BT" w:cs="Futura Lt BT"/>
                        <w:color w:val="000000"/>
                        <w:sz w:val="10"/>
                        <w:szCs w:val="10"/>
                      </w:rPr>
                      <w:t>Evaluados</w:t>
                    </w:r>
                  </w:p>
                </w:txbxContent>
              </v:textbox>
            </v:rect>
            <v:shape id="_x0000_s1157" type="#_x0000_t75" style="position:absolute;left:4213;top:1180;width:58;height:59">
              <v:imagedata r:id="rId48" o:title=""/>
            </v:shape>
            <v:rect id="_x0000_s1158" style="position:absolute;left:4213;top:1180;width:58;height:59" filled="f" strokeweight=".4pt"/>
            <v:rect id="_x0000_s1159" style="position:absolute;left:4304;top:1139;width:584;height:480;mso-wrap-style:none" filled="f" stroked="f">
              <v:textbox style="mso-fit-shape-to-text:t" inset="0,0,0,0">
                <w:txbxContent>
                  <w:p w:rsidR="00FF2C64" w:rsidRDefault="00FF2C64" w:rsidP="00C244C2">
                    <w:r>
                      <w:rPr>
                        <w:rFonts w:ascii="Futura Lt BT" w:hAnsi="Futura Lt BT" w:cs="Futura Lt BT"/>
                        <w:color w:val="000000"/>
                        <w:sz w:val="10"/>
                        <w:szCs w:val="10"/>
                      </w:rPr>
                      <w:t>Promovidos</w:t>
                    </w:r>
                  </w:p>
                </w:txbxContent>
              </v:textbox>
            </v:rect>
            <v:rect id="_x0000_s1160" style="position:absolute;left:41;top:42;width:5010;height:3701" filled="f" strokeweight="0"/>
            <w10:anchorlock/>
          </v:group>
        </w:pict>
      </w:r>
    </w:p>
    <w:p w:rsidR="000F78FE" w:rsidRPr="00981E15" w:rsidRDefault="000F78FE" w:rsidP="000F78FE">
      <w:pPr>
        <w:pStyle w:val="FootnoteText"/>
        <w:tabs>
          <w:tab w:val="clear" w:pos="418"/>
          <w:tab w:val="right" w:pos="1476"/>
          <w:tab w:val="left" w:pos="1548"/>
          <w:tab w:val="right" w:pos="1836"/>
          <w:tab w:val="left" w:pos="1908"/>
        </w:tabs>
        <w:spacing w:line="120" w:lineRule="exact"/>
        <w:ind w:left="1548" w:right="1267" w:hanging="288"/>
        <w:rPr>
          <w:i/>
          <w:sz w:val="10"/>
        </w:rPr>
      </w:pPr>
    </w:p>
    <w:p w:rsidR="00C244C2" w:rsidRPr="00981E15" w:rsidRDefault="00C244C2" w:rsidP="000F78FE">
      <w:pPr>
        <w:pStyle w:val="FootnoteText"/>
        <w:tabs>
          <w:tab w:val="clear" w:pos="418"/>
          <w:tab w:val="right" w:pos="1476"/>
          <w:tab w:val="left" w:pos="1548"/>
          <w:tab w:val="right" w:pos="1836"/>
          <w:tab w:val="left" w:pos="1908"/>
        </w:tabs>
        <w:ind w:left="1548" w:right="1267" w:hanging="288"/>
      </w:pPr>
      <w:r w:rsidRPr="00981E15">
        <w:rPr>
          <w:i/>
        </w:rPr>
        <w:t>Fuente</w:t>
      </w:r>
      <w:r w:rsidRPr="00981E15">
        <w:t>: Centro de Cómputo -CONALFA- 2007</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sidRPr="00981E15">
        <w:rPr>
          <w:w w:val="104"/>
        </w:rPr>
        <w:tab/>
      </w:r>
      <w:r w:rsidRPr="00981E15">
        <w:rPr>
          <w:w w:val="104"/>
        </w:rPr>
        <w:tab/>
        <w:t>Educación extraescolar</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7B388A">
      <w:pPr>
        <w:pStyle w:val="SingleTxt"/>
        <w:numPr>
          <w:ilvl w:val="0"/>
          <w:numId w:val="31"/>
        </w:numPr>
        <w:tabs>
          <w:tab w:val="clear" w:pos="475"/>
          <w:tab w:val="num" w:pos="1742"/>
        </w:tabs>
        <w:suppressAutoHyphens/>
        <w:ind w:left="1267"/>
        <w:rPr>
          <w:w w:val="104"/>
        </w:rPr>
      </w:pPr>
      <w:r w:rsidRPr="00981E15">
        <w:rPr>
          <w:w w:val="104"/>
        </w:rPr>
        <w:t xml:space="preserve">El subsistema de educación extraescolar o paralela es una forma de realizar el proceso educativo, que el Estado y las instituciones proporcionan a la población que ha estado excluida o no ha tenido acceso a la educación escolar y a las que habiéndolas tenido desean ampliarla. </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w w:val="104"/>
        </w:rPr>
      </w:pPr>
      <w:r w:rsidRPr="00981E15">
        <w:rPr>
          <w:w w:val="104"/>
        </w:rPr>
        <w:tab/>
      </w:r>
      <w:r w:rsidRPr="00981E15">
        <w:rPr>
          <w:w w:val="104"/>
        </w:rPr>
        <w:tab/>
        <w:t>Centros Municipales de Capacitación y Formación Humana (CEMUCAF)</w:t>
      </w:r>
    </w:p>
    <w:p w:rsidR="00C244C2" w:rsidRPr="00981E15" w:rsidRDefault="00C244C2" w:rsidP="00C244C2">
      <w:pPr>
        <w:pStyle w:val="SingleTxt"/>
        <w:spacing w:after="0" w:line="120" w:lineRule="exact"/>
        <w:rPr>
          <w:sz w:val="10"/>
        </w:rPr>
      </w:pPr>
    </w:p>
    <w:p w:rsidR="00C244C2" w:rsidRPr="00981E15" w:rsidRDefault="00C244C2" w:rsidP="007B388A">
      <w:pPr>
        <w:pStyle w:val="SingleTxt"/>
        <w:numPr>
          <w:ilvl w:val="0"/>
          <w:numId w:val="31"/>
        </w:numPr>
        <w:tabs>
          <w:tab w:val="clear" w:pos="475"/>
          <w:tab w:val="num" w:pos="1742"/>
        </w:tabs>
        <w:suppressAutoHyphens/>
        <w:ind w:left="1267"/>
        <w:rPr>
          <w:w w:val="104"/>
        </w:rPr>
      </w:pPr>
      <w:r w:rsidRPr="00981E15">
        <w:rPr>
          <w:w w:val="104"/>
        </w:rPr>
        <w:t>Son centros de capacitación técnica que funcionan en un local específico dentro de las instalaciones de las municipalidades. Los programas de capacitación se orientan a tres elementos básicos: 1) aprovechamiento de los recursos locales, 2) uso de metodología innovadora y 3) respuesta al sector productivo. La Dirección General de Educación Extraescolar facilita la formación integral y técnico - ocupacional de mano de obra semi-calificada, y certifica los conocimientos, habilidades y destrezas de las personas egresadas.</w:t>
      </w:r>
    </w:p>
    <w:p w:rsidR="00C244C2" w:rsidRPr="00981E15" w:rsidRDefault="00C244C2" w:rsidP="007B388A">
      <w:pPr>
        <w:pStyle w:val="SingleTxt"/>
        <w:numPr>
          <w:ilvl w:val="0"/>
          <w:numId w:val="31"/>
        </w:numPr>
        <w:tabs>
          <w:tab w:val="clear" w:pos="475"/>
          <w:tab w:val="num" w:pos="1742"/>
        </w:tabs>
        <w:suppressAutoHyphens/>
        <w:ind w:left="1267"/>
        <w:rPr>
          <w:w w:val="104"/>
        </w:rPr>
      </w:pPr>
      <w:r w:rsidRPr="00981E15">
        <w:rPr>
          <w:w w:val="104"/>
        </w:rPr>
        <w:t>Estos centros de capacitación responden a las necesidades socioculturales, económicas y productivas locales para impulsar y fortalecer la pequeña y mediana empresa, contribuyendo al desarrollo de la población beneficiaria y su comunidad. Capacitan a padres, madres, adolescentes y jóvenes en los aspectos humanos y para el trabajo, dando énfasis en el respeto y la apropiación de los derechos de la niñez y la mujer.</w:t>
      </w:r>
    </w:p>
    <w:p w:rsidR="00C244C2" w:rsidRPr="00981E15" w:rsidRDefault="00C244C2" w:rsidP="007B388A">
      <w:pPr>
        <w:pStyle w:val="SingleTxt"/>
        <w:numPr>
          <w:ilvl w:val="0"/>
          <w:numId w:val="31"/>
        </w:numPr>
        <w:tabs>
          <w:tab w:val="clear" w:pos="475"/>
          <w:tab w:val="num" w:pos="1742"/>
        </w:tabs>
        <w:suppressAutoHyphens/>
        <w:ind w:left="1267"/>
      </w:pPr>
      <w:r w:rsidRPr="00981E15">
        <w:rPr>
          <w:b/>
        </w:rPr>
        <w:t>El Programa CEMUCAF tiene presencia en los 22 departamentos del país, cuenta con 470 centros y 201 técnicos. Atendió a 4,495 hombres y 7,779 mujeres, para un total de 18,793 personas (2006). En el 2005 atendió a 11,785 personas en 250 centros de todo el país</w:t>
      </w:r>
      <w:r w:rsidRPr="00981E15">
        <w:t>.</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Programa de Educación Primaria Acelerada (PEAC)</w:t>
      </w:r>
    </w:p>
    <w:p w:rsidR="00C244C2" w:rsidRPr="00981E15" w:rsidRDefault="00C244C2" w:rsidP="00C244C2">
      <w:pPr>
        <w:pStyle w:val="SingleTxt"/>
        <w:spacing w:after="0" w:line="120" w:lineRule="exact"/>
        <w:rPr>
          <w:sz w:val="10"/>
        </w:rPr>
      </w:pPr>
    </w:p>
    <w:p w:rsidR="00C244C2" w:rsidRPr="00981E15" w:rsidRDefault="00C244C2" w:rsidP="00AA30CC">
      <w:pPr>
        <w:pStyle w:val="SingleTxt"/>
        <w:numPr>
          <w:ilvl w:val="0"/>
          <w:numId w:val="31"/>
        </w:numPr>
        <w:tabs>
          <w:tab w:val="clear" w:pos="475"/>
          <w:tab w:val="num" w:pos="1742"/>
        </w:tabs>
        <w:suppressAutoHyphens/>
        <w:ind w:left="1267"/>
      </w:pPr>
      <w:r w:rsidRPr="00981E15">
        <w:rPr>
          <w:b/>
        </w:rPr>
        <w:t>A través de este programa se da continuidad a los procesos de alfabetización. Se ejecuta de manera flexible y adecuada a las características de los y las usuarias. Este programa brinda oportunidad a todas aquellas personas que saben leer y escribir y que desean continuar o completar su educación primaria, de forma gratuita. El Programa está dirigido a niños y niñas en sobre edad escolar, jóvenes y adultos que no han tenido acceso a la educación y brinda a niños, niñas, jóvenes y adultos la oportunidad de continuar y completar la educación primaria, utilizando un modelo propio de “</w:t>
      </w:r>
      <w:r w:rsidRPr="00981E15">
        <w:t>auto instrucción</w:t>
      </w:r>
      <w:r w:rsidRPr="00981E15">
        <w:rPr>
          <w:b/>
        </w:rPr>
        <w:t>” con una educación equivalente a la impartida en el sistema escolar, con una inversión menor en tiempo</w:t>
      </w:r>
      <w:r w:rsidRPr="00981E15">
        <w:t xml:space="preserve">. </w:t>
      </w:r>
    </w:p>
    <w:p w:rsidR="00C244C2" w:rsidRPr="00981E15" w:rsidRDefault="00C244C2" w:rsidP="005F2B0E">
      <w:pPr>
        <w:pStyle w:val="SingleTxt"/>
        <w:numPr>
          <w:ilvl w:val="0"/>
          <w:numId w:val="31"/>
        </w:numPr>
        <w:tabs>
          <w:tab w:val="clear" w:pos="475"/>
          <w:tab w:val="num" w:pos="1742"/>
        </w:tabs>
        <w:suppressAutoHyphens/>
        <w:ind w:left="1267"/>
      </w:pPr>
      <w:r w:rsidRPr="00981E15">
        <w:rPr>
          <w:b/>
        </w:rPr>
        <w:t>El PEAC en sus etapas I, III y IV promueve el respeto a los derechos humanos, así como la convivencia y la interculturalidad. El Programa PEAC tiene cobertura en los 22 departamentos, a marzo de 2007, se encontraban 2,114 hombres inscritos en la etapa I y 3,643 mujeres; en la etapa II, hombres 983 y mujeres 1,507; estos datos dan un total de 2,490 alumnos</w:t>
      </w:r>
      <w:r w:rsidRPr="00981E15">
        <w:t>.</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Núcleos Educativos Familiares para el Desarrollo (NUFED)</w:t>
      </w:r>
    </w:p>
    <w:p w:rsidR="00C244C2" w:rsidRPr="00981E15" w:rsidRDefault="00C244C2" w:rsidP="00C244C2">
      <w:pPr>
        <w:pStyle w:val="SingleTxt"/>
        <w:spacing w:after="0" w:line="120" w:lineRule="exact"/>
        <w:rPr>
          <w:sz w:val="10"/>
        </w:rPr>
      </w:pPr>
    </w:p>
    <w:p w:rsidR="00C244C2" w:rsidRPr="00981E15" w:rsidRDefault="00C244C2" w:rsidP="005F2B0E">
      <w:pPr>
        <w:pStyle w:val="SingleTxt"/>
        <w:numPr>
          <w:ilvl w:val="0"/>
          <w:numId w:val="31"/>
        </w:numPr>
        <w:tabs>
          <w:tab w:val="clear" w:pos="475"/>
          <w:tab w:val="num" w:pos="1742"/>
        </w:tabs>
        <w:suppressAutoHyphens/>
        <w:ind w:left="1267"/>
      </w:pPr>
      <w:r w:rsidRPr="00981E15">
        <w:rPr>
          <w:b/>
        </w:rPr>
        <w:t>Por medio de este programa de educación secundaria se atiende de séptimo a noveno grados, con la metodología alternancia a adolescentes y jóvenes entre catorce y veinte años de edad, del área rural en todo el país. En el 2005 atendió a 10,605 alumnos y alumnas en 370 centros. En el 2006 atendió a una población de 16,985 personas, con 550 centros. A marzo de 2007, el programa amplió su cobertura a los 22 departamentos teniendo un total de 609 centros funcionando a nivel nacional. Atendiendo a 185 municipios, 11,338 hombres y 8,836 mujeres, siendo un total de 20,174 en los tres grados</w:t>
      </w:r>
      <w:r w:rsidRPr="00981E15">
        <w:t>.</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Promotores Juveniles Comunitarios (PJC)</w:t>
      </w:r>
    </w:p>
    <w:p w:rsidR="00C244C2" w:rsidRPr="00981E15" w:rsidRDefault="00C244C2" w:rsidP="00C244C2">
      <w:pPr>
        <w:pStyle w:val="SingleTxt"/>
        <w:spacing w:after="0" w:line="120" w:lineRule="exact"/>
        <w:rPr>
          <w:sz w:val="10"/>
        </w:rPr>
      </w:pPr>
    </w:p>
    <w:p w:rsidR="00C244C2" w:rsidRPr="00981E15" w:rsidRDefault="00C244C2" w:rsidP="005F2B0E">
      <w:pPr>
        <w:pStyle w:val="SingleTxt"/>
        <w:numPr>
          <w:ilvl w:val="0"/>
          <w:numId w:val="31"/>
        </w:numPr>
        <w:tabs>
          <w:tab w:val="clear" w:pos="475"/>
          <w:tab w:val="num" w:pos="1742"/>
        </w:tabs>
        <w:suppressAutoHyphens/>
        <w:ind w:left="1267"/>
      </w:pPr>
      <w:r w:rsidRPr="00981E15">
        <w:rPr>
          <w:b/>
        </w:rPr>
        <w:t>Este proyecto es dirigido a grupos de adolescentes y jóvenes comprendidos entre 14 y 24 años de edad. Promueve y facilita la organización juvenil en el ámbito comunitario, municipal y departamental, dando capacitación y formación en temas de autoestima, liderazgo, educación en salud sexual, reproductiva e ITS/VIH/SIDA, educación para la paz, participación ciudadana, valores, derechos humanos, derechos de la niñez y derechos de la mujer, dando énfasis a la equidad de género y a la participación ciudadana. En el 2005 atendió a 21,451 jóvenes de los 22 departamentos del país</w:t>
      </w:r>
      <w:r w:rsidRPr="00981E15">
        <w:t>.</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Programas educativos complementarios</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Educadores en prevención del VIH/SIDA</w:t>
      </w:r>
    </w:p>
    <w:p w:rsidR="00C244C2" w:rsidRPr="00981E15" w:rsidRDefault="00C244C2" w:rsidP="00C244C2">
      <w:pPr>
        <w:pStyle w:val="SingleTxt"/>
        <w:spacing w:after="0" w:line="120" w:lineRule="exact"/>
        <w:rPr>
          <w:sz w:val="10"/>
        </w:rPr>
      </w:pPr>
    </w:p>
    <w:p w:rsidR="00C244C2" w:rsidRPr="00981E15" w:rsidRDefault="00C244C2" w:rsidP="005F2B0E">
      <w:pPr>
        <w:pStyle w:val="SingleTxt"/>
        <w:numPr>
          <w:ilvl w:val="0"/>
          <w:numId w:val="31"/>
        </w:numPr>
        <w:tabs>
          <w:tab w:val="clear" w:pos="475"/>
          <w:tab w:val="num" w:pos="1742"/>
        </w:tabs>
        <w:suppressAutoHyphens/>
        <w:ind w:left="1267"/>
      </w:pPr>
      <w:r w:rsidRPr="00981E15">
        <w:t xml:space="preserve">A través de la Coordinación de Educadores de Prevención del VIH/SIDA </w:t>
      </w:r>
      <w:r w:rsidRPr="00981E15">
        <w:rPr>
          <w:spacing w:val="2"/>
        </w:rPr>
        <w:t>(COEPSIDA), se ha capacitado y distribuido material didáctico tanto a docentes como a estudiantes del nivel medio de todos los sectores educativos, de 18 departamentos del país, atendiendo a 10,657 participantes (2005). Los materiales distribuidos corresponden a la temática específica de las capacitaciones siendo éstas “Dile si a la vida … protégete del SIDA”, “informémonos y prevengamos el SIDA”,</w:t>
      </w:r>
      <w:r w:rsidRPr="00981E15">
        <w:t xml:space="preserve"> y “Practiquemos la empatía con las personas afectadas por el VIH-SIDA”. Los participantes realizaron la réplica de estos talleres en sus comunidades, tanto en español, como en Q</w:t>
      </w:r>
      <w:r w:rsidR="007352CD">
        <w:t>’</w:t>
      </w:r>
      <w:r w:rsidRPr="00981E15">
        <w:t>eqchi</w:t>
      </w:r>
      <w:r w:rsidR="007352CD">
        <w:t>’</w:t>
      </w:r>
      <w:r w:rsidRPr="00981E15">
        <w:t>, Mam, K</w:t>
      </w:r>
      <w:r w:rsidR="007352CD">
        <w:t>’</w:t>
      </w:r>
      <w:r w:rsidRPr="00981E15">
        <w:t>iche</w:t>
      </w:r>
      <w:r w:rsidR="007352CD">
        <w:t>’</w:t>
      </w:r>
      <w:r w:rsidRPr="00981E15">
        <w:t xml:space="preserve"> y Kaqchikel.</w:t>
      </w:r>
    </w:p>
    <w:p w:rsidR="00C244C2" w:rsidRPr="00981E15" w:rsidRDefault="00C244C2" w:rsidP="00085D6D">
      <w:pPr>
        <w:pStyle w:val="SingleTxt"/>
        <w:numPr>
          <w:ilvl w:val="0"/>
          <w:numId w:val="31"/>
        </w:numPr>
        <w:tabs>
          <w:tab w:val="clear" w:pos="475"/>
          <w:tab w:val="num" w:pos="1742"/>
        </w:tabs>
        <w:suppressAutoHyphens/>
        <w:ind w:left="1267"/>
      </w:pPr>
      <w:r w:rsidRPr="00981E15">
        <w:t>En el 2006 se orientó en el uso de los módulos educativos del VIH/SIDA a 2,220 estudiantes de las escuelas e institutos normales del ciclo diversificado, quienes realizaron su práctica docente en escuelas de aplicación del nivel primario de diez departamentos. Estos futuros maestros y maestras orientaron a 37,485 niños y niñas del nivel primario de 128 escuelas de aplicación.</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Educación Inclusiva</w:t>
      </w:r>
    </w:p>
    <w:p w:rsidR="00C244C2" w:rsidRPr="00981E15" w:rsidRDefault="00C244C2" w:rsidP="00C244C2">
      <w:pPr>
        <w:pStyle w:val="SingleTxt"/>
        <w:spacing w:after="0" w:line="120" w:lineRule="exact"/>
        <w:rPr>
          <w:sz w:val="10"/>
        </w:rPr>
      </w:pPr>
    </w:p>
    <w:p w:rsidR="00C244C2" w:rsidRPr="00981E15" w:rsidRDefault="00C244C2" w:rsidP="00085D6D">
      <w:pPr>
        <w:pStyle w:val="SingleTxt"/>
        <w:numPr>
          <w:ilvl w:val="0"/>
          <w:numId w:val="31"/>
        </w:numPr>
        <w:tabs>
          <w:tab w:val="clear" w:pos="475"/>
          <w:tab w:val="num" w:pos="1742"/>
        </w:tabs>
        <w:suppressAutoHyphens/>
        <w:ind w:left="1267"/>
      </w:pPr>
      <w:r w:rsidRPr="00981E15">
        <w:t>Con esta modalidad se impulsó la Educación Especial. A través de este programa se brinda educación formal en los distintos niveles educativos por medio de programas y servicios educativos, así como atención a la población con necesidades educativas especiales. Algunos de los programas son: Aula integrada, Aula recurso de problemas de aprendizaje y de lenguaje, Programa Escuela de Educación Especial. Con este programa se asistió a 5,150 alumnos, 2350 niñas y 2800 niños, con el apoyo de 222 docentes, en 22 centros de educación especial y 128 centros educativos en los 22 departamentos del país.</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Educación Física</w:t>
      </w:r>
    </w:p>
    <w:p w:rsidR="00C244C2" w:rsidRPr="00981E15" w:rsidRDefault="00C244C2" w:rsidP="00C244C2">
      <w:pPr>
        <w:pStyle w:val="SingleTxt"/>
        <w:spacing w:after="0" w:line="120" w:lineRule="exact"/>
        <w:rPr>
          <w:sz w:val="10"/>
        </w:rPr>
      </w:pPr>
    </w:p>
    <w:p w:rsidR="00C244C2" w:rsidRPr="00981E15" w:rsidRDefault="00C244C2" w:rsidP="00085D6D">
      <w:pPr>
        <w:pStyle w:val="SingleTxt"/>
        <w:numPr>
          <w:ilvl w:val="0"/>
          <w:numId w:val="31"/>
        </w:numPr>
        <w:tabs>
          <w:tab w:val="clear" w:pos="475"/>
          <w:tab w:val="num" w:pos="1742"/>
        </w:tabs>
        <w:suppressAutoHyphens/>
        <w:ind w:left="1267"/>
        <w:rPr>
          <w:spacing w:val="2"/>
        </w:rPr>
      </w:pPr>
      <w:r w:rsidRPr="00981E15">
        <w:rPr>
          <w:spacing w:val="2"/>
        </w:rPr>
        <w:t>El MINEDUC formó a 1,936 alumnos, 1,312 hombres y 624 mujeres, en las 22 Escuelas Normales de Educación Física, en igual número de departamentos. En las Escuelas de Iniciación Deportiva, las niñas y los niños en edad escolar reciben los fundamentos técnicos de las diferentes disciplinas deportivas, después de su horario normal de clases. Este programa tiene tres fases: masificación, selectividad y talentos. Se atendió a 55,187 alumnos de 47 escuelas, 29,995 hombres y 25,192 mujeres.</w:t>
      </w:r>
    </w:p>
    <w:p w:rsidR="00C244C2" w:rsidRPr="00981E15" w:rsidRDefault="00C244C2" w:rsidP="00085D6D">
      <w:pPr>
        <w:pStyle w:val="SingleTxt"/>
        <w:numPr>
          <w:ilvl w:val="0"/>
          <w:numId w:val="31"/>
        </w:numPr>
        <w:tabs>
          <w:tab w:val="clear" w:pos="475"/>
          <w:tab w:val="num" w:pos="1742"/>
        </w:tabs>
        <w:suppressAutoHyphens/>
        <w:ind w:left="1267"/>
      </w:pPr>
      <w:r w:rsidRPr="00981E15">
        <w:t>3,522 Juntas Escolares de escuelas primarias del sector oficial recibieron un aporte para la compra de implementos deportivos para la práctica de deporte escolar y recreación en los centros educativos beneficiados. Del 2004 al 2007 se celebraron los Juegos Olímpicos Escolares Nacionales de los Niveles Primario y Medio. En esta actividad se involucra a todos los alumnos y alumnas de los establecimientos educativos del país.</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Sistema de Gestión de calidad</w:t>
      </w:r>
    </w:p>
    <w:p w:rsidR="00C244C2" w:rsidRPr="00981E15" w:rsidRDefault="00C244C2" w:rsidP="00C244C2">
      <w:pPr>
        <w:pStyle w:val="SingleTxt"/>
        <w:spacing w:after="0" w:line="120" w:lineRule="exact"/>
        <w:rPr>
          <w:sz w:val="10"/>
        </w:rPr>
      </w:pPr>
    </w:p>
    <w:p w:rsidR="00C244C2" w:rsidRPr="00981E15" w:rsidRDefault="00C244C2" w:rsidP="00085D6D">
      <w:pPr>
        <w:pStyle w:val="SingleTxt"/>
        <w:numPr>
          <w:ilvl w:val="0"/>
          <w:numId w:val="31"/>
        </w:numPr>
        <w:tabs>
          <w:tab w:val="clear" w:pos="475"/>
          <w:tab w:val="num" w:pos="1742"/>
        </w:tabs>
        <w:suppressAutoHyphens/>
        <w:ind w:left="1267"/>
      </w:pPr>
      <w:r w:rsidRPr="00981E15">
        <w:t xml:space="preserve">La Certificación ISO 9001:200 fue otorgada al MINEDUC por la ejecución del Sistema de la Gestión de Calidad implementado en la Sede Central y en las Direcciones Departamentales de Guatemala, Quetzaltenango y Baja Verapaz, de planificación de recursos, reclutamiento, selección, nombramiento/contratación y gestión de personal administrativo y docente. A través de este sistema se fomenta y desarrolla la autodisciplina en la institución. Se fortalecieron los principios de la Norma ISO 9001:200 para mejorar la calidad de los servicios que presta el MINEDUC y consolidar una cultura de calidad en el servicio público. </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Educación superior </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Instituto Universitario de la Mujer (IMUSAC) </w:t>
      </w:r>
    </w:p>
    <w:p w:rsidR="00C244C2" w:rsidRPr="00981E15" w:rsidRDefault="00C244C2" w:rsidP="00C244C2">
      <w:pPr>
        <w:pStyle w:val="SingleTxt"/>
        <w:spacing w:after="0" w:line="120" w:lineRule="exact"/>
        <w:rPr>
          <w:sz w:val="10"/>
        </w:rPr>
      </w:pPr>
    </w:p>
    <w:p w:rsidR="00C244C2" w:rsidRPr="00981E15" w:rsidRDefault="00C244C2" w:rsidP="00272452">
      <w:pPr>
        <w:pStyle w:val="SingleTxt"/>
        <w:numPr>
          <w:ilvl w:val="0"/>
          <w:numId w:val="31"/>
        </w:numPr>
        <w:tabs>
          <w:tab w:val="clear" w:pos="475"/>
          <w:tab w:val="num" w:pos="1742"/>
        </w:tabs>
        <w:suppressAutoHyphens/>
        <w:ind w:left="1267"/>
      </w:pPr>
      <w:r w:rsidRPr="00981E15">
        <w:t>El 11 de noviembre de 2004 se crea el Instituto Universitario de la Mujer de la Universidad de San Carlos de Guatemala (</w:t>
      </w:r>
      <w:r w:rsidR="00550700" w:rsidRPr="00981E15">
        <w:t>IMUSAC</w:t>
      </w:r>
      <w:r w:rsidRPr="00981E15">
        <w:t>), como el ente rector de políticas y acciones universitarias a favor de las mujeres. La presentación pública de este ente fue el 8 de marzo de año 2005, en el marco de la conmemoración del Día internacional de la Mujer. Su creación es el resultado de casi diez años de cabildeo y movilización de diversos sectores de mujeres universitarias. El Consejo Superior Universitario, institucionalizó al IUMUSAC en el punto 7º. Inciso 7.2, acta No. 16-2006 de fecha 21 de junio de 2006. Su misión es asesorar, dirigir, promover, coordinar, articular y ejecutar programas y proyectos de investigación, docencia y extensión universitaria, relacionados con el desarrollo, adelanto y mejoramiento de la condición de las mujeres en el país; promover una cultura y equidad de género, respeto a la diversidad sociocultural y acceso al desarrollo.</w:t>
      </w:r>
    </w:p>
    <w:p w:rsidR="00C244C2" w:rsidRPr="00981E15" w:rsidRDefault="00C244C2" w:rsidP="00550700">
      <w:pPr>
        <w:pStyle w:val="SingleTxt"/>
        <w:numPr>
          <w:ilvl w:val="0"/>
          <w:numId w:val="31"/>
        </w:numPr>
        <w:tabs>
          <w:tab w:val="clear" w:pos="475"/>
          <w:tab w:val="num" w:pos="1742"/>
        </w:tabs>
        <w:suppressAutoHyphens/>
        <w:ind w:left="1267"/>
      </w:pPr>
      <w:r w:rsidRPr="00981E15">
        <w:t>Dentro de las principales acciones de carácter divulgativo, se produce la “Revista Mujeres Universidad” como parte de fortalecer el proceso histórico-cultural, por medio de la formación del pensamiento constructor de la memoria histórica de la sociedad y las mujeres, ligándolas al análisis crítico del presente y sus tendencias, visibilizando sus aportes como sujetas históricas sociales. “La Revista Mujeres y Universidad” es un espacio académico plural, para el estudio, diálogo y análisis de la realidad de las mujeres y la equidad de género en la sociedad, particularmente en la educación superior.</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Participación de las mujeres en la educación superior</w:t>
      </w:r>
    </w:p>
    <w:p w:rsidR="00C244C2" w:rsidRPr="00981E15" w:rsidRDefault="00C244C2" w:rsidP="00C244C2">
      <w:pPr>
        <w:pStyle w:val="SingleTxt"/>
        <w:spacing w:after="0" w:line="120" w:lineRule="exact"/>
        <w:rPr>
          <w:sz w:val="10"/>
        </w:rPr>
      </w:pPr>
    </w:p>
    <w:p w:rsidR="00C244C2" w:rsidRPr="00981E15" w:rsidRDefault="00C244C2" w:rsidP="00550700">
      <w:pPr>
        <w:pStyle w:val="SingleTxt"/>
        <w:numPr>
          <w:ilvl w:val="0"/>
          <w:numId w:val="31"/>
        </w:numPr>
        <w:tabs>
          <w:tab w:val="clear" w:pos="475"/>
          <w:tab w:val="num" w:pos="1742"/>
        </w:tabs>
        <w:suppressAutoHyphens/>
        <w:ind w:left="1267"/>
      </w:pPr>
      <w:r w:rsidRPr="00981E15">
        <w:t xml:space="preserve">El indicador de inscripción estudiantil confirma que a lo largo del período 2005-2007 en la Universidad Estatal de Guatemala, Universidad San Carlos de Guatemala (USAC), la presencia de las mujeres ha sido en menor cantidad comparada con la presencia de los hombres, a pesar del leve aumento en el porcentaje de mujeres del 2004 al 2007. </w:t>
      </w:r>
    </w:p>
    <w:p w:rsidR="00E600D2" w:rsidRPr="00E600D2" w:rsidRDefault="00E600D2" w:rsidP="00E600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hanging="1267"/>
        <w:rPr>
          <w:b w:val="0"/>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rPr>
          <w:b w:val="0"/>
        </w:rPr>
        <w:tab/>
      </w:r>
      <w:r w:rsidRPr="00981E15">
        <w:rPr>
          <w:b w:val="0"/>
        </w:rPr>
        <w:tab/>
        <w:t>Cuadro 21</w:t>
      </w:r>
      <w:r w:rsidRPr="00981E15">
        <w:br/>
        <w:t>Matrícula Estudiantil de primer ingreso por sexo</w:t>
      </w:r>
      <w:r w:rsidR="00E5712D">
        <w:t>,</w:t>
      </w:r>
      <w:r w:rsidRPr="00981E15">
        <w:br/>
        <w:t>Universidad San Carlos de Guatemala 2004-2007</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C244C2" w:rsidRPr="00981E15">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rPr>
                <w:i/>
                <w:kern w:val="0"/>
                <w:sz w:val="14"/>
              </w:rPr>
            </w:pPr>
            <w:r w:rsidRPr="00981E15">
              <w:rPr>
                <w:i/>
                <w:kern w:val="0"/>
                <w:sz w:val="14"/>
              </w:rPr>
              <w:t>Año</w:t>
            </w:r>
          </w:p>
        </w:tc>
        <w:tc>
          <w:tcPr>
            <w:tcW w:w="1220"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Total</w:t>
            </w:r>
          </w:p>
        </w:tc>
        <w:tc>
          <w:tcPr>
            <w:tcW w:w="1220"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Mujeres</w:t>
            </w:r>
          </w:p>
        </w:tc>
        <w:tc>
          <w:tcPr>
            <w:tcW w:w="1220"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w:t>
            </w:r>
          </w:p>
        </w:tc>
        <w:tc>
          <w:tcPr>
            <w:tcW w:w="1220"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Hombres</w:t>
            </w:r>
          </w:p>
        </w:tc>
        <w:tc>
          <w:tcPr>
            <w:tcW w:w="1220" w:type="dxa"/>
            <w:tcBorders>
              <w:top w:val="single" w:sz="4"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w:t>
            </w:r>
          </w:p>
        </w:tc>
      </w:tr>
      <w:tr w:rsidR="00C244C2" w:rsidRPr="00981E15">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r>
      <w:tr w:rsidR="00C244C2" w:rsidRPr="00981E15">
        <w:tblPrEx>
          <w:tblCellMar>
            <w:top w:w="0" w:type="dxa"/>
            <w:bottom w:w="0" w:type="dxa"/>
          </w:tblCellMar>
        </w:tblPrEx>
        <w:tc>
          <w:tcPr>
            <w:tcW w:w="1220" w:type="dxa"/>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2004</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123,901</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55,866</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45.0</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68,035</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55.0</w:t>
            </w:r>
          </w:p>
        </w:tc>
      </w:tr>
      <w:tr w:rsidR="00C244C2" w:rsidRPr="00981E15">
        <w:tblPrEx>
          <w:tblCellMar>
            <w:top w:w="0" w:type="dxa"/>
            <w:bottom w:w="0" w:type="dxa"/>
          </w:tblCellMar>
        </w:tblPrEx>
        <w:tc>
          <w:tcPr>
            <w:tcW w:w="1220" w:type="dxa"/>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2005</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112,968</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52,185</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46.0</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60,783</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54.0</w:t>
            </w:r>
          </w:p>
        </w:tc>
      </w:tr>
      <w:tr w:rsidR="00C244C2" w:rsidRPr="00981E15">
        <w:tblPrEx>
          <w:tblCellMar>
            <w:top w:w="0" w:type="dxa"/>
            <w:bottom w:w="0" w:type="dxa"/>
          </w:tblCellMar>
        </w:tblPrEx>
        <w:tc>
          <w:tcPr>
            <w:tcW w:w="1220" w:type="dxa"/>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2006</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112,257</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52,74</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47.0</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59,517</w:t>
            </w:r>
          </w:p>
        </w:tc>
        <w:tc>
          <w:tcPr>
            <w:tcW w:w="1220" w:type="dxa"/>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53.0</w:t>
            </w:r>
          </w:p>
        </w:tc>
      </w:tr>
      <w:tr w:rsidR="00C244C2" w:rsidRPr="00981E15">
        <w:tblPrEx>
          <w:tblCellMar>
            <w:top w:w="0" w:type="dxa"/>
            <w:bottom w:w="0" w:type="dxa"/>
          </w:tblCellMar>
        </w:tblPrEx>
        <w:tc>
          <w:tcPr>
            <w:tcW w:w="1220" w:type="dxa"/>
            <w:tcBorders>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2007</w:t>
            </w:r>
          </w:p>
        </w:tc>
        <w:tc>
          <w:tcPr>
            <w:tcW w:w="1220" w:type="dxa"/>
            <w:tcBorders>
              <w:bottom w:val="single" w:sz="12" w:space="0" w:color="auto"/>
            </w:tcBorders>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117,35</w:t>
            </w:r>
          </w:p>
        </w:tc>
        <w:tc>
          <w:tcPr>
            <w:tcW w:w="1220" w:type="dxa"/>
            <w:tcBorders>
              <w:bottom w:val="single" w:sz="12" w:space="0" w:color="auto"/>
            </w:tcBorders>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56,499</w:t>
            </w:r>
          </w:p>
        </w:tc>
        <w:tc>
          <w:tcPr>
            <w:tcW w:w="1220" w:type="dxa"/>
            <w:tcBorders>
              <w:bottom w:val="single" w:sz="12" w:space="0" w:color="auto"/>
            </w:tcBorders>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48.0</w:t>
            </w:r>
          </w:p>
        </w:tc>
        <w:tc>
          <w:tcPr>
            <w:tcW w:w="1220" w:type="dxa"/>
            <w:tcBorders>
              <w:bottom w:val="single" w:sz="12" w:space="0" w:color="auto"/>
            </w:tcBorders>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60,35</w:t>
            </w:r>
          </w:p>
        </w:tc>
        <w:tc>
          <w:tcPr>
            <w:tcW w:w="1220" w:type="dxa"/>
            <w:tcBorders>
              <w:bottom w:val="single" w:sz="12" w:space="0" w:color="auto"/>
            </w:tcBorders>
            <w:shd w:val="clear" w:color="auto" w:fill="auto"/>
            <w:vAlign w:val="bottom"/>
          </w:tcPr>
          <w:p w:rsidR="00C244C2" w:rsidRPr="00981E15" w:rsidRDefault="00C244C2" w:rsidP="00C244C2">
            <w:pPr>
              <w:tabs>
                <w:tab w:val="decimal" w:pos="800"/>
              </w:tabs>
              <w:spacing w:before="40" w:after="40" w:line="210" w:lineRule="exact"/>
              <w:ind w:right="40"/>
              <w:jc w:val="right"/>
              <w:rPr>
                <w:kern w:val="0"/>
                <w:sz w:val="17"/>
                <w:szCs w:val="17"/>
              </w:rPr>
            </w:pPr>
            <w:r w:rsidRPr="00981E15">
              <w:rPr>
                <w:kern w:val="0"/>
                <w:sz w:val="17"/>
                <w:szCs w:val="17"/>
              </w:rPr>
              <w:t>52.0</w:t>
            </w:r>
          </w:p>
        </w:tc>
      </w:tr>
    </w:tbl>
    <w:p w:rsidR="00C244C2" w:rsidRPr="00981E15" w:rsidRDefault="00C244C2" w:rsidP="00C244C2">
      <w:pPr>
        <w:pStyle w:val="SingleTxt"/>
        <w:spacing w:after="0" w:line="120" w:lineRule="exact"/>
        <w:rPr>
          <w:sz w:val="10"/>
        </w:rPr>
      </w:pPr>
    </w:p>
    <w:p w:rsidR="00C244C2" w:rsidRPr="00981E15" w:rsidRDefault="00C244C2" w:rsidP="00550700">
      <w:pPr>
        <w:pStyle w:val="FootnoteText"/>
        <w:tabs>
          <w:tab w:val="clear" w:pos="418"/>
          <w:tab w:val="right" w:pos="1476"/>
          <w:tab w:val="left" w:pos="1548"/>
          <w:tab w:val="right" w:pos="1836"/>
          <w:tab w:val="left" w:pos="1908"/>
        </w:tabs>
        <w:ind w:left="1548" w:right="1267" w:hanging="288"/>
      </w:pPr>
      <w:r w:rsidRPr="00981E15">
        <w:rPr>
          <w:i/>
        </w:rPr>
        <w:t>Fuente</w:t>
      </w:r>
      <w:r w:rsidRPr="00981E15">
        <w:t>: Tendencias de las femoestadísticas políticas y sociales. IUMUSAC.</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22</w:t>
      </w:r>
      <w:r w:rsidRPr="00981E15">
        <w:br/>
        <w:t xml:space="preserve">Carreras con alta graduación de mujeres, Universidad San Carlos </w:t>
      </w:r>
      <w:r w:rsidR="00550700" w:rsidRPr="00981E15">
        <w:br/>
      </w:r>
      <w:r w:rsidRPr="00981E15">
        <w:t>de Guatemala</w:t>
      </w:r>
      <w:r w:rsidR="00E600D2">
        <w:t>,</w:t>
      </w:r>
      <w:r w:rsidR="00550700" w:rsidRPr="00981E15">
        <w:t xml:space="preserve"> </w:t>
      </w:r>
      <w:r w:rsidRPr="00981E15">
        <w:t>ciclo académico 2004</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tbl>
      <w:tblPr>
        <w:tblW w:w="3651" w:type="pct"/>
        <w:jc w:val="center"/>
        <w:tblInd w:w="9870" w:type="dxa"/>
        <w:tblCellMar>
          <w:left w:w="70" w:type="dxa"/>
          <w:right w:w="70" w:type="dxa"/>
        </w:tblCellMar>
        <w:tblLook w:val="0000" w:firstRow="0" w:lastRow="0" w:firstColumn="0" w:lastColumn="0" w:noHBand="0" w:noVBand="0"/>
      </w:tblPr>
      <w:tblGrid>
        <w:gridCol w:w="2561"/>
        <w:gridCol w:w="2573"/>
        <w:gridCol w:w="2161"/>
      </w:tblGrid>
      <w:tr w:rsidR="00C244C2" w:rsidRPr="00981E15">
        <w:trPr>
          <w:trHeight w:val="255"/>
          <w:tblHeader/>
          <w:jc w:val="center"/>
        </w:trPr>
        <w:tc>
          <w:tcPr>
            <w:tcW w:w="1842" w:type="pct"/>
            <w:tcBorders>
              <w:top w:val="single" w:sz="4" w:space="0" w:color="auto"/>
              <w:bottom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80" w:after="80" w:line="160" w:lineRule="exact"/>
              <w:ind w:left="1548" w:right="40" w:hanging="1515"/>
              <w:rPr>
                <w:i/>
                <w:spacing w:val="4"/>
                <w:w w:val="103"/>
                <w:kern w:val="0"/>
                <w:sz w:val="14"/>
              </w:rPr>
            </w:pPr>
            <w:r w:rsidRPr="00981E15">
              <w:rPr>
                <w:i/>
                <w:spacing w:val="4"/>
                <w:w w:val="103"/>
                <w:kern w:val="0"/>
                <w:sz w:val="14"/>
              </w:rPr>
              <w:t>Unidad Académica</w:t>
            </w:r>
          </w:p>
        </w:tc>
        <w:tc>
          <w:tcPr>
            <w:tcW w:w="1849" w:type="pct"/>
            <w:tcBorders>
              <w:top w:val="single" w:sz="4" w:space="0" w:color="auto"/>
              <w:bottom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80" w:after="80" w:line="160" w:lineRule="exact"/>
              <w:ind w:left="1548" w:right="40" w:hanging="288"/>
              <w:jc w:val="right"/>
              <w:rPr>
                <w:i/>
                <w:spacing w:val="4"/>
                <w:w w:val="103"/>
                <w:kern w:val="0"/>
                <w:sz w:val="14"/>
              </w:rPr>
            </w:pPr>
            <w:r w:rsidRPr="00981E15">
              <w:rPr>
                <w:i/>
                <w:spacing w:val="4"/>
                <w:w w:val="103"/>
                <w:kern w:val="0"/>
                <w:sz w:val="14"/>
              </w:rPr>
              <w:t>Mujeres %</w:t>
            </w:r>
          </w:p>
        </w:tc>
        <w:tc>
          <w:tcPr>
            <w:tcW w:w="1309" w:type="pct"/>
            <w:tcBorders>
              <w:top w:val="single" w:sz="4" w:space="0" w:color="auto"/>
              <w:bottom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80" w:after="80" w:line="160" w:lineRule="exact"/>
              <w:ind w:left="1548" w:right="40" w:hanging="288"/>
              <w:jc w:val="right"/>
              <w:rPr>
                <w:i/>
                <w:spacing w:val="4"/>
                <w:w w:val="103"/>
                <w:kern w:val="0"/>
                <w:sz w:val="14"/>
              </w:rPr>
            </w:pPr>
            <w:r w:rsidRPr="00981E15">
              <w:rPr>
                <w:i/>
                <w:spacing w:val="4"/>
                <w:w w:val="103"/>
                <w:kern w:val="0"/>
                <w:sz w:val="14"/>
              </w:rPr>
              <w:t>Hombres %</w:t>
            </w:r>
          </w:p>
        </w:tc>
      </w:tr>
      <w:tr w:rsidR="00C244C2" w:rsidRPr="00981E15">
        <w:trPr>
          <w:trHeight w:hRule="exact" w:val="115"/>
          <w:tblHeader/>
          <w:jc w:val="center"/>
        </w:trPr>
        <w:tc>
          <w:tcPr>
            <w:tcW w:w="1842" w:type="pct"/>
            <w:tcBorders>
              <w:top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rPr>
                <w:spacing w:val="4"/>
                <w:w w:val="103"/>
                <w:kern w:val="0"/>
              </w:rPr>
            </w:pPr>
          </w:p>
        </w:tc>
        <w:tc>
          <w:tcPr>
            <w:tcW w:w="1849" w:type="pct"/>
            <w:tcBorders>
              <w:top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p>
        </w:tc>
        <w:tc>
          <w:tcPr>
            <w:tcW w:w="1309" w:type="pct"/>
            <w:tcBorders>
              <w:top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p>
        </w:tc>
      </w:tr>
      <w:tr w:rsidR="00C244C2" w:rsidRPr="00981E15">
        <w:trPr>
          <w:trHeight w:val="255"/>
          <w:jc w:val="center"/>
        </w:trPr>
        <w:tc>
          <w:tcPr>
            <w:tcW w:w="1842"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1491"/>
              <w:rPr>
                <w:spacing w:val="4"/>
                <w:w w:val="103"/>
                <w:kern w:val="0"/>
              </w:rPr>
            </w:pPr>
            <w:r w:rsidRPr="00981E15">
              <w:rPr>
                <w:spacing w:val="4"/>
                <w:w w:val="103"/>
                <w:kern w:val="0"/>
              </w:rPr>
              <w:t>Trabajo Social</w:t>
            </w:r>
          </w:p>
        </w:tc>
        <w:tc>
          <w:tcPr>
            <w:tcW w:w="184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98.47</w:t>
            </w:r>
          </w:p>
        </w:tc>
        <w:tc>
          <w:tcPr>
            <w:tcW w:w="130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1.53</w:t>
            </w:r>
          </w:p>
        </w:tc>
      </w:tr>
      <w:tr w:rsidR="00C244C2" w:rsidRPr="00981E15">
        <w:trPr>
          <w:trHeight w:val="255"/>
          <w:jc w:val="center"/>
        </w:trPr>
        <w:tc>
          <w:tcPr>
            <w:tcW w:w="1842"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1491"/>
              <w:rPr>
                <w:spacing w:val="4"/>
                <w:w w:val="103"/>
                <w:kern w:val="0"/>
              </w:rPr>
            </w:pPr>
            <w:r w:rsidRPr="00981E15">
              <w:rPr>
                <w:spacing w:val="4"/>
                <w:w w:val="103"/>
                <w:kern w:val="0"/>
              </w:rPr>
              <w:t>Psicología</w:t>
            </w:r>
          </w:p>
        </w:tc>
        <w:tc>
          <w:tcPr>
            <w:tcW w:w="184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84.70</w:t>
            </w:r>
          </w:p>
        </w:tc>
        <w:tc>
          <w:tcPr>
            <w:tcW w:w="130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15.30</w:t>
            </w:r>
          </w:p>
        </w:tc>
      </w:tr>
      <w:tr w:rsidR="00C244C2" w:rsidRPr="00981E15">
        <w:trPr>
          <w:trHeight w:val="255"/>
          <w:jc w:val="center"/>
        </w:trPr>
        <w:tc>
          <w:tcPr>
            <w:tcW w:w="1842"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1491"/>
              <w:rPr>
                <w:spacing w:val="4"/>
                <w:w w:val="103"/>
                <w:kern w:val="0"/>
              </w:rPr>
            </w:pPr>
            <w:r w:rsidRPr="00981E15">
              <w:rPr>
                <w:spacing w:val="4"/>
                <w:w w:val="103"/>
                <w:kern w:val="0"/>
              </w:rPr>
              <w:t>Humanidades</w:t>
            </w:r>
          </w:p>
        </w:tc>
        <w:tc>
          <w:tcPr>
            <w:tcW w:w="184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76.23</w:t>
            </w:r>
          </w:p>
        </w:tc>
        <w:tc>
          <w:tcPr>
            <w:tcW w:w="130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23.77</w:t>
            </w:r>
          </w:p>
        </w:tc>
      </w:tr>
      <w:tr w:rsidR="00C244C2" w:rsidRPr="00981E15">
        <w:trPr>
          <w:trHeight w:val="255"/>
          <w:jc w:val="center"/>
        </w:trPr>
        <w:tc>
          <w:tcPr>
            <w:tcW w:w="1842"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1491"/>
              <w:rPr>
                <w:spacing w:val="4"/>
                <w:w w:val="103"/>
                <w:kern w:val="0"/>
              </w:rPr>
            </w:pPr>
            <w:r w:rsidRPr="00981E15">
              <w:rPr>
                <w:spacing w:val="4"/>
                <w:w w:val="103"/>
                <w:kern w:val="0"/>
              </w:rPr>
              <w:t>EFPEM</w:t>
            </w:r>
          </w:p>
        </w:tc>
        <w:tc>
          <w:tcPr>
            <w:tcW w:w="184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69.82</w:t>
            </w:r>
          </w:p>
        </w:tc>
        <w:tc>
          <w:tcPr>
            <w:tcW w:w="130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30.18</w:t>
            </w:r>
          </w:p>
        </w:tc>
      </w:tr>
      <w:tr w:rsidR="00C244C2" w:rsidRPr="00981E15">
        <w:trPr>
          <w:trHeight w:val="255"/>
          <w:jc w:val="center"/>
        </w:trPr>
        <w:tc>
          <w:tcPr>
            <w:tcW w:w="1842"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1491"/>
              <w:rPr>
                <w:spacing w:val="4"/>
                <w:w w:val="103"/>
                <w:kern w:val="0"/>
              </w:rPr>
            </w:pPr>
            <w:r w:rsidRPr="00981E15">
              <w:rPr>
                <w:spacing w:val="4"/>
                <w:w w:val="103"/>
                <w:kern w:val="0"/>
              </w:rPr>
              <w:t>Química y Farmacia</w:t>
            </w:r>
          </w:p>
        </w:tc>
        <w:tc>
          <w:tcPr>
            <w:tcW w:w="184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66.22</w:t>
            </w:r>
          </w:p>
        </w:tc>
        <w:tc>
          <w:tcPr>
            <w:tcW w:w="130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33.78</w:t>
            </w:r>
          </w:p>
        </w:tc>
      </w:tr>
      <w:tr w:rsidR="00C244C2" w:rsidRPr="00981E15">
        <w:trPr>
          <w:trHeight w:val="255"/>
          <w:jc w:val="center"/>
        </w:trPr>
        <w:tc>
          <w:tcPr>
            <w:tcW w:w="1842"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1491"/>
              <w:rPr>
                <w:spacing w:val="4"/>
                <w:w w:val="103"/>
                <w:kern w:val="0"/>
              </w:rPr>
            </w:pPr>
            <w:r w:rsidRPr="00981E15">
              <w:rPr>
                <w:spacing w:val="4"/>
                <w:w w:val="103"/>
                <w:kern w:val="0"/>
              </w:rPr>
              <w:t>Historia</w:t>
            </w:r>
          </w:p>
        </w:tc>
        <w:tc>
          <w:tcPr>
            <w:tcW w:w="184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66.67</w:t>
            </w:r>
          </w:p>
        </w:tc>
        <w:tc>
          <w:tcPr>
            <w:tcW w:w="1309" w:type="pct"/>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33.33</w:t>
            </w:r>
          </w:p>
        </w:tc>
      </w:tr>
      <w:tr w:rsidR="00C244C2" w:rsidRPr="00981E15">
        <w:trPr>
          <w:trHeight w:val="255"/>
          <w:jc w:val="center"/>
        </w:trPr>
        <w:tc>
          <w:tcPr>
            <w:tcW w:w="1842" w:type="pct"/>
            <w:tcBorders>
              <w:bottom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1491"/>
              <w:rPr>
                <w:spacing w:val="4"/>
                <w:w w:val="103"/>
                <w:kern w:val="0"/>
              </w:rPr>
            </w:pPr>
            <w:r w:rsidRPr="00981E15">
              <w:rPr>
                <w:spacing w:val="4"/>
                <w:w w:val="103"/>
                <w:kern w:val="0"/>
              </w:rPr>
              <w:t>Medicina</w:t>
            </w:r>
          </w:p>
        </w:tc>
        <w:tc>
          <w:tcPr>
            <w:tcW w:w="1849" w:type="pct"/>
            <w:tcBorders>
              <w:bottom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56.96</w:t>
            </w:r>
          </w:p>
        </w:tc>
        <w:tc>
          <w:tcPr>
            <w:tcW w:w="1309" w:type="pct"/>
            <w:tcBorders>
              <w:bottom w:val="single" w:sz="12" w:space="0" w:color="auto"/>
            </w:tcBorders>
            <w:shd w:val="clear" w:color="auto" w:fill="auto"/>
            <w:noWrap/>
            <w:vAlign w:val="bottom"/>
          </w:tcPr>
          <w:p w:rsidR="00C244C2" w:rsidRPr="00981E15" w:rsidRDefault="00C244C2" w:rsidP="00C244C2">
            <w:pPr>
              <w:pStyle w:val="FootnoteText"/>
              <w:tabs>
                <w:tab w:val="left" w:pos="288"/>
                <w:tab w:val="left" w:pos="576"/>
                <w:tab w:val="left" w:pos="864"/>
                <w:tab w:val="left" w:pos="1152"/>
                <w:tab w:val="right" w:pos="1476"/>
                <w:tab w:val="left" w:pos="1548"/>
                <w:tab w:val="right" w:pos="1836"/>
                <w:tab w:val="left" w:pos="1908"/>
              </w:tabs>
              <w:spacing w:before="40" w:after="40"/>
              <w:ind w:left="1548" w:right="40" w:hanging="288"/>
              <w:jc w:val="right"/>
              <w:rPr>
                <w:spacing w:val="4"/>
                <w:w w:val="103"/>
                <w:kern w:val="0"/>
              </w:rPr>
            </w:pPr>
            <w:r w:rsidRPr="00981E15">
              <w:rPr>
                <w:spacing w:val="4"/>
                <w:w w:val="103"/>
                <w:kern w:val="0"/>
              </w:rPr>
              <w:t>43.04</w:t>
            </w:r>
          </w:p>
        </w:tc>
      </w:tr>
    </w:tbl>
    <w:p w:rsidR="00C244C2" w:rsidRPr="00981E15" w:rsidRDefault="00C244C2" w:rsidP="00C244C2">
      <w:pPr>
        <w:pStyle w:val="SingleTxt"/>
        <w:spacing w:after="0" w:line="120" w:lineRule="exact"/>
        <w:rPr>
          <w:sz w:val="10"/>
        </w:rPr>
      </w:pPr>
    </w:p>
    <w:p w:rsidR="00C244C2" w:rsidRPr="00981E15" w:rsidRDefault="00C244C2" w:rsidP="00C244C2">
      <w:pPr>
        <w:pStyle w:val="FootnoteText"/>
        <w:tabs>
          <w:tab w:val="clear" w:pos="418"/>
          <w:tab w:val="right" w:pos="1476"/>
          <w:tab w:val="left" w:pos="1548"/>
          <w:tab w:val="right" w:pos="1836"/>
          <w:tab w:val="left" w:pos="1908"/>
        </w:tabs>
        <w:ind w:left="1267" w:right="1267" w:hanging="1267"/>
      </w:pPr>
      <w:r w:rsidRPr="00981E15">
        <w:tab/>
      </w:r>
      <w:r w:rsidRPr="00981E15">
        <w:tab/>
      </w:r>
      <w:r w:rsidRPr="00981E15">
        <w:rPr>
          <w:i/>
        </w:rPr>
        <w:t>Fuente</w:t>
      </w:r>
      <w:r w:rsidRPr="00981E15">
        <w:t>: Tendencias de las femoestadísticas políticas y sociales. IUMUSAC.</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23</w:t>
      </w:r>
      <w:r w:rsidRPr="00981E15">
        <w:rPr>
          <w:b w:val="0"/>
        </w:rPr>
        <w:br/>
      </w:r>
      <w:r w:rsidRPr="00981E15">
        <w:t>Personal docente por sexo, Universidad de San Carlos de Guatemala</w:t>
      </w:r>
      <w:r w:rsidRPr="00981E15">
        <w:br/>
        <w:t>Según ciclos académicos 2004-2005</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214"/>
        <w:gridCol w:w="1006"/>
        <w:gridCol w:w="1220"/>
      </w:tblGrid>
      <w:tr w:rsidR="00C244C2" w:rsidRPr="00981E15">
        <w:tblPrEx>
          <w:tblCellMar>
            <w:top w:w="0" w:type="dxa"/>
            <w:bottom w:w="0" w:type="dxa"/>
          </w:tblCellMar>
        </w:tblPrEx>
        <w:trPr>
          <w:tblHeader/>
        </w:trPr>
        <w:tc>
          <w:tcPr>
            <w:tcW w:w="1220" w:type="dxa"/>
            <w:tcBorders>
              <w:top w:val="single" w:sz="4"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rPr>
                <w:i/>
                <w:kern w:val="0"/>
                <w:sz w:val="14"/>
              </w:rPr>
            </w:pPr>
          </w:p>
        </w:tc>
        <w:tc>
          <w:tcPr>
            <w:tcW w:w="1220" w:type="dxa"/>
            <w:tcBorders>
              <w:top w:val="single" w:sz="4"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right"/>
              <w:rPr>
                <w:i/>
                <w:kern w:val="0"/>
                <w:sz w:val="14"/>
              </w:rPr>
            </w:pPr>
          </w:p>
        </w:tc>
        <w:tc>
          <w:tcPr>
            <w:tcW w:w="2440" w:type="dxa"/>
            <w:gridSpan w:val="2"/>
            <w:tcBorders>
              <w:top w:val="single" w:sz="4" w:space="0" w:color="auto"/>
              <w:bottom w:val="single" w:sz="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center"/>
              <w:rPr>
                <w:i/>
                <w:kern w:val="0"/>
                <w:sz w:val="14"/>
              </w:rPr>
            </w:pPr>
            <w:r w:rsidRPr="00981E15">
              <w:rPr>
                <w:i/>
                <w:kern w:val="0"/>
                <w:sz w:val="14"/>
              </w:rPr>
              <w:t>Femenino</w:t>
            </w:r>
          </w:p>
        </w:tc>
        <w:tc>
          <w:tcPr>
            <w:tcW w:w="214" w:type="dxa"/>
            <w:tcBorders>
              <w:top w:val="single" w:sz="4"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center"/>
              <w:rPr>
                <w:i/>
                <w:kern w:val="0"/>
                <w:sz w:val="14"/>
              </w:rPr>
            </w:pPr>
          </w:p>
        </w:tc>
        <w:tc>
          <w:tcPr>
            <w:tcW w:w="2226" w:type="dxa"/>
            <w:gridSpan w:val="2"/>
            <w:tcBorders>
              <w:top w:val="single" w:sz="4" w:space="0" w:color="auto"/>
              <w:bottom w:val="single" w:sz="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0"/>
              <w:jc w:val="center"/>
              <w:rPr>
                <w:i/>
                <w:kern w:val="0"/>
                <w:sz w:val="14"/>
              </w:rPr>
            </w:pPr>
            <w:r w:rsidRPr="00981E15">
              <w:rPr>
                <w:i/>
                <w:kern w:val="0"/>
                <w:sz w:val="14"/>
              </w:rPr>
              <w:t>Masculino</w:t>
            </w:r>
          </w:p>
        </w:tc>
      </w:tr>
      <w:tr w:rsidR="00C244C2" w:rsidRPr="00981E15">
        <w:tblPrEx>
          <w:tblCellMar>
            <w:top w:w="0" w:type="dxa"/>
            <w:bottom w:w="0" w:type="dxa"/>
          </w:tblCellMar>
        </w:tblPrEx>
        <w:trPr>
          <w:tblHeader/>
        </w:trPr>
        <w:tc>
          <w:tcPr>
            <w:tcW w:w="1220" w:type="dxa"/>
            <w:tcBorders>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3"/>
              <w:rPr>
                <w:i/>
                <w:kern w:val="0"/>
                <w:sz w:val="14"/>
              </w:rPr>
            </w:pPr>
            <w:r w:rsidRPr="00981E15">
              <w:rPr>
                <w:i/>
                <w:kern w:val="0"/>
                <w:sz w:val="14"/>
              </w:rPr>
              <w:t>Año</w:t>
            </w:r>
          </w:p>
        </w:tc>
        <w:tc>
          <w:tcPr>
            <w:tcW w:w="1220" w:type="dxa"/>
            <w:tcBorders>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Total</w:t>
            </w:r>
          </w:p>
        </w:tc>
        <w:tc>
          <w:tcPr>
            <w:tcW w:w="1220" w:type="dxa"/>
            <w:tcBorders>
              <w:top w:val="single" w:sz="2"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N°</w:t>
            </w:r>
          </w:p>
        </w:tc>
        <w:tc>
          <w:tcPr>
            <w:tcW w:w="1220" w:type="dxa"/>
            <w:tcBorders>
              <w:top w:val="single" w:sz="2"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w:t>
            </w:r>
          </w:p>
        </w:tc>
        <w:tc>
          <w:tcPr>
            <w:tcW w:w="1220" w:type="dxa"/>
            <w:gridSpan w:val="2"/>
            <w:tcBorders>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N°</w:t>
            </w:r>
          </w:p>
        </w:tc>
        <w:tc>
          <w:tcPr>
            <w:tcW w:w="1220" w:type="dxa"/>
            <w:tcBorders>
              <w:top w:val="single" w:sz="2" w:space="0" w:color="auto"/>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w:t>
            </w:r>
          </w:p>
        </w:tc>
      </w:tr>
      <w:tr w:rsidR="00C244C2" w:rsidRPr="00981E15">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gridSpan w:val="2"/>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jc w:val="right"/>
              <w:rPr>
                <w:kern w:val="0"/>
                <w:sz w:val="17"/>
              </w:rPr>
            </w:pPr>
          </w:p>
        </w:tc>
      </w:tr>
      <w:tr w:rsidR="00C244C2" w:rsidRPr="00981E15">
        <w:tblPrEx>
          <w:tblCellMar>
            <w:top w:w="0" w:type="dxa"/>
            <w:bottom w:w="0" w:type="dxa"/>
          </w:tblCellMar>
        </w:tblPrEx>
        <w:tc>
          <w:tcPr>
            <w:tcW w:w="1220" w:type="dxa"/>
            <w:shd w:val="clear" w:color="auto" w:fill="auto"/>
            <w:vAlign w:val="bottom"/>
          </w:tcPr>
          <w:p w:rsidR="00C244C2" w:rsidRPr="00981E15" w:rsidRDefault="00C244C2" w:rsidP="00C244C2">
            <w:pPr>
              <w:tabs>
                <w:tab w:val="left" w:pos="288"/>
                <w:tab w:val="left" w:pos="576"/>
                <w:tab w:val="left" w:pos="864"/>
                <w:tab w:val="left" w:pos="1152"/>
              </w:tabs>
              <w:spacing w:before="40" w:after="40" w:line="210" w:lineRule="exact"/>
              <w:ind w:right="40"/>
              <w:rPr>
                <w:kern w:val="0"/>
                <w:sz w:val="17"/>
              </w:rPr>
            </w:pPr>
            <w:r w:rsidRPr="00981E15">
              <w:rPr>
                <w:kern w:val="0"/>
                <w:sz w:val="17"/>
              </w:rPr>
              <w:t>2004</w:t>
            </w:r>
          </w:p>
        </w:tc>
        <w:tc>
          <w:tcPr>
            <w:tcW w:w="1220" w:type="dxa"/>
            <w:shd w:val="clear" w:color="auto" w:fill="auto"/>
            <w:vAlign w:val="bottom"/>
          </w:tcPr>
          <w:p w:rsidR="00C244C2" w:rsidRPr="00981E15" w:rsidRDefault="00C244C2" w:rsidP="00C244C2">
            <w:pPr>
              <w:spacing w:line="200" w:lineRule="exact"/>
              <w:jc w:val="right"/>
              <w:rPr>
                <w:sz w:val="17"/>
                <w:szCs w:val="17"/>
              </w:rPr>
            </w:pPr>
            <w:r w:rsidRPr="00981E15">
              <w:rPr>
                <w:sz w:val="17"/>
                <w:szCs w:val="17"/>
              </w:rPr>
              <w:t>4,228</w:t>
            </w:r>
          </w:p>
        </w:tc>
        <w:tc>
          <w:tcPr>
            <w:tcW w:w="1220" w:type="dxa"/>
            <w:shd w:val="clear" w:color="auto" w:fill="auto"/>
            <w:vAlign w:val="bottom"/>
          </w:tcPr>
          <w:p w:rsidR="00C244C2" w:rsidRPr="00981E15" w:rsidRDefault="00C244C2" w:rsidP="00C244C2">
            <w:pPr>
              <w:spacing w:line="200" w:lineRule="exact"/>
              <w:jc w:val="right"/>
              <w:rPr>
                <w:sz w:val="17"/>
                <w:szCs w:val="17"/>
              </w:rPr>
            </w:pPr>
            <w:r w:rsidRPr="00981E15">
              <w:rPr>
                <w:sz w:val="17"/>
                <w:szCs w:val="17"/>
              </w:rPr>
              <w:t>1,755</w:t>
            </w:r>
          </w:p>
        </w:tc>
        <w:tc>
          <w:tcPr>
            <w:tcW w:w="1220" w:type="dxa"/>
            <w:shd w:val="clear" w:color="auto" w:fill="auto"/>
            <w:vAlign w:val="bottom"/>
          </w:tcPr>
          <w:p w:rsidR="00C244C2" w:rsidRPr="00981E15" w:rsidRDefault="00C244C2" w:rsidP="00C244C2">
            <w:pPr>
              <w:spacing w:line="200" w:lineRule="exact"/>
              <w:jc w:val="right"/>
              <w:rPr>
                <w:sz w:val="17"/>
                <w:szCs w:val="17"/>
              </w:rPr>
            </w:pPr>
            <w:r w:rsidRPr="00981E15">
              <w:rPr>
                <w:sz w:val="17"/>
                <w:szCs w:val="17"/>
              </w:rPr>
              <w:t>32.0</w:t>
            </w:r>
          </w:p>
        </w:tc>
        <w:tc>
          <w:tcPr>
            <w:tcW w:w="1220" w:type="dxa"/>
            <w:gridSpan w:val="2"/>
            <w:shd w:val="clear" w:color="auto" w:fill="auto"/>
            <w:vAlign w:val="bottom"/>
          </w:tcPr>
          <w:p w:rsidR="00C244C2" w:rsidRPr="00981E15" w:rsidRDefault="00C244C2" w:rsidP="00C244C2">
            <w:pPr>
              <w:spacing w:line="200" w:lineRule="exact"/>
              <w:jc w:val="right"/>
              <w:rPr>
                <w:sz w:val="17"/>
                <w:szCs w:val="17"/>
              </w:rPr>
            </w:pPr>
            <w:r w:rsidRPr="00981E15">
              <w:rPr>
                <w:sz w:val="17"/>
                <w:szCs w:val="17"/>
              </w:rPr>
              <w:t>2,879</w:t>
            </w:r>
          </w:p>
        </w:tc>
        <w:tc>
          <w:tcPr>
            <w:tcW w:w="1220" w:type="dxa"/>
            <w:shd w:val="clear" w:color="auto" w:fill="auto"/>
            <w:vAlign w:val="bottom"/>
          </w:tcPr>
          <w:p w:rsidR="00C244C2" w:rsidRPr="00981E15" w:rsidRDefault="00C244C2" w:rsidP="00C244C2">
            <w:pPr>
              <w:spacing w:line="200" w:lineRule="exact"/>
              <w:jc w:val="right"/>
              <w:rPr>
                <w:sz w:val="17"/>
                <w:szCs w:val="17"/>
              </w:rPr>
            </w:pPr>
            <w:r w:rsidRPr="00981E15">
              <w:rPr>
                <w:sz w:val="17"/>
                <w:szCs w:val="17"/>
              </w:rPr>
              <w:t>68.0</w:t>
            </w:r>
          </w:p>
        </w:tc>
      </w:tr>
      <w:tr w:rsidR="00C244C2" w:rsidRPr="00981E15">
        <w:tblPrEx>
          <w:tblCellMar>
            <w:top w:w="0" w:type="dxa"/>
            <w:bottom w:w="0" w:type="dxa"/>
          </w:tblCellMar>
        </w:tblPrEx>
        <w:tc>
          <w:tcPr>
            <w:tcW w:w="1220" w:type="dxa"/>
            <w:tcBorders>
              <w:bottom w:val="single" w:sz="12" w:space="0" w:color="auto"/>
            </w:tcBorders>
            <w:shd w:val="clear" w:color="auto" w:fill="auto"/>
            <w:vAlign w:val="bottom"/>
          </w:tcPr>
          <w:p w:rsidR="00C244C2" w:rsidRPr="00981E15" w:rsidRDefault="00C244C2" w:rsidP="00C244C2">
            <w:pPr>
              <w:tabs>
                <w:tab w:val="left" w:pos="288"/>
                <w:tab w:val="left" w:pos="576"/>
                <w:tab w:val="left" w:pos="864"/>
                <w:tab w:val="left" w:pos="1152"/>
              </w:tabs>
              <w:spacing w:before="40" w:after="80" w:line="210" w:lineRule="exact"/>
              <w:ind w:right="40"/>
              <w:rPr>
                <w:kern w:val="0"/>
                <w:sz w:val="17"/>
              </w:rPr>
            </w:pPr>
            <w:r w:rsidRPr="00981E15">
              <w:rPr>
                <w:kern w:val="0"/>
                <w:sz w:val="17"/>
              </w:rPr>
              <w:t>2005</w:t>
            </w:r>
          </w:p>
        </w:tc>
        <w:tc>
          <w:tcPr>
            <w:tcW w:w="1220" w:type="dxa"/>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3,837</w:t>
            </w:r>
          </w:p>
        </w:tc>
        <w:tc>
          <w:tcPr>
            <w:tcW w:w="1220" w:type="dxa"/>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1,235</w:t>
            </w:r>
          </w:p>
        </w:tc>
        <w:tc>
          <w:tcPr>
            <w:tcW w:w="1220" w:type="dxa"/>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32.0</w:t>
            </w:r>
          </w:p>
        </w:tc>
        <w:tc>
          <w:tcPr>
            <w:tcW w:w="1220" w:type="dxa"/>
            <w:gridSpan w:val="2"/>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2,602</w:t>
            </w:r>
          </w:p>
        </w:tc>
        <w:tc>
          <w:tcPr>
            <w:tcW w:w="1220" w:type="dxa"/>
            <w:tcBorders>
              <w:bottom w:val="single" w:sz="12" w:space="0" w:color="auto"/>
            </w:tcBorders>
            <w:shd w:val="clear" w:color="auto" w:fill="auto"/>
            <w:vAlign w:val="bottom"/>
          </w:tcPr>
          <w:p w:rsidR="00C244C2" w:rsidRPr="00981E15" w:rsidRDefault="00C244C2" w:rsidP="00C244C2">
            <w:pPr>
              <w:spacing w:before="40" w:after="80" w:line="210" w:lineRule="exact"/>
              <w:jc w:val="right"/>
              <w:rPr>
                <w:sz w:val="17"/>
                <w:szCs w:val="17"/>
              </w:rPr>
            </w:pPr>
            <w:r w:rsidRPr="00981E15">
              <w:rPr>
                <w:sz w:val="17"/>
                <w:szCs w:val="17"/>
              </w:rPr>
              <w:t>68.0</w:t>
            </w:r>
          </w:p>
        </w:tc>
      </w:tr>
    </w:tbl>
    <w:p w:rsidR="00C244C2" w:rsidRPr="00981E15" w:rsidRDefault="00C244C2" w:rsidP="00C244C2">
      <w:pPr>
        <w:pStyle w:val="SingleTxt"/>
        <w:spacing w:after="0" w:line="120" w:lineRule="exact"/>
        <w:rPr>
          <w:sz w:val="10"/>
        </w:rPr>
      </w:pPr>
    </w:p>
    <w:p w:rsidR="00C244C2" w:rsidRPr="00981E15" w:rsidRDefault="00C244C2" w:rsidP="00C244C2">
      <w:pPr>
        <w:pStyle w:val="FootnoteText"/>
        <w:tabs>
          <w:tab w:val="clear" w:pos="418"/>
          <w:tab w:val="right" w:pos="1476"/>
          <w:tab w:val="left" w:pos="1548"/>
          <w:tab w:val="right" w:pos="1836"/>
          <w:tab w:val="left" w:pos="1908"/>
        </w:tabs>
        <w:ind w:left="1267" w:right="1267" w:hanging="1267"/>
      </w:pPr>
      <w:r w:rsidRPr="00981E15">
        <w:tab/>
      </w:r>
      <w:r w:rsidRPr="00981E15">
        <w:tab/>
      </w:r>
      <w:r w:rsidRPr="00981E15">
        <w:rPr>
          <w:i/>
        </w:rPr>
        <w:t>Fuente</w:t>
      </w:r>
      <w:r w:rsidRPr="00981E15">
        <w:t>: Tendencias de las femoestadísticas políticas y sociales. IUMUSAC.</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A84FC6" w:rsidRPr="00981E15" w:rsidRDefault="00A84FC6" w:rsidP="00C244C2">
      <w:pPr>
        <w:pStyle w:val="SingleTxt"/>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Otras instancias que apoyan la educación</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Secretaría de Obras Sociales de la Esposa del Presidente (SOSEP)</w:t>
      </w:r>
    </w:p>
    <w:p w:rsidR="00C244C2" w:rsidRPr="00981E15" w:rsidRDefault="00C244C2" w:rsidP="00C244C2">
      <w:pPr>
        <w:pStyle w:val="SingleTxt"/>
        <w:spacing w:after="0" w:line="120" w:lineRule="exact"/>
        <w:rPr>
          <w:sz w:val="10"/>
        </w:rPr>
      </w:pPr>
    </w:p>
    <w:p w:rsidR="00C244C2" w:rsidRPr="00981E15" w:rsidRDefault="00C244C2" w:rsidP="00F40C64">
      <w:pPr>
        <w:pStyle w:val="SingleTxt"/>
        <w:numPr>
          <w:ilvl w:val="0"/>
          <w:numId w:val="32"/>
        </w:numPr>
        <w:tabs>
          <w:tab w:val="clear" w:pos="475"/>
          <w:tab w:val="right" w:pos="1022"/>
        </w:tabs>
        <w:ind w:left="1267" w:right="1260"/>
      </w:pPr>
      <w:r w:rsidRPr="00981E15">
        <w:rPr>
          <w:b/>
          <w:i/>
        </w:rPr>
        <w:t xml:space="preserve">Programa Promujer. </w:t>
      </w:r>
      <w:r w:rsidRPr="00981E15">
        <w:t>La Secretaría de Obras Sociales de la Esposa del Presidente (SOSEP), implementa el programa PROMUJER, en el cual se otorgan becas escolares a niñas, adolescentes y mujeres jóvenes adultas en pobreza y pobreza extrema. Además, SOSEP, a través del Programa de Hogares Comunitarios monitorea y vigila más de 13,000 niños y niñas de 0 a 5 años de edad. En estos hogares se les inicia en los primeros pasos de estimulación temprana, así como educación preescolar. El objetivo de este programa es convertir los hogares comunitarios en centros de atención integral, los cuales tienen como meta ser el puente para el inicio al primer grado.</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Artículo 11</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Trabajo y empleo</w:t>
      </w:r>
    </w:p>
    <w:p w:rsidR="00C244C2" w:rsidRPr="00981E15" w:rsidRDefault="00C244C2" w:rsidP="00C244C2">
      <w:pPr>
        <w:pStyle w:val="SingleTxt"/>
        <w:spacing w:after="0" w:line="120" w:lineRule="exact"/>
        <w:rPr>
          <w:sz w:val="10"/>
        </w:rPr>
      </w:pPr>
    </w:p>
    <w:p w:rsidR="00C244C2" w:rsidRPr="00981E15" w:rsidRDefault="00C244C2" w:rsidP="00C244C2">
      <w:pPr>
        <w:pStyle w:val="SingleTxt"/>
        <w:suppressAutoHyphens/>
        <w:rPr>
          <w:b/>
        </w:rPr>
      </w:pPr>
      <w:r w:rsidRPr="00981E15">
        <w:rPr>
          <w:b/>
        </w:rPr>
        <w:t>Recomendaciones del Comité de Expertas de la CEDAW</w:t>
      </w:r>
    </w:p>
    <w:p w:rsidR="00C244C2" w:rsidRPr="00981E15" w:rsidRDefault="00C244C2" w:rsidP="00C244C2">
      <w:pPr>
        <w:pStyle w:val="SingleTxt"/>
        <w:suppressAutoHyphens/>
        <w:rPr>
          <w:b/>
        </w:rPr>
      </w:pPr>
      <w:r w:rsidRPr="00981E15">
        <w:rPr>
          <w:b/>
        </w:rPr>
        <w:t>Preocupa la falta de disposiciones sobre el acoso sexual (6)</w:t>
      </w:r>
    </w:p>
    <w:p w:rsidR="00C244C2" w:rsidRPr="00981E15" w:rsidRDefault="00C244C2" w:rsidP="00C244C2">
      <w:pPr>
        <w:pStyle w:val="SingleTxt"/>
        <w:suppressAutoHyphens/>
        <w:rPr>
          <w:b/>
        </w:rPr>
      </w:pPr>
      <w:r w:rsidRPr="00981E15">
        <w:rPr>
          <w:b/>
        </w:rPr>
        <w:t>Es un tema de preocupación las violaciones de los derechos laborales de las mujeres en las industrias maquiladoras, en particular el derecho de asociación, al salario mínimo y a licencia por maternidad. Se insta al Estado a adoptar medidas eficaces para prevenir y castigar las violaciones de los derechos de las mujeres que trabajan en las industrias maquiladoras, remediar la falta de seguridad y de normas sanitarias en esas industrias y mejorar el acceso de las mujeres trabajadoras a la justicia. (6). Algunos empleadores de esa industria exigen prueba de embarazo a las mujeres que buscan empleo (3 ,4, 5)</w:t>
      </w:r>
    </w:p>
    <w:p w:rsidR="00C244C2" w:rsidRPr="00981E15" w:rsidRDefault="00C244C2" w:rsidP="00C244C2">
      <w:pPr>
        <w:pStyle w:val="SingleTxt"/>
        <w:suppressAutoHyphens/>
        <w:rPr>
          <w:b/>
        </w:rPr>
      </w:pPr>
      <w:r w:rsidRPr="00981E15">
        <w:rPr>
          <w:b/>
        </w:rPr>
        <w:t xml:space="preserve">Preocupa la ausencia de medidas legislativas y normativas para proteger los derechos de las empleadas domésticas y se insta al Estado Parte a que establezca un calendario concreto para la adopción de medidas legislativas y normativas para proteger los derechos de las empleadas domésticas. Se pide al Estado Parte que, en su próximo informe periódico, facilite información sobre las medidas que hayan adoptado y en particular, sobre sus efectos (6) </w:t>
      </w:r>
    </w:p>
    <w:p w:rsidR="00C244C2" w:rsidRPr="00981E15" w:rsidRDefault="00C244C2" w:rsidP="00C244C2">
      <w:pPr>
        <w:pStyle w:val="SingleTxt"/>
        <w:suppressAutoHyphens/>
        <w:rPr>
          <w:b/>
        </w:rPr>
      </w:pPr>
      <w:r w:rsidRPr="00981E15">
        <w:rPr>
          <w:b/>
        </w:rPr>
        <w:t xml:space="preserve">Si bien ha habido medidas de protección y de derechos en materia de seguridad social, incluso para las empleadas domésticas y las que trabajan en las industrias maquiladoras, esta legislación no se ha cumplido ni se hace cumplir. El Comité exhorta al Estado a (3, 4, 5): </w:t>
      </w:r>
    </w:p>
    <w:p w:rsidR="00C244C2" w:rsidRPr="00981E15" w:rsidRDefault="00C244C2" w:rsidP="00C244C2">
      <w:pPr>
        <w:pStyle w:val="SingleTxt"/>
        <w:tabs>
          <w:tab w:val="right" w:pos="1685"/>
        </w:tabs>
        <w:suppressAutoHyphens/>
        <w:ind w:left="1742" w:hanging="475"/>
        <w:rPr>
          <w:b/>
        </w:rPr>
      </w:pPr>
      <w:r w:rsidRPr="00981E15">
        <w:rPr>
          <w:b/>
        </w:rPr>
        <w:tab/>
        <w:t>–</w:t>
      </w:r>
      <w:r w:rsidRPr="00981E15">
        <w:rPr>
          <w:b/>
        </w:rPr>
        <w:tab/>
        <w:t>Adoptar medidas para hacer cumplir las leyes de las autoridades responsables de la inspección laboral.</w:t>
      </w:r>
    </w:p>
    <w:p w:rsidR="00C244C2" w:rsidRPr="00981E15" w:rsidRDefault="00C244C2" w:rsidP="00C244C2">
      <w:pPr>
        <w:pStyle w:val="SingleTxt"/>
        <w:tabs>
          <w:tab w:val="right" w:pos="1685"/>
        </w:tabs>
        <w:suppressAutoHyphens/>
        <w:ind w:left="1742" w:hanging="475"/>
        <w:rPr>
          <w:b/>
        </w:rPr>
      </w:pPr>
      <w:r w:rsidRPr="00981E15">
        <w:rPr>
          <w:b/>
        </w:rPr>
        <w:tab/>
        <w:t>–</w:t>
      </w:r>
      <w:r w:rsidRPr="00981E15">
        <w:rPr>
          <w:b/>
        </w:rPr>
        <w:tab/>
        <w:t>Promover códigos de conducta más estrictos para el sector privado, a fin de aplicar la legislación actual.</w:t>
      </w:r>
    </w:p>
    <w:p w:rsidR="00C244C2" w:rsidRPr="00981E15" w:rsidRDefault="00C244C2" w:rsidP="00C244C2">
      <w:pPr>
        <w:pStyle w:val="SingleTxt"/>
        <w:suppressAutoHyphens/>
        <w:rPr>
          <w:b/>
        </w:rPr>
      </w:pPr>
      <w:r w:rsidRPr="00981E15">
        <w:rPr>
          <w:b/>
        </w:rPr>
        <w:t>Se sugiere hacer un estudio para determinar el efecto de los acuerdos de libre comercio en las condiciones de vida y trabajo de las mujeres guatemaltecas y que estudie la posibilidad de adoptar medidas compensatorias teniendo en cuenta los derechos humanos de las mujeres (6)</w:t>
      </w:r>
    </w:p>
    <w:p w:rsidR="00C244C2" w:rsidRPr="00981E15" w:rsidRDefault="00C244C2" w:rsidP="00C244C2">
      <w:pPr>
        <w:pStyle w:val="SingleTxt"/>
        <w:suppressAutoHyphens/>
        <w:rPr>
          <w:b/>
        </w:rPr>
      </w:pPr>
      <w:r w:rsidRPr="00981E15">
        <w:rPr>
          <w:b/>
        </w:rPr>
        <w:t>El Comité observa con preocupación la elevada incidencia del trabajo infantil en Guatemala, especialmente entre las niñas, así como sus consecuencias para el desarrollo personal de aquel ejercicio de su derecho a la educación y a la atención sanitaria (3 ,4, 5)</w:t>
      </w:r>
    </w:p>
    <w:p w:rsidR="00C244C2" w:rsidRPr="00981E15" w:rsidRDefault="00C244C2" w:rsidP="00A84FC6">
      <w:pPr>
        <w:pStyle w:val="SingleTxt"/>
        <w:numPr>
          <w:ilvl w:val="0"/>
          <w:numId w:val="32"/>
        </w:numPr>
        <w:tabs>
          <w:tab w:val="clear" w:pos="475"/>
          <w:tab w:val="num" w:pos="1742"/>
        </w:tabs>
        <w:suppressAutoHyphens/>
        <w:ind w:left="1267"/>
      </w:pPr>
      <w:r w:rsidRPr="00981E15">
        <w:t>La incorporación de las mujeres en la economía ha cobrado una mayor relevancia en los últimos años, como efecto de los Programas de Ajuste Estructural que han obligado a la mujer a contribuir a la generación de ingresos, así como al autoempleo, constituyendo un soporte importante para las actividades del comercio y los servicios, así como en la industria maquiladora y labores agrícolas.</w:t>
      </w:r>
    </w:p>
    <w:p w:rsidR="00C244C2" w:rsidRPr="00981E15" w:rsidRDefault="00C244C2" w:rsidP="00A84FC6">
      <w:pPr>
        <w:pStyle w:val="SingleTxt"/>
        <w:numPr>
          <w:ilvl w:val="0"/>
          <w:numId w:val="32"/>
        </w:numPr>
        <w:tabs>
          <w:tab w:val="clear" w:pos="475"/>
          <w:tab w:val="num" w:pos="1742"/>
        </w:tabs>
        <w:suppressAutoHyphens/>
        <w:ind w:left="1267"/>
      </w:pPr>
      <w:r w:rsidRPr="00981E15">
        <w:t>Cálculos de la Organización Internacional del Trabajo (OIT) estiman que al menos un dos por ciento de la población económicamente activa de Guatemala participa en el trabajo de casa particular. Así mismo estima esta misma fuente que actualmente alcanza los 300,000 en todo el país.</w:t>
      </w:r>
    </w:p>
    <w:p w:rsidR="00C244C2" w:rsidRPr="00981E15" w:rsidRDefault="00C244C2" w:rsidP="00A84FC6">
      <w:pPr>
        <w:pStyle w:val="SingleTxt"/>
        <w:numPr>
          <w:ilvl w:val="0"/>
          <w:numId w:val="32"/>
        </w:numPr>
        <w:tabs>
          <w:tab w:val="clear" w:pos="475"/>
          <w:tab w:val="num" w:pos="1742"/>
        </w:tabs>
        <w:suppressAutoHyphens/>
        <w:ind w:left="1267"/>
      </w:pPr>
      <w:r w:rsidRPr="00981E15">
        <w:t>A fin de facilitar alternativas laborales y orientación a los sectores de mayor demanda, el Ministerio de Trabajo ha realizado actividades de intermediación laboral que han incluido la organización de “kioscos de empleo”, tanto en el área rural y como en la Ciudad de Guatemala. Como resultado de estas iniciativas en el 2006 se inscribieron 29,276 personas en los eventos mencionados y se logró colocar en las plazas vacantes disponibles a 13,666 trabajadores y trabajadoras de los cuales 5,823 son mujeres.</w:t>
      </w:r>
    </w:p>
    <w:p w:rsidR="00C244C2" w:rsidRPr="00981E15" w:rsidRDefault="00C244C2" w:rsidP="00A84FC6">
      <w:pPr>
        <w:pStyle w:val="SingleTxt"/>
        <w:numPr>
          <w:ilvl w:val="0"/>
          <w:numId w:val="32"/>
        </w:numPr>
        <w:tabs>
          <w:tab w:val="clear" w:pos="475"/>
          <w:tab w:val="num" w:pos="1742"/>
        </w:tabs>
        <w:suppressAutoHyphens/>
        <w:ind w:left="1267"/>
      </w:pPr>
      <w:r w:rsidRPr="00981E15">
        <w:t>En atención a las trabajadoras discapacitadas, desde el 2004 el Ministerio de Trabajo cuenta con la Oficina de Discapacitados. Esta oficina cuenta con un componente de facilitación de créditos para iniciar y fortalecer la pequeña y mediana empresa, con énfasis en el área rural y con las características siguientes: ser mujer maya, del área rural, víctima del conflicto armado y ser Jefas de Hogar. Los resultados muestran un promedio anual de 250 créditos otorgados a mujeres.</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Promoción y Protección de los derechos laborales</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Departamento de Promoción de la Mujer Trabajadora del</w:t>
      </w:r>
      <w:r w:rsidRPr="00981E15">
        <w:br/>
        <w:t>Ministerio de Trabajo</w:t>
      </w:r>
    </w:p>
    <w:p w:rsidR="00C244C2" w:rsidRPr="00981E15" w:rsidRDefault="00C244C2" w:rsidP="00C244C2">
      <w:pPr>
        <w:pStyle w:val="SingleTxt"/>
        <w:spacing w:after="0" w:line="120" w:lineRule="exact"/>
        <w:rPr>
          <w:sz w:val="10"/>
        </w:rPr>
      </w:pPr>
    </w:p>
    <w:p w:rsidR="00C244C2" w:rsidRPr="00981E15" w:rsidRDefault="00C244C2" w:rsidP="00A84FC6">
      <w:pPr>
        <w:pStyle w:val="SingleTxt"/>
        <w:numPr>
          <w:ilvl w:val="0"/>
          <w:numId w:val="32"/>
        </w:numPr>
        <w:tabs>
          <w:tab w:val="clear" w:pos="475"/>
          <w:tab w:val="num" w:pos="1742"/>
        </w:tabs>
        <w:suppressAutoHyphens/>
        <w:ind w:left="1267"/>
      </w:pPr>
      <w:r w:rsidRPr="00981E15">
        <w:t>Por medio del Departamento de Promoción de la Mujer Trabajadora se elaboraron y distribuyeron “Guías de buenas prácticas de contratación, terminación, procedimientos disciplinarios y solución de quejas”, la cual contiene políticas, procedimientos y anuncios de contratación, que instan a los empleadores a no anunciar puestos vacantes con discriminación en cuanto a sexo, raza, religión, nacionalidad o edad de aspirantes.</w:t>
      </w:r>
    </w:p>
    <w:p w:rsidR="00C244C2" w:rsidRPr="00981E15" w:rsidRDefault="00C244C2" w:rsidP="00A84FC6">
      <w:pPr>
        <w:pStyle w:val="SingleTxt"/>
        <w:numPr>
          <w:ilvl w:val="0"/>
          <w:numId w:val="32"/>
        </w:numPr>
        <w:tabs>
          <w:tab w:val="clear" w:pos="475"/>
          <w:tab w:val="num" w:pos="1742"/>
        </w:tabs>
        <w:suppressAutoHyphens/>
        <w:ind w:left="1267"/>
      </w:pPr>
      <w:r w:rsidRPr="00981E15">
        <w:t>Se han elaborado y distribuido 6 ediciones de cartillas promocionales sobre derechos laborales, con el propósito de que las mujeres trabajadoras y empresarios conozcan los mismos y se dé más estabilidad en la contratación laboral, se han beneficiado 13,340 personas. Se han capacitado 585 trabajadoras en materia de derechos y obligaciones laborales, principalmente en las áreas de Adolescencia y Mujer Trabajadora e Higiene y Seguridad.</w:t>
      </w:r>
    </w:p>
    <w:p w:rsidR="00C244C2" w:rsidRPr="00981E15" w:rsidRDefault="00C244C2" w:rsidP="00A84FC6">
      <w:pPr>
        <w:pStyle w:val="SingleTxt"/>
        <w:numPr>
          <w:ilvl w:val="0"/>
          <w:numId w:val="32"/>
        </w:numPr>
        <w:tabs>
          <w:tab w:val="clear" w:pos="475"/>
          <w:tab w:val="num" w:pos="1742"/>
        </w:tabs>
        <w:suppressAutoHyphens/>
        <w:ind w:left="1267"/>
      </w:pPr>
      <w:r w:rsidRPr="00981E15">
        <w:t xml:space="preserve">Así también realiza diferentes actividades de divulgación sobre derechos laborales dirigidas al sector laboral y empresarial de las diferentes ramas de la actividad productiva y a nivel nacional. Para estos procesos se coordina interinstitucionalmente con organizaciones de defensa y educación hacia las mujeres. </w:t>
      </w:r>
    </w:p>
    <w:p w:rsidR="00C244C2" w:rsidRPr="00981E15" w:rsidRDefault="00C244C2" w:rsidP="00A84FC6">
      <w:pPr>
        <w:pStyle w:val="SingleTxt"/>
        <w:numPr>
          <w:ilvl w:val="0"/>
          <w:numId w:val="32"/>
        </w:numPr>
        <w:tabs>
          <w:tab w:val="clear" w:pos="475"/>
          <w:tab w:val="num" w:pos="1742"/>
        </w:tabs>
        <w:suppressAutoHyphens/>
        <w:ind w:left="1267"/>
        <w:rPr>
          <w:b/>
        </w:rPr>
      </w:pPr>
      <w:r w:rsidRPr="00981E15">
        <w:t>Con apoyo del fondo de Naciones Unidas para la Infancia (UNICEF) se ejecutó el proyecto “Promoción y Defensa de los Derechos Laborales de las Adolescentes y Mujeres Trabajadoras”, el cual se inició en el 2001 y terminó en el 2006. Dentro de los principales logros se puede destacar: a) talleres informativos sobre derechos laborales dirigidos a adolescentes estudiantes graduandos de establecimientos públicos. b) talleres informativos sobre derechos laborales dirigidos a organizaciones de apoyo a las mujeres</w:t>
      </w:r>
      <w:r w:rsidR="00FC46E0" w:rsidRPr="00981E15">
        <w:t>,</w:t>
      </w:r>
      <w:r w:rsidRPr="00981E15">
        <w:t xml:space="preserve"> c) atención y acompañamiento a usuarios que acuden al Departamento en búsqueda de orientación laboral. </w:t>
      </w:r>
    </w:p>
    <w:p w:rsidR="00C244C2" w:rsidRPr="00981E15" w:rsidRDefault="00C244C2" w:rsidP="00C244C2">
      <w:pPr>
        <w:pStyle w:val="SingleTxt"/>
        <w:spacing w:after="0" w:line="120" w:lineRule="exact"/>
        <w:rPr>
          <w:sz w:val="10"/>
        </w:rPr>
      </w:pPr>
    </w:p>
    <w:p w:rsidR="00C244C2" w:rsidRPr="00981E15" w:rsidRDefault="00C244C2" w:rsidP="00C244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Oficina Nacional de la Mujer (ONAM)</w:t>
      </w:r>
    </w:p>
    <w:p w:rsidR="00C244C2" w:rsidRPr="00981E15" w:rsidRDefault="00C244C2" w:rsidP="00C244C2">
      <w:pPr>
        <w:pStyle w:val="SingleTxt"/>
        <w:spacing w:after="0" w:line="120" w:lineRule="exact"/>
        <w:rPr>
          <w:sz w:val="10"/>
        </w:rPr>
      </w:pPr>
    </w:p>
    <w:p w:rsidR="00C244C2" w:rsidRPr="00981E15" w:rsidRDefault="00C244C2" w:rsidP="00FC46E0">
      <w:pPr>
        <w:pStyle w:val="SingleTxt"/>
        <w:numPr>
          <w:ilvl w:val="0"/>
          <w:numId w:val="32"/>
        </w:numPr>
        <w:tabs>
          <w:tab w:val="clear" w:pos="475"/>
          <w:tab w:val="num" w:pos="1742"/>
        </w:tabs>
        <w:suppressAutoHyphens/>
        <w:ind w:left="1267"/>
      </w:pPr>
      <w:r w:rsidRPr="00981E15">
        <w:t>La ONAM ha realizado una desconcentración de sus acciones a nivel central, al establecer coordinadoras departamentales en los 22 departamentos del país, para dar atención directa y oportuna a las necesidades prácticas y estratégicas de las mujeres a nivel rural. Esta desconcentración se realiza a través de los mismos delegados o delegadas del Ministerio de Trabajo en todo el país, a quienes se les asignan funciones de coordinación, seguimiento y atención para las mujeres trabajadoras.</w:t>
      </w:r>
    </w:p>
    <w:p w:rsidR="00C244C2" w:rsidRPr="00981E15" w:rsidRDefault="00C244C2" w:rsidP="00FC46E0">
      <w:pPr>
        <w:pStyle w:val="SingleTxt"/>
        <w:numPr>
          <w:ilvl w:val="0"/>
          <w:numId w:val="32"/>
        </w:numPr>
        <w:tabs>
          <w:tab w:val="clear" w:pos="475"/>
          <w:tab w:val="num" w:pos="1742"/>
        </w:tabs>
        <w:suppressAutoHyphens/>
        <w:ind w:left="1267"/>
      </w:pPr>
      <w:r w:rsidRPr="00981E15">
        <w:t xml:space="preserve">La ONAM, como uno de los mecanismos de protección de los derechos de las mujeres ha promovido la organización y participación política de las mujeres de instituciones gubernamentales y no gubernamentales, en los 22 departamentos de Guatemala, por medio de la celebración de asambleas mensuales de trabajo y reuniones de Junta Directiva de la ONAM a nivel departamental, quienes se organizan democráticamente en elecciones participativas cada dos años. </w:t>
      </w:r>
    </w:p>
    <w:p w:rsidR="00C244C2" w:rsidRPr="00981E15" w:rsidRDefault="00C244C2" w:rsidP="00FC46E0">
      <w:pPr>
        <w:pStyle w:val="SingleTxt"/>
        <w:numPr>
          <w:ilvl w:val="0"/>
          <w:numId w:val="32"/>
        </w:numPr>
        <w:tabs>
          <w:tab w:val="clear" w:pos="475"/>
          <w:tab w:val="num" w:pos="1742"/>
        </w:tabs>
        <w:suppressAutoHyphens/>
        <w:ind w:left="1267"/>
      </w:pPr>
      <w:r w:rsidRPr="00981E15">
        <w:t xml:space="preserve">Dentro de las actividades de investigación ha realizado los siguientes estudios: </w:t>
      </w:r>
    </w:p>
    <w:p w:rsidR="00C244C2" w:rsidRPr="00981E15" w:rsidRDefault="00FC46E0" w:rsidP="00FC46E0">
      <w:pPr>
        <w:pStyle w:val="SingleTxt"/>
        <w:tabs>
          <w:tab w:val="right" w:pos="1685"/>
        </w:tabs>
        <w:suppressAutoHyphens/>
        <w:ind w:left="1742" w:hanging="475"/>
      </w:pPr>
      <w:r w:rsidRPr="00981E15">
        <w:tab/>
        <w:t>•</w:t>
      </w:r>
      <w:r w:rsidRPr="00981E15">
        <w:tab/>
      </w:r>
      <w:r w:rsidR="00C244C2" w:rsidRPr="00981E15">
        <w:t>“</w:t>
      </w:r>
      <w:r w:rsidR="00C244C2" w:rsidRPr="00981E15">
        <w:rPr>
          <w:i/>
        </w:rPr>
        <w:t>Participación de las Mujeres Trabajadoras a través de la historia</w:t>
      </w:r>
      <w:r w:rsidR="00C244C2" w:rsidRPr="00981E15">
        <w:t xml:space="preserve">”, que contiene además el “Estudio de la Situación específica de las Trabajadoras Guatemaltecas y posibles repercusiones derivadas de los Acuerdos y Tratados en materia comercial”. Documento validado en tres departamentos de Guatemala, elaborado, impreso y distribuido en el 2005 apoyado por la Secretaría de Integración Económica Centroamericana SIECA/BID. </w:t>
      </w:r>
    </w:p>
    <w:p w:rsidR="00C244C2" w:rsidRPr="00981E15" w:rsidRDefault="00FC46E0" w:rsidP="00FC46E0">
      <w:pPr>
        <w:pStyle w:val="SingleTxt"/>
        <w:tabs>
          <w:tab w:val="right" w:pos="1685"/>
        </w:tabs>
        <w:suppressAutoHyphens/>
        <w:ind w:left="1742" w:hanging="475"/>
      </w:pPr>
      <w:r w:rsidRPr="00981E15">
        <w:tab/>
        <w:t>•</w:t>
      </w:r>
      <w:r w:rsidRPr="00981E15">
        <w:tab/>
      </w:r>
      <w:r w:rsidR="00C244C2" w:rsidRPr="00981E15">
        <w:rPr>
          <w:i/>
        </w:rPr>
        <w:t>“Diagnóstico situacional sobre las propuestas de Reformas</w:t>
      </w:r>
      <w:r w:rsidR="00C244C2" w:rsidRPr="00981E15">
        <w:t xml:space="preserve"> a 10 leyes: Ley de Creación del Instituto Nacional de la Mujer INAM, reformas al Código Civil, Código de Salud, Ley de Educación, Ley de creación del Fondo de Tierras, Ley Electoral y de Partidos Políticos, Ley contra el Acoso Sexual, Ley orgánica del IGSS, Código de Trabajo y Ley reguladora del trabajo en casa particular, todas presentadas ante el Congreso de la República de Guatemala durante los años 1996-2006. </w:t>
      </w:r>
    </w:p>
    <w:p w:rsidR="00C244C2" w:rsidRPr="00981E15" w:rsidRDefault="00C244C2" w:rsidP="00FC46E0">
      <w:pPr>
        <w:pStyle w:val="SingleTxt"/>
        <w:numPr>
          <w:ilvl w:val="0"/>
          <w:numId w:val="32"/>
        </w:numPr>
        <w:tabs>
          <w:tab w:val="clear" w:pos="475"/>
          <w:tab w:val="num" w:pos="1742"/>
        </w:tabs>
        <w:suppressAutoHyphens/>
        <w:ind w:left="1267"/>
      </w:pPr>
      <w:r w:rsidRPr="00981E15">
        <w:t xml:space="preserve">Así también se ha apoyado el proyecto de reforma de 32 artículos discriminatorios del Código de Trabajo, en coordinación con la Comisión de la Mujer del Congreso de la República de Guatemala, SEPREM, DEMI, organizaciones de mujeres como Convergencia Cívico Política de Mujeres, CENTRACAP. Esta propuesta ha sido presentada ante el Congreso de la República y está en consulta con el Ministerio de Trabajo y Previsión Social para su análisis. </w:t>
      </w:r>
    </w:p>
    <w:p w:rsidR="00C244C2" w:rsidRPr="00981E15" w:rsidRDefault="00C244C2" w:rsidP="00FC46E0">
      <w:pPr>
        <w:pStyle w:val="SingleTxt"/>
        <w:numPr>
          <w:ilvl w:val="0"/>
          <w:numId w:val="32"/>
        </w:numPr>
        <w:tabs>
          <w:tab w:val="clear" w:pos="475"/>
          <w:tab w:val="num" w:pos="1742"/>
        </w:tabs>
        <w:suppressAutoHyphens/>
        <w:ind w:left="1267"/>
      </w:pPr>
      <w:r w:rsidRPr="00981E15">
        <w:t>Se realizó el estudio y análisis de la Ley de Servicio Civil, y de la Ley del Femicidio en coordinación con otras organizaciones de mujeres, haciendo propuestas concretas para su reformulación y aprobación ante el Congreso de la República de Guatemala.</w:t>
      </w:r>
    </w:p>
    <w:p w:rsidR="00C244C2" w:rsidRPr="00981E15" w:rsidRDefault="00C244C2" w:rsidP="00FC46E0">
      <w:pPr>
        <w:pStyle w:val="SingleTxt"/>
        <w:numPr>
          <w:ilvl w:val="0"/>
          <w:numId w:val="32"/>
        </w:numPr>
        <w:tabs>
          <w:tab w:val="clear" w:pos="475"/>
          <w:tab w:val="num" w:pos="1742"/>
        </w:tabs>
        <w:suppressAutoHyphens/>
        <w:ind w:left="1267"/>
      </w:pPr>
      <w:r w:rsidRPr="00981E15">
        <w:t>En materia de capacitación la ONAM mantiene una capacitación constante con las 35 delegadas que asisten a las asambleas locales mensuales, sobre temas de interés nacional: delitos contra mujeres, violencia intrafamiliar, equidad de género, diversidad cultural, autoestima, salud reproductiva, acoso sexual y derechos laborales y humanos, acuerdos de paz, legislación nacional e internacional de protección de las mujeres.</w:t>
      </w:r>
    </w:p>
    <w:p w:rsidR="00C244C2" w:rsidRPr="00981E15" w:rsidRDefault="00C244C2" w:rsidP="00FC46E0">
      <w:pPr>
        <w:pStyle w:val="SingleTxt"/>
        <w:numPr>
          <w:ilvl w:val="0"/>
          <w:numId w:val="32"/>
        </w:numPr>
        <w:tabs>
          <w:tab w:val="clear" w:pos="475"/>
          <w:tab w:val="num" w:pos="1742"/>
        </w:tabs>
        <w:suppressAutoHyphens/>
        <w:ind w:left="1267"/>
      </w:pPr>
      <w:r w:rsidRPr="00981E15">
        <w:t>Anualmente se han realizado concursos para dar reconocimiento a mujeres destacadas en la política nacional, académicas, funcionarias públicas, magisterio, científicas, mujeres rurales, otorgándose la Medalla Oficina Nacional de la Mujer, Honor al Mérito Julia Urrutia, cambio de Rosa por la Paz, izada de la bandera del Banco Industrial, con el objetivo de visibilizar y valorar su trabajo, el cual no ha sido reconocido, ni valorado por la sociedad guatemalteca.</w:t>
      </w:r>
    </w:p>
    <w:p w:rsidR="00C244C2" w:rsidRPr="00981E15" w:rsidRDefault="00C244C2" w:rsidP="00FC46E0">
      <w:pPr>
        <w:pStyle w:val="SingleTxt"/>
        <w:numPr>
          <w:ilvl w:val="0"/>
          <w:numId w:val="32"/>
        </w:numPr>
        <w:tabs>
          <w:tab w:val="clear" w:pos="475"/>
          <w:tab w:val="num" w:pos="1742"/>
        </w:tabs>
        <w:suppressAutoHyphens/>
        <w:ind w:left="1267"/>
      </w:pPr>
      <w:r w:rsidRPr="00981E15">
        <w:t>Se ha promovido anualmente el cumplimiento de los derechos de las mujeres y la equidad de género, por medio de la conmemoración de fechas alusivas a las mujeres en los 22 departamentos del país: Día de la Mujer de las Américas, Día Internacional de la Mujer, Día por la salud integral de las mujeres, Día de la no Violencia hacia las Mujeres. Se han realizado actos, conferencias, concursos, ferias, comunicados, boletines, marchas, carteles y programas promocionales a través de la radio, prensa y televisión, logrando aumentar la participación de la población en las actividades.</w:t>
      </w:r>
    </w:p>
    <w:p w:rsidR="00C244C2" w:rsidRPr="00981E15" w:rsidRDefault="00C244C2" w:rsidP="00FC46E0">
      <w:pPr>
        <w:pStyle w:val="SingleTxt"/>
        <w:numPr>
          <w:ilvl w:val="0"/>
          <w:numId w:val="32"/>
        </w:numPr>
        <w:tabs>
          <w:tab w:val="clear" w:pos="475"/>
          <w:tab w:val="num" w:pos="1742"/>
        </w:tabs>
        <w:suppressAutoHyphens/>
        <w:ind w:left="1267"/>
      </w:pPr>
      <w:r w:rsidRPr="00981E15">
        <w:t>Para promover la sensibilización y el conocimiento teórico de la población, se mantiene información actualizada en los Centros de Documentación instalados en las delegaciones de la ONAM en los 22 departamentos, en temas actualizados y especializados de la mujer, equidad de género, diversidad cultural, derechos laborales y humanos, violencia intrafamiliar, violencia contra la mujer, políticas públicas, gobernabilidad, investigaciones y estudios especiales, etc.</w:t>
      </w:r>
    </w:p>
    <w:p w:rsidR="00C244C2" w:rsidRPr="00981E15" w:rsidRDefault="00C244C2" w:rsidP="00FC46E0">
      <w:pPr>
        <w:pStyle w:val="SingleTxt"/>
        <w:numPr>
          <w:ilvl w:val="0"/>
          <w:numId w:val="32"/>
        </w:numPr>
        <w:tabs>
          <w:tab w:val="clear" w:pos="475"/>
          <w:tab w:val="num" w:pos="1742"/>
        </w:tabs>
        <w:suppressAutoHyphens/>
        <w:ind w:left="1267"/>
      </w:pPr>
      <w:r w:rsidRPr="00981E15">
        <w:t xml:space="preserve">Para el fortalecimiento de la Oficina Nacional de la Mujer y para el desarrollo de las mujeres, con el apoyo financiero y técnico de cooperación internacional se han elaborado y presentado los siguientes proyectos: 1) Fortalecimiento del área de Capacitación y Formación de la Oficina Nacional de las Mujeres. 2) Mujeres jóvenes adolescentes, invirtiendo las remesas enviadas del exterior, en actividades productivas. 3) Estudio sobre: las mujeres y su participación en las Ferias del Empleo, organizadas por el Ministerio de Trabajo y Previsión Social en el año 2006. 4) Reducción de la discriminación Laboral contra las mujeres. 5) Políticas de Equidad de Género y Multiculturalidad en el Ministerio de Trabajo y Previsión Social. 6) Desconcentración de la Oficina Nacional de la Mujer. 7) Fortalecimiento de la Participación Cívico Política de las Mujeres Guatemaltecas. </w:t>
      </w:r>
    </w:p>
    <w:p w:rsidR="00C244C2" w:rsidRPr="00981E15" w:rsidRDefault="00C244C2" w:rsidP="00FC46E0">
      <w:pPr>
        <w:pStyle w:val="SingleTxt"/>
        <w:numPr>
          <w:ilvl w:val="0"/>
          <w:numId w:val="32"/>
        </w:numPr>
        <w:tabs>
          <w:tab w:val="clear" w:pos="475"/>
          <w:tab w:val="num" w:pos="1742"/>
        </w:tabs>
        <w:suppressAutoHyphens/>
        <w:ind w:left="1267"/>
      </w:pPr>
      <w:r w:rsidRPr="00981E15">
        <w:t>Cada trimestre se elabora un boletín informativo de la ONAM, para mantener informada y actualizada a las autoridades y al personal del Ministerio de Trabajo, Asamblea General de Delegadas y a otras personas interesadas en temas de interés para la igualdad y equidad de género.</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C244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Protección de las mujeres trabajadoras de maquilas </w:t>
      </w:r>
    </w:p>
    <w:p w:rsidR="00C244C2" w:rsidRPr="00981E15" w:rsidRDefault="00C244C2" w:rsidP="00C244C2">
      <w:pPr>
        <w:pStyle w:val="SingleTxt"/>
        <w:spacing w:after="0" w:line="120" w:lineRule="exact"/>
        <w:rPr>
          <w:sz w:val="10"/>
        </w:rPr>
      </w:pPr>
    </w:p>
    <w:p w:rsidR="00C244C2" w:rsidRPr="00981E15" w:rsidRDefault="00C244C2" w:rsidP="00C244C2">
      <w:pPr>
        <w:pStyle w:val="SingleTxt"/>
        <w:spacing w:after="0" w:line="120" w:lineRule="exact"/>
        <w:rPr>
          <w:sz w:val="10"/>
        </w:rPr>
      </w:pPr>
    </w:p>
    <w:p w:rsidR="00C244C2" w:rsidRPr="00981E15" w:rsidRDefault="00C244C2" w:rsidP="00FC46E0">
      <w:pPr>
        <w:pStyle w:val="SingleTxt"/>
        <w:numPr>
          <w:ilvl w:val="0"/>
          <w:numId w:val="32"/>
        </w:numPr>
        <w:tabs>
          <w:tab w:val="clear" w:pos="475"/>
          <w:tab w:val="num" w:pos="1742"/>
        </w:tabs>
        <w:suppressAutoHyphens/>
        <w:ind w:left="1267"/>
      </w:pPr>
      <w:r w:rsidRPr="00981E15">
        <w:t>En el 2004 derivado de la situación de violación de derechos laborales dentro de las empresas maquiladoras en el país, se crea la Instancia de Prevención de conflictos laborales de la maquila, impulsada por la Instancia Coordinadora de la Maquila</w:t>
      </w:r>
      <w:r w:rsidRPr="00981E15">
        <w:rPr>
          <w:rStyle w:val="FootnoteReference"/>
        </w:rPr>
        <w:footnoteReference w:id="4"/>
      </w:r>
      <w:r w:rsidRPr="00981E15">
        <w:t>. Así también, se integró la Unidad de Inspectores que fueron asignados específicamente para atender los casos de denuncias de trabajadoras de maquila (incluido acoso) en el departamento de Guatemala, y que también atienden casos de despidos masivos de hombres y mujeres. Esta Unidad está a cargo de la Inspección General de Trabajo (IGT), ente encargado de velar por los derechos de los y las trabajadoras.</w:t>
      </w:r>
    </w:p>
    <w:p w:rsidR="00C244C2" w:rsidRPr="00981E15" w:rsidRDefault="00C244C2" w:rsidP="00FC46E0">
      <w:pPr>
        <w:pStyle w:val="SingleTxt"/>
        <w:numPr>
          <w:ilvl w:val="0"/>
          <w:numId w:val="32"/>
        </w:numPr>
        <w:tabs>
          <w:tab w:val="clear" w:pos="475"/>
          <w:tab w:val="num" w:pos="1742"/>
        </w:tabs>
        <w:suppressAutoHyphens/>
        <w:ind w:left="1267"/>
      </w:pPr>
      <w:r w:rsidRPr="00981E15">
        <w:t>En el marco de la protección social, en el 2004 se realizó el estudio de caso “Una Mirada sobre Problemas de Salud en las Mujeres Asociados a la Industria Maquiladora Guatemalteca y Agroindustria-Chimaltenango” como parte del Proyecto de la Agenda Económica de las Mujeres. Este estudio estuvo dirigido a identificar los problemas de salud más frecuentes que presentan las mujeres que trabajan en las empresas maquiladoras de Villa Nueva, Mixco, Amatitlán y ciudad de Guatemala y en las empresas agro exportadoras no tradicionales de Chimaltenango. Se abordó el contexto de la mujer trabajadora de maquila en Guatemala, reflejándose condiciones de desventaja para las mismas, pues trabajan horarios extenuantes, sin acceso al seguro social, con altas tasas de fecundidad, revelando las relaciones de inequidad, inseguridad y falta de justicia en el trabajo. Concluye que las maquilas han traído beneficio al país pero a cambio de la salud e integridad de las mujeres.</w:t>
      </w:r>
    </w:p>
    <w:p w:rsidR="007603D8" w:rsidRPr="00981E15" w:rsidRDefault="001822A6" w:rsidP="007603D8">
      <w:pPr>
        <w:pStyle w:val="SingleTxt"/>
        <w:numPr>
          <w:ilvl w:val="0"/>
          <w:numId w:val="32"/>
        </w:numPr>
        <w:tabs>
          <w:tab w:val="clear" w:pos="475"/>
          <w:tab w:val="num" w:pos="1742"/>
        </w:tabs>
        <w:suppressAutoHyphens/>
        <w:ind w:left="1267"/>
      </w:pPr>
      <w:r w:rsidRPr="00981E15">
        <w:t>Como parte del plan estrat</w:t>
      </w:r>
      <w:r w:rsidR="009D23C4" w:rsidRPr="00981E15">
        <w:t>é</w:t>
      </w:r>
      <w:r w:rsidR="00916265" w:rsidRPr="00981E15">
        <w:t xml:space="preserve">gico de la </w:t>
      </w:r>
      <w:r w:rsidR="00CE2D8C" w:rsidRPr="00981E15">
        <w:t>Instancia de la Instancia de prevención de conflictos</w:t>
      </w:r>
      <w:r w:rsidR="00327AC5" w:rsidRPr="00981E15">
        <w:t xml:space="preserve"> laborales de la maquila se estableció como prioridad lograr la ratificación por parte del Gobierno de Guatemala del Convenio 155 de la OIT. Aún no ha sido ratificado y dado que las condiciones laborales actuales se manifiestan regularmente precarias, principalmente en las maquillas, organizaciones sociales de Guatemala continúan en la demanda de la ratificación.</w:t>
      </w:r>
    </w:p>
    <w:p w:rsidR="00B67E48" w:rsidRPr="00981E15" w:rsidRDefault="00B67E48" w:rsidP="00B67E48">
      <w:pPr>
        <w:pStyle w:val="SingleTxt"/>
        <w:suppressAutoHyphens/>
        <w:spacing w:after="0" w:line="120" w:lineRule="exact"/>
        <w:rPr>
          <w:sz w:val="10"/>
        </w:rPr>
      </w:pPr>
    </w:p>
    <w:p w:rsidR="00B67E48" w:rsidRPr="00981E15" w:rsidRDefault="00B67E48" w:rsidP="00B67E48">
      <w:pPr>
        <w:pStyle w:val="SingleTxt"/>
        <w:suppressAutoHyphens/>
        <w:spacing w:after="0" w:line="120" w:lineRule="exact"/>
        <w:rPr>
          <w:sz w:val="10"/>
        </w:rPr>
      </w:pPr>
    </w:p>
    <w:p w:rsidR="007603D8" w:rsidRPr="00981E15" w:rsidRDefault="007603D8" w:rsidP="007603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Erradicación del trabajo infantil</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Mediante el Acuerdo Gubernativo 250-2006, el Ministerio de Trabajo y Previsión Social estableció el Reglamento para la aplicación del Convenio 182 de la Organización Internacional del Trabajo sobre las Peores Formas de Trabajo Infantil y la Acción Inmediata para su Eliminación. Este reglamento, determina y prohíbe los trabajos que puedan dañar la salud, la seguridad o la moralidad de las personas menores de dieciocho años de edad, y define los tipos de trabajos considerados como peores formas de trabajo infantil, así como de aquellos que por su condición se consideran trabajos peligrosos e insalubres y que podrían causar daño de modo grave a la salud física o mental, al desarrollo integral e inclusive la muerte de la persona menor de dieciocho años, sin que necesariamente la naturaleza de la actividad sea insalubre o peligrosa.</w:t>
      </w:r>
    </w:p>
    <w:p w:rsidR="007603D8" w:rsidRPr="00981E15" w:rsidRDefault="007603D8" w:rsidP="007603D8">
      <w:pPr>
        <w:pStyle w:val="SingleTxt"/>
        <w:numPr>
          <w:ilvl w:val="0"/>
          <w:numId w:val="32"/>
        </w:numPr>
        <w:tabs>
          <w:tab w:val="clear" w:pos="475"/>
          <w:tab w:val="num" w:pos="1742"/>
        </w:tabs>
        <w:ind w:left="1267"/>
      </w:pPr>
      <w:r w:rsidRPr="00981E15">
        <w:t>Actualmente se está preparando la ruta de implementación intra e interinstitucional para la aplicación de este reglamento, promoviéndose la capacitación y la elaboración de protocolos que le permitirá a la Inspección General de Trabajo contar con las herramientas necesarias para la atención. Por medio del Acuerdo Ministerial No. 24-2005 se crea el Comité Técnico para la Erradicación del Trabajo Infantil que realizan niños y niñas adolescentes. En noviembre de 2007 se hizo el lanzamiento de la campaña para disminuir y erradicar el trabajo infantil como respuesta al Convenio 182 de la OIT. Dicha campaña se transmitirá en los diferentes medios de comunicación social (radio, televisión y prensa escrita. En la iniciativa 2630 para reforma del Código Penal que se encuentra pendiente en el Congreso de la República, se tipifican las peores formas de trabajo infantil.</w:t>
      </w:r>
    </w:p>
    <w:p w:rsidR="007603D8" w:rsidRPr="00981E15" w:rsidRDefault="007603D8" w:rsidP="007603D8">
      <w:pPr>
        <w:pStyle w:val="SingleTxt"/>
        <w:numPr>
          <w:ilvl w:val="0"/>
          <w:numId w:val="32"/>
        </w:numPr>
        <w:tabs>
          <w:tab w:val="clear" w:pos="475"/>
          <w:tab w:val="num" w:pos="1742"/>
        </w:tabs>
        <w:ind w:left="1267"/>
      </w:pPr>
      <w:r w:rsidRPr="00981E15">
        <w:t>Mediante la Unidad de Protección a la Adolescencia Trabajadora se está desarrollando el proyecto de Prevención del Trabajo Infantil Doméstico en Poblaciones Indígenas en el Municipio de Comitancillo, Departamento de San Marcos, donde se está beneficiando a 110 niñas y niños. Se les brinda apoyo en la educación favoreciendo así su permanencia en la escuela, evitando la migración y de esta manera previniendo la trata de niñas y niños. Por otro lado, se les apoya con suplemento nutricional. También se les ha proveído de vestuario maya (güipil, faja, corte y zapatos) y reforzamiento escolar en las áreas con mayor dificultad. Además, se les han suministrado implementos deportivos que facilitarán las actividades culturales potencializando su cultura.</w:t>
      </w:r>
    </w:p>
    <w:p w:rsidR="007603D8" w:rsidRPr="00981E15" w:rsidRDefault="007603D8" w:rsidP="007603D8">
      <w:pPr>
        <w:pStyle w:val="SingleTxt"/>
        <w:numPr>
          <w:ilvl w:val="0"/>
          <w:numId w:val="32"/>
        </w:numPr>
        <w:tabs>
          <w:tab w:val="clear" w:pos="475"/>
          <w:tab w:val="num" w:pos="1742"/>
        </w:tabs>
        <w:ind w:left="1267"/>
      </w:pPr>
      <w:r w:rsidRPr="00981E15">
        <w:t>En cuanto a la producción de fuegos pirotécnicos en los que trabajan gran número de niños y niñas menores de edad, se han hecho esfuerzos por tecnificar los procesos de elaboración de artículos pirotécnicos, a pesar de la resistencia al cambio en los hábitos productivos, lo que se traduce en seguridad ocupacional para los trabajadores, de los cuales la gran mayoría son menores de edad. Así mismo, se han hecho esfuerzos interinstitucionales para brindar otras opciones de actividades productivas y se han impartido cursos de capacitación.</w:t>
      </w: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br w:type="page"/>
      </w:r>
      <w:r w:rsidRPr="00981E15">
        <w:rPr>
          <w:b w:val="0"/>
        </w:rPr>
        <w:tab/>
      </w:r>
      <w:r w:rsidRPr="00981E15">
        <w:rPr>
          <w:b w:val="0"/>
        </w:rPr>
        <w:tab/>
        <w:t xml:space="preserve">Cuadro 24 </w:t>
      </w:r>
      <w:r w:rsidRPr="00981E15">
        <w:rPr>
          <w:b w:val="0"/>
        </w:rPr>
        <w:br/>
      </w:r>
      <w:r w:rsidRPr="00981E15">
        <w:t>Acciones desarrolladas para la erradicación del trabajo infantil 2004-2006</w:t>
      </w:r>
    </w:p>
    <w:p w:rsidR="007603D8" w:rsidRPr="00981E15" w:rsidRDefault="007603D8" w:rsidP="007603D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52"/>
        <w:gridCol w:w="768"/>
      </w:tblGrid>
      <w:tr w:rsidR="007603D8" w:rsidRPr="00981E15">
        <w:tblPrEx>
          <w:tblCellMar>
            <w:top w:w="0" w:type="dxa"/>
            <w:bottom w:w="0" w:type="dxa"/>
          </w:tblCellMar>
        </w:tblPrEx>
        <w:trPr>
          <w:tblHeader/>
        </w:trPr>
        <w:tc>
          <w:tcPr>
            <w:tcW w:w="6552" w:type="dxa"/>
            <w:tcBorders>
              <w:top w:val="single" w:sz="4" w:space="0" w:color="auto"/>
              <w:bottom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80" w:after="80" w:line="160" w:lineRule="exact"/>
              <w:ind w:right="40"/>
              <w:rPr>
                <w:i/>
                <w:kern w:val="0"/>
                <w:sz w:val="14"/>
              </w:rPr>
            </w:pPr>
            <w:r w:rsidRPr="00981E15">
              <w:rPr>
                <w:i/>
                <w:kern w:val="0"/>
                <w:sz w:val="14"/>
              </w:rPr>
              <w:t>Acciones ejecutadas</w:t>
            </w:r>
          </w:p>
        </w:tc>
        <w:tc>
          <w:tcPr>
            <w:tcW w:w="768" w:type="dxa"/>
            <w:tcBorders>
              <w:top w:val="single" w:sz="4" w:space="0" w:color="auto"/>
              <w:bottom w:val="single" w:sz="12" w:space="0" w:color="auto"/>
            </w:tcBorders>
            <w:shd w:val="clear" w:color="auto" w:fill="auto"/>
            <w:vAlign w:val="bottom"/>
          </w:tcPr>
          <w:p w:rsidR="007603D8" w:rsidRPr="00981E15" w:rsidRDefault="007603D8" w:rsidP="00BF29C8">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Total</w:t>
            </w:r>
          </w:p>
        </w:tc>
      </w:tr>
      <w:tr w:rsidR="007603D8" w:rsidRPr="00981E15">
        <w:tblPrEx>
          <w:tblCellMar>
            <w:top w:w="0" w:type="dxa"/>
            <w:bottom w:w="0" w:type="dxa"/>
          </w:tblCellMar>
        </w:tblPrEx>
        <w:trPr>
          <w:trHeight w:hRule="exact" w:val="115"/>
          <w:tblHeader/>
        </w:trPr>
        <w:tc>
          <w:tcPr>
            <w:tcW w:w="6552" w:type="dxa"/>
            <w:tcBorders>
              <w:top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rPr>
                <w:kern w:val="0"/>
                <w:sz w:val="17"/>
              </w:rPr>
            </w:pPr>
          </w:p>
        </w:tc>
        <w:tc>
          <w:tcPr>
            <w:tcW w:w="768" w:type="dxa"/>
            <w:tcBorders>
              <w:top w:val="single" w:sz="12" w:space="0" w:color="auto"/>
            </w:tcBorders>
            <w:shd w:val="clear" w:color="auto" w:fill="auto"/>
            <w:vAlign w:val="bottom"/>
          </w:tcPr>
          <w:p w:rsidR="007603D8" w:rsidRPr="00981E15" w:rsidRDefault="007603D8" w:rsidP="00BF29C8">
            <w:pPr>
              <w:tabs>
                <w:tab w:val="left" w:pos="288"/>
                <w:tab w:val="left" w:pos="576"/>
                <w:tab w:val="left" w:pos="864"/>
                <w:tab w:val="left" w:pos="1152"/>
              </w:tabs>
              <w:spacing w:before="40" w:after="40" w:line="210" w:lineRule="exact"/>
              <w:ind w:right="40"/>
              <w:jc w:val="right"/>
              <w:rPr>
                <w:kern w:val="0"/>
                <w:sz w:val="17"/>
              </w:rPr>
            </w:pPr>
          </w:p>
        </w:tc>
      </w:tr>
      <w:tr w:rsidR="007603D8" w:rsidRPr="00981E15">
        <w:tblPrEx>
          <w:tblCellMar>
            <w:top w:w="0" w:type="dxa"/>
            <w:bottom w:w="0" w:type="dxa"/>
          </w:tblCellMar>
        </w:tblPrEx>
        <w:tc>
          <w:tcPr>
            <w:tcW w:w="6552"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3"/>
              <w:rPr>
                <w:kern w:val="0"/>
                <w:sz w:val="17"/>
                <w:szCs w:val="17"/>
              </w:rPr>
            </w:pPr>
            <w:r w:rsidRPr="00981E15">
              <w:rPr>
                <w:sz w:val="17"/>
                <w:szCs w:val="17"/>
              </w:rPr>
              <w:t>Asesoría a 11 fábricas de productos pirotécnicos</w:t>
            </w:r>
          </w:p>
        </w:tc>
        <w:tc>
          <w:tcPr>
            <w:tcW w:w="768" w:type="dxa"/>
            <w:shd w:val="clear" w:color="auto" w:fill="auto"/>
            <w:vAlign w:val="bottom"/>
          </w:tcPr>
          <w:p w:rsidR="007603D8" w:rsidRPr="00981E15" w:rsidRDefault="007603D8" w:rsidP="00BF29C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11</w:t>
            </w:r>
          </w:p>
        </w:tc>
      </w:tr>
      <w:tr w:rsidR="007603D8" w:rsidRPr="00981E15">
        <w:tblPrEx>
          <w:tblCellMar>
            <w:top w:w="0" w:type="dxa"/>
            <w:bottom w:w="0" w:type="dxa"/>
          </w:tblCellMar>
        </w:tblPrEx>
        <w:tc>
          <w:tcPr>
            <w:tcW w:w="6552"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3"/>
              <w:rPr>
                <w:kern w:val="0"/>
                <w:sz w:val="17"/>
                <w:szCs w:val="17"/>
              </w:rPr>
            </w:pPr>
            <w:r w:rsidRPr="00981E15">
              <w:rPr>
                <w:sz w:val="17"/>
                <w:szCs w:val="17"/>
              </w:rPr>
              <w:t>Capacitación a trabajadores de la actividad pirotécnica (San Raymundo, San Juan Sacatepéquez, Mixco)</w:t>
            </w:r>
          </w:p>
        </w:tc>
        <w:tc>
          <w:tcPr>
            <w:tcW w:w="768" w:type="dxa"/>
            <w:shd w:val="clear" w:color="auto" w:fill="auto"/>
            <w:vAlign w:val="bottom"/>
          </w:tcPr>
          <w:p w:rsidR="007603D8" w:rsidRPr="00981E15" w:rsidRDefault="007603D8" w:rsidP="00BF29C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202</w:t>
            </w:r>
          </w:p>
        </w:tc>
      </w:tr>
      <w:tr w:rsidR="007603D8" w:rsidRPr="00981E15">
        <w:tblPrEx>
          <w:tblCellMar>
            <w:top w:w="0" w:type="dxa"/>
            <w:bottom w:w="0" w:type="dxa"/>
          </w:tblCellMar>
        </w:tblPrEx>
        <w:tc>
          <w:tcPr>
            <w:tcW w:w="6552"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3"/>
              <w:rPr>
                <w:kern w:val="0"/>
                <w:sz w:val="17"/>
                <w:szCs w:val="17"/>
              </w:rPr>
            </w:pPr>
            <w:r w:rsidRPr="00981E15">
              <w:rPr>
                <w:sz w:val="17"/>
                <w:szCs w:val="17"/>
              </w:rPr>
              <w:t>Trabajadores Certificados Actividad Pirotécnica</w:t>
            </w:r>
          </w:p>
        </w:tc>
        <w:tc>
          <w:tcPr>
            <w:tcW w:w="768" w:type="dxa"/>
            <w:shd w:val="clear" w:color="auto" w:fill="auto"/>
            <w:vAlign w:val="bottom"/>
          </w:tcPr>
          <w:p w:rsidR="007603D8" w:rsidRPr="00981E15" w:rsidRDefault="007603D8" w:rsidP="00BF29C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52</w:t>
            </w:r>
          </w:p>
        </w:tc>
      </w:tr>
      <w:tr w:rsidR="007603D8" w:rsidRPr="00981E15">
        <w:tblPrEx>
          <w:tblCellMar>
            <w:top w:w="0" w:type="dxa"/>
            <w:bottom w:w="0" w:type="dxa"/>
          </w:tblCellMar>
        </w:tblPrEx>
        <w:tc>
          <w:tcPr>
            <w:tcW w:w="6552" w:type="dxa"/>
            <w:tcBorders>
              <w:bottom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40" w:after="80" w:line="210" w:lineRule="exact"/>
              <w:ind w:right="43"/>
              <w:rPr>
                <w:kern w:val="0"/>
                <w:sz w:val="17"/>
                <w:szCs w:val="17"/>
              </w:rPr>
            </w:pPr>
            <w:r w:rsidRPr="00981E15">
              <w:rPr>
                <w:sz w:val="17"/>
                <w:szCs w:val="17"/>
              </w:rPr>
              <w:t>Cursos de capacitación a jóvenes por INTECAP (erradicar el trabajo pirotécnico)</w:t>
            </w:r>
          </w:p>
        </w:tc>
        <w:tc>
          <w:tcPr>
            <w:tcW w:w="768" w:type="dxa"/>
            <w:tcBorders>
              <w:bottom w:val="single" w:sz="12" w:space="0" w:color="auto"/>
            </w:tcBorders>
            <w:shd w:val="clear" w:color="auto" w:fill="auto"/>
            <w:vAlign w:val="bottom"/>
          </w:tcPr>
          <w:p w:rsidR="007603D8" w:rsidRPr="00981E15" w:rsidRDefault="007603D8" w:rsidP="00BF29C8">
            <w:pPr>
              <w:tabs>
                <w:tab w:val="left" w:pos="288"/>
                <w:tab w:val="left" w:pos="576"/>
                <w:tab w:val="left" w:pos="864"/>
                <w:tab w:val="left" w:pos="1152"/>
              </w:tabs>
              <w:spacing w:before="40" w:after="80" w:line="210" w:lineRule="exact"/>
              <w:ind w:right="43"/>
              <w:jc w:val="right"/>
              <w:rPr>
                <w:kern w:val="0"/>
                <w:sz w:val="17"/>
              </w:rPr>
            </w:pPr>
            <w:r w:rsidRPr="00981E15">
              <w:rPr>
                <w:kern w:val="0"/>
                <w:sz w:val="17"/>
              </w:rPr>
              <w:t>30</w:t>
            </w:r>
          </w:p>
        </w:tc>
      </w:tr>
    </w:tbl>
    <w:p w:rsidR="007603D8" w:rsidRPr="00981E15" w:rsidRDefault="007603D8" w:rsidP="007603D8">
      <w:pPr>
        <w:pStyle w:val="SingleTxt"/>
        <w:spacing w:after="0" w:line="120" w:lineRule="exact"/>
        <w:rPr>
          <w:sz w:val="10"/>
        </w:rPr>
      </w:pPr>
    </w:p>
    <w:p w:rsidR="007603D8" w:rsidRPr="00981E15" w:rsidRDefault="007603D8" w:rsidP="00BF29C8">
      <w:pPr>
        <w:pStyle w:val="FootnoteText"/>
        <w:tabs>
          <w:tab w:val="clear" w:pos="418"/>
          <w:tab w:val="right" w:pos="1476"/>
          <w:tab w:val="left" w:pos="1548"/>
          <w:tab w:val="right" w:pos="1836"/>
          <w:tab w:val="left" w:pos="1908"/>
        </w:tabs>
        <w:ind w:left="1548" w:right="1267" w:hanging="288"/>
      </w:pPr>
      <w:r w:rsidRPr="00981E15">
        <w:rPr>
          <w:i/>
        </w:rPr>
        <w:t>Fuente</w:t>
      </w:r>
      <w:r w:rsidRPr="00981E15">
        <w:t>: Informe de Gestión 2004-2006 “Misión Cumplida” Ministerio de Trabajo y Previsión Social</w:t>
      </w:r>
      <w:r w:rsidR="00BF29C8" w:rsidRPr="00981E15">
        <w:t>.</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7603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Trabajadoras de casa particular</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El trabajo remunerado en casa particular, que en muchos casos realizan las mujeres, niñas y adolescentes, se da más en contextos urbanos que rurales, donde las niñas y adolescentes de áreas rurales migran para desarrollar este tipo de actividad. Gran mayoría de estas trabajadoras son indígenas procedentes principalmente de los departamentos del occidente del país. Estas niñas y adolescentes son enviadas por sus familiares como una estrategia de sobrevivencia, por razones de orfandad o porque proceden de familias muy numerosas pobres o en extrema pobreza, situación que las obliga a inmigrar hacia centros urbanos para percibir un salario mensual, alojamiento y alimentación seguros.</w:t>
      </w:r>
    </w:p>
    <w:p w:rsidR="007603D8" w:rsidRPr="00981E15" w:rsidRDefault="007603D8" w:rsidP="007603D8">
      <w:pPr>
        <w:pStyle w:val="SingleTxt"/>
        <w:numPr>
          <w:ilvl w:val="0"/>
          <w:numId w:val="32"/>
        </w:numPr>
        <w:tabs>
          <w:tab w:val="clear" w:pos="475"/>
          <w:tab w:val="num" w:pos="1742"/>
        </w:tabs>
        <w:ind w:left="1267"/>
      </w:pPr>
      <w:r w:rsidRPr="00981E15">
        <w:t xml:space="preserve">El salario que percibe la trabajadora en casa particular es, en promedio, inferior al salario mínimo, aunque varía según región geográfica. En su mayoría no perciben ningún tipo de prestación laboral, seguridad social o atención médica por parte de sus patrones. Contrario a lo establecido por las leyes laborales, pueden ser despedidas sin previo aviso, sin ninguna retribución por el tiempo trabajado y, en muchos casos, incumpliendo con los compromisos salariales y prestaciones de ley. </w:t>
      </w:r>
    </w:p>
    <w:p w:rsidR="007603D8" w:rsidRPr="00981E15" w:rsidRDefault="007603D8" w:rsidP="007603D8">
      <w:pPr>
        <w:pStyle w:val="SingleTxt"/>
        <w:numPr>
          <w:ilvl w:val="0"/>
          <w:numId w:val="32"/>
        </w:numPr>
        <w:tabs>
          <w:tab w:val="clear" w:pos="475"/>
          <w:tab w:val="num" w:pos="1742"/>
        </w:tabs>
        <w:ind w:left="1267"/>
      </w:pPr>
      <w:r w:rsidRPr="00981E15">
        <w:t>Las condiciones de trabajo en general son de alto riesgo ya que su trabajo lo realizan a “puertas cerradas”, expuestas a riesgos psicológicos y sociales ya que viven fuera de su entorno familiar y sociocultural, prácticamente privadas de todo afecto, del contacto con sus familiares y amigos, independientemente de los malos tratos físicos, psicológicos, acoso y abuso sexual de que pueden ser víctimas por parte de sus empleadores.</w:t>
      </w:r>
    </w:p>
    <w:p w:rsidR="007603D8" w:rsidRPr="00981E15" w:rsidRDefault="007603D8" w:rsidP="007603D8">
      <w:pPr>
        <w:pStyle w:val="SingleTxt"/>
        <w:numPr>
          <w:ilvl w:val="0"/>
          <w:numId w:val="32"/>
        </w:numPr>
        <w:tabs>
          <w:tab w:val="clear" w:pos="475"/>
          <w:tab w:val="num" w:pos="1742"/>
        </w:tabs>
        <w:ind w:left="1267"/>
      </w:pPr>
      <w:r w:rsidRPr="00981E15">
        <w:t xml:space="preserve">En cuanto a la coordinación con organizaciones de la sociedad civil, en agosto de 2005 se suscribió una carta de entendimiento entre el Ministerio de Trabajo (MINTRAB) y la Centro de Apoyo para las Trabajadoras de Casa Particular (CENTRACAP), con el propósito de facilitar 11 talleres sobre derechos y obligaciones laborales dirigidos a trabajadoras de casa particular y los mecanismos de denuncia, así como también el desarrollo de 11 talleres para el fortalecimiento de la normativa internacional en materia de derechos humanos de las mujeres, dirigidos a Inspectores y Inspectoras de Trabajo de 11 departamentos del interior del país. </w:t>
      </w:r>
    </w:p>
    <w:p w:rsidR="007603D8" w:rsidRPr="00981E15" w:rsidRDefault="007603D8" w:rsidP="007603D8">
      <w:pPr>
        <w:pStyle w:val="SingleTxt"/>
        <w:numPr>
          <w:ilvl w:val="0"/>
          <w:numId w:val="32"/>
        </w:numPr>
        <w:tabs>
          <w:tab w:val="clear" w:pos="475"/>
          <w:tab w:val="num" w:pos="1742"/>
        </w:tabs>
        <w:ind w:left="1267"/>
      </w:pPr>
      <w:r w:rsidRPr="00981E15">
        <w:t xml:space="preserve">La Procuraduría de los Derechos Humanos organiza talleres para dar a conocer los derechos de las mujeres a nivel central y de todas las auxiliaturas del país, y atienden aquellos casos de violaciones a sus derechos de manera individual o colectiva. </w:t>
      </w:r>
    </w:p>
    <w:p w:rsidR="007603D8" w:rsidRPr="00981E15" w:rsidRDefault="007603D8" w:rsidP="007603D8">
      <w:pPr>
        <w:pStyle w:val="SingleTxt"/>
        <w:numPr>
          <w:ilvl w:val="0"/>
          <w:numId w:val="32"/>
        </w:numPr>
        <w:tabs>
          <w:tab w:val="clear" w:pos="475"/>
          <w:tab w:val="num" w:pos="1742"/>
        </w:tabs>
        <w:ind w:left="1267"/>
      </w:pPr>
      <w:r w:rsidRPr="00981E15">
        <w:t>En el 2004 CENTRACAP publicó el estudio sobre la Situación Sociopolítica de las Trabajadoras de Casa Particular en Guatemala. Discriminación Laboral, de Género y Étnica. El estudio incluyó cuatro aspectos de mayor relevancia, entre ellos las edades, estado civil, identidad étnica y las religiones. Entre las conclusiones del estudio destacan la necesidad de reformar la legislación y aprobar las leyes que se encuentran pendientes en el Congreso de la República: 1) Ley Reguladora de la Trabajadora de Casa Particular y 2) Ley contra el Acoso Sexual y Hostigamiento. Reconocimiento de la vulnerabilidad de las trabajadoras de casa particular sobre la base de todas sus condiciones de género, etnia y clase, algo que no es tomado en cuenta por los operadores de justicia ni los empleadores (incluyendo tanto a hombres como mujeres).</w:t>
      </w:r>
    </w:p>
    <w:p w:rsidR="007603D8" w:rsidRPr="00981E15" w:rsidRDefault="007603D8" w:rsidP="007603D8">
      <w:pPr>
        <w:pStyle w:val="SingleTxt"/>
        <w:spacing w:after="0" w:line="120" w:lineRule="exact"/>
        <w:rPr>
          <w:sz w:val="10"/>
        </w:rPr>
      </w:pPr>
    </w:p>
    <w:p w:rsidR="007603D8" w:rsidRPr="00981E15" w:rsidRDefault="007603D8" w:rsidP="009212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Propuestas de reformas legislativas a favor de las trabajadoras </w:t>
      </w:r>
      <w:r w:rsidR="009212D8" w:rsidRPr="00981E15">
        <w:br/>
      </w:r>
      <w:r w:rsidRPr="00981E15">
        <w:t xml:space="preserve">de casa particular </w:t>
      </w: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Con relación al Código de Trabajo éste regula el trabajo de empleadas de casa particular como aquel que realizan trabajadoras que se dedican en forma habitual y continua a labores de aseo, asistencia y demás propias de un hogar o de otro sitio de residencia o habitación particular, que no importen lucro o negocio para el patrono. Dicha norma refiere al trabajo en casa particular remunerado en virtud a que dicho código establece que salvo pacto en contrario, la retribución de las trabajadoras de casa particular comprende además del pago en dinero, el suministro de habitación y manutención. En este sentido el Código de Trabajo no incorpora en su estructura el trabajo doméstico no remunerado. Cabe resaltar que el trabajo de casa particular remunerado regulado en el Código de Trabajo, no cuenta con protección del Instituto Guatemalteco de Seguridad Social.</w:t>
      </w:r>
    </w:p>
    <w:p w:rsidR="007603D8" w:rsidRPr="00981E15" w:rsidRDefault="007603D8" w:rsidP="007603D8">
      <w:pPr>
        <w:pStyle w:val="SingleTxt"/>
        <w:numPr>
          <w:ilvl w:val="0"/>
          <w:numId w:val="32"/>
        </w:numPr>
        <w:tabs>
          <w:tab w:val="clear" w:pos="475"/>
          <w:tab w:val="num" w:pos="1742"/>
        </w:tabs>
        <w:ind w:left="1267"/>
      </w:pPr>
      <w:r w:rsidRPr="00981E15">
        <w:t>En el Congreso de la República se encuentra la iniciativa 3467, correspondiente a la ley de protección específica a trabajadoras de casa particular. Dicha iniciativa pretende regular el régimen del trabajo doméstico remunerado con relación a la jornada de trabajo, salario, seguro social, horas extras, licencias para educación, derecho pre y post natal y el pago de la bonificación incentivo. Se encuentra pendiente de dictamen.</w:t>
      </w:r>
    </w:p>
    <w:p w:rsidR="007603D8" w:rsidRPr="00981E15" w:rsidRDefault="007603D8" w:rsidP="007603D8">
      <w:pPr>
        <w:pStyle w:val="SingleTxt"/>
        <w:spacing w:after="0" w:line="120" w:lineRule="exact"/>
        <w:rPr>
          <w:sz w:val="10"/>
        </w:rPr>
      </w:pPr>
    </w:p>
    <w:p w:rsidR="007603D8" w:rsidRPr="00981E15" w:rsidRDefault="007603D8" w:rsidP="009212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Trabajo doméstico no remunerado</w:t>
      </w: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 xml:space="preserve">En Guatemala, los estudios sobre la dinámica familiar son escasos y los registros estadísticos no reflejan las contribuciones de las mujeres a la economía y por lo tanto no se ven reflejadas en la contabilidad nacional. Se considera que el trabajo que se realizan en los hogares y que históricamente se ha confiado a las mujeres, no tiene valor. </w:t>
      </w:r>
    </w:p>
    <w:p w:rsidR="007603D8" w:rsidRPr="00981E15" w:rsidRDefault="007603D8" w:rsidP="007603D8">
      <w:pPr>
        <w:pStyle w:val="SingleTxt"/>
        <w:numPr>
          <w:ilvl w:val="0"/>
          <w:numId w:val="32"/>
        </w:numPr>
        <w:tabs>
          <w:tab w:val="clear" w:pos="475"/>
          <w:tab w:val="num" w:pos="1742"/>
        </w:tabs>
        <w:ind w:left="1267"/>
      </w:pPr>
      <w:r w:rsidRPr="00981E15">
        <w:t>Se considera que el origen de los ingresos de las mujeres y de sus familias, depende de los siguientes elementos: 1) La incorporación de las mujeres al mercado de trabajo, sea como asalariadas, como empresarias generadoras de empleo, en el mercado de bienes o como trabajadora por cuenta propia con capacidades de acumulación sostenible. 2) Actividades de autoproducción o de subsistencia, en bienes para el consumo doméstico (cultivos, crianzas, costuras, pequeños comercios) que implica pequeñas producciones para la venta. 3) Ayudas monetarias y en especie que provengan de transferencias de remesas familiares, la colaboración de vecinos y la acción asistencial de instituciones y personas. 4) Rentas y otros ingresos como alquiler parcial de la vivienda, venta esporádica de algún bien material.</w:t>
      </w:r>
    </w:p>
    <w:p w:rsidR="007603D8" w:rsidRPr="00981E15" w:rsidRDefault="007603D8" w:rsidP="007603D8">
      <w:pPr>
        <w:pStyle w:val="SingleTxt"/>
        <w:numPr>
          <w:ilvl w:val="0"/>
          <w:numId w:val="32"/>
        </w:numPr>
        <w:tabs>
          <w:tab w:val="clear" w:pos="475"/>
          <w:tab w:val="num" w:pos="1742"/>
        </w:tabs>
        <w:ind w:left="1267"/>
      </w:pPr>
      <w:r w:rsidRPr="00981E15">
        <w:t>Las contribuciones de las mujeres por el lado de los ingresos se complementan con sus formas de actuación por el lado de la gerencia del gasto, ya que a partir de esta segunda función, se evitan, atenúan o se hacen gastos más eficientes para el hogar. En otras palabras, su papel de administradora del hogar es fundamental para maximizar los ingresos propios y de los integrantes del grupo doméstico.</w:t>
      </w:r>
    </w:p>
    <w:p w:rsidR="007603D8" w:rsidRPr="00981E15" w:rsidRDefault="007603D8" w:rsidP="007603D8">
      <w:pPr>
        <w:pStyle w:val="SingleTxt"/>
        <w:numPr>
          <w:ilvl w:val="0"/>
          <w:numId w:val="32"/>
        </w:numPr>
        <w:tabs>
          <w:tab w:val="clear" w:pos="475"/>
          <w:tab w:val="num" w:pos="1742"/>
        </w:tabs>
        <w:ind w:left="1267"/>
      </w:pPr>
      <w:r w:rsidRPr="00981E15">
        <w:t xml:space="preserve">Cobra importancia la existencia de un alto contingente de mujeres que por la falta de oportunidades y por su posición social, se ven obligadas a realizar las tareas del hogar y/o el cuidado de los niños y niñas, ancianos y ancianas, sin ninguna remuneración económica, dedicando un número considerable de horas a las mismas. </w:t>
      </w:r>
    </w:p>
    <w:p w:rsidR="007603D8" w:rsidRPr="00981E15" w:rsidRDefault="007603D8" w:rsidP="007603D8">
      <w:pPr>
        <w:pStyle w:val="SingleTxt"/>
        <w:numPr>
          <w:ilvl w:val="0"/>
          <w:numId w:val="32"/>
        </w:numPr>
        <w:tabs>
          <w:tab w:val="clear" w:pos="475"/>
          <w:tab w:val="num" w:pos="1742"/>
        </w:tabs>
        <w:ind w:left="1267"/>
      </w:pPr>
      <w:r w:rsidRPr="00981E15">
        <w:t>El trabajo doméstico constituye el trabajo oculto, que pasa desapercibido de las Cuentas Nacionales y de lo que significa para la sociedad en cuanto a reproducción de la fuerza de trabajo de ella y de su familia. De aquí la necesidad de establecer una Cuenta Satélite de Género cuyo objetivo principal es la cuantificación y valoración económica del trabajo doméstico y productivo no remunerado. Para hacerlo es necesario usar como insumos: a) Las Encuestas de Uso del Tiempo. En Guatemala un módulo incorporado a la Encuesta Nacional de Condiciones de Vida. b) Por ejemplo encuestas en donde se tenga la clasificación de actividades y salarios promedio. La Encuesta Nacional de Empleo y Desempleo podría ser la más indicada por el nivel de cobertura geográfica y periodicidad.</w:t>
      </w:r>
    </w:p>
    <w:p w:rsidR="007603D8" w:rsidRPr="00981E15" w:rsidRDefault="007603D8" w:rsidP="007603D8">
      <w:pPr>
        <w:pStyle w:val="SingleTxt"/>
        <w:numPr>
          <w:ilvl w:val="0"/>
          <w:numId w:val="32"/>
        </w:numPr>
        <w:tabs>
          <w:tab w:val="clear" w:pos="475"/>
          <w:tab w:val="num" w:pos="1742"/>
        </w:tabs>
        <w:ind w:left="1267"/>
      </w:pPr>
      <w:r w:rsidRPr="00981E15">
        <w:t xml:space="preserve">A finales de 2007 se desarrollará la primera Encuesta Nacional de Empleo y Desempleo (ENED) la cual tiene una cobertura a nivel departamental –urbano metropolitano, resto urbano y rural nacional- y cuyo plan de ejecución y seguimiento se contempla para el 2008 en forma semestral y los años subsiguientes trimestralmente. </w:t>
      </w:r>
    </w:p>
    <w:p w:rsidR="007603D8" w:rsidRPr="00981E15" w:rsidRDefault="007603D8" w:rsidP="007603D8">
      <w:pPr>
        <w:pStyle w:val="SingleTxt"/>
        <w:spacing w:after="0" w:line="120" w:lineRule="exact"/>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Medidas Adoptadas</w:t>
      </w: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Producto de la firma de un Convenio de Cooperación Técnica entre la SEPREM y la Universidad Rafael Landívar (URL) se implementa a partir de 2007 el Proyecto Cuente con Ambiente, con un período de ejecución de mayo de 2007 a diciembre de 2009. Como parte de este proyecto se realizará la propuesta metodológica y su implementación para incorporar el enfoque de equidad de género en el Instituto Nacional de Estadística –INE- y el Sistema Estadístico Nacional –SEN- (realizar el diagnóstico de las estadística y la viabilidad de la incorporación del enfoque de equidad de género en el SEN, así como implementar la propuesta metodológica para su incorporación) y la elaboración e implementación de la cuenta satélite de género (CSG) incorporada al sistema de Cuentas Nacionales de Guatemala -SCN- (elaboración de un diagnóstico de información disponible para la implementación de la CSG en el SCN; desarrollar y poner en marcha la metodología para la elaboración de la Cuenta, así como dar seguimiento y acompañamiento técnico a su proceso de cálculo).</w:t>
      </w:r>
    </w:p>
    <w:p w:rsidR="00B07222" w:rsidRPr="00981E15" w:rsidRDefault="00B07222" w:rsidP="00B07222">
      <w:pPr>
        <w:pStyle w:val="SingleTxt"/>
        <w:suppressAutoHyphens/>
        <w:spacing w:after="0" w:line="120" w:lineRule="exact"/>
        <w:rPr>
          <w:sz w:val="10"/>
        </w:rPr>
      </w:pPr>
    </w:p>
    <w:p w:rsidR="00B07222" w:rsidRPr="00981E15" w:rsidRDefault="00B07222" w:rsidP="00B07222">
      <w:pPr>
        <w:pStyle w:val="SingleTxt"/>
        <w:suppressAutoHyphens/>
        <w:spacing w:after="0" w:line="120" w:lineRule="exact"/>
        <w:rPr>
          <w:sz w:val="10"/>
        </w:rPr>
      </w:pPr>
    </w:p>
    <w:p w:rsidR="007603D8" w:rsidRPr="00981E15" w:rsidRDefault="007603D8" w:rsidP="007603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Acoso sexual</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Actualmente se encuentra en el Congreso de la República la iniciativa 3525 que pretende reformar el Código de Trabajo en cuanto a licencias, protección al derecho a la maternidad, licencia de paternidad cuando la madre da a luz por cesárea o fallece en el parto, acoso y hostigamiento sexual en el trabajo. Ya fue sometida en primera lectura, se encuentra pendiente de dictamen por las Comisiones de la Mujer y Trabajo.</w:t>
      </w:r>
    </w:p>
    <w:p w:rsidR="007603D8" w:rsidRPr="00981E15" w:rsidRDefault="007603D8" w:rsidP="007603D8">
      <w:pPr>
        <w:pStyle w:val="SingleTxt"/>
        <w:numPr>
          <w:ilvl w:val="0"/>
          <w:numId w:val="32"/>
        </w:numPr>
        <w:tabs>
          <w:tab w:val="clear" w:pos="475"/>
          <w:tab w:val="num" w:pos="1742"/>
        </w:tabs>
        <w:ind w:left="1267"/>
      </w:pPr>
      <w:r w:rsidRPr="00981E15">
        <w:t xml:space="preserve">Las Comisiones de Derechos Humanos y de Asuntos Constitucionales del Congreso de la República, incluyeron dentro de su Plan de Trabajo 2006 el impulso de la propuesta de ley sobre el acoso sexual. A la fecha del presente informe no se ha realizado ninguna acción concreta. </w:t>
      </w:r>
    </w:p>
    <w:p w:rsidR="007603D8" w:rsidRPr="00981E15" w:rsidRDefault="007603D8" w:rsidP="007603D8">
      <w:pPr>
        <w:pStyle w:val="SingleTxt"/>
        <w:spacing w:after="0" w:line="120" w:lineRule="exact"/>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Retos y desafíos</w:t>
      </w: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Diseño de un programa pro-igualdad de género en el sector laboral que incluya, entre otros, los siguientes ejes:</w:t>
      </w:r>
    </w:p>
    <w:p w:rsidR="007603D8" w:rsidRPr="00981E15" w:rsidRDefault="007603D8" w:rsidP="007603D8">
      <w:pPr>
        <w:pStyle w:val="SingleTxt"/>
        <w:tabs>
          <w:tab w:val="right" w:pos="1685"/>
        </w:tabs>
        <w:ind w:left="1742" w:hanging="475"/>
      </w:pPr>
      <w:r w:rsidRPr="00981E15">
        <w:tab/>
        <w:t>•</w:t>
      </w:r>
      <w:r w:rsidRPr="00981E15">
        <w:tab/>
        <w:t>Medidas de estímulo y sanción hacia la igualdad de género en el sector público y el privado (porcentajes de ocupación, salarios, horarios),</w:t>
      </w:r>
    </w:p>
    <w:p w:rsidR="007603D8" w:rsidRPr="00981E15" w:rsidRDefault="007603D8" w:rsidP="007603D8">
      <w:pPr>
        <w:pStyle w:val="SingleTxt"/>
        <w:tabs>
          <w:tab w:val="right" w:pos="1685"/>
        </w:tabs>
        <w:ind w:left="1742" w:hanging="475"/>
      </w:pPr>
      <w:r w:rsidRPr="00981E15">
        <w:tab/>
        <w:t>•</w:t>
      </w:r>
      <w:r w:rsidRPr="00981E15">
        <w:tab/>
        <w:t>Fomento de medidas para la conciliación entre el trabajo remunerado y el trabajo no remunerado (en especial el cuidado de dependientes como niños/as y adulto/as mayores),</w:t>
      </w:r>
    </w:p>
    <w:p w:rsidR="007603D8" w:rsidRPr="00981E15" w:rsidRDefault="007603D8" w:rsidP="007603D8">
      <w:pPr>
        <w:pStyle w:val="SingleTxt"/>
        <w:tabs>
          <w:tab w:val="right" w:pos="1685"/>
        </w:tabs>
        <w:ind w:left="1742" w:hanging="475"/>
      </w:pPr>
      <w:r w:rsidRPr="00981E15">
        <w:tab/>
        <w:t>•</w:t>
      </w:r>
      <w:r w:rsidRPr="00981E15">
        <w:tab/>
        <w:t>Revisión de los códigos y prácticas discriminatorias en las profesiones y ocupaciones más feminizadas, como las maquiladoras, y en particular, como sugiere el Comité, las trabajadoras de casa particular.</w:t>
      </w:r>
    </w:p>
    <w:p w:rsidR="007603D8" w:rsidRPr="00981E15" w:rsidRDefault="007603D8" w:rsidP="007603D8">
      <w:pPr>
        <w:pStyle w:val="SingleTxt"/>
        <w:numPr>
          <w:ilvl w:val="0"/>
          <w:numId w:val="32"/>
        </w:numPr>
        <w:tabs>
          <w:tab w:val="clear" w:pos="475"/>
          <w:tab w:val="num" w:pos="1742"/>
        </w:tabs>
        <w:ind w:left="1267"/>
      </w:pPr>
      <w:r w:rsidRPr="00981E15">
        <w:t xml:space="preserve">La Inspección General de Trabajo, como ente rector la protección de los derechos de las y los trabajadores, necesita ser fortalecida técnica, humana y presupuestariamente para dar respuesta a las múltiples denuncias y obligaciones que se encuentran a su cargo como son promover códigos de conducta estrictos para el sector privado, visitadurías a las empresas para establecer las jornadas de trabajo, medidas de seguridad y sanitarias, contratación de menores de edad, cumplimiento de obligaciones de las empresas, etc. </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7603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Artículo 12</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Salud</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B07222" w:rsidRPr="00981E15" w:rsidRDefault="00B07222" w:rsidP="00B07222">
      <w:pPr>
        <w:pStyle w:val="SingleTxt"/>
        <w:rPr>
          <w:b/>
        </w:rPr>
      </w:pPr>
      <w:r w:rsidRPr="00981E15">
        <w:rPr>
          <w:b/>
        </w:rPr>
        <w:t>Recomendaciones del Comité de Expertas de la CEDAW</w:t>
      </w:r>
    </w:p>
    <w:p w:rsidR="00B07222" w:rsidRPr="00981E15" w:rsidRDefault="00B07222" w:rsidP="00B07222">
      <w:pPr>
        <w:pStyle w:val="SingleTxt"/>
        <w:rPr>
          <w:b/>
        </w:rPr>
      </w:pPr>
      <w:r w:rsidRPr="00981E15">
        <w:rPr>
          <w:b/>
        </w:rPr>
        <w:t>Preocupa al Comité la persistencia de altos niveles de pobreza entre las mujeres, en particular las mujeres del medio rural, y su falta de acceso a los servicios sociales básicos. Ello evidenciado en (6)</w:t>
      </w:r>
    </w:p>
    <w:p w:rsidR="00B07222" w:rsidRPr="00981E15" w:rsidRDefault="00B07222" w:rsidP="00B07222">
      <w:pPr>
        <w:pStyle w:val="SingleTxt"/>
        <w:tabs>
          <w:tab w:val="right" w:pos="1685"/>
        </w:tabs>
        <w:ind w:left="1742" w:hanging="475"/>
        <w:rPr>
          <w:b/>
        </w:rPr>
      </w:pPr>
      <w:r w:rsidRPr="00981E15">
        <w:rPr>
          <w:b/>
        </w:rPr>
        <w:tab/>
        <w:t>–</w:t>
      </w:r>
      <w:r w:rsidRPr="00981E15">
        <w:rPr>
          <w:b/>
        </w:rPr>
        <w:tab/>
        <w:t>Deficiente acceso a los servicios de atención en salud, en particular de la salud sexual y reproductiva</w:t>
      </w:r>
    </w:p>
    <w:p w:rsidR="00B07222" w:rsidRPr="00981E15" w:rsidRDefault="00B07222" w:rsidP="00B07222">
      <w:pPr>
        <w:pStyle w:val="SingleTxt"/>
        <w:tabs>
          <w:tab w:val="right" w:pos="1685"/>
        </w:tabs>
        <w:ind w:left="1742" w:hanging="475"/>
        <w:rPr>
          <w:b/>
        </w:rPr>
      </w:pPr>
      <w:r w:rsidRPr="00981E15">
        <w:rPr>
          <w:b/>
        </w:rPr>
        <w:tab/>
        <w:t>–</w:t>
      </w:r>
      <w:r w:rsidRPr="00981E15">
        <w:rPr>
          <w:b/>
        </w:rPr>
        <w:tab/>
        <w:t>Alto índice de mortalidad materna</w:t>
      </w:r>
    </w:p>
    <w:p w:rsidR="00B07222" w:rsidRPr="00981E15" w:rsidRDefault="00B07222" w:rsidP="00B07222">
      <w:pPr>
        <w:pStyle w:val="SingleTxt"/>
        <w:rPr>
          <w:b/>
        </w:rPr>
      </w:pPr>
      <w:r w:rsidRPr="00981E15">
        <w:rPr>
          <w:b/>
        </w:rPr>
        <w:t>Se insta al Estado Parte a asegurar el pleno acceso de las mujeres indígenas a servicios de atención de la salud (6)</w:t>
      </w:r>
    </w:p>
    <w:p w:rsidR="00B07222" w:rsidRPr="00981E15" w:rsidRDefault="00B07222" w:rsidP="00B07222">
      <w:pPr>
        <w:pStyle w:val="SingleTxt"/>
        <w:rPr>
          <w:b/>
        </w:rPr>
      </w:pPr>
      <w:r w:rsidRPr="00981E15">
        <w:rPr>
          <w:b/>
        </w:rPr>
        <w:t>El Comité observa con inquietud que el sistema de atención médica de Guatemala no dispone de ningún programa de salud mental específicamente destinado a las mujeres y recomienda al Estado Parte que adopte medidas para establecer un programa de salud mental femenina, especialmente en vista de los traumas concretos que padecen las mujeres en situaciones de conflicto como la registrada en Guatemala durante más de 30 años. (3, 4, 5)</w:t>
      </w:r>
    </w:p>
    <w:p w:rsidR="00B07222" w:rsidRPr="00981E15" w:rsidRDefault="00B07222" w:rsidP="00B07222">
      <w:pPr>
        <w:pStyle w:val="SingleTxt"/>
        <w:rPr>
          <w:b/>
        </w:rPr>
      </w:pPr>
      <w:r w:rsidRPr="00981E15">
        <w:rPr>
          <w:b/>
        </w:rPr>
        <w:t>Se insta al Estado Parte a mejorar sus políticas y programas de planificación familiar y salud reproductiva, entre otras cosas mediante la amplia distribución de medios anticonceptivos accesibles tanto para hombres como para mujeres, especialmente en las zonas rurales. (3, 4, 5)</w:t>
      </w:r>
    </w:p>
    <w:p w:rsidR="007603D8" w:rsidRPr="00981E15" w:rsidRDefault="007603D8" w:rsidP="007603D8">
      <w:pPr>
        <w:pStyle w:val="SingleTxt"/>
        <w:numPr>
          <w:ilvl w:val="0"/>
          <w:numId w:val="32"/>
        </w:numPr>
        <w:tabs>
          <w:tab w:val="clear" w:pos="475"/>
          <w:tab w:val="num" w:pos="1742"/>
        </w:tabs>
        <w:ind w:left="1267"/>
      </w:pPr>
      <w:r w:rsidRPr="00981E15">
        <w:t xml:space="preserve">Constitucionalmente se consigna el derecho universal a la salud, lo que obliga al Estado a velar por el mismo. En la Ley del Organismo Ejecutivo se le otorga al Ministerio de Salud Pública y Asistencia Social (MSPAS) el carácter rector en materia de salud. </w:t>
      </w:r>
    </w:p>
    <w:p w:rsidR="007603D8" w:rsidRPr="00981E15" w:rsidRDefault="007603D8" w:rsidP="007603D8">
      <w:pPr>
        <w:pStyle w:val="SingleTxt"/>
        <w:numPr>
          <w:ilvl w:val="0"/>
          <w:numId w:val="32"/>
        </w:numPr>
        <w:tabs>
          <w:tab w:val="clear" w:pos="475"/>
          <w:tab w:val="num" w:pos="1742"/>
        </w:tabs>
        <w:ind w:left="1267"/>
      </w:pPr>
      <w:r w:rsidRPr="00981E15">
        <w:t xml:space="preserve">Actualmente, el MSPAS orienta su accionar basado en los Lineamientos Básicos y Políticas de Salud 2004-2008, que contempla ocho políticas generales, de las que se desprenden 17 prioridades de salud para todo el ciclo de vida, desagregado en tres fases de la niñez, una para la adolescencia, una para el adulto y una más para el adulto mayor. </w:t>
      </w:r>
    </w:p>
    <w:p w:rsidR="007603D8" w:rsidRPr="00981E15" w:rsidRDefault="007603D8" w:rsidP="007603D8">
      <w:pPr>
        <w:pStyle w:val="SingleTxt"/>
        <w:numPr>
          <w:ilvl w:val="0"/>
          <w:numId w:val="32"/>
        </w:numPr>
        <w:tabs>
          <w:tab w:val="clear" w:pos="475"/>
          <w:tab w:val="num" w:pos="1742"/>
        </w:tabs>
        <w:ind w:left="1267"/>
      </w:pPr>
      <w:r w:rsidRPr="00981E15">
        <w:t>El Plan Nacional de Salud, demanda dar atención con equidad étnica, cultural y de género. Se han hecho varios esfuerzos porque el personal que ha sido contratado en las regiones de mayor población maya pueda comunicarse en su idioma materno. Se ha contratado personal bilingüe y se puede observar en los programas de extensión de cobertura, voluntariado, equipos básicos de salud, por ejemplo en programas de promoción de la seguridad alimentaria en idiomas mayas por la radio en forma conjunta con UNICEF, servicios adaptados culturalmente como son las maternidades con temascales (baño de vapor tradicional). En Totonicapán se observan también cuatro maternidades coordinadas con los Consejos de Desarrollo que establecen diálogos para mejorar las condiciones étnico-culturales comprometidas con la Comisión de la Mujer para fortalecer su liderazgo y apoyar a las comadronas.</w:t>
      </w:r>
    </w:p>
    <w:p w:rsidR="007603D8" w:rsidRPr="00981E15" w:rsidRDefault="007603D8" w:rsidP="007603D8">
      <w:pPr>
        <w:pStyle w:val="SingleTxt"/>
        <w:numPr>
          <w:ilvl w:val="0"/>
          <w:numId w:val="32"/>
        </w:numPr>
        <w:tabs>
          <w:tab w:val="clear" w:pos="475"/>
          <w:tab w:val="num" w:pos="1742"/>
        </w:tabs>
        <w:ind w:left="1267"/>
      </w:pPr>
      <w:r w:rsidRPr="00981E15">
        <w:t>Se han realizado dos estudios de accesibilidad a los servicios de salud y las plantas medicinales. Por lo que se ha fortalecido el Programa de Medicina Tradicional, que ha desarrollado un Vademécum que da seguridad en la utilización de las plantas tradicionales.</w:t>
      </w:r>
    </w:p>
    <w:p w:rsidR="007603D8" w:rsidRPr="00981E15" w:rsidRDefault="007603D8" w:rsidP="007603D8">
      <w:pPr>
        <w:pStyle w:val="SingleTxt"/>
        <w:numPr>
          <w:ilvl w:val="0"/>
          <w:numId w:val="32"/>
        </w:numPr>
        <w:tabs>
          <w:tab w:val="clear" w:pos="475"/>
          <w:tab w:val="num" w:pos="1742"/>
        </w:tabs>
        <w:ind w:left="1267"/>
      </w:pPr>
      <w:r w:rsidRPr="00981E15">
        <w:t>Dentro del trabajo que realiza el Ministerio de Salud Pública y Asistencia Social se han considerado como prioritarios los siguientes ejes: a) El protocolo de atención a Víctimas de Violencia Sexual, y su implementación dentro del proyecto piloto en el marco de la emergencia provocada por la Tormenta Stan. Comprendió la organización de 1,190 comités de emergencia comunitarios. b) El fortalecimiento de la Red Nacional de Paternidad y Maternidad Responsable (PR y MR) y cinco redes departamentales multisectoriales de promoción, educación e información funcionando. c) La capacitación y entrega de materiales e insumos a comadronas tradicionales. d) Capacitación de proveedores institucionales en el manejo de la atención prenatal, parto, post parto y emergencias obstétricas. e) Desarrollo de pruebas piloto de implementación del Plan Nacional de Reducción de la Mortalidad Materna, y d) Propuesta de implementación del Programa Nacional de Cáncer de Cérvix. Los instrumentos de política previstos para alcanzar esos objetivos son: a) Programa Nacional de Salud Reproductiva y b) Programa Nacional de Prevención y Control de ITS, VIH y SIDA.</w:t>
      </w:r>
    </w:p>
    <w:p w:rsidR="007603D8" w:rsidRPr="00981E15" w:rsidRDefault="007603D8" w:rsidP="007603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Programa Nacional de Salud Reproductiva (PNSR)</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En el marco del consenso social que significó en el 2001 la emisión de la Ley de Desarrollo Social y Población, la salud reproductiva se definió en el artículo 25 como un “…</w:t>
      </w:r>
      <w:r w:rsidRPr="00981E15">
        <w:rPr>
          <w:i/>
        </w:rPr>
        <w:t>estado general de bienestar físico, psíquico, personal y social en todos los aspectos relacionados con la sexualidad humana, con las funciones y procesos del sistema reproductivo, con una vida sexual coherente con la propia dignidad personal y las propias opciones de vida que conduzcan a disfrutar de una vida sexual satisfactoria y sin riesgos, así como la libertad de procrear o no, y de decidir cuándo y con qué frecuenta, de una forma responsable”</w:t>
      </w:r>
      <w:r w:rsidRPr="00981E15">
        <w:t>.</w:t>
      </w:r>
    </w:p>
    <w:p w:rsidR="007603D8" w:rsidRPr="00981E15" w:rsidRDefault="007603D8" w:rsidP="007603D8">
      <w:pPr>
        <w:pStyle w:val="SingleTxt"/>
        <w:numPr>
          <w:ilvl w:val="0"/>
          <w:numId w:val="32"/>
        </w:numPr>
        <w:tabs>
          <w:tab w:val="clear" w:pos="475"/>
          <w:tab w:val="num" w:pos="1742"/>
        </w:tabs>
        <w:ind w:left="1267"/>
      </w:pPr>
      <w:r w:rsidRPr="00981E15">
        <w:t>Al PNSR se le fijaron cinco objetivos específicos: 1) Fortalecer el acceso a servicios de salud reproductiva; 2) Mejorar la información en cuanto a salud reproductiva; 3) Aumentar el personal calificado en salud reproductiva; 4) Informar y educar a la población en el tema de salud reproductiva: y 5) Fortalecer el MSPAS y en especial al PNSR.</w:t>
      </w:r>
    </w:p>
    <w:p w:rsidR="007603D8" w:rsidRPr="00981E15" w:rsidRDefault="007603D8" w:rsidP="007603D8">
      <w:pPr>
        <w:pStyle w:val="SingleTxt"/>
        <w:spacing w:after="0" w:line="120" w:lineRule="exact"/>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Fortalecimiento del acceso a los servicios de salud reproductiva</w:t>
      </w: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En mayo de 2006 después de haber sido sometida a un largo proceso de aprobación legislativa, cobró vigencia el Decreto 87-2005 del Congreso de la República, que contiene la “</w:t>
      </w:r>
      <w:r w:rsidRPr="00981E15">
        <w:rPr>
          <w:i/>
        </w:rPr>
        <w:t>Ley de Acceso Universal y Equitativo de Servicios de Planificación Familiar y su Integración en el Programa Nacional de Salud Reproductiva”</w:t>
      </w:r>
      <w:r w:rsidRPr="00981E15">
        <w:t>. Esta ley establece un marco normativo que fortalece las acciones de información, educación y provisión de los métodos de planificación familiar implementados por el PNSR.</w:t>
      </w:r>
    </w:p>
    <w:p w:rsidR="007603D8" w:rsidRPr="00981E15" w:rsidRDefault="007603D8" w:rsidP="007603D8">
      <w:pPr>
        <w:pStyle w:val="SingleTxt"/>
        <w:numPr>
          <w:ilvl w:val="0"/>
          <w:numId w:val="32"/>
        </w:numPr>
        <w:tabs>
          <w:tab w:val="clear" w:pos="475"/>
          <w:tab w:val="num" w:pos="1742"/>
        </w:tabs>
        <w:ind w:left="1267"/>
      </w:pPr>
      <w:r w:rsidRPr="00981E15">
        <w:t>La Ley se ha presentado en cada área de salud dentro del marco legal de salud reproductiva. También se avanzó en la elaboración del Reglamento de la Ley, la conformación de la Comisión Nacional de aseguramiento de insumos, la descentralización de la provisión de métodos de planificación familiar. La logística de distribución es manejada por cada una de las áreas de salud. Se cuenta con 29 mujeres que asesoran y capacitan en métodos de planificación familiar al público y al personal de salud en los programas de actualización periódica una vez al mes, a solicitud de cada área.</w:t>
      </w:r>
    </w:p>
    <w:p w:rsidR="007603D8" w:rsidRPr="00981E15" w:rsidRDefault="007603D8" w:rsidP="007603D8">
      <w:pPr>
        <w:pStyle w:val="SingleTxt"/>
        <w:spacing w:after="0" w:line="120" w:lineRule="exact"/>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Mortalidad Materna (MM)</w:t>
      </w:r>
    </w:p>
    <w:p w:rsidR="007603D8" w:rsidRPr="00981E15" w:rsidRDefault="007603D8" w:rsidP="007603D8">
      <w:pPr>
        <w:pStyle w:val="SingleTxt"/>
        <w:spacing w:after="0" w:line="120" w:lineRule="exact"/>
        <w:rPr>
          <w:sz w:val="10"/>
        </w:rPr>
      </w:pPr>
    </w:p>
    <w:p w:rsidR="007603D8" w:rsidRPr="00981E15" w:rsidRDefault="007603D8" w:rsidP="007603D8">
      <w:pPr>
        <w:pStyle w:val="SingleTxt"/>
        <w:numPr>
          <w:ilvl w:val="0"/>
          <w:numId w:val="32"/>
        </w:numPr>
        <w:tabs>
          <w:tab w:val="clear" w:pos="475"/>
          <w:tab w:val="num" w:pos="1742"/>
        </w:tabs>
        <w:ind w:left="1267"/>
      </w:pPr>
      <w:r w:rsidRPr="00981E15">
        <w:t>La mortalidad materna es un indicador de la disparidad y desigualdad existente entre hombres y mujeres de diferentes áreas geográficas y sociales de un mismo país. La magnitud del problema refleja la posición y condición de las mujeres en la sociedad, su limitado acceso a los servicios sociales, sanitarios, nutricionales y las condiciones económicas precarias. La importancia y gravedad del problema quedaron establecidas en los resultados de la Línea Basal de la Mortalidad Materna 2000, que es el último estudio oficial realizado en la materia.</w:t>
      </w:r>
    </w:p>
    <w:p w:rsidR="007603D8" w:rsidRPr="00981E15" w:rsidRDefault="007603D8" w:rsidP="007603D8">
      <w:pPr>
        <w:pStyle w:val="SingleTxt"/>
        <w:numPr>
          <w:ilvl w:val="0"/>
          <w:numId w:val="32"/>
        </w:numPr>
        <w:tabs>
          <w:tab w:val="clear" w:pos="475"/>
          <w:tab w:val="num" w:pos="1742"/>
        </w:tabs>
        <w:ind w:left="1267"/>
      </w:pPr>
      <w:r w:rsidRPr="00981E15">
        <w:t>En 1989 la razón de mortalidad materna (RMM) se estimó en 219 defunciones asociadas a los embarazos, partos o puerperio por cada 100,000 nacidos vivos. El Estudio denominado “Línea Basal de Mortalidad Materna del 2000”, encontró una RMM de 153 por cada 100,000 nacidos vivos, estimándose, sin embargo que existía un subregistro nacional de muertes maternas de 44 por ciento para ese año. Para el 2005 esa razón corregida sería de 121, según proyecciones con base a la ENSMI.</w:t>
      </w:r>
    </w:p>
    <w:p w:rsidR="007603D8" w:rsidRPr="00981E15" w:rsidRDefault="007603D8" w:rsidP="007603D8">
      <w:pPr>
        <w:pStyle w:val="SingleTxt"/>
        <w:numPr>
          <w:ilvl w:val="0"/>
          <w:numId w:val="32"/>
        </w:numPr>
        <w:tabs>
          <w:tab w:val="clear" w:pos="475"/>
          <w:tab w:val="num" w:pos="1742"/>
        </w:tabs>
        <w:ind w:left="1267"/>
      </w:pPr>
      <w:r w:rsidRPr="00981E15">
        <w:t>Es necesario señalar que las cifras anteriores de la RMM se refieren al promedio nacional pero que existen diferencias importantes en algunas regiones del país, en las cuales el indicador es todavía más insatisfactorio. En los departamentos de Alta Verapaz, Sololá, Huehuetenango, Izabal, Totonicapán y El Quiché, la RMM supera las 175 muertes por 100,000 nacidos vivos. En Alta Verapaz que es el departamento que registra el índice más elevado la RMM llega a ser de 266. En los departamentos citados la mayor proporción de la población es rural e indígena, y en el caso de Huehuetenango y Totonicapán la tasa de analfabetismo es de alrededor del cuarenta por ciento.</w:t>
      </w:r>
    </w:p>
    <w:p w:rsidR="007603D8" w:rsidRPr="00981E15" w:rsidRDefault="007603D8" w:rsidP="007603D8">
      <w:pPr>
        <w:pStyle w:val="SingleTxt"/>
        <w:spacing w:after="0" w:line="120" w:lineRule="exact"/>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25</w:t>
      </w:r>
      <w:r w:rsidRPr="00981E15">
        <w:rPr>
          <w:b w:val="0"/>
        </w:rPr>
        <w:br/>
      </w:r>
      <w:r w:rsidRPr="00981E15">
        <w:t>Tasas de mortalidad materna (mm) a nivel nacional</w:t>
      </w:r>
    </w:p>
    <w:p w:rsidR="007603D8" w:rsidRPr="00981E15" w:rsidRDefault="007603D8" w:rsidP="007603D8">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612"/>
        <w:gridCol w:w="2124"/>
        <w:gridCol w:w="81"/>
        <w:gridCol w:w="906"/>
        <w:gridCol w:w="987"/>
        <w:gridCol w:w="987"/>
        <w:gridCol w:w="1386"/>
        <w:gridCol w:w="1499"/>
      </w:tblGrid>
      <w:tr w:rsidR="004A1EB5" w:rsidRPr="00981E15">
        <w:tblPrEx>
          <w:tblCellMar>
            <w:top w:w="0" w:type="dxa"/>
            <w:bottom w:w="0" w:type="dxa"/>
          </w:tblCellMar>
        </w:tblPrEx>
        <w:trPr>
          <w:tblHeader/>
        </w:trPr>
        <w:tc>
          <w:tcPr>
            <w:tcW w:w="612" w:type="dxa"/>
            <w:vMerge w:val="restart"/>
            <w:tcBorders>
              <w:top w:val="single" w:sz="4"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rPr>
                <w:i/>
                <w:kern w:val="0"/>
                <w:sz w:val="14"/>
              </w:rPr>
            </w:pPr>
            <w:r w:rsidRPr="00981E15">
              <w:rPr>
                <w:i/>
                <w:kern w:val="0"/>
                <w:sz w:val="14"/>
              </w:rPr>
              <w:t>Código</w:t>
            </w:r>
          </w:p>
        </w:tc>
        <w:tc>
          <w:tcPr>
            <w:tcW w:w="2124" w:type="dxa"/>
            <w:vMerge w:val="restart"/>
            <w:tcBorders>
              <w:top w:val="single" w:sz="4"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rPr>
                <w:i/>
                <w:kern w:val="0"/>
                <w:sz w:val="14"/>
              </w:rPr>
            </w:pPr>
            <w:r w:rsidRPr="00981E15">
              <w:rPr>
                <w:i/>
                <w:kern w:val="0"/>
                <w:sz w:val="14"/>
              </w:rPr>
              <w:t>Áreas de salud</w:t>
            </w:r>
          </w:p>
        </w:tc>
        <w:tc>
          <w:tcPr>
            <w:tcW w:w="81" w:type="dxa"/>
            <w:tcBorders>
              <w:top w:val="single" w:sz="4"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0" w:after="80" w:line="160" w:lineRule="exact"/>
              <w:ind w:right="40"/>
              <w:jc w:val="right"/>
              <w:rPr>
                <w:i/>
                <w:kern w:val="0"/>
                <w:sz w:val="14"/>
              </w:rPr>
            </w:pPr>
          </w:p>
        </w:tc>
        <w:tc>
          <w:tcPr>
            <w:tcW w:w="2880" w:type="dxa"/>
            <w:gridSpan w:val="3"/>
            <w:tcBorders>
              <w:top w:val="single" w:sz="4" w:space="0" w:color="auto"/>
              <w:bottom w:val="single" w:sz="4"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0" w:after="80" w:line="160" w:lineRule="exact"/>
              <w:ind w:right="40"/>
              <w:jc w:val="center"/>
              <w:rPr>
                <w:i/>
                <w:kern w:val="0"/>
                <w:sz w:val="14"/>
              </w:rPr>
            </w:pPr>
            <w:r w:rsidRPr="00981E15">
              <w:rPr>
                <w:i/>
                <w:kern w:val="0"/>
                <w:sz w:val="14"/>
              </w:rPr>
              <w:t>Tasa de mortalidad</w:t>
            </w:r>
          </w:p>
        </w:tc>
        <w:tc>
          <w:tcPr>
            <w:tcW w:w="1386" w:type="dxa"/>
            <w:vMerge w:val="restart"/>
            <w:tcBorders>
              <w:top w:val="single" w:sz="4"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jc w:val="right"/>
              <w:rPr>
                <w:i/>
                <w:kern w:val="0"/>
                <w:sz w:val="14"/>
              </w:rPr>
            </w:pPr>
            <w:r w:rsidRPr="00981E15">
              <w:rPr>
                <w:i/>
                <w:kern w:val="0"/>
                <w:sz w:val="14"/>
              </w:rPr>
              <w:t>Mortalidad mujeres 10-59 años</w:t>
            </w:r>
          </w:p>
        </w:tc>
        <w:tc>
          <w:tcPr>
            <w:tcW w:w="1499" w:type="dxa"/>
            <w:vMerge w:val="restart"/>
            <w:tcBorders>
              <w:top w:val="single" w:sz="4"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jc w:val="right"/>
              <w:rPr>
                <w:i/>
                <w:kern w:val="0"/>
                <w:sz w:val="14"/>
              </w:rPr>
            </w:pPr>
            <w:r w:rsidRPr="00981E15">
              <w:rPr>
                <w:i/>
                <w:kern w:val="0"/>
                <w:sz w:val="14"/>
              </w:rPr>
              <w:t>Razón mortalidad</w:t>
            </w:r>
            <w:r w:rsidRPr="00981E15">
              <w:rPr>
                <w:i/>
                <w:kern w:val="0"/>
                <w:sz w:val="14"/>
              </w:rPr>
              <w:br/>
              <w:t>materna</w:t>
            </w:r>
          </w:p>
        </w:tc>
      </w:tr>
      <w:tr w:rsidR="004A1EB5" w:rsidRPr="00981E15">
        <w:tblPrEx>
          <w:tblCellMar>
            <w:top w:w="0" w:type="dxa"/>
            <w:bottom w:w="0" w:type="dxa"/>
          </w:tblCellMar>
        </w:tblPrEx>
        <w:trPr>
          <w:tblHeader/>
        </w:trPr>
        <w:tc>
          <w:tcPr>
            <w:tcW w:w="612" w:type="dxa"/>
            <w:vMerge/>
            <w:tcBorders>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rPr>
                <w:i/>
                <w:kern w:val="0"/>
                <w:sz w:val="14"/>
              </w:rPr>
            </w:pPr>
          </w:p>
        </w:tc>
        <w:tc>
          <w:tcPr>
            <w:tcW w:w="2124" w:type="dxa"/>
            <w:vMerge/>
            <w:tcBorders>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rPr>
                <w:i/>
                <w:kern w:val="0"/>
                <w:sz w:val="14"/>
              </w:rPr>
            </w:pPr>
          </w:p>
        </w:tc>
        <w:tc>
          <w:tcPr>
            <w:tcW w:w="987" w:type="dxa"/>
            <w:gridSpan w:val="2"/>
            <w:tcBorders>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Neonatal</w:t>
            </w:r>
          </w:p>
        </w:tc>
        <w:tc>
          <w:tcPr>
            <w:tcW w:w="987" w:type="dxa"/>
            <w:tcBorders>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Post-neonatal</w:t>
            </w:r>
          </w:p>
        </w:tc>
        <w:tc>
          <w:tcPr>
            <w:tcW w:w="987" w:type="dxa"/>
            <w:tcBorders>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Infantil</w:t>
            </w:r>
          </w:p>
        </w:tc>
        <w:tc>
          <w:tcPr>
            <w:tcW w:w="1386" w:type="dxa"/>
            <w:vMerge/>
            <w:tcBorders>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jc w:val="right"/>
              <w:rPr>
                <w:i/>
                <w:kern w:val="0"/>
                <w:sz w:val="14"/>
              </w:rPr>
            </w:pPr>
          </w:p>
        </w:tc>
        <w:tc>
          <w:tcPr>
            <w:tcW w:w="1499" w:type="dxa"/>
            <w:vMerge/>
            <w:tcBorders>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after="80" w:line="160" w:lineRule="exact"/>
              <w:ind w:right="40"/>
              <w:jc w:val="right"/>
              <w:rPr>
                <w:i/>
                <w:kern w:val="0"/>
                <w:sz w:val="14"/>
              </w:rPr>
            </w:pPr>
          </w:p>
        </w:tc>
      </w:tr>
      <w:tr w:rsidR="004A1EB5" w:rsidRPr="00981E15">
        <w:tblPrEx>
          <w:tblCellMar>
            <w:top w:w="0" w:type="dxa"/>
            <w:bottom w:w="0" w:type="dxa"/>
          </w:tblCellMar>
        </w:tblPrEx>
        <w:trPr>
          <w:trHeight w:hRule="exact" w:val="115"/>
          <w:tblHeader/>
        </w:trPr>
        <w:tc>
          <w:tcPr>
            <w:tcW w:w="612" w:type="dxa"/>
            <w:tcBorders>
              <w:top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0"/>
              <w:rPr>
                <w:kern w:val="0"/>
                <w:sz w:val="17"/>
              </w:rPr>
            </w:pPr>
          </w:p>
        </w:tc>
        <w:tc>
          <w:tcPr>
            <w:tcW w:w="2124" w:type="dxa"/>
            <w:tcBorders>
              <w:top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0"/>
              <w:rPr>
                <w:kern w:val="0"/>
                <w:sz w:val="17"/>
              </w:rPr>
            </w:pPr>
          </w:p>
        </w:tc>
        <w:tc>
          <w:tcPr>
            <w:tcW w:w="987" w:type="dxa"/>
            <w:gridSpan w:val="2"/>
            <w:tcBorders>
              <w:top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0"/>
              <w:jc w:val="right"/>
              <w:rPr>
                <w:kern w:val="0"/>
                <w:sz w:val="17"/>
              </w:rPr>
            </w:pPr>
          </w:p>
        </w:tc>
        <w:tc>
          <w:tcPr>
            <w:tcW w:w="987" w:type="dxa"/>
            <w:tcBorders>
              <w:top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0"/>
              <w:jc w:val="right"/>
              <w:rPr>
                <w:kern w:val="0"/>
                <w:sz w:val="17"/>
              </w:rPr>
            </w:pPr>
          </w:p>
        </w:tc>
        <w:tc>
          <w:tcPr>
            <w:tcW w:w="987" w:type="dxa"/>
            <w:tcBorders>
              <w:top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0"/>
              <w:jc w:val="right"/>
              <w:rPr>
                <w:kern w:val="0"/>
                <w:sz w:val="17"/>
              </w:rPr>
            </w:pPr>
          </w:p>
        </w:tc>
        <w:tc>
          <w:tcPr>
            <w:tcW w:w="1386" w:type="dxa"/>
            <w:tcBorders>
              <w:top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0"/>
              <w:jc w:val="right"/>
              <w:rPr>
                <w:kern w:val="0"/>
                <w:sz w:val="17"/>
              </w:rPr>
            </w:pPr>
          </w:p>
        </w:tc>
        <w:tc>
          <w:tcPr>
            <w:tcW w:w="1499" w:type="dxa"/>
            <w:tcBorders>
              <w:top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0"/>
              <w:jc w:val="right"/>
              <w:rPr>
                <w:kern w:val="0"/>
                <w:sz w:val="17"/>
              </w:rPr>
            </w:pP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20</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Guatemala Central</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39,99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14,08</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54,06</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8,86</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31,55</w:t>
            </w:r>
          </w:p>
        </w:tc>
      </w:tr>
      <w:tr w:rsidR="004A1EB5" w:rsidRPr="00981E15">
        <w:tblPrEx>
          <w:tblCellMar>
            <w:top w:w="0" w:type="dxa"/>
            <w:bottom w:w="0" w:type="dxa"/>
          </w:tblCellMar>
        </w:tblPrEx>
        <w:tc>
          <w:tcPr>
            <w:tcW w:w="612" w:type="dxa"/>
            <w:shd w:val="clear" w:color="auto" w:fill="auto"/>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21</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Guatemala Nor Occidente</w:t>
            </w:r>
          </w:p>
        </w:tc>
        <w:tc>
          <w:tcPr>
            <w:tcW w:w="987" w:type="dxa"/>
            <w:gridSpan w:val="2"/>
            <w:shd w:val="clear" w:color="auto" w:fill="auto"/>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4,08</w:t>
            </w:r>
          </w:p>
        </w:tc>
        <w:tc>
          <w:tcPr>
            <w:tcW w:w="987" w:type="dxa"/>
            <w:shd w:val="clear" w:color="auto" w:fill="auto"/>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8,48</w:t>
            </w:r>
          </w:p>
        </w:tc>
        <w:tc>
          <w:tcPr>
            <w:tcW w:w="987" w:type="dxa"/>
            <w:shd w:val="clear" w:color="auto" w:fill="auto"/>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12,56</w:t>
            </w:r>
          </w:p>
        </w:tc>
        <w:tc>
          <w:tcPr>
            <w:tcW w:w="1386" w:type="dxa"/>
            <w:shd w:val="clear" w:color="auto" w:fill="auto"/>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2,15</w:t>
            </w:r>
          </w:p>
        </w:tc>
        <w:tc>
          <w:tcPr>
            <w:tcW w:w="1499" w:type="dxa"/>
            <w:shd w:val="clear" w:color="auto" w:fill="auto"/>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39,45</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22</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Guatemala Nor Oriente</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8,59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23,22</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31,81</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8,47</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96,76</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23</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Guatemala Sur</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6,46</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12,32</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18,78</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3,73</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39,13</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24</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El Progreso</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9,62</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14,29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23,91</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7,33</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54,96</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25</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Sacatepéquez</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9,77</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15,01</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24,77</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5,95</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99,09</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26</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Chimaltenango</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12,30</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19,68</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31,98</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5,62</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129,49</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27</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Escuintla</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14,93</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15,67</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30,60</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6,34</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43,36</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28</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Santa Rosa</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6,95</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12,11</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19,06</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6,24</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67,26</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29</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Huehuetenango</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11,08</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15,90</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26,98</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2,15</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109,01</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30</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El Quiché</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16,03</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26,61</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42,65</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4,83</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100,74</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31</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Totonicapán</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10,86</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15,77</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26,63</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10,38</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45,48</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32</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Sololá</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10,79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14,35</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25,14</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8,78</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24,95</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33</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Quetzaltenango</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9,93</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13,71</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23,64</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2,29</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52,24</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34</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San Marcos</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6,93</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17,47</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24,40</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5,93</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100,84</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35</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Retalhuleu</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5,19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12,13</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17,32</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16,81</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174,13</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36</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Suchitepéquez</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7,07</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16,89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23,95</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8,19</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142,30</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37</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Jalapa</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14,29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17,73</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32,01</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5,38</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39,69</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38</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Jutiapa</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8,96</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20,61</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29,57</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14,24</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171,47</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39</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Izabal</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9,02</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7,92</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16,94</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1,74</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109,29</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40</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Zacapa</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4,48</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13,24</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17,72</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3,08</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106,75</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41</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Chiquimula</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4,00</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12,39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16,38</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1,52</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99,88</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42</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Alta Verapaz</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6,45</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14,35</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20,80</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2,38</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115,54</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43</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Baja Verapaz</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7,45</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15,61</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23,07</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7,32</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70,97</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44</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Petén Norte</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7,35</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16,33</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23,68</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16,05</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72,57</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45</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Petén Sur Oriente</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4,89</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20,00</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24,88</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11,40</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68,17</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46</w:t>
            </w:r>
          </w:p>
        </w:tc>
        <w:tc>
          <w:tcPr>
            <w:tcW w:w="2124"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Petén Sur Occidente</w:t>
            </w:r>
          </w:p>
        </w:tc>
        <w:tc>
          <w:tcPr>
            <w:tcW w:w="987" w:type="dxa"/>
            <w:gridSpan w:val="2"/>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5,45</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11,97</w:t>
            </w:r>
          </w:p>
        </w:tc>
        <w:tc>
          <w:tcPr>
            <w:tcW w:w="987"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17,42</w:t>
            </w:r>
          </w:p>
        </w:tc>
        <w:tc>
          <w:tcPr>
            <w:tcW w:w="1386"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17,96</w:t>
            </w:r>
          </w:p>
        </w:tc>
        <w:tc>
          <w:tcPr>
            <w:tcW w:w="1499" w:type="dxa"/>
            <w:shd w:val="clear" w:color="auto" w:fill="auto"/>
            <w:vAlign w:val="bottom"/>
          </w:tcPr>
          <w:p w:rsidR="004A1EB5" w:rsidRPr="00981E15" w:rsidRDefault="004A1EB5" w:rsidP="004A1EB5">
            <w:pPr>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107,33</w:t>
            </w:r>
          </w:p>
        </w:tc>
      </w:tr>
      <w:tr w:rsidR="004A1EB5" w:rsidRPr="00981E15">
        <w:tblPrEx>
          <w:tblCellMar>
            <w:top w:w="0" w:type="dxa"/>
            <w:bottom w:w="0" w:type="dxa"/>
          </w:tblCellMar>
        </w:tblPrEx>
        <w:tc>
          <w:tcPr>
            <w:tcW w:w="612" w:type="dxa"/>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47</w:t>
            </w:r>
          </w:p>
        </w:tc>
        <w:tc>
          <w:tcPr>
            <w:tcW w:w="2124" w:type="dxa"/>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40" w:line="210" w:lineRule="exact"/>
              <w:ind w:right="43"/>
              <w:rPr>
                <w:kern w:val="0"/>
                <w:sz w:val="17"/>
                <w:szCs w:val="24"/>
              </w:rPr>
            </w:pPr>
            <w:r w:rsidRPr="00981E15">
              <w:rPr>
                <w:kern w:val="0"/>
                <w:sz w:val="17"/>
                <w:szCs w:val="24"/>
              </w:rPr>
              <w:t>Ixcán</w:t>
            </w:r>
          </w:p>
        </w:tc>
        <w:tc>
          <w:tcPr>
            <w:tcW w:w="987" w:type="dxa"/>
            <w:gridSpan w:val="2"/>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6,14</w:t>
            </w:r>
          </w:p>
        </w:tc>
        <w:tc>
          <w:tcPr>
            <w:tcW w:w="987" w:type="dxa"/>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18,78</w:t>
            </w:r>
          </w:p>
        </w:tc>
        <w:tc>
          <w:tcPr>
            <w:tcW w:w="987" w:type="dxa"/>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24,92</w:t>
            </w:r>
          </w:p>
        </w:tc>
        <w:tc>
          <w:tcPr>
            <w:tcW w:w="1386" w:type="dxa"/>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4,62</w:t>
            </w:r>
          </w:p>
        </w:tc>
        <w:tc>
          <w:tcPr>
            <w:tcW w:w="1499" w:type="dxa"/>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40" w:line="210" w:lineRule="exact"/>
              <w:ind w:right="43"/>
              <w:jc w:val="right"/>
              <w:rPr>
                <w:kern w:val="0"/>
                <w:sz w:val="17"/>
                <w:szCs w:val="24"/>
              </w:rPr>
            </w:pPr>
            <w:r w:rsidRPr="00981E15">
              <w:rPr>
                <w:kern w:val="0"/>
                <w:sz w:val="17"/>
                <w:szCs w:val="24"/>
              </w:rPr>
              <w:t>144,46</w:t>
            </w:r>
          </w:p>
        </w:tc>
      </w:tr>
      <w:tr w:rsidR="004A1EB5" w:rsidRPr="00981E15">
        <w:tblPrEx>
          <w:tblCellMar>
            <w:top w:w="0" w:type="dxa"/>
            <w:bottom w:w="0" w:type="dxa"/>
          </w:tblCellMar>
        </w:tblPrEx>
        <w:tc>
          <w:tcPr>
            <w:tcW w:w="612" w:type="dxa"/>
            <w:tcBorders>
              <w:bottom w:val="single" w:sz="4" w:space="0" w:color="auto"/>
            </w:tcBorders>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81" w:line="210" w:lineRule="exact"/>
              <w:ind w:right="43"/>
              <w:rPr>
                <w:kern w:val="0"/>
                <w:sz w:val="17"/>
                <w:szCs w:val="24"/>
              </w:rPr>
            </w:pPr>
            <w:r w:rsidRPr="00981E15">
              <w:rPr>
                <w:kern w:val="0"/>
                <w:sz w:val="17"/>
                <w:szCs w:val="24"/>
              </w:rPr>
              <w:t>48</w:t>
            </w:r>
          </w:p>
        </w:tc>
        <w:tc>
          <w:tcPr>
            <w:tcW w:w="2124" w:type="dxa"/>
            <w:tcBorders>
              <w:bottom w:val="single" w:sz="4" w:space="0" w:color="auto"/>
            </w:tcBorders>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81" w:line="210" w:lineRule="exact"/>
              <w:ind w:right="43"/>
              <w:rPr>
                <w:kern w:val="0"/>
                <w:sz w:val="17"/>
                <w:szCs w:val="24"/>
              </w:rPr>
            </w:pPr>
            <w:r w:rsidRPr="00981E15">
              <w:rPr>
                <w:kern w:val="0"/>
                <w:sz w:val="17"/>
                <w:szCs w:val="24"/>
              </w:rPr>
              <w:t>Ixil</w:t>
            </w:r>
          </w:p>
        </w:tc>
        <w:tc>
          <w:tcPr>
            <w:tcW w:w="987" w:type="dxa"/>
            <w:gridSpan w:val="2"/>
            <w:tcBorders>
              <w:bottom w:val="single" w:sz="4" w:space="0" w:color="auto"/>
            </w:tcBorders>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81" w:line="210" w:lineRule="exact"/>
              <w:ind w:right="43"/>
              <w:jc w:val="right"/>
              <w:rPr>
                <w:kern w:val="0"/>
                <w:sz w:val="17"/>
                <w:szCs w:val="24"/>
              </w:rPr>
            </w:pPr>
            <w:r w:rsidRPr="00981E15">
              <w:rPr>
                <w:kern w:val="0"/>
                <w:sz w:val="17"/>
                <w:szCs w:val="24"/>
              </w:rPr>
              <w:t>4,16</w:t>
            </w:r>
          </w:p>
        </w:tc>
        <w:tc>
          <w:tcPr>
            <w:tcW w:w="987" w:type="dxa"/>
            <w:tcBorders>
              <w:bottom w:val="single" w:sz="4" w:space="0" w:color="auto"/>
            </w:tcBorders>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81" w:line="210" w:lineRule="exact"/>
              <w:ind w:right="43"/>
              <w:jc w:val="right"/>
              <w:rPr>
                <w:kern w:val="0"/>
                <w:sz w:val="17"/>
                <w:szCs w:val="24"/>
              </w:rPr>
            </w:pPr>
            <w:r w:rsidRPr="00981E15">
              <w:rPr>
                <w:kern w:val="0"/>
                <w:sz w:val="17"/>
                <w:szCs w:val="24"/>
              </w:rPr>
              <w:t>17,12</w:t>
            </w:r>
          </w:p>
        </w:tc>
        <w:tc>
          <w:tcPr>
            <w:tcW w:w="987" w:type="dxa"/>
            <w:tcBorders>
              <w:bottom w:val="single" w:sz="4" w:space="0" w:color="auto"/>
            </w:tcBorders>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81" w:line="210" w:lineRule="exact"/>
              <w:ind w:right="43"/>
              <w:jc w:val="right"/>
              <w:rPr>
                <w:kern w:val="0"/>
                <w:sz w:val="17"/>
                <w:szCs w:val="24"/>
              </w:rPr>
            </w:pPr>
            <w:r w:rsidRPr="00981E15">
              <w:rPr>
                <w:kern w:val="0"/>
                <w:sz w:val="17"/>
                <w:szCs w:val="24"/>
              </w:rPr>
              <w:t>21,28</w:t>
            </w:r>
          </w:p>
        </w:tc>
        <w:tc>
          <w:tcPr>
            <w:tcW w:w="1386" w:type="dxa"/>
            <w:tcBorders>
              <w:bottom w:val="single" w:sz="4" w:space="0" w:color="auto"/>
            </w:tcBorders>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81" w:line="210" w:lineRule="exact"/>
              <w:ind w:right="43"/>
              <w:jc w:val="right"/>
              <w:rPr>
                <w:kern w:val="0"/>
                <w:sz w:val="17"/>
                <w:szCs w:val="24"/>
              </w:rPr>
            </w:pPr>
            <w:r w:rsidRPr="00981E15">
              <w:rPr>
                <w:kern w:val="0"/>
                <w:sz w:val="17"/>
                <w:szCs w:val="24"/>
              </w:rPr>
              <w:t>5,38</w:t>
            </w:r>
          </w:p>
        </w:tc>
        <w:tc>
          <w:tcPr>
            <w:tcW w:w="1499" w:type="dxa"/>
            <w:tcBorders>
              <w:bottom w:val="single" w:sz="4" w:space="0" w:color="auto"/>
            </w:tcBorders>
            <w:shd w:val="clear" w:color="auto" w:fill="auto"/>
            <w:vAlign w:val="bottom"/>
          </w:tcPr>
          <w:p w:rsidR="004A1EB5" w:rsidRPr="00981E15" w:rsidRDefault="004A1EB5" w:rsidP="004A1EB5">
            <w:pPr>
              <w:keepNext/>
              <w:keepLines/>
              <w:tabs>
                <w:tab w:val="left" w:pos="288"/>
                <w:tab w:val="left" w:pos="576"/>
                <w:tab w:val="left" w:pos="864"/>
                <w:tab w:val="left" w:pos="1152"/>
              </w:tabs>
              <w:spacing w:before="40" w:after="81" w:line="210" w:lineRule="exact"/>
              <w:ind w:right="43"/>
              <w:jc w:val="right"/>
              <w:rPr>
                <w:kern w:val="0"/>
                <w:sz w:val="17"/>
                <w:szCs w:val="24"/>
              </w:rPr>
            </w:pPr>
            <w:r w:rsidRPr="00981E15">
              <w:rPr>
                <w:kern w:val="0"/>
                <w:sz w:val="17"/>
                <w:szCs w:val="24"/>
              </w:rPr>
              <w:t>122,31</w:t>
            </w:r>
          </w:p>
        </w:tc>
      </w:tr>
      <w:tr w:rsidR="004A1EB5" w:rsidRPr="00981E15">
        <w:tblPrEx>
          <w:tblCellMar>
            <w:top w:w="0" w:type="dxa"/>
            <w:bottom w:w="0" w:type="dxa"/>
          </w:tblCellMar>
        </w:tblPrEx>
        <w:tc>
          <w:tcPr>
            <w:tcW w:w="2736" w:type="dxa"/>
            <w:gridSpan w:val="2"/>
            <w:tcBorders>
              <w:top w:val="single" w:sz="4" w:space="0" w:color="auto"/>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1" w:after="81" w:line="210" w:lineRule="exact"/>
              <w:ind w:right="43"/>
              <w:rPr>
                <w:b/>
                <w:kern w:val="0"/>
                <w:sz w:val="17"/>
                <w:szCs w:val="24"/>
              </w:rPr>
            </w:pPr>
            <w:r w:rsidRPr="00981E15">
              <w:rPr>
                <w:b/>
                <w:kern w:val="0"/>
                <w:sz w:val="17"/>
                <w:szCs w:val="24"/>
              </w:rPr>
              <w:tab/>
              <w:t>Total país</w:t>
            </w:r>
          </w:p>
        </w:tc>
        <w:tc>
          <w:tcPr>
            <w:tcW w:w="987" w:type="dxa"/>
            <w:gridSpan w:val="2"/>
            <w:tcBorders>
              <w:top w:val="single" w:sz="4" w:space="0" w:color="auto"/>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1" w:after="81" w:line="210" w:lineRule="exact"/>
              <w:ind w:right="43"/>
              <w:jc w:val="right"/>
              <w:rPr>
                <w:b/>
                <w:kern w:val="0"/>
                <w:sz w:val="17"/>
                <w:szCs w:val="24"/>
              </w:rPr>
            </w:pPr>
            <w:r w:rsidRPr="00981E15">
              <w:rPr>
                <w:b/>
                <w:kern w:val="0"/>
                <w:sz w:val="17"/>
                <w:szCs w:val="24"/>
              </w:rPr>
              <w:t>10,68</w:t>
            </w:r>
          </w:p>
        </w:tc>
        <w:tc>
          <w:tcPr>
            <w:tcW w:w="987" w:type="dxa"/>
            <w:tcBorders>
              <w:top w:val="single" w:sz="4" w:space="0" w:color="auto"/>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1" w:after="81" w:line="210" w:lineRule="exact"/>
              <w:ind w:right="43"/>
              <w:jc w:val="right"/>
              <w:rPr>
                <w:b/>
                <w:kern w:val="0"/>
                <w:sz w:val="17"/>
                <w:szCs w:val="24"/>
              </w:rPr>
            </w:pPr>
            <w:r w:rsidRPr="00981E15">
              <w:rPr>
                <w:b/>
                <w:kern w:val="0"/>
                <w:sz w:val="17"/>
                <w:szCs w:val="24"/>
              </w:rPr>
              <w:t>15,90</w:t>
            </w:r>
          </w:p>
        </w:tc>
        <w:tc>
          <w:tcPr>
            <w:tcW w:w="987" w:type="dxa"/>
            <w:tcBorders>
              <w:top w:val="single" w:sz="4" w:space="0" w:color="auto"/>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1" w:after="81" w:line="210" w:lineRule="exact"/>
              <w:ind w:right="43"/>
              <w:jc w:val="right"/>
              <w:rPr>
                <w:b/>
                <w:kern w:val="0"/>
                <w:sz w:val="17"/>
                <w:szCs w:val="24"/>
              </w:rPr>
            </w:pPr>
            <w:r w:rsidRPr="00981E15">
              <w:rPr>
                <w:b/>
                <w:kern w:val="0"/>
                <w:sz w:val="17"/>
                <w:szCs w:val="24"/>
              </w:rPr>
              <w:t>26,59</w:t>
            </w:r>
          </w:p>
        </w:tc>
        <w:tc>
          <w:tcPr>
            <w:tcW w:w="1386" w:type="dxa"/>
            <w:tcBorders>
              <w:top w:val="single" w:sz="4" w:space="0" w:color="auto"/>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1" w:after="81" w:line="210" w:lineRule="exact"/>
              <w:ind w:right="43"/>
              <w:jc w:val="right"/>
              <w:rPr>
                <w:b/>
                <w:kern w:val="0"/>
                <w:sz w:val="17"/>
                <w:szCs w:val="24"/>
              </w:rPr>
            </w:pPr>
            <w:r w:rsidRPr="00981E15">
              <w:rPr>
                <w:b/>
                <w:kern w:val="0"/>
                <w:sz w:val="17"/>
                <w:szCs w:val="24"/>
              </w:rPr>
              <w:t>6,03</w:t>
            </w:r>
          </w:p>
        </w:tc>
        <w:tc>
          <w:tcPr>
            <w:tcW w:w="1499" w:type="dxa"/>
            <w:tcBorders>
              <w:top w:val="single" w:sz="4" w:space="0" w:color="auto"/>
              <w:bottom w:val="single" w:sz="12" w:space="0" w:color="auto"/>
            </w:tcBorders>
            <w:shd w:val="clear" w:color="auto" w:fill="auto"/>
            <w:vAlign w:val="bottom"/>
          </w:tcPr>
          <w:p w:rsidR="004A1EB5" w:rsidRPr="00981E15" w:rsidRDefault="004A1EB5" w:rsidP="004A1EB5">
            <w:pPr>
              <w:tabs>
                <w:tab w:val="left" w:pos="288"/>
                <w:tab w:val="left" w:pos="576"/>
                <w:tab w:val="left" w:pos="864"/>
                <w:tab w:val="left" w:pos="1152"/>
              </w:tabs>
              <w:spacing w:before="81" w:after="81" w:line="210" w:lineRule="exact"/>
              <w:ind w:right="43"/>
              <w:jc w:val="right"/>
              <w:rPr>
                <w:b/>
                <w:kern w:val="0"/>
                <w:sz w:val="17"/>
                <w:szCs w:val="24"/>
              </w:rPr>
            </w:pPr>
            <w:r w:rsidRPr="00981E15">
              <w:rPr>
                <w:b/>
                <w:kern w:val="0"/>
                <w:sz w:val="17"/>
                <w:szCs w:val="24"/>
              </w:rPr>
              <w:t>148,88</w:t>
            </w:r>
          </w:p>
        </w:tc>
      </w:tr>
    </w:tbl>
    <w:p w:rsidR="004A1EB5" w:rsidRPr="00981E15" w:rsidRDefault="004A1EB5" w:rsidP="007603D8">
      <w:pPr>
        <w:pStyle w:val="SingleTxt"/>
        <w:suppressAutoHyphens/>
        <w:spacing w:after="0" w:line="120" w:lineRule="exact"/>
        <w:rPr>
          <w:sz w:val="10"/>
        </w:rPr>
      </w:pPr>
    </w:p>
    <w:p w:rsidR="007603D8" w:rsidRPr="00981E15" w:rsidRDefault="007603D8" w:rsidP="007603D8">
      <w:pPr>
        <w:pStyle w:val="FootnoteText"/>
        <w:tabs>
          <w:tab w:val="clear" w:pos="418"/>
          <w:tab w:val="right" w:pos="1476"/>
          <w:tab w:val="left" w:pos="1548"/>
          <w:tab w:val="right" w:pos="1836"/>
          <w:tab w:val="left" w:pos="1908"/>
        </w:tabs>
        <w:ind w:left="1548" w:hanging="288"/>
      </w:pPr>
      <w:r w:rsidRPr="00981E15">
        <w:rPr>
          <w:i/>
        </w:rPr>
        <w:t>Fuente</w:t>
      </w:r>
      <w:r w:rsidRPr="00981E15">
        <w:t>: Cálculos Centro Nacional de Epidemiología/ MSPAS / INE: Estadísticas Vitales 2005</w:t>
      </w:r>
    </w:p>
    <w:p w:rsidR="007603D8" w:rsidRPr="00981E15" w:rsidRDefault="007603D8" w:rsidP="007603D8">
      <w:pPr>
        <w:pStyle w:val="FootnoteText"/>
        <w:tabs>
          <w:tab w:val="clear" w:pos="418"/>
          <w:tab w:val="right" w:pos="1476"/>
          <w:tab w:val="left" w:pos="1548"/>
          <w:tab w:val="right" w:pos="1836"/>
          <w:tab w:val="left" w:pos="1908"/>
        </w:tabs>
        <w:spacing w:line="120" w:lineRule="exact"/>
        <w:ind w:left="1548" w:hanging="288"/>
        <w:rPr>
          <w:sz w:val="10"/>
        </w:rPr>
      </w:pPr>
    </w:p>
    <w:p w:rsidR="007603D8" w:rsidRPr="00981E15" w:rsidRDefault="007603D8" w:rsidP="007603D8">
      <w:pPr>
        <w:pStyle w:val="FootnoteText"/>
        <w:tabs>
          <w:tab w:val="clear" w:pos="418"/>
          <w:tab w:val="right" w:pos="1476"/>
          <w:tab w:val="left" w:pos="1548"/>
          <w:tab w:val="right" w:pos="1836"/>
          <w:tab w:val="left" w:pos="1908"/>
        </w:tabs>
        <w:ind w:left="1548" w:hanging="288"/>
      </w:pPr>
      <w:r w:rsidRPr="00981E15">
        <w:tab/>
        <w:t>–</w:t>
      </w:r>
      <w:r w:rsidRPr="00981E15">
        <w:tab/>
      </w:r>
      <w:r w:rsidRPr="00981E15">
        <w:tab/>
        <w:t>Tasas de Mortalidad Neonatal</w:t>
      </w:r>
      <w:r w:rsidR="00945545" w:rsidRPr="00981E15">
        <w:t>,</w:t>
      </w:r>
      <w:r w:rsidRPr="00981E15">
        <w:t xml:space="preserve"> Post-Neonatal e Infantil X 1000 N</w:t>
      </w:r>
      <w:r w:rsidR="00945545" w:rsidRPr="00981E15">
        <w:t>.</w:t>
      </w:r>
      <w:r w:rsidRPr="00981E15">
        <w:t xml:space="preserve"> V</w:t>
      </w:r>
      <w:r w:rsidR="00945545" w:rsidRPr="00981E15">
        <w:t>.</w:t>
      </w:r>
    </w:p>
    <w:p w:rsidR="007603D8" w:rsidRPr="00981E15" w:rsidRDefault="007603D8" w:rsidP="007603D8">
      <w:pPr>
        <w:pStyle w:val="FootnoteText"/>
        <w:tabs>
          <w:tab w:val="clear" w:pos="418"/>
          <w:tab w:val="right" w:pos="1476"/>
          <w:tab w:val="left" w:pos="1548"/>
          <w:tab w:val="right" w:pos="1836"/>
          <w:tab w:val="left" w:pos="1908"/>
        </w:tabs>
        <w:ind w:left="1548" w:hanging="288"/>
      </w:pPr>
      <w:r w:rsidRPr="00981E15">
        <w:tab/>
        <w:t>–</w:t>
      </w:r>
      <w:r w:rsidRPr="00981E15">
        <w:tab/>
      </w:r>
      <w:r w:rsidRPr="00981E15">
        <w:tab/>
        <w:t>Tasa de Mortalidad Mujeres 10-59 año</w:t>
      </w:r>
      <w:r w:rsidR="00945545" w:rsidRPr="00981E15">
        <w:t>s X 1000 mujeres de 10-59 años.</w:t>
      </w:r>
    </w:p>
    <w:p w:rsidR="007603D8" w:rsidRPr="00981E15" w:rsidRDefault="00382CAF" w:rsidP="007603D8">
      <w:pPr>
        <w:pStyle w:val="FootnoteText"/>
        <w:tabs>
          <w:tab w:val="clear" w:pos="418"/>
          <w:tab w:val="right" w:pos="1476"/>
          <w:tab w:val="left" w:pos="1548"/>
          <w:tab w:val="right" w:pos="1836"/>
          <w:tab w:val="left" w:pos="1908"/>
        </w:tabs>
        <w:ind w:left="1548" w:hanging="288"/>
      </w:pPr>
      <w:r w:rsidRPr="00981E15">
        <w:tab/>
        <w:t>–</w:t>
      </w:r>
      <w:r w:rsidRPr="00981E15">
        <w:tab/>
      </w:r>
      <w:r w:rsidRPr="00981E15">
        <w:tab/>
        <w:t>RMM X 100,000 N. V.</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4A1EB5" w:rsidRPr="00981E15" w:rsidRDefault="007603D8" w:rsidP="006B24D7">
      <w:pPr>
        <w:pStyle w:val="SingleTxt"/>
        <w:numPr>
          <w:ilvl w:val="0"/>
          <w:numId w:val="3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81E15">
        <w:t>Según informaciones recopiladas en los últimos años, en términos generales las diferencias respecto al promedio nacional de los departamentos que presentan el mayor índice se ha mantenido sin cambios, como lo evidencia la siguiente gráfica que muestra la evolución de 2000 a 2005, donde los departamentos en rojo y amarillo registran las razones de mortalidad más elevada de manera constante, Así también se evidencia que hay un mayor número de departamentos que se encuentran en dentro de la lí</w:t>
      </w:r>
      <w:r w:rsidR="004A1EB5" w:rsidRPr="00981E15">
        <w:t>nea de baja mortalidad materna.</w:t>
      </w:r>
    </w:p>
    <w:p w:rsidR="007603D8" w:rsidRPr="00981E15" w:rsidRDefault="007603D8" w:rsidP="007603D8">
      <w:pPr>
        <w:pStyle w:val="SingleTxt"/>
        <w:spacing w:after="0" w:line="120" w:lineRule="exact"/>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981E15">
        <w:rPr>
          <w:b w:val="0"/>
        </w:rPr>
        <w:t>Gráfic</w:t>
      </w:r>
      <w:r w:rsidR="0005541D">
        <w:rPr>
          <w:b w:val="0"/>
        </w:rPr>
        <w:t>a</w:t>
      </w:r>
      <w:r w:rsidRPr="00981E15">
        <w:rPr>
          <w:b w:val="0"/>
        </w:rPr>
        <w:t xml:space="preserve"> 4</w:t>
      </w:r>
      <w:r w:rsidRPr="00981E15">
        <w:br/>
        <w:t>Evolución de la Mortalidad Materna por Departamento</w:t>
      </w:r>
      <w:r w:rsidRPr="00981E15">
        <w:br/>
        <w:t>Período 2000, 2003-2005</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p w:rsidR="007603D8" w:rsidRPr="00981E15" w:rsidRDefault="007603D8" w:rsidP="006B24D7">
      <w:pPr>
        <w:tabs>
          <w:tab w:val="left" w:pos="3000"/>
        </w:tabs>
        <w:spacing w:line="480" w:lineRule="auto"/>
        <w:ind w:left="1267"/>
        <w:rPr>
          <w:sz w:val="24"/>
          <w:szCs w:val="24"/>
        </w:rPr>
      </w:pPr>
      <w:r w:rsidRPr="00981E15">
        <w:rPr>
          <w:sz w:val="24"/>
          <w:szCs w:val="24"/>
        </w:rPr>
        <w:pict>
          <v:shape id="_x0000_i1029" type="#_x0000_t75" style="width:441.75pt;height:192.75pt">
            <v:imagedata r:id="rId49" o:title=""/>
          </v:shape>
        </w:pict>
      </w:r>
    </w:p>
    <w:p w:rsidR="007603D8" w:rsidRPr="00981E15" w:rsidRDefault="007603D8" w:rsidP="006B24D7">
      <w:pPr>
        <w:pStyle w:val="SingleTxt"/>
        <w:numPr>
          <w:ilvl w:val="0"/>
          <w:numId w:val="37"/>
        </w:numPr>
        <w:tabs>
          <w:tab w:val="clear" w:pos="475"/>
          <w:tab w:val="num" w:pos="1742"/>
        </w:tabs>
        <w:suppressAutoHyphens/>
        <w:ind w:left="1267"/>
      </w:pPr>
      <w:r w:rsidRPr="00981E15">
        <w:t xml:space="preserve">Conforme a los estudios realizados, entre las características más frecuentes de las mujeres que han fallecido por una causa asociada a la condición de maternidad y que propicia que aumente el riesgo de mortalidad materna están: a) pertenecer a un grupo indígena, b) ser menor de dieciocho o mayor de cuarenta años al momento de embarazarse, y c) </w:t>
      </w:r>
      <w:r w:rsidR="006B24D7" w:rsidRPr="00981E15">
        <w:t>tener bajo nivel de escolaridad.</w:t>
      </w:r>
      <w:r w:rsidRPr="00981E15">
        <w:t xml:space="preserve"> Asimismo, en la medida que aumenta la edad en las mujeres se incrementa el riesgo de morir por causas asociadas a su vida sexual activa</w:t>
      </w:r>
      <w:r w:rsidR="0085576C" w:rsidRPr="00981E15">
        <w:t>.</w:t>
      </w:r>
      <w:r w:rsidRPr="00981E15">
        <w:t xml:space="preserve"> Por cada mujer que al morir tiene de 20 a 24 años mueren casi cuatro mujeres con edad de 40 a 49 años</w:t>
      </w:r>
      <w:r w:rsidR="0085576C" w:rsidRPr="00981E15">
        <w:t>.</w:t>
      </w:r>
      <w:r w:rsidRPr="00981E15">
        <w:t xml:space="preserve"> Las desigualdades en la pertenencia étnica se reflejan en el hecho de que mueren tres mujeres indígenas por</w:t>
      </w:r>
      <w:r w:rsidR="0085576C" w:rsidRPr="00981E15">
        <w:t xml:space="preserve"> cada mujer ladina que fallece.</w:t>
      </w:r>
    </w:p>
    <w:p w:rsidR="007603D8" w:rsidRPr="00981E15" w:rsidRDefault="007603D8" w:rsidP="007603D8">
      <w:pPr>
        <w:pStyle w:val="SingleTxt"/>
        <w:tabs>
          <w:tab w:val="clear" w:pos="1742"/>
        </w:tabs>
        <w:suppressAutoHyphens/>
        <w:spacing w:after="0" w:line="120" w:lineRule="exact"/>
        <w:ind w:left="0"/>
        <w:rPr>
          <w:sz w:val="10"/>
        </w:rPr>
      </w:pPr>
    </w:p>
    <w:p w:rsidR="007603D8" w:rsidRPr="00981E15" w:rsidRDefault="007603D8" w:rsidP="007603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r>
      <w:r w:rsidRPr="00981E15">
        <w:rPr>
          <w:b w:val="0"/>
        </w:rPr>
        <w:t>Cuadro 26</w:t>
      </w:r>
      <w:r w:rsidRPr="00981E15">
        <w:rPr>
          <w:b w:val="0"/>
        </w:rPr>
        <w:br/>
      </w:r>
      <w:r w:rsidRPr="00981E15">
        <w:t>Cinco primeras causas de mortalidad materna</w:t>
      </w:r>
    </w:p>
    <w:p w:rsidR="007603D8" w:rsidRPr="00981E15" w:rsidRDefault="007603D8" w:rsidP="007603D8">
      <w:pPr>
        <w:pStyle w:val="SingleTxt"/>
        <w:spacing w:after="0" w:line="120" w:lineRule="exact"/>
        <w:rPr>
          <w:sz w:val="10"/>
        </w:rPr>
      </w:pPr>
    </w:p>
    <w:p w:rsidR="007603D8" w:rsidRPr="00981E15" w:rsidRDefault="007603D8" w:rsidP="007603D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481"/>
        <w:gridCol w:w="1839"/>
      </w:tblGrid>
      <w:tr w:rsidR="007603D8" w:rsidRPr="00981E15">
        <w:tblPrEx>
          <w:tblCellMar>
            <w:top w:w="0" w:type="dxa"/>
            <w:bottom w:w="0" w:type="dxa"/>
          </w:tblCellMar>
        </w:tblPrEx>
        <w:trPr>
          <w:tblHeader/>
        </w:trPr>
        <w:tc>
          <w:tcPr>
            <w:tcW w:w="5481" w:type="dxa"/>
            <w:tcBorders>
              <w:top w:val="single" w:sz="4" w:space="0" w:color="auto"/>
              <w:bottom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80" w:after="80" w:line="160" w:lineRule="exact"/>
              <w:ind w:right="40"/>
              <w:rPr>
                <w:i/>
                <w:kern w:val="0"/>
                <w:sz w:val="14"/>
              </w:rPr>
            </w:pPr>
            <w:r w:rsidRPr="00981E15">
              <w:rPr>
                <w:i/>
                <w:kern w:val="0"/>
                <w:sz w:val="14"/>
              </w:rPr>
              <w:t>Causas</w:t>
            </w:r>
          </w:p>
        </w:tc>
        <w:tc>
          <w:tcPr>
            <w:tcW w:w="1839" w:type="dxa"/>
            <w:tcBorders>
              <w:top w:val="single" w:sz="4" w:space="0" w:color="auto"/>
              <w:bottom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Femenino</w:t>
            </w:r>
          </w:p>
        </w:tc>
      </w:tr>
      <w:tr w:rsidR="007603D8" w:rsidRPr="00981E15">
        <w:tblPrEx>
          <w:tblCellMar>
            <w:top w:w="0" w:type="dxa"/>
            <w:bottom w:w="0" w:type="dxa"/>
          </w:tblCellMar>
        </w:tblPrEx>
        <w:trPr>
          <w:trHeight w:hRule="exact" w:val="115"/>
          <w:tblHeader/>
        </w:trPr>
        <w:tc>
          <w:tcPr>
            <w:tcW w:w="5481" w:type="dxa"/>
            <w:tcBorders>
              <w:top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rPr>
                <w:kern w:val="0"/>
                <w:sz w:val="17"/>
              </w:rPr>
            </w:pPr>
          </w:p>
        </w:tc>
        <w:tc>
          <w:tcPr>
            <w:tcW w:w="1839" w:type="dxa"/>
            <w:tcBorders>
              <w:top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jc w:val="right"/>
              <w:rPr>
                <w:kern w:val="0"/>
                <w:sz w:val="17"/>
              </w:rPr>
            </w:pPr>
          </w:p>
        </w:tc>
      </w:tr>
      <w:tr w:rsidR="007603D8" w:rsidRPr="00981E15">
        <w:tblPrEx>
          <w:tblCellMar>
            <w:top w:w="0" w:type="dxa"/>
            <w:bottom w:w="0" w:type="dxa"/>
          </w:tblCellMar>
        </w:tblPrEx>
        <w:tc>
          <w:tcPr>
            <w:tcW w:w="5481"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rPr>
                <w:kern w:val="0"/>
                <w:sz w:val="17"/>
              </w:rPr>
            </w:pPr>
            <w:r w:rsidRPr="00981E15">
              <w:rPr>
                <w:kern w:val="0"/>
                <w:sz w:val="17"/>
              </w:rPr>
              <w:t>Retención placentaria</w:t>
            </w:r>
          </w:p>
        </w:tc>
        <w:tc>
          <w:tcPr>
            <w:tcW w:w="1839"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52</w:t>
            </w:r>
          </w:p>
        </w:tc>
      </w:tr>
      <w:tr w:rsidR="007603D8" w:rsidRPr="00981E15">
        <w:tblPrEx>
          <w:tblCellMar>
            <w:top w:w="0" w:type="dxa"/>
            <w:bottom w:w="0" w:type="dxa"/>
          </w:tblCellMar>
        </w:tblPrEx>
        <w:tc>
          <w:tcPr>
            <w:tcW w:w="5481"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rPr>
                <w:kern w:val="0"/>
                <w:sz w:val="17"/>
                <w:szCs w:val="17"/>
              </w:rPr>
            </w:pPr>
            <w:r w:rsidRPr="00981E15">
              <w:rPr>
                <w:sz w:val="17"/>
                <w:szCs w:val="17"/>
              </w:rPr>
              <w:t>Sepsis puerperal</w:t>
            </w:r>
          </w:p>
        </w:tc>
        <w:tc>
          <w:tcPr>
            <w:tcW w:w="1839"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46</w:t>
            </w:r>
          </w:p>
        </w:tc>
      </w:tr>
      <w:tr w:rsidR="007603D8" w:rsidRPr="00981E15">
        <w:tblPrEx>
          <w:tblCellMar>
            <w:top w:w="0" w:type="dxa"/>
            <w:bottom w:w="0" w:type="dxa"/>
          </w:tblCellMar>
        </w:tblPrEx>
        <w:tc>
          <w:tcPr>
            <w:tcW w:w="5481"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rPr>
                <w:kern w:val="0"/>
                <w:sz w:val="17"/>
                <w:szCs w:val="17"/>
              </w:rPr>
            </w:pPr>
            <w:r w:rsidRPr="00981E15">
              <w:rPr>
                <w:sz w:val="17"/>
                <w:szCs w:val="17"/>
              </w:rPr>
              <w:t>Eclampsia</w:t>
            </w:r>
          </w:p>
        </w:tc>
        <w:tc>
          <w:tcPr>
            <w:tcW w:w="1839"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67</w:t>
            </w:r>
          </w:p>
        </w:tc>
      </w:tr>
      <w:tr w:rsidR="007603D8" w:rsidRPr="00981E15">
        <w:tblPrEx>
          <w:tblCellMar>
            <w:top w:w="0" w:type="dxa"/>
            <w:bottom w:w="0" w:type="dxa"/>
          </w:tblCellMar>
        </w:tblPrEx>
        <w:tc>
          <w:tcPr>
            <w:tcW w:w="5481"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rPr>
                <w:kern w:val="0"/>
                <w:sz w:val="17"/>
                <w:szCs w:val="17"/>
              </w:rPr>
            </w:pPr>
            <w:r w:rsidRPr="00981E15">
              <w:rPr>
                <w:sz w:val="17"/>
                <w:szCs w:val="17"/>
              </w:rPr>
              <w:t>Atonía Uterina</w:t>
            </w:r>
          </w:p>
        </w:tc>
        <w:tc>
          <w:tcPr>
            <w:tcW w:w="1839"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17</w:t>
            </w:r>
          </w:p>
        </w:tc>
      </w:tr>
      <w:tr w:rsidR="007603D8" w:rsidRPr="00981E15">
        <w:tblPrEx>
          <w:tblCellMar>
            <w:top w:w="0" w:type="dxa"/>
            <w:bottom w:w="0" w:type="dxa"/>
          </w:tblCellMar>
        </w:tblPrEx>
        <w:tc>
          <w:tcPr>
            <w:tcW w:w="5481"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rPr>
                <w:kern w:val="0"/>
                <w:sz w:val="17"/>
                <w:szCs w:val="17"/>
              </w:rPr>
            </w:pPr>
            <w:r w:rsidRPr="00981E15">
              <w:rPr>
                <w:sz w:val="17"/>
                <w:szCs w:val="17"/>
              </w:rPr>
              <w:t>Ruptura de arteria uterina</w:t>
            </w:r>
          </w:p>
        </w:tc>
        <w:tc>
          <w:tcPr>
            <w:tcW w:w="1839" w:type="dxa"/>
            <w:shd w:val="clear" w:color="auto" w:fill="auto"/>
            <w:vAlign w:val="bottom"/>
          </w:tcPr>
          <w:p w:rsidR="007603D8" w:rsidRPr="00981E15" w:rsidRDefault="007603D8" w:rsidP="007603D8">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12</w:t>
            </w:r>
          </w:p>
        </w:tc>
      </w:tr>
      <w:tr w:rsidR="007603D8" w:rsidRPr="00981E15">
        <w:tblPrEx>
          <w:tblCellMar>
            <w:top w:w="0" w:type="dxa"/>
            <w:bottom w:w="0" w:type="dxa"/>
          </w:tblCellMar>
        </w:tblPrEx>
        <w:tc>
          <w:tcPr>
            <w:tcW w:w="5481" w:type="dxa"/>
            <w:tcBorders>
              <w:bottom w:val="single" w:sz="4"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40" w:after="81" w:line="210" w:lineRule="exact"/>
              <w:ind w:right="40"/>
              <w:rPr>
                <w:kern w:val="0"/>
                <w:sz w:val="17"/>
                <w:szCs w:val="17"/>
              </w:rPr>
            </w:pPr>
            <w:r w:rsidRPr="00981E15">
              <w:rPr>
                <w:sz w:val="17"/>
                <w:szCs w:val="17"/>
              </w:rPr>
              <w:t>Resto de causas</w:t>
            </w:r>
          </w:p>
        </w:tc>
        <w:tc>
          <w:tcPr>
            <w:tcW w:w="1839" w:type="dxa"/>
            <w:tcBorders>
              <w:bottom w:val="single" w:sz="4"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173</w:t>
            </w:r>
          </w:p>
        </w:tc>
      </w:tr>
      <w:tr w:rsidR="007603D8" w:rsidRPr="00981E15">
        <w:tblPrEx>
          <w:tblCellMar>
            <w:top w:w="0" w:type="dxa"/>
            <w:bottom w:w="0" w:type="dxa"/>
          </w:tblCellMar>
        </w:tblPrEx>
        <w:tc>
          <w:tcPr>
            <w:tcW w:w="5481" w:type="dxa"/>
            <w:tcBorders>
              <w:top w:val="single" w:sz="4" w:space="0" w:color="auto"/>
              <w:bottom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81" w:after="81" w:line="210" w:lineRule="exact"/>
              <w:ind w:right="40"/>
              <w:rPr>
                <w:b/>
                <w:kern w:val="0"/>
                <w:sz w:val="17"/>
              </w:rPr>
            </w:pPr>
            <w:r w:rsidRPr="00981E15">
              <w:rPr>
                <w:b/>
                <w:kern w:val="0"/>
                <w:sz w:val="17"/>
              </w:rPr>
              <w:tab/>
              <w:t>Total de causas</w:t>
            </w:r>
          </w:p>
        </w:tc>
        <w:tc>
          <w:tcPr>
            <w:tcW w:w="1839" w:type="dxa"/>
            <w:tcBorders>
              <w:top w:val="single" w:sz="4" w:space="0" w:color="auto"/>
              <w:bottom w:val="single" w:sz="12" w:space="0" w:color="auto"/>
            </w:tcBorders>
            <w:shd w:val="clear" w:color="auto" w:fill="auto"/>
            <w:vAlign w:val="bottom"/>
          </w:tcPr>
          <w:p w:rsidR="007603D8" w:rsidRPr="00981E15" w:rsidRDefault="007603D8" w:rsidP="007603D8">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367</w:t>
            </w:r>
          </w:p>
        </w:tc>
      </w:tr>
    </w:tbl>
    <w:p w:rsidR="007603D8" w:rsidRPr="00981E15" w:rsidRDefault="007603D8" w:rsidP="007603D8">
      <w:pPr>
        <w:pStyle w:val="SingleTxt"/>
        <w:spacing w:after="0" w:line="120" w:lineRule="exact"/>
        <w:rPr>
          <w:sz w:val="10"/>
        </w:rPr>
      </w:pPr>
    </w:p>
    <w:p w:rsidR="007603D8" w:rsidRPr="00981E15" w:rsidRDefault="007603D8" w:rsidP="007603D8">
      <w:pPr>
        <w:pStyle w:val="FootnoteText"/>
        <w:tabs>
          <w:tab w:val="clear" w:pos="418"/>
          <w:tab w:val="right" w:pos="1476"/>
          <w:tab w:val="left" w:pos="1548"/>
          <w:tab w:val="right" w:pos="1836"/>
          <w:tab w:val="left" w:pos="1908"/>
        </w:tabs>
        <w:ind w:left="1548" w:right="1267" w:hanging="288"/>
      </w:pPr>
      <w:r w:rsidRPr="00981E15">
        <w:tab/>
      </w:r>
      <w:r w:rsidRPr="00981E15">
        <w:tab/>
        <w:t>Datos totales del país, Memoria Anual de Informática y Epidemiología 2005</w:t>
      </w:r>
    </w:p>
    <w:p w:rsidR="007603D8" w:rsidRPr="00981E15" w:rsidRDefault="007603D8" w:rsidP="007603D8">
      <w:pPr>
        <w:pStyle w:val="FootnoteText"/>
        <w:tabs>
          <w:tab w:val="clear" w:pos="418"/>
          <w:tab w:val="right" w:pos="1476"/>
          <w:tab w:val="left" w:pos="1548"/>
          <w:tab w:val="right" w:pos="1836"/>
          <w:tab w:val="left" w:pos="1908"/>
        </w:tabs>
        <w:spacing w:line="120" w:lineRule="exact"/>
        <w:ind w:left="1548" w:right="1267" w:hanging="288"/>
        <w:rPr>
          <w:sz w:val="10"/>
        </w:rPr>
      </w:pPr>
    </w:p>
    <w:p w:rsidR="007603D8" w:rsidRPr="00981E15" w:rsidRDefault="007603D8" w:rsidP="007603D8">
      <w:pPr>
        <w:pStyle w:val="FootnoteText"/>
        <w:tabs>
          <w:tab w:val="clear" w:pos="418"/>
          <w:tab w:val="right" w:pos="1476"/>
          <w:tab w:val="left" w:pos="1548"/>
          <w:tab w:val="right" w:pos="1836"/>
          <w:tab w:val="left" w:pos="1908"/>
        </w:tabs>
        <w:spacing w:line="120" w:lineRule="exact"/>
        <w:ind w:left="1548" w:right="1267" w:hanging="288"/>
        <w:rPr>
          <w:sz w:val="10"/>
        </w:rPr>
      </w:pPr>
    </w:p>
    <w:p w:rsidR="007603D8" w:rsidRPr="00981E15" w:rsidRDefault="007603D8" w:rsidP="00365F85">
      <w:pPr>
        <w:pStyle w:val="SingleTxt"/>
        <w:numPr>
          <w:ilvl w:val="0"/>
          <w:numId w:val="37"/>
        </w:numPr>
        <w:tabs>
          <w:tab w:val="clear" w:pos="475"/>
          <w:tab w:val="num" w:pos="1742"/>
        </w:tabs>
        <w:suppressAutoHyphens/>
        <w:ind w:left="1267"/>
      </w:pPr>
      <w:r w:rsidRPr="00981E15">
        <w:t>En Guatemala, las muertes maternas todavía se deben a las mismas causas históricas</w:t>
      </w:r>
      <w:r w:rsidR="00365F85" w:rsidRPr="00981E15">
        <w:t>.</w:t>
      </w:r>
      <w:r w:rsidRPr="00981E15">
        <w:t xml:space="preserve"> El noventa por ciento de las muertes maternas se debieron a “causas obstétricas directas”, siendo la hemorragia la responsable de la mitad de estas muertes</w:t>
      </w:r>
      <w:r w:rsidR="00365F85" w:rsidRPr="00981E15">
        <w:t>.</w:t>
      </w:r>
      <w:r w:rsidRPr="00981E15">
        <w:t xml:space="preserve"> La infección, la hipertensión inducida por el embarazo y las complicaciones asociadas al aborto ocasionaron el</w:t>
      </w:r>
      <w:r w:rsidR="00035CD3" w:rsidRPr="00981E15">
        <w:t xml:space="preserve"> resto de las muertes maternas.</w:t>
      </w:r>
    </w:p>
    <w:p w:rsidR="003D702F" w:rsidRPr="00981E15" w:rsidRDefault="003D702F" w:rsidP="003D702F">
      <w:pPr>
        <w:pStyle w:val="SingleTxt"/>
        <w:numPr>
          <w:ilvl w:val="0"/>
          <w:numId w:val="37"/>
        </w:numPr>
        <w:tabs>
          <w:tab w:val="clear" w:pos="475"/>
          <w:tab w:val="num" w:pos="1742"/>
        </w:tabs>
        <w:ind w:left="1267"/>
      </w:pPr>
      <w:r w:rsidRPr="00981E15">
        <w:t>Las muertes maternas ocurrieron generalmente en un plazo de 24 horas después de la resolución del embarazo. Más de la mitad murieron en el hogar, cuatro de cada diez murieron en un servicio hosp</w:t>
      </w:r>
      <w:r w:rsidRPr="00981E15">
        <w:t>i</w:t>
      </w:r>
      <w:r w:rsidRPr="00981E15">
        <w:t>talario. Al momento del parto, seis de cada diez madres que fallecieron fueron atendidas por com</w:t>
      </w:r>
      <w:r w:rsidRPr="00981E15">
        <w:t>a</w:t>
      </w:r>
      <w:r w:rsidRPr="00981E15">
        <w:t>drona, por un familiar o por ellas mismas y cuatro de cada diez recibieron atención por un proveedor o proveedora de salud.</w:t>
      </w:r>
    </w:p>
    <w:p w:rsidR="003D702F" w:rsidRPr="00981E15" w:rsidRDefault="003D702F" w:rsidP="003D702F">
      <w:pPr>
        <w:pStyle w:val="SingleTxt"/>
        <w:numPr>
          <w:ilvl w:val="0"/>
          <w:numId w:val="37"/>
        </w:numPr>
        <w:tabs>
          <w:tab w:val="clear" w:pos="475"/>
          <w:tab w:val="num" w:pos="1742"/>
        </w:tabs>
        <w:ind w:left="1267"/>
      </w:pPr>
      <w:r w:rsidRPr="00981E15">
        <w:t xml:space="preserve">Ante esta aguda problemática, el MSPAS, con el apoyo interagencial de reducción de la mortalidad materna, definió algunos lineamientos estratégicos de reducción de la mortalidad materna, los cuales para el 2004 se transformaron en el Plan Estratégico para Reducir </w:t>
      </w:r>
      <w:smartTag w:uri="urn:schemas-microsoft-com:office:smarttags" w:element="PersonName">
        <w:smartTagPr>
          <w:attr w:name="ProductID" w:val="LA MORTALIDAD"/>
        </w:smartTagPr>
        <w:r w:rsidRPr="00981E15">
          <w:t>la Mortalidad</w:t>
        </w:r>
      </w:smartTag>
      <w:r w:rsidRPr="00981E15">
        <w:t xml:space="preserve"> Materna. En 2006 el MSPAS implementó el plan en tres municipios prioritarios del país: El Estor, Izabal, Ixchiguán, San Marcos y en Cuilco, Huehuetenango. </w:t>
      </w:r>
    </w:p>
    <w:p w:rsidR="003D702F" w:rsidRPr="00981E15" w:rsidRDefault="003D702F" w:rsidP="003D702F">
      <w:pPr>
        <w:pStyle w:val="SingleTxt"/>
        <w:numPr>
          <w:ilvl w:val="0"/>
          <w:numId w:val="37"/>
        </w:numPr>
        <w:tabs>
          <w:tab w:val="clear" w:pos="475"/>
          <w:tab w:val="num" w:pos="1742"/>
        </w:tabs>
        <w:ind w:left="1267"/>
      </w:pPr>
      <w:r w:rsidRPr="00981E15">
        <w:t>Dentro del cumplimiento del Plan, se contemplan las acciones de información, educación y comunic</w:t>
      </w:r>
      <w:r w:rsidRPr="00981E15">
        <w:t>a</w:t>
      </w:r>
      <w:r w:rsidRPr="00981E15">
        <w:t>ción, y promoción de la salud como un derecho, fortaleciendo la participación social, la organización comunitaria, trabajo de articulación de los servicios tradicionales con los institucionales, desarrollo de modelos de capacitación y equipamiento de comadronas (12,000), y un proceso de capacitación y seguimiento a nivel institucional (80% del personal de centros de salud conocen las normas de ate</w:t>
      </w:r>
      <w:r w:rsidRPr="00981E15">
        <w:t>n</w:t>
      </w:r>
      <w:r w:rsidRPr="00981E15">
        <w:t>ción). Adicionalmente se ha desarrollado un modelo de capacitación a proveedores de salud.</w:t>
      </w:r>
    </w:p>
    <w:p w:rsidR="003D702F" w:rsidRPr="00981E15" w:rsidRDefault="003D702F" w:rsidP="003D702F">
      <w:pPr>
        <w:pStyle w:val="SingleTxt"/>
        <w:numPr>
          <w:ilvl w:val="0"/>
          <w:numId w:val="37"/>
        </w:numPr>
        <w:tabs>
          <w:tab w:val="clear" w:pos="475"/>
          <w:tab w:val="num" w:pos="1742"/>
        </w:tabs>
        <w:ind w:left="1267"/>
      </w:pPr>
      <w:r w:rsidRPr="00981E15">
        <w:t xml:space="preserve">El gran reto es implementar el modelo a nivel nacional, en la formulación participativa de los planes departamentales de reducción de la mortalidad materna. Actualmente veintidós departamentos del país cuentan con una mesa conformada. Otra acción directa destinada a reducir la mortalidad materna la constituye el Programa Nacional de Atención Post-Aborto, que funciona desde el 2004 en 37 servicios con atención obstétrica y se prevé extender el programa a partir de 2008 a centros de salud tipo A con condiciones apropiadas. </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Atención pre-natal</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Según las encuestas nacionales de salud materno infantil (ENSMI) de 1987, 1997, y 1998-1999, la c</w:t>
      </w:r>
      <w:r w:rsidRPr="00981E15">
        <w:t>o</w:t>
      </w:r>
      <w:r w:rsidRPr="00981E15">
        <w:t>bertura de atención prenatal brindada por personal de salud institucional se ha incrementado desde el 34% en 1987 hasta 60% en 1998; sin embargo, los registros del MSPAS revelan que en los años del inicio del nuevo siglo la tendencia de esta cobertura se ha estacionado en 45%. Para el 2004 se realizó un análisis de estas coberturas y se decidió cambiar la metodología de cálculo, sustituyéndose el d</w:t>
      </w:r>
      <w:r w:rsidRPr="00981E15">
        <w:t>e</w:t>
      </w:r>
      <w:r w:rsidRPr="00981E15">
        <w:t>nominador del indicador por el de recién nacidos, al considerar que éste es un acercamiento más real que el de embarazos en una población</w:t>
      </w:r>
      <w:r w:rsidRPr="00981E15">
        <w:rPr>
          <w:rStyle w:val="FootnoteReference"/>
          <w:spacing w:val="4"/>
          <w:w w:val="103"/>
          <w:position w:val="0"/>
          <w:sz w:val="24"/>
          <w:szCs w:val="24"/>
        </w:rPr>
        <w:footnoteReference w:id="5"/>
      </w:r>
      <w:r w:rsidRPr="00981E15">
        <w:t>. Debido a este cambio de comportamiento del indicador muestra la siguiente tendencia:</w:t>
      </w:r>
    </w:p>
    <w:p w:rsidR="00032CF7" w:rsidRPr="00981E15" w:rsidRDefault="00032CF7" w:rsidP="00032CF7">
      <w:pPr>
        <w:pStyle w:val="SingleTxt"/>
        <w:suppressAutoHyphens/>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noProof/>
          <w:spacing w:val="4"/>
        </w:rPr>
        <w:pict>
          <v:shape id="_x0000_s2032" type="#_x0000_t75" style="position:absolute;left:0;text-align:left;margin-left:25.5pt;margin-top:43.9pt;width:441.5pt;height:148.1pt;z-index:8">
            <v:imagedata r:id="rId50" o:title=""/>
            <w10:wrap type="square"/>
          </v:shape>
        </w:pict>
      </w:r>
      <w:r w:rsidRPr="00981E15">
        <w:rPr>
          <w:spacing w:val="4"/>
        </w:rPr>
        <w:tab/>
      </w:r>
      <w:r w:rsidRPr="00981E15">
        <w:rPr>
          <w:spacing w:val="4"/>
        </w:rPr>
        <w:tab/>
      </w:r>
      <w:r w:rsidRPr="00981E15">
        <w:rPr>
          <w:b w:val="0"/>
          <w:spacing w:val="4"/>
        </w:rPr>
        <w:t>Gráfic</w:t>
      </w:r>
      <w:r w:rsidR="00A714BC">
        <w:rPr>
          <w:b w:val="0"/>
          <w:spacing w:val="4"/>
        </w:rPr>
        <w:t>a</w:t>
      </w:r>
      <w:r w:rsidRPr="00981E15">
        <w:rPr>
          <w:b w:val="0"/>
          <w:spacing w:val="4"/>
        </w:rPr>
        <w:t xml:space="preserve"> 5</w:t>
      </w:r>
      <w:r w:rsidRPr="00981E15">
        <w:rPr>
          <w:spacing w:val="4"/>
        </w:rPr>
        <w:br/>
        <w:t xml:space="preserve">Tendencia de </w:t>
      </w:r>
      <w:smartTag w:uri="urn:schemas-microsoft-com:office:smarttags" w:element="PersonName">
        <w:smartTagPr>
          <w:attr w:name="ProductID" w:val="la Cobertura"/>
        </w:smartTagPr>
        <w:r w:rsidRPr="00981E15">
          <w:rPr>
            <w:spacing w:val="4"/>
          </w:rPr>
          <w:t>la Cobertura</w:t>
        </w:r>
      </w:smartTag>
      <w:r w:rsidRPr="00981E15">
        <w:rPr>
          <w:spacing w:val="4"/>
        </w:rPr>
        <w:t xml:space="preserve"> de Atención Prenatal</w:t>
      </w:r>
    </w:p>
    <w:p w:rsidR="003D702F" w:rsidRPr="00981E15" w:rsidRDefault="003D702F" w:rsidP="00032CF7">
      <w:pPr>
        <w:pStyle w:val="SingleTxt"/>
        <w:suppressAutoHyphens/>
        <w:rPr>
          <w:b/>
        </w:rPr>
      </w:pPr>
      <w:r w:rsidRPr="00981E15">
        <w:rPr>
          <w:b/>
        </w:rPr>
        <w:t>2000-2005</w:t>
      </w:r>
    </w:p>
    <w:p w:rsidR="003D702F" w:rsidRPr="00981E15" w:rsidRDefault="003D702F" w:rsidP="00032CF7">
      <w:pPr>
        <w:pStyle w:val="FootnoteText"/>
        <w:tabs>
          <w:tab w:val="clear" w:pos="418"/>
          <w:tab w:val="right" w:pos="1476"/>
          <w:tab w:val="left" w:pos="1548"/>
          <w:tab w:val="right" w:pos="1836"/>
          <w:tab w:val="left" w:pos="1908"/>
        </w:tabs>
        <w:ind w:left="1548" w:hanging="288"/>
        <w:rPr>
          <w:w w:val="103"/>
        </w:rPr>
      </w:pPr>
      <w:r w:rsidRPr="00981E15">
        <w:rPr>
          <w:i/>
          <w:w w:val="103"/>
        </w:rPr>
        <w:t>Fuente</w:t>
      </w:r>
      <w:r w:rsidRPr="00981E15">
        <w:rPr>
          <w:w w:val="103"/>
        </w:rPr>
        <w:t>: SIGSA. 2006 e=estimado.</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 xml:space="preserve">Como se muestra en la gráfico anterior, la cobertura de la atención prenatal ha mejorado ligeramente, lo que se debe a la intervención de los procesos desarrollados por la extensión de cobertura del MSPAS, que ha permitido una búsqueda activa de las mujeres embarazadas. </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Atención del parto</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De acuerdo a la última Encuesta Nacional de Condiciones de Vida (ENCOVI) 2006, realizada por el Instituto Nacional de Estadísticas, los datos de atención al último parto son:</w:t>
      </w:r>
    </w:p>
    <w:p w:rsidR="003D702F" w:rsidRPr="00981E15" w:rsidRDefault="003D702F" w:rsidP="003D702F">
      <w:pPr>
        <w:pStyle w:val="SingleTxt"/>
        <w:spacing w:after="0" w:line="120" w:lineRule="exact"/>
        <w:rPr>
          <w:sz w:val="10"/>
        </w:rPr>
      </w:pPr>
    </w:p>
    <w:p w:rsidR="003D702F" w:rsidRPr="00981E15" w:rsidRDefault="004A2840"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br w:type="page"/>
      </w:r>
      <w:r w:rsidR="003D702F" w:rsidRPr="00981E15">
        <w:rPr>
          <w:spacing w:val="4"/>
        </w:rPr>
        <w:tab/>
      </w:r>
      <w:r w:rsidR="003D702F" w:rsidRPr="00981E15">
        <w:rPr>
          <w:spacing w:val="4"/>
        </w:rPr>
        <w:tab/>
      </w:r>
      <w:r w:rsidR="003D702F" w:rsidRPr="00981E15">
        <w:rPr>
          <w:b w:val="0"/>
          <w:spacing w:val="4"/>
        </w:rPr>
        <w:t>Cuadro 27</w:t>
      </w:r>
      <w:r w:rsidR="003D702F" w:rsidRPr="00981E15">
        <w:rPr>
          <w:b w:val="0"/>
          <w:spacing w:val="4"/>
        </w:rPr>
        <w:br/>
      </w:r>
      <w:r w:rsidR="003D702F" w:rsidRPr="00981E15">
        <w:rPr>
          <w:spacing w:val="4"/>
        </w:rPr>
        <w:t>Cobertura de atención al último parto (en porcentajes)</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826"/>
        <w:gridCol w:w="846"/>
        <w:gridCol w:w="882"/>
        <w:gridCol w:w="882"/>
        <w:gridCol w:w="153"/>
        <w:gridCol w:w="774"/>
        <w:gridCol w:w="958"/>
      </w:tblGrid>
      <w:tr w:rsidR="003D702F" w:rsidRPr="00981E15">
        <w:tblPrEx>
          <w:tblCellMar>
            <w:top w:w="0" w:type="dxa"/>
            <w:bottom w:w="0" w:type="dxa"/>
          </w:tblCellMar>
        </w:tblPrEx>
        <w:trPr>
          <w:tblHeader/>
        </w:trPr>
        <w:tc>
          <w:tcPr>
            <w:tcW w:w="2826" w:type="dxa"/>
            <w:tcBorders>
              <w:top w:val="single" w:sz="4" w:space="0" w:color="auto"/>
            </w:tcBorders>
            <w:shd w:val="clear" w:color="auto" w:fill="auto"/>
            <w:vAlign w:val="bottom"/>
          </w:tcPr>
          <w:p w:rsidR="003D702F" w:rsidRPr="00981E15" w:rsidRDefault="003D702F" w:rsidP="00032CF7">
            <w:pPr>
              <w:spacing w:before="80" w:after="80" w:line="160" w:lineRule="exact"/>
              <w:ind w:right="40"/>
              <w:rPr>
                <w:i/>
                <w:sz w:val="14"/>
                <w:szCs w:val="24"/>
              </w:rPr>
            </w:pPr>
          </w:p>
        </w:tc>
        <w:tc>
          <w:tcPr>
            <w:tcW w:w="846" w:type="dxa"/>
            <w:tcBorders>
              <w:top w:val="single" w:sz="4" w:space="0" w:color="auto"/>
            </w:tcBorders>
            <w:shd w:val="clear" w:color="auto" w:fill="auto"/>
            <w:vAlign w:val="bottom"/>
          </w:tcPr>
          <w:p w:rsidR="003D702F" w:rsidRPr="00981E15" w:rsidRDefault="003D702F" w:rsidP="00032CF7">
            <w:pPr>
              <w:spacing w:before="80" w:after="80" w:line="160" w:lineRule="exact"/>
              <w:ind w:right="40"/>
              <w:jc w:val="right"/>
              <w:rPr>
                <w:i/>
                <w:sz w:val="14"/>
                <w:szCs w:val="24"/>
              </w:rPr>
            </w:pPr>
            <w:r w:rsidRPr="00981E15">
              <w:rPr>
                <w:i/>
                <w:sz w:val="14"/>
                <w:szCs w:val="24"/>
              </w:rPr>
              <w:t>Total</w:t>
            </w:r>
          </w:p>
        </w:tc>
        <w:tc>
          <w:tcPr>
            <w:tcW w:w="1764" w:type="dxa"/>
            <w:gridSpan w:val="2"/>
            <w:tcBorders>
              <w:top w:val="single" w:sz="4" w:space="0" w:color="auto"/>
              <w:bottom w:val="single" w:sz="4" w:space="0" w:color="auto"/>
            </w:tcBorders>
            <w:shd w:val="clear" w:color="auto" w:fill="auto"/>
            <w:vAlign w:val="bottom"/>
          </w:tcPr>
          <w:p w:rsidR="003D702F" w:rsidRPr="00981E15" w:rsidRDefault="003D702F" w:rsidP="00032CF7">
            <w:pPr>
              <w:spacing w:before="80" w:after="80" w:line="160" w:lineRule="exact"/>
              <w:ind w:right="40"/>
              <w:jc w:val="center"/>
              <w:rPr>
                <w:i/>
                <w:sz w:val="14"/>
                <w:szCs w:val="24"/>
              </w:rPr>
            </w:pPr>
            <w:r w:rsidRPr="00981E15">
              <w:rPr>
                <w:i/>
                <w:sz w:val="14"/>
                <w:szCs w:val="24"/>
              </w:rPr>
              <w:t>Área</w:t>
            </w:r>
          </w:p>
        </w:tc>
        <w:tc>
          <w:tcPr>
            <w:tcW w:w="153" w:type="dxa"/>
            <w:tcBorders>
              <w:top w:val="single" w:sz="4"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80" w:after="80" w:line="160" w:lineRule="exact"/>
              <w:ind w:right="40"/>
              <w:jc w:val="center"/>
              <w:rPr>
                <w:i/>
                <w:sz w:val="14"/>
              </w:rPr>
            </w:pPr>
          </w:p>
        </w:tc>
        <w:tc>
          <w:tcPr>
            <w:tcW w:w="1732" w:type="dxa"/>
            <w:gridSpan w:val="2"/>
            <w:tcBorders>
              <w:top w:val="single" w:sz="4" w:space="0" w:color="auto"/>
              <w:bottom w:val="single" w:sz="4"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80" w:after="80" w:line="160" w:lineRule="exact"/>
              <w:ind w:right="40"/>
              <w:jc w:val="center"/>
              <w:rPr>
                <w:i/>
                <w:sz w:val="14"/>
              </w:rPr>
            </w:pPr>
            <w:r w:rsidRPr="00981E15">
              <w:rPr>
                <w:i/>
                <w:sz w:val="14"/>
                <w:szCs w:val="24"/>
              </w:rPr>
              <w:t>Grupo étnico</w:t>
            </w:r>
          </w:p>
        </w:tc>
      </w:tr>
      <w:tr w:rsidR="003D702F" w:rsidRPr="00981E15">
        <w:tblPrEx>
          <w:tblCellMar>
            <w:top w:w="0" w:type="dxa"/>
            <w:bottom w:w="0" w:type="dxa"/>
          </w:tblCellMar>
        </w:tblPrEx>
        <w:trPr>
          <w:tblHeader/>
        </w:trPr>
        <w:tc>
          <w:tcPr>
            <w:tcW w:w="2826" w:type="dxa"/>
            <w:tcBorders>
              <w:bottom w:val="single" w:sz="12" w:space="0" w:color="auto"/>
            </w:tcBorders>
            <w:shd w:val="clear" w:color="auto" w:fill="auto"/>
            <w:vAlign w:val="bottom"/>
          </w:tcPr>
          <w:p w:rsidR="003D702F" w:rsidRPr="00981E15" w:rsidRDefault="003D702F" w:rsidP="00032CF7">
            <w:pPr>
              <w:spacing w:before="80" w:after="80" w:line="160" w:lineRule="exact"/>
              <w:ind w:right="40"/>
              <w:rPr>
                <w:i/>
                <w:sz w:val="14"/>
                <w:szCs w:val="24"/>
              </w:rPr>
            </w:pPr>
            <w:r w:rsidRPr="00981E15">
              <w:rPr>
                <w:i/>
                <w:sz w:val="14"/>
                <w:szCs w:val="24"/>
              </w:rPr>
              <w:t>Características</w:t>
            </w:r>
          </w:p>
        </w:tc>
        <w:tc>
          <w:tcPr>
            <w:tcW w:w="846" w:type="dxa"/>
            <w:tcBorders>
              <w:bottom w:val="single" w:sz="12" w:space="0" w:color="auto"/>
            </w:tcBorders>
            <w:shd w:val="clear" w:color="auto" w:fill="auto"/>
            <w:vAlign w:val="bottom"/>
          </w:tcPr>
          <w:p w:rsidR="003D702F" w:rsidRPr="00981E15" w:rsidRDefault="003D702F" w:rsidP="00032CF7">
            <w:pPr>
              <w:spacing w:before="80" w:after="80" w:line="160" w:lineRule="exact"/>
              <w:ind w:right="40"/>
              <w:jc w:val="right"/>
              <w:rPr>
                <w:i/>
                <w:sz w:val="14"/>
                <w:szCs w:val="24"/>
              </w:rPr>
            </w:pPr>
          </w:p>
        </w:tc>
        <w:tc>
          <w:tcPr>
            <w:tcW w:w="882" w:type="dxa"/>
            <w:tcBorders>
              <w:top w:val="single" w:sz="4" w:space="0" w:color="auto"/>
              <w:bottom w:val="single" w:sz="12" w:space="0" w:color="auto"/>
            </w:tcBorders>
            <w:shd w:val="clear" w:color="auto" w:fill="auto"/>
            <w:vAlign w:val="bottom"/>
          </w:tcPr>
          <w:p w:rsidR="003D702F" w:rsidRPr="00981E15" w:rsidRDefault="003D702F" w:rsidP="00032CF7">
            <w:pPr>
              <w:spacing w:before="80" w:after="80" w:line="160" w:lineRule="exact"/>
              <w:ind w:right="40"/>
              <w:jc w:val="right"/>
              <w:rPr>
                <w:i/>
                <w:sz w:val="14"/>
                <w:szCs w:val="24"/>
              </w:rPr>
            </w:pPr>
            <w:smartTag w:uri="urn:schemas-microsoft-com:office:smarttags" w:element="place">
              <w:smartTag w:uri="urn:schemas-microsoft-com:office:smarttags" w:element="City">
                <w:r w:rsidRPr="00981E15">
                  <w:rPr>
                    <w:i/>
                    <w:sz w:val="14"/>
                    <w:szCs w:val="24"/>
                  </w:rPr>
                  <w:t>Urbana</w:t>
                </w:r>
              </w:smartTag>
            </w:smartTag>
          </w:p>
        </w:tc>
        <w:tc>
          <w:tcPr>
            <w:tcW w:w="882" w:type="dxa"/>
            <w:tcBorders>
              <w:top w:val="single" w:sz="4" w:space="0" w:color="auto"/>
              <w:bottom w:val="single" w:sz="12" w:space="0" w:color="auto"/>
            </w:tcBorders>
            <w:shd w:val="clear" w:color="auto" w:fill="auto"/>
            <w:vAlign w:val="bottom"/>
          </w:tcPr>
          <w:p w:rsidR="003D702F" w:rsidRPr="00981E15" w:rsidRDefault="003D702F" w:rsidP="00032CF7">
            <w:pPr>
              <w:spacing w:before="80" w:after="80" w:line="160" w:lineRule="exact"/>
              <w:ind w:right="40"/>
              <w:jc w:val="right"/>
              <w:rPr>
                <w:i/>
                <w:sz w:val="14"/>
                <w:szCs w:val="24"/>
              </w:rPr>
            </w:pPr>
            <w:r w:rsidRPr="00981E15">
              <w:rPr>
                <w:i/>
                <w:sz w:val="14"/>
                <w:szCs w:val="24"/>
              </w:rPr>
              <w:t>Rural</w:t>
            </w:r>
          </w:p>
        </w:tc>
        <w:tc>
          <w:tcPr>
            <w:tcW w:w="927" w:type="dxa"/>
            <w:gridSpan w:val="2"/>
            <w:tcBorders>
              <w:bottom w:val="single" w:sz="12" w:space="0" w:color="auto"/>
            </w:tcBorders>
            <w:shd w:val="clear" w:color="auto" w:fill="auto"/>
            <w:vAlign w:val="bottom"/>
          </w:tcPr>
          <w:p w:rsidR="003D702F" w:rsidRPr="00981E15" w:rsidRDefault="003D702F" w:rsidP="00032CF7">
            <w:pPr>
              <w:spacing w:before="80" w:after="80" w:line="160" w:lineRule="exact"/>
              <w:ind w:right="40"/>
              <w:jc w:val="right"/>
              <w:rPr>
                <w:i/>
                <w:sz w:val="14"/>
                <w:szCs w:val="24"/>
              </w:rPr>
            </w:pPr>
            <w:r w:rsidRPr="00981E15">
              <w:rPr>
                <w:i/>
                <w:sz w:val="14"/>
                <w:szCs w:val="24"/>
              </w:rPr>
              <w:t>Indígena</w:t>
            </w:r>
          </w:p>
        </w:tc>
        <w:tc>
          <w:tcPr>
            <w:tcW w:w="958" w:type="dxa"/>
            <w:tcBorders>
              <w:top w:val="single" w:sz="4" w:space="0" w:color="auto"/>
              <w:bottom w:val="single" w:sz="12" w:space="0" w:color="auto"/>
            </w:tcBorders>
            <w:shd w:val="clear" w:color="auto" w:fill="auto"/>
            <w:vAlign w:val="bottom"/>
          </w:tcPr>
          <w:p w:rsidR="003D702F" w:rsidRPr="00981E15" w:rsidRDefault="003D702F" w:rsidP="00032CF7">
            <w:pPr>
              <w:spacing w:before="80" w:after="80" w:line="160" w:lineRule="exact"/>
              <w:ind w:right="40"/>
              <w:jc w:val="right"/>
              <w:rPr>
                <w:i/>
                <w:sz w:val="14"/>
                <w:szCs w:val="24"/>
              </w:rPr>
            </w:pPr>
            <w:r w:rsidRPr="00981E15">
              <w:rPr>
                <w:i/>
                <w:sz w:val="14"/>
                <w:szCs w:val="24"/>
              </w:rPr>
              <w:t>No Indígena</w:t>
            </w:r>
          </w:p>
        </w:tc>
      </w:tr>
      <w:tr w:rsidR="003D702F" w:rsidRPr="00981E15">
        <w:tblPrEx>
          <w:tblCellMar>
            <w:top w:w="0" w:type="dxa"/>
            <w:bottom w:w="0" w:type="dxa"/>
          </w:tblCellMar>
        </w:tblPrEx>
        <w:trPr>
          <w:trHeight w:hRule="exact" w:val="115"/>
          <w:tblHeader/>
        </w:trPr>
        <w:tc>
          <w:tcPr>
            <w:tcW w:w="2826"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rPr>
            </w:pPr>
          </w:p>
        </w:tc>
        <w:tc>
          <w:tcPr>
            <w:tcW w:w="846"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rPr>
            </w:pPr>
          </w:p>
        </w:tc>
        <w:tc>
          <w:tcPr>
            <w:tcW w:w="882"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rPr>
            </w:pPr>
          </w:p>
        </w:tc>
        <w:tc>
          <w:tcPr>
            <w:tcW w:w="927" w:type="dxa"/>
            <w:gridSpan w:val="2"/>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rPr>
            </w:pPr>
          </w:p>
        </w:tc>
        <w:tc>
          <w:tcPr>
            <w:tcW w:w="958"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rPr>
            </w:pPr>
          </w:p>
        </w:tc>
      </w:tr>
      <w:tr w:rsidR="003D702F" w:rsidRPr="00981E15">
        <w:tblPrEx>
          <w:tblCellMar>
            <w:top w:w="0" w:type="dxa"/>
            <w:bottom w:w="0" w:type="dxa"/>
          </w:tblCellMar>
        </w:tblPrEx>
        <w:tc>
          <w:tcPr>
            <w:tcW w:w="282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b/>
                <w:sz w:val="17"/>
                <w:szCs w:val="24"/>
              </w:rPr>
            </w:pPr>
            <w:r w:rsidRPr="00981E15">
              <w:rPr>
                <w:b/>
                <w:sz w:val="17"/>
                <w:szCs w:val="24"/>
              </w:rPr>
              <w:tab/>
              <w:t>Total Nacional</w:t>
            </w:r>
          </w:p>
        </w:tc>
        <w:tc>
          <w:tcPr>
            <w:tcW w:w="84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100.0</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100.0</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100.0</w:t>
            </w:r>
          </w:p>
        </w:tc>
        <w:tc>
          <w:tcPr>
            <w:tcW w:w="927" w:type="dxa"/>
            <w:gridSpan w:val="2"/>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100.0</w:t>
            </w:r>
          </w:p>
        </w:tc>
        <w:tc>
          <w:tcPr>
            <w:tcW w:w="958"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b/>
                <w:sz w:val="17"/>
                <w:szCs w:val="24"/>
              </w:rPr>
            </w:pPr>
            <w:r w:rsidRPr="00981E15">
              <w:rPr>
                <w:b/>
                <w:sz w:val="17"/>
                <w:szCs w:val="24"/>
              </w:rPr>
              <w:t>100.0</w:t>
            </w:r>
          </w:p>
        </w:tc>
      </w:tr>
      <w:tr w:rsidR="003D702F" w:rsidRPr="00981E15">
        <w:tblPrEx>
          <w:tblCellMar>
            <w:top w:w="0" w:type="dxa"/>
            <w:bottom w:w="0" w:type="dxa"/>
          </w:tblCellMar>
        </w:tblPrEx>
        <w:tc>
          <w:tcPr>
            <w:tcW w:w="282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Médico o ginecólogo</w:t>
            </w:r>
          </w:p>
        </w:tc>
        <w:tc>
          <w:tcPr>
            <w:tcW w:w="84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50.2</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71.8</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32.1</w:t>
            </w:r>
          </w:p>
        </w:tc>
        <w:tc>
          <w:tcPr>
            <w:tcW w:w="927" w:type="dxa"/>
            <w:gridSpan w:val="2"/>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24.3</w:t>
            </w:r>
          </w:p>
        </w:tc>
        <w:tc>
          <w:tcPr>
            <w:tcW w:w="958"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67.8</w:t>
            </w:r>
          </w:p>
        </w:tc>
      </w:tr>
      <w:tr w:rsidR="003D702F" w:rsidRPr="00981E15">
        <w:tblPrEx>
          <w:tblCellMar>
            <w:top w:w="0" w:type="dxa"/>
            <w:bottom w:w="0" w:type="dxa"/>
          </w:tblCellMar>
        </w:tblPrEx>
        <w:tc>
          <w:tcPr>
            <w:tcW w:w="282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Comadrona o partera tradicional</w:t>
            </w:r>
          </w:p>
        </w:tc>
        <w:tc>
          <w:tcPr>
            <w:tcW w:w="84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39.5</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22.7</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53.5</w:t>
            </w:r>
          </w:p>
        </w:tc>
        <w:tc>
          <w:tcPr>
            <w:tcW w:w="927" w:type="dxa"/>
            <w:gridSpan w:val="2"/>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62.9</w:t>
            </w:r>
          </w:p>
        </w:tc>
        <w:tc>
          <w:tcPr>
            <w:tcW w:w="958"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23.5</w:t>
            </w:r>
          </w:p>
        </w:tc>
      </w:tr>
      <w:tr w:rsidR="003D702F" w:rsidRPr="00981E15">
        <w:tblPrEx>
          <w:tblCellMar>
            <w:top w:w="0" w:type="dxa"/>
            <w:bottom w:w="0" w:type="dxa"/>
          </w:tblCellMar>
        </w:tblPrEx>
        <w:tc>
          <w:tcPr>
            <w:tcW w:w="282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Enfermera o Auxiliar de Enfermería</w:t>
            </w:r>
          </w:p>
        </w:tc>
        <w:tc>
          <w:tcPr>
            <w:tcW w:w="846"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4.1</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4.2</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4.0</w:t>
            </w:r>
          </w:p>
        </w:tc>
        <w:tc>
          <w:tcPr>
            <w:tcW w:w="927" w:type="dxa"/>
            <w:gridSpan w:val="2"/>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3.8</w:t>
            </w:r>
          </w:p>
        </w:tc>
        <w:tc>
          <w:tcPr>
            <w:tcW w:w="958"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4.3</w:t>
            </w:r>
          </w:p>
        </w:tc>
      </w:tr>
      <w:tr w:rsidR="003D702F" w:rsidRPr="00981E15">
        <w:tblPrEx>
          <w:tblCellMar>
            <w:top w:w="0" w:type="dxa"/>
            <w:bottom w:w="0" w:type="dxa"/>
          </w:tblCellMar>
        </w:tblPrEx>
        <w:tc>
          <w:tcPr>
            <w:tcW w:w="2826" w:type="dxa"/>
            <w:shd w:val="clear" w:color="auto" w:fill="auto"/>
            <w:vAlign w:val="bottom"/>
          </w:tcPr>
          <w:p w:rsidR="003D702F" w:rsidRPr="00981E15" w:rsidRDefault="003D702F" w:rsidP="00032CF7">
            <w:pPr>
              <w:tabs>
                <w:tab w:val="left" w:pos="288"/>
                <w:tab w:val="left" w:pos="576"/>
                <w:tab w:val="left" w:pos="864"/>
                <w:tab w:val="left" w:pos="1152"/>
              </w:tabs>
              <w:spacing w:before="40" w:after="41" w:line="210" w:lineRule="exact"/>
              <w:ind w:right="43"/>
              <w:rPr>
                <w:sz w:val="17"/>
                <w:szCs w:val="24"/>
              </w:rPr>
            </w:pPr>
            <w:r w:rsidRPr="00981E15">
              <w:rPr>
                <w:sz w:val="17"/>
                <w:szCs w:val="24"/>
              </w:rPr>
              <w:t>Padres o miembros del hogar</w:t>
            </w:r>
          </w:p>
        </w:tc>
        <w:tc>
          <w:tcPr>
            <w:tcW w:w="846" w:type="dxa"/>
            <w:shd w:val="clear" w:color="auto" w:fill="auto"/>
            <w:vAlign w:val="bottom"/>
          </w:tcPr>
          <w:p w:rsidR="003D702F" w:rsidRPr="00981E15" w:rsidRDefault="003D702F" w:rsidP="00032CF7">
            <w:pPr>
              <w:tabs>
                <w:tab w:val="left" w:pos="288"/>
                <w:tab w:val="left" w:pos="576"/>
                <w:tab w:val="left" w:pos="864"/>
                <w:tab w:val="left" w:pos="1152"/>
              </w:tabs>
              <w:spacing w:before="40" w:after="41" w:line="210" w:lineRule="exact"/>
              <w:ind w:right="43"/>
              <w:jc w:val="right"/>
              <w:rPr>
                <w:sz w:val="17"/>
                <w:szCs w:val="24"/>
              </w:rPr>
            </w:pPr>
            <w:r w:rsidRPr="00981E15">
              <w:rPr>
                <w:sz w:val="17"/>
                <w:szCs w:val="24"/>
              </w:rPr>
              <w:t>4.8</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1" w:line="210" w:lineRule="exact"/>
              <w:ind w:right="43"/>
              <w:jc w:val="right"/>
              <w:rPr>
                <w:sz w:val="17"/>
                <w:szCs w:val="24"/>
              </w:rPr>
            </w:pPr>
            <w:r w:rsidRPr="00981E15">
              <w:rPr>
                <w:sz w:val="17"/>
                <w:szCs w:val="24"/>
              </w:rPr>
              <w:t>0.3</w:t>
            </w:r>
          </w:p>
        </w:tc>
        <w:tc>
          <w:tcPr>
            <w:tcW w:w="882" w:type="dxa"/>
            <w:shd w:val="clear" w:color="auto" w:fill="auto"/>
            <w:vAlign w:val="bottom"/>
          </w:tcPr>
          <w:p w:rsidR="003D702F" w:rsidRPr="00981E15" w:rsidRDefault="003D702F" w:rsidP="00032CF7">
            <w:pPr>
              <w:tabs>
                <w:tab w:val="left" w:pos="288"/>
                <w:tab w:val="left" w:pos="576"/>
                <w:tab w:val="left" w:pos="864"/>
                <w:tab w:val="left" w:pos="1152"/>
              </w:tabs>
              <w:spacing w:before="40" w:after="41" w:line="210" w:lineRule="exact"/>
              <w:ind w:right="43"/>
              <w:jc w:val="right"/>
              <w:rPr>
                <w:sz w:val="17"/>
                <w:szCs w:val="24"/>
              </w:rPr>
            </w:pPr>
            <w:r w:rsidRPr="00981E15">
              <w:rPr>
                <w:sz w:val="17"/>
                <w:szCs w:val="24"/>
              </w:rPr>
              <w:t>8.6</w:t>
            </w:r>
          </w:p>
        </w:tc>
        <w:tc>
          <w:tcPr>
            <w:tcW w:w="927" w:type="dxa"/>
            <w:gridSpan w:val="2"/>
            <w:shd w:val="clear" w:color="auto" w:fill="auto"/>
            <w:vAlign w:val="bottom"/>
          </w:tcPr>
          <w:p w:rsidR="003D702F" w:rsidRPr="00981E15" w:rsidRDefault="003D702F" w:rsidP="00032CF7">
            <w:pPr>
              <w:tabs>
                <w:tab w:val="left" w:pos="288"/>
                <w:tab w:val="left" w:pos="576"/>
                <w:tab w:val="left" w:pos="864"/>
                <w:tab w:val="left" w:pos="1152"/>
              </w:tabs>
              <w:spacing w:before="40" w:after="41" w:line="210" w:lineRule="exact"/>
              <w:ind w:right="43"/>
              <w:jc w:val="right"/>
              <w:rPr>
                <w:sz w:val="17"/>
                <w:szCs w:val="24"/>
              </w:rPr>
            </w:pPr>
            <w:r w:rsidRPr="00981E15">
              <w:rPr>
                <w:sz w:val="17"/>
                <w:szCs w:val="24"/>
              </w:rPr>
              <w:t>7.0</w:t>
            </w:r>
          </w:p>
        </w:tc>
        <w:tc>
          <w:tcPr>
            <w:tcW w:w="958" w:type="dxa"/>
            <w:shd w:val="clear" w:color="auto" w:fill="auto"/>
            <w:vAlign w:val="bottom"/>
          </w:tcPr>
          <w:p w:rsidR="003D702F" w:rsidRPr="00981E15" w:rsidRDefault="003D702F" w:rsidP="00032CF7">
            <w:pPr>
              <w:tabs>
                <w:tab w:val="left" w:pos="288"/>
                <w:tab w:val="left" w:pos="576"/>
                <w:tab w:val="left" w:pos="864"/>
                <w:tab w:val="left" w:pos="1152"/>
              </w:tabs>
              <w:spacing w:before="40" w:after="41" w:line="210" w:lineRule="exact"/>
              <w:ind w:right="43"/>
              <w:jc w:val="right"/>
              <w:rPr>
                <w:sz w:val="17"/>
                <w:szCs w:val="24"/>
              </w:rPr>
            </w:pPr>
            <w:r w:rsidRPr="00981E15">
              <w:rPr>
                <w:sz w:val="17"/>
                <w:szCs w:val="24"/>
              </w:rPr>
              <w:t>3.4</w:t>
            </w:r>
          </w:p>
        </w:tc>
      </w:tr>
      <w:tr w:rsidR="003D702F" w:rsidRPr="00981E15">
        <w:tblPrEx>
          <w:tblCellMar>
            <w:top w:w="0" w:type="dxa"/>
            <w:bottom w:w="0" w:type="dxa"/>
          </w:tblCellMar>
        </w:tblPrEx>
        <w:tc>
          <w:tcPr>
            <w:tcW w:w="2826" w:type="dxa"/>
            <w:tcBorders>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3"/>
              <w:rPr>
                <w:sz w:val="17"/>
                <w:szCs w:val="24"/>
              </w:rPr>
            </w:pPr>
            <w:r w:rsidRPr="00981E15">
              <w:rPr>
                <w:sz w:val="17"/>
                <w:szCs w:val="24"/>
              </w:rPr>
              <w:t>Otros</w:t>
            </w:r>
          </w:p>
        </w:tc>
        <w:tc>
          <w:tcPr>
            <w:tcW w:w="846" w:type="dxa"/>
            <w:tcBorders>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3"/>
              <w:jc w:val="right"/>
              <w:rPr>
                <w:sz w:val="17"/>
                <w:szCs w:val="24"/>
              </w:rPr>
            </w:pPr>
            <w:r w:rsidRPr="00981E15">
              <w:rPr>
                <w:sz w:val="17"/>
                <w:szCs w:val="24"/>
              </w:rPr>
              <w:t>1.4</w:t>
            </w:r>
          </w:p>
        </w:tc>
        <w:tc>
          <w:tcPr>
            <w:tcW w:w="882" w:type="dxa"/>
            <w:tcBorders>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3"/>
              <w:jc w:val="right"/>
              <w:rPr>
                <w:sz w:val="17"/>
                <w:szCs w:val="24"/>
              </w:rPr>
            </w:pPr>
            <w:r w:rsidRPr="00981E15">
              <w:rPr>
                <w:sz w:val="17"/>
                <w:szCs w:val="24"/>
              </w:rPr>
              <w:t>1.0</w:t>
            </w:r>
          </w:p>
        </w:tc>
        <w:tc>
          <w:tcPr>
            <w:tcW w:w="882" w:type="dxa"/>
            <w:tcBorders>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3"/>
              <w:jc w:val="right"/>
              <w:rPr>
                <w:sz w:val="17"/>
                <w:szCs w:val="24"/>
              </w:rPr>
            </w:pPr>
            <w:r w:rsidRPr="00981E15">
              <w:rPr>
                <w:sz w:val="17"/>
                <w:szCs w:val="24"/>
              </w:rPr>
              <w:t>1.8</w:t>
            </w:r>
          </w:p>
        </w:tc>
        <w:tc>
          <w:tcPr>
            <w:tcW w:w="927" w:type="dxa"/>
            <w:gridSpan w:val="2"/>
            <w:tcBorders>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3"/>
              <w:jc w:val="right"/>
              <w:rPr>
                <w:sz w:val="17"/>
                <w:szCs w:val="24"/>
              </w:rPr>
            </w:pPr>
            <w:r w:rsidRPr="00981E15">
              <w:rPr>
                <w:sz w:val="17"/>
                <w:szCs w:val="24"/>
              </w:rPr>
              <w:t>2.1</w:t>
            </w:r>
          </w:p>
        </w:tc>
        <w:tc>
          <w:tcPr>
            <w:tcW w:w="958" w:type="dxa"/>
            <w:tcBorders>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3"/>
              <w:jc w:val="right"/>
              <w:rPr>
                <w:sz w:val="17"/>
                <w:szCs w:val="24"/>
              </w:rPr>
            </w:pPr>
            <w:r w:rsidRPr="00981E15">
              <w:rPr>
                <w:sz w:val="17"/>
                <w:szCs w:val="24"/>
              </w:rPr>
              <w:t>1.0</w:t>
            </w:r>
          </w:p>
        </w:tc>
      </w:tr>
    </w:tbl>
    <w:p w:rsidR="003D702F" w:rsidRPr="00981E15" w:rsidRDefault="003D702F" w:rsidP="003D702F">
      <w:pPr>
        <w:pStyle w:val="SingleTxt"/>
        <w:spacing w:after="0" w:line="120" w:lineRule="exact"/>
        <w:rPr>
          <w:sz w:val="10"/>
        </w:rPr>
      </w:pPr>
    </w:p>
    <w:p w:rsidR="003D702F" w:rsidRPr="00981E15" w:rsidRDefault="003D702F" w:rsidP="004A2840">
      <w:pPr>
        <w:pStyle w:val="FootnoteText"/>
        <w:tabs>
          <w:tab w:val="clear" w:pos="418"/>
          <w:tab w:val="right" w:pos="1476"/>
          <w:tab w:val="left" w:pos="1548"/>
          <w:tab w:val="right" w:pos="1836"/>
          <w:tab w:val="left" w:pos="1908"/>
        </w:tabs>
        <w:ind w:left="1548" w:hanging="288"/>
        <w:rPr>
          <w:w w:val="103"/>
        </w:rPr>
      </w:pPr>
      <w:r w:rsidRPr="00981E15">
        <w:rPr>
          <w:i/>
          <w:w w:val="103"/>
        </w:rPr>
        <w:t>Fuente</w:t>
      </w:r>
      <w:r w:rsidRPr="00981E15">
        <w:rPr>
          <w:w w:val="103"/>
        </w:rPr>
        <w:t>: ENCOVI 2006, INE.</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r>
      <w:r w:rsidRPr="00981E15">
        <w:rPr>
          <w:b w:val="0"/>
          <w:spacing w:val="4"/>
        </w:rPr>
        <w:t>Cuadro 28</w:t>
      </w:r>
      <w:r w:rsidRPr="00981E15">
        <w:rPr>
          <w:spacing w:val="4"/>
        </w:rPr>
        <w:br/>
        <w:t>Lugar de atención del último parto (en porcentajes)</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84"/>
        <w:gridCol w:w="1003"/>
        <w:gridCol w:w="1071"/>
        <w:gridCol w:w="1053"/>
        <w:gridCol w:w="889"/>
        <w:gridCol w:w="1220"/>
      </w:tblGrid>
      <w:tr w:rsidR="00E35D5F" w:rsidRPr="00981E15">
        <w:tblPrEx>
          <w:tblCellMar>
            <w:top w:w="0" w:type="dxa"/>
            <w:bottom w:w="0" w:type="dxa"/>
          </w:tblCellMar>
        </w:tblPrEx>
        <w:trPr>
          <w:tblHeader/>
        </w:trPr>
        <w:tc>
          <w:tcPr>
            <w:tcW w:w="2084" w:type="dxa"/>
            <w:vMerge w:val="restart"/>
            <w:tcBorders>
              <w:top w:val="single" w:sz="4" w:space="0" w:color="auto"/>
            </w:tcBorders>
            <w:shd w:val="clear" w:color="auto" w:fill="auto"/>
            <w:vAlign w:val="bottom"/>
          </w:tcPr>
          <w:p w:rsidR="00E35D5F" w:rsidRPr="00981E15" w:rsidRDefault="00E35D5F" w:rsidP="00032CF7">
            <w:pPr>
              <w:spacing w:before="80" w:after="80" w:line="160" w:lineRule="exact"/>
              <w:ind w:right="40"/>
              <w:rPr>
                <w:i/>
                <w:sz w:val="14"/>
                <w:szCs w:val="24"/>
              </w:rPr>
            </w:pPr>
            <w:r w:rsidRPr="00981E15">
              <w:rPr>
                <w:i/>
                <w:sz w:val="14"/>
                <w:szCs w:val="24"/>
              </w:rPr>
              <w:t>Características</w:t>
            </w:r>
          </w:p>
        </w:tc>
        <w:tc>
          <w:tcPr>
            <w:tcW w:w="1003" w:type="dxa"/>
            <w:vMerge w:val="restart"/>
            <w:tcBorders>
              <w:top w:val="single" w:sz="4" w:space="0" w:color="auto"/>
            </w:tcBorders>
            <w:shd w:val="clear" w:color="auto" w:fill="auto"/>
            <w:vAlign w:val="bottom"/>
          </w:tcPr>
          <w:p w:rsidR="00E35D5F" w:rsidRPr="00981E15" w:rsidRDefault="00E35D5F" w:rsidP="00032CF7">
            <w:pPr>
              <w:spacing w:before="80" w:after="80" w:line="160" w:lineRule="exact"/>
              <w:ind w:right="40"/>
              <w:jc w:val="right"/>
              <w:rPr>
                <w:i/>
                <w:sz w:val="14"/>
                <w:szCs w:val="24"/>
              </w:rPr>
            </w:pPr>
            <w:r w:rsidRPr="00981E15">
              <w:rPr>
                <w:i/>
                <w:sz w:val="14"/>
                <w:szCs w:val="24"/>
              </w:rPr>
              <w:t>Total</w:t>
            </w:r>
          </w:p>
        </w:tc>
        <w:tc>
          <w:tcPr>
            <w:tcW w:w="2124" w:type="dxa"/>
            <w:gridSpan w:val="2"/>
            <w:tcBorders>
              <w:top w:val="single" w:sz="4" w:space="0" w:color="auto"/>
              <w:bottom w:val="single" w:sz="4" w:space="0" w:color="auto"/>
            </w:tcBorders>
            <w:shd w:val="clear" w:color="auto" w:fill="auto"/>
            <w:vAlign w:val="bottom"/>
          </w:tcPr>
          <w:p w:rsidR="00E35D5F" w:rsidRPr="00981E15" w:rsidRDefault="00E35D5F" w:rsidP="00032CF7">
            <w:pPr>
              <w:spacing w:before="80" w:after="80" w:line="160" w:lineRule="exact"/>
              <w:ind w:right="40"/>
              <w:jc w:val="center"/>
              <w:rPr>
                <w:i/>
                <w:sz w:val="14"/>
                <w:szCs w:val="24"/>
              </w:rPr>
            </w:pPr>
            <w:r w:rsidRPr="00981E15">
              <w:rPr>
                <w:i/>
                <w:sz w:val="14"/>
                <w:szCs w:val="24"/>
              </w:rPr>
              <w:t>Área</w:t>
            </w:r>
          </w:p>
        </w:tc>
        <w:tc>
          <w:tcPr>
            <w:tcW w:w="2109" w:type="dxa"/>
            <w:gridSpan w:val="2"/>
            <w:tcBorders>
              <w:top w:val="single" w:sz="4" w:space="0" w:color="auto"/>
              <w:bottom w:val="single" w:sz="4" w:space="0" w:color="auto"/>
            </w:tcBorders>
            <w:shd w:val="clear" w:color="auto" w:fill="auto"/>
            <w:vAlign w:val="bottom"/>
          </w:tcPr>
          <w:p w:rsidR="00E35D5F" w:rsidRPr="00981E15" w:rsidRDefault="00E35D5F" w:rsidP="00032CF7">
            <w:pPr>
              <w:tabs>
                <w:tab w:val="left" w:pos="288"/>
                <w:tab w:val="left" w:pos="576"/>
                <w:tab w:val="left" w:pos="864"/>
                <w:tab w:val="left" w:pos="1152"/>
              </w:tabs>
              <w:spacing w:before="80" w:after="80" w:line="160" w:lineRule="exact"/>
              <w:ind w:right="40"/>
              <w:jc w:val="center"/>
              <w:rPr>
                <w:i/>
                <w:sz w:val="14"/>
              </w:rPr>
            </w:pPr>
            <w:r w:rsidRPr="00981E15">
              <w:rPr>
                <w:i/>
                <w:sz w:val="14"/>
                <w:szCs w:val="24"/>
              </w:rPr>
              <w:t>Grupo étnico</w:t>
            </w:r>
          </w:p>
        </w:tc>
      </w:tr>
      <w:tr w:rsidR="00E35D5F" w:rsidRPr="00981E15">
        <w:tblPrEx>
          <w:tblCellMar>
            <w:top w:w="0" w:type="dxa"/>
            <w:bottom w:w="0" w:type="dxa"/>
          </w:tblCellMar>
        </w:tblPrEx>
        <w:trPr>
          <w:tblHeader/>
        </w:trPr>
        <w:tc>
          <w:tcPr>
            <w:tcW w:w="2084" w:type="dxa"/>
            <w:vMerge/>
            <w:tcBorders>
              <w:bottom w:val="single" w:sz="12" w:space="0" w:color="auto"/>
            </w:tcBorders>
            <w:shd w:val="clear" w:color="auto" w:fill="auto"/>
            <w:vAlign w:val="bottom"/>
          </w:tcPr>
          <w:p w:rsidR="00E35D5F" w:rsidRPr="00981E15" w:rsidRDefault="00E35D5F" w:rsidP="00032CF7">
            <w:pPr>
              <w:spacing w:before="80" w:after="80" w:line="160" w:lineRule="exact"/>
              <w:ind w:right="40"/>
              <w:rPr>
                <w:i/>
                <w:sz w:val="14"/>
                <w:szCs w:val="24"/>
              </w:rPr>
            </w:pPr>
          </w:p>
        </w:tc>
        <w:tc>
          <w:tcPr>
            <w:tcW w:w="1003" w:type="dxa"/>
            <w:vMerge/>
            <w:tcBorders>
              <w:bottom w:val="single" w:sz="12" w:space="0" w:color="auto"/>
            </w:tcBorders>
            <w:shd w:val="clear" w:color="auto" w:fill="auto"/>
            <w:vAlign w:val="bottom"/>
          </w:tcPr>
          <w:p w:rsidR="00E35D5F" w:rsidRPr="00981E15" w:rsidRDefault="00E35D5F" w:rsidP="00032CF7">
            <w:pPr>
              <w:spacing w:before="80" w:after="80" w:line="160" w:lineRule="exact"/>
              <w:ind w:right="40"/>
              <w:jc w:val="right"/>
              <w:rPr>
                <w:i/>
                <w:sz w:val="14"/>
                <w:szCs w:val="24"/>
              </w:rPr>
            </w:pPr>
          </w:p>
        </w:tc>
        <w:tc>
          <w:tcPr>
            <w:tcW w:w="1071" w:type="dxa"/>
            <w:tcBorders>
              <w:top w:val="single" w:sz="4" w:space="0" w:color="auto"/>
              <w:bottom w:val="single" w:sz="12" w:space="0" w:color="auto"/>
            </w:tcBorders>
            <w:shd w:val="clear" w:color="auto" w:fill="auto"/>
            <w:vAlign w:val="bottom"/>
          </w:tcPr>
          <w:p w:rsidR="00E35D5F" w:rsidRPr="00981E15" w:rsidRDefault="00E35D5F" w:rsidP="00032CF7">
            <w:pPr>
              <w:spacing w:before="80" w:after="80" w:line="160" w:lineRule="exact"/>
              <w:ind w:right="40"/>
              <w:jc w:val="right"/>
              <w:rPr>
                <w:i/>
                <w:sz w:val="14"/>
                <w:szCs w:val="24"/>
              </w:rPr>
            </w:pPr>
            <w:smartTag w:uri="urn:schemas-microsoft-com:office:smarttags" w:element="place">
              <w:smartTag w:uri="urn:schemas-microsoft-com:office:smarttags" w:element="City">
                <w:r w:rsidRPr="00981E15">
                  <w:rPr>
                    <w:i/>
                    <w:sz w:val="14"/>
                    <w:szCs w:val="24"/>
                  </w:rPr>
                  <w:t>Urbana</w:t>
                </w:r>
              </w:smartTag>
            </w:smartTag>
          </w:p>
        </w:tc>
        <w:tc>
          <w:tcPr>
            <w:tcW w:w="1053" w:type="dxa"/>
            <w:tcBorders>
              <w:top w:val="single" w:sz="4" w:space="0" w:color="auto"/>
              <w:bottom w:val="single" w:sz="12" w:space="0" w:color="auto"/>
            </w:tcBorders>
            <w:shd w:val="clear" w:color="auto" w:fill="auto"/>
            <w:vAlign w:val="bottom"/>
          </w:tcPr>
          <w:p w:rsidR="00E35D5F" w:rsidRPr="00981E15" w:rsidRDefault="00E35D5F" w:rsidP="00032CF7">
            <w:pPr>
              <w:spacing w:before="80" w:after="80" w:line="160" w:lineRule="exact"/>
              <w:ind w:right="40"/>
              <w:jc w:val="right"/>
              <w:rPr>
                <w:i/>
                <w:sz w:val="14"/>
                <w:szCs w:val="24"/>
              </w:rPr>
            </w:pPr>
            <w:r w:rsidRPr="00981E15">
              <w:rPr>
                <w:i/>
                <w:sz w:val="14"/>
                <w:szCs w:val="24"/>
              </w:rPr>
              <w:t>Rural</w:t>
            </w:r>
          </w:p>
        </w:tc>
        <w:tc>
          <w:tcPr>
            <w:tcW w:w="889" w:type="dxa"/>
            <w:tcBorders>
              <w:top w:val="single" w:sz="4" w:space="0" w:color="auto"/>
              <w:bottom w:val="single" w:sz="12" w:space="0" w:color="auto"/>
            </w:tcBorders>
            <w:shd w:val="clear" w:color="auto" w:fill="auto"/>
            <w:vAlign w:val="bottom"/>
          </w:tcPr>
          <w:p w:rsidR="00E35D5F" w:rsidRPr="00981E15" w:rsidRDefault="00E35D5F" w:rsidP="00032CF7">
            <w:pPr>
              <w:spacing w:before="80" w:after="80" w:line="160" w:lineRule="exact"/>
              <w:ind w:right="40"/>
              <w:jc w:val="right"/>
              <w:rPr>
                <w:i/>
                <w:sz w:val="14"/>
                <w:szCs w:val="24"/>
              </w:rPr>
            </w:pPr>
            <w:r w:rsidRPr="00981E15">
              <w:rPr>
                <w:i/>
                <w:sz w:val="14"/>
                <w:szCs w:val="24"/>
              </w:rPr>
              <w:t>Indígena</w:t>
            </w:r>
          </w:p>
        </w:tc>
        <w:tc>
          <w:tcPr>
            <w:tcW w:w="1220" w:type="dxa"/>
            <w:tcBorders>
              <w:top w:val="single" w:sz="4" w:space="0" w:color="auto"/>
              <w:bottom w:val="single" w:sz="12" w:space="0" w:color="auto"/>
            </w:tcBorders>
            <w:shd w:val="clear" w:color="auto" w:fill="auto"/>
            <w:vAlign w:val="bottom"/>
          </w:tcPr>
          <w:p w:rsidR="00E35D5F" w:rsidRPr="00981E15" w:rsidRDefault="00E35D5F" w:rsidP="00032CF7">
            <w:pPr>
              <w:spacing w:before="80" w:after="80" w:line="160" w:lineRule="exact"/>
              <w:ind w:right="40"/>
              <w:jc w:val="right"/>
              <w:rPr>
                <w:i/>
                <w:sz w:val="14"/>
                <w:szCs w:val="24"/>
              </w:rPr>
            </w:pPr>
            <w:r w:rsidRPr="00981E15">
              <w:rPr>
                <w:i/>
                <w:sz w:val="14"/>
                <w:szCs w:val="24"/>
              </w:rPr>
              <w:t>No Indígena</w:t>
            </w:r>
          </w:p>
        </w:tc>
      </w:tr>
      <w:tr w:rsidR="003D702F" w:rsidRPr="00981E15">
        <w:tblPrEx>
          <w:tblCellMar>
            <w:top w:w="0" w:type="dxa"/>
            <w:bottom w:w="0" w:type="dxa"/>
          </w:tblCellMar>
        </w:tblPrEx>
        <w:trPr>
          <w:trHeight w:hRule="exact" w:val="115"/>
          <w:tblHeader/>
        </w:trPr>
        <w:tc>
          <w:tcPr>
            <w:tcW w:w="2084"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rPr>
                <w:sz w:val="17"/>
              </w:rPr>
            </w:pPr>
          </w:p>
        </w:tc>
        <w:tc>
          <w:tcPr>
            <w:tcW w:w="1003"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jc w:val="right"/>
              <w:rPr>
                <w:sz w:val="17"/>
              </w:rPr>
            </w:pPr>
          </w:p>
        </w:tc>
        <w:tc>
          <w:tcPr>
            <w:tcW w:w="1071"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jc w:val="right"/>
              <w:rPr>
                <w:sz w:val="17"/>
              </w:rPr>
            </w:pPr>
          </w:p>
        </w:tc>
        <w:tc>
          <w:tcPr>
            <w:tcW w:w="1053"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jc w:val="right"/>
              <w:rPr>
                <w:sz w:val="17"/>
              </w:rPr>
            </w:pPr>
          </w:p>
        </w:tc>
        <w:tc>
          <w:tcPr>
            <w:tcW w:w="889"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jc w:val="right"/>
              <w:rPr>
                <w:sz w:val="17"/>
              </w:rPr>
            </w:pPr>
          </w:p>
        </w:tc>
        <w:tc>
          <w:tcPr>
            <w:tcW w:w="1220" w:type="dxa"/>
            <w:tcBorders>
              <w:top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jc w:val="right"/>
              <w:rPr>
                <w:sz w:val="17"/>
              </w:rPr>
            </w:pPr>
          </w:p>
        </w:tc>
      </w:tr>
      <w:tr w:rsidR="003D702F" w:rsidRPr="00981E15">
        <w:tblPrEx>
          <w:tblCellMar>
            <w:top w:w="0" w:type="dxa"/>
            <w:bottom w:w="0" w:type="dxa"/>
          </w:tblCellMar>
        </w:tblPrEx>
        <w:tc>
          <w:tcPr>
            <w:tcW w:w="2084" w:type="dxa"/>
            <w:shd w:val="clear" w:color="auto" w:fill="auto"/>
            <w:vAlign w:val="bottom"/>
          </w:tcPr>
          <w:p w:rsidR="003D702F" w:rsidRPr="00981E15" w:rsidRDefault="003D702F" w:rsidP="00032CF7">
            <w:pPr>
              <w:tabs>
                <w:tab w:val="left" w:pos="288"/>
                <w:tab w:val="left" w:pos="576"/>
                <w:tab w:val="left" w:pos="864"/>
                <w:tab w:val="left" w:pos="1152"/>
              </w:tabs>
              <w:spacing w:before="81" w:after="81" w:line="210" w:lineRule="exact"/>
              <w:ind w:right="40"/>
              <w:rPr>
                <w:b/>
                <w:sz w:val="17"/>
                <w:szCs w:val="24"/>
              </w:rPr>
            </w:pPr>
            <w:r w:rsidRPr="00981E15">
              <w:rPr>
                <w:b/>
                <w:sz w:val="17"/>
                <w:szCs w:val="24"/>
              </w:rPr>
              <w:tab/>
              <w:t>Total Nacional</w:t>
            </w:r>
          </w:p>
        </w:tc>
        <w:tc>
          <w:tcPr>
            <w:tcW w:w="1003" w:type="dxa"/>
            <w:shd w:val="clear" w:color="auto" w:fill="auto"/>
            <w:vAlign w:val="bottom"/>
          </w:tcPr>
          <w:p w:rsidR="003D702F" w:rsidRPr="00981E15" w:rsidRDefault="003D702F" w:rsidP="00E35D5F">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100.0</w:t>
            </w:r>
          </w:p>
        </w:tc>
        <w:tc>
          <w:tcPr>
            <w:tcW w:w="1071" w:type="dxa"/>
            <w:shd w:val="clear" w:color="auto" w:fill="auto"/>
            <w:vAlign w:val="bottom"/>
          </w:tcPr>
          <w:p w:rsidR="003D702F" w:rsidRPr="00981E15" w:rsidRDefault="003D702F" w:rsidP="00E35D5F">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100.0</w:t>
            </w:r>
          </w:p>
        </w:tc>
        <w:tc>
          <w:tcPr>
            <w:tcW w:w="1053" w:type="dxa"/>
            <w:shd w:val="clear" w:color="auto" w:fill="auto"/>
            <w:vAlign w:val="bottom"/>
          </w:tcPr>
          <w:p w:rsidR="003D702F" w:rsidRPr="00981E15" w:rsidRDefault="003D702F" w:rsidP="00E35D5F">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100.0</w:t>
            </w:r>
          </w:p>
        </w:tc>
        <w:tc>
          <w:tcPr>
            <w:tcW w:w="889" w:type="dxa"/>
            <w:shd w:val="clear" w:color="auto" w:fill="auto"/>
            <w:vAlign w:val="bottom"/>
          </w:tcPr>
          <w:p w:rsidR="003D702F" w:rsidRPr="00981E15" w:rsidRDefault="003D702F" w:rsidP="00E35D5F">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100.0</w:t>
            </w:r>
          </w:p>
        </w:tc>
        <w:tc>
          <w:tcPr>
            <w:tcW w:w="1220" w:type="dxa"/>
            <w:shd w:val="clear" w:color="auto" w:fill="auto"/>
            <w:vAlign w:val="bottom"/>
          </w:tcPr>
          <w:p w:rsidR="003D702F" w:rsidRPr="00981E15" w:rsidRDefault="003D702F" w:rsidP="00E35D5F">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100.0</w:t>
            </w:r>
          </w:p>
        </w:tc>
      </w:tr>
      <w:tr w:rsidR="003D702F" w:rsidRPr="00981E15">
        <w:tblPrEx>
          <w:tblCellMar>
            <w:top w:w="0" w:type="dxa"/>
            <w:bottom w:w="0" w:type="dxa"/>
          </w:tblCellMar>
        </w:tblPrEx>
        <w:tc>
          <w:tcPr>
            <w:tcW w:w="2084" w:type="dxa"/>
            <w:shd w:val="clear" w:color="auto" w:fill="auto"/>
            <w:vAlign w:val="bottom"/>
          </w:tcPr>
          <w:p w:rsidR="003D702F" w:rsidRPr="00981E15" w:rsidRDefault="003D702F" w:rsidP="00032CF7">
            <w:pPr>
              <w:tabs>
                <w:tab w:val="left" w:pos="288"/>
                <w:tab w:val="left" w:pos="576"/>
                <w:tab w:val="left" w:pos="864"/>
                <w:tab w:val="left" w:pos="1152"/>
              </w:tabs>
              <w:spacing w:before="81" w:after="40" w:line="210" w:lineRule="exact"/>
              <w:ind w:right="40"/>
              <w:rPr>
                <w:sz w:val="17"/>
                <w:szCs w:val="24"/>
              </w:rPr>
            </w:pPr>
            <w:r w:rsidRPr="00981E15">
              <w:rPr>
                <w:sz w:val="17"/>
                <w:szCs w:val="24"/>
              </w:rPr>
              <w:t>Hospital público</w:t>
            </w:r>
          </w:p>
        </w:tc>
        <w:tc>
          <w:tcPr>
            <w:tcW w:w="1003" w:type="dxa"/>
            <w:shd w:val="clear" w:color="auto" w:fill="auto"/>
            <w:vAlign w:val="bottom"/>
          </w:tcPr>
          <w:p w:rsidR="003D702F" w:rsidRPr="00981E15" w:rsidRDefault="003D702F" w:rsidP="00E35D5F">
            <w:pPr>
              <w:tabs>
                <w:tab w:val="left" w:pos="288"/>
                <w:tab w:val="left" w:pos="576"/>
                <w:tab w:val="left" w:pos="864"/>
                <w:tab w:val="left" w:pos="1152"/>
              </w:tabs>
              <w:spacing w:before="81" w:after="40" w:line="210" w:lineRule="exact"/>
              <w:ind w:right="40"/>
              <w:jc w:val="right"/>
              <w:rPr>
                <w:sz w:val="17"/>
                <w:szCs w:val="24"/>
              </w:rPr>
            </w:pPr>
            <w:r w:rsidRPr="00981E15">
              <w:rPr>
                <w:sz w:val="17"/>
                <w:szCs w:val="24"/>
              </w:rPr>
              <w:t>32.2</w:t>
            </w:r>
          </w:p>
        </w:tc>
        <w:tc>
          <w:tcPr>
            <w:tcW w:w="1071" w:type="dxa"/>
            <w:shd w:val="clear" w:color="auto" w:fill="auto"/>
            <w:vAlign w:val="bottom"/>
          </w:tcPr>
          <w:p w:rsidR="003D702F" w:rsidRPr="00981E15" w:rsidRDefault="003D702F" w:rsidP="00E35D5F">
            <w:pPr>
              <w:tabs>
                <w:tab w:val="left" w:pos="288"/>
                <w:tab w:val="left" w:pos="576"/>
                <w:tab w:val="left" w:pos="864"/>
                <w:tab w:val="left" w:pos="1152"/>
              </w:tabs>
              <w:spacing w:before="81" w:after="40" w:line="210" w:lineRule="exact"/>
              <w:ind w:right="40"/>
              <w:jc w:val="right"/>
              <w:rPr>
                <w:sz w:val="17"/>
                <w:szCs w:val="24"/>
              </w:rPr>
            </w:pPr>
            <w:r w:rsidRPr="00981E15">
              <w:rPr>
                <w:sz w:val="17"/>
                <w:szCs w:val="24"/>
              </w:rPr>
              <w:t>38.4</w:t>
            </w:r>
          </w:p>
        </w:tc>
        <w:tc>
          <w:tcPr>
            <w:tcW w:w="1053" w:type="dxa"/>
            <w:shd w:val="clear" w:color="auto" w:fill="auto"/>
            <w:vAlign w:val="bottom"/>
          </w:tcPr>
          <w:p w:rsidR="003D702F" w:rsidRPr="00981E15" w:rsidRDefault="003D702F" w:rsidP="00E35D5F">
            <w:pPr>
              <w:tabs>
                <w:tab w:val="left" w:pos="288"/>
                <w:tab w:val="left" w:pos="576"/>
                <w:tab w:val="left" w:pos="864"/>
                <w:tab w:val="left" w:pos="1152"/>
              </w:tabs>
              <w:spacing w:before="81" w:after="40" w:line="210" w:lineRule="exact"/>
              <w:ind w:right="40"/>
              <w:jc w:val="right"/>
              <w:rPr>
                <w:sz w:val="17"/>
                <w:szCs w:val="24"/>
              </w:rPr>
            </w:pPr>
            <w:r w:rsidRPr="00981E15">
              <w:rPr>
                <w:sz w:val="17"/>
                <w:szCs w:val="24"/>
              </w:rPr>
              <w:t>27.0</w:t>
            </w:r>
          </w:p>
        </w:tc>
        <w:tc>
          <w:tcPr>
            <w:tcW w:w="889" w:type="dxa"/>
            <w:shd w:val="clear" w:color="auto" w:fill="auto"/>
            <w:vAlign w:val="bottom"/>
          </w:tcPr>
          <w:p w:rsidR="003D702F" w:rsidRPr="00981E15" w:rsidRDefault="003D702F" w:rsidP="00E35D5F">
            <w:pPr>
              <w:tabs>
                <w:tab w:val="left" w:pos="288"/>
                <w:tab w:val="left" w:pos="576"/>
                <w:tab w:val="left" w:pos="864"/>
                <w:tab w:val="left" w:pos="1152"/>
              </w:tabs>
              <w:spacing w:before="81" w:after="40" w:line="210" w:lineRule="exact"/>
              <w:ind w:right="40"/>
              <w:jc w:val="right"/>
              <w:rPr>
                <w:sz w:val="17"/>
                <w:szCs w:val="24"/>
              </w:rPr>
            </w:pPr>
            <w:r w:rsidRPr="00981E15">
              <w:rPr>
                <w:sz w:val="17"/>
                <w:szCs w:val="24"/>
              </w:rPr>
              <w:t>19.7</w:t>
            </w:r>
          </w:p>
        </w:tc>
        <w:tc>
          <w:tcPr>
            <w:tcW w:w="1220" w:type="dxa"/>
            <w:shd w:val="clear" w:color="auto" w:fill="auto"/>
            <w:vAlign w:val="bottom"/>
          </w:tcPr>
          <w:p w:rsidR="003D702F" w:rsidRPr="00981E15" w:rsidRDefault="003D702F" w:rsidP="00E35D5F">
            <w:pPr>
              <w:tabs>
                <w:tab w:val="left" w:pos="288"/>
                <w:tab w:val="left" w:pos="576"/>
                <w:tab w:val="left" w:pos="864"/>
                <w:tab w:val="left" w:pos="1152"/>
              </w:tabs>
              <w:spacing w:before="81" w:after="40" w:line="210" w:lineRule="exact"/>
              <w:ind w:right="40"/>
              <w:jc w:val="right"/>
              <w:rPr>
                <w:sz w:val="17"/>
                <w:szCs w:val="24"/>
              </w:rPr>
            </w:pPr>
            <w:r w:rsidRPr="00981E15">
              <w:rPr>
                <w:sz w:val="17"/>
                <w:szCs w:val="24"/>
              </w:rPr>
              <w:t>40.7</w:t>
            </w:r>
          </w:p>
        </w:tc>
      </w:tr>
      <w:tr w:rsidR="003D702F" w:rsidRPr="00981E15">
        <w:tblPrEx>
          <w:tblCellMar>
            <w:top w:w="0" w:type="dxa"/>
            <w:bottom w:w="0" w:type="dxa"/>
          </w:tblCellMar>
        </w:tblPrEx>
        <w:tc>
          <w:tcPr>
            <w:tcW w:w="2084"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IGSS</w:t>
            </w:r>
          </w:p>
        </w:tc>
        <w:tc>
          <w:tcPr>
            <w:tcW w:w="100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10.1</w:t>
            </w:r>
          </w:p>
        </w:tc>
        <w:tc>
          <w:tcPr>
            <w:tcW w:w="1071"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17.2</w:t>
            </w:r>
          </w:p>
        </w:tc>
        <w:tc>
          <w:tcPr>
            <w:tcW w:w="105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4.2</w:t>
            </w:r>
          </w:p>
        </w:tc>
        <w:tc>
          <w:tcPr>
            <w:tcW w:w="889"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2.7</w:t>
            </w:r>
          </w:p>
        </w:tc>
        <w:tc>
          <w:tcPr>
            <w:tcW w:w="1220"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15.2</w:t>
            </w:r>
          </w:p>
        </w:tc>
      </w:tr>
      <w:tr w:rsidR="003D702F" w:rsidRPr="00981E15">
        <w:tblPrEx>
          <w:tblCellMar>
            <w:top w:w="0" w:type="dxa"/>
            <w:bottom w:w="0" w:type="dxa"/>
          </w:tblCellMar>
        </w:tblPrEx>
        <w:tc>
          <w:tcPr>
            <w:tcW w:w="2084"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Hospital/clínica privada</w:t>
            </w:r>
          </w:p>
        </w:tc>
        <w:tc>
          <w:tcPr>
            <w:tcW w:w="100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7.7</w:t>
            </w:r>
          </w:p>
        </w:tc>
        <w:tc>
          <w:tcPr>
            <w:tcW w:w="1071"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13.7</w:t>
            </w:r>
          </w:p>
        </w:tc>
        <w:tc>
          <w:tcPr>
            <w:tcW w:w="105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2.6</w:t>
            </w:r>
          </w:p>
        </w:tc>
        <w:tc>
          <w:tcPr>
            <w:tcW w:w="889"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2.5</w:t>
            </w:r>
          </w:p>
        </w:tc>
        <w:tc>
          <w:tcPr>
            <w:tcW w:w="1220"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11.2</w:t>
            </w:r>
          </w:p>
        </w:tc>
      </w:tr>
      <w:tr w:rsidR="003D702F" w:rsidRPr="00981E15">
        <w:tblPrEx>
          <w:tblCellMar>
            <w:top w:w="0" w:type="dxa"/>
            <w:bottom w:w="0" w:type="dxa"/>
          </w:tblCellMar>
        </w:tblPrEx>
        <w:tc>
          <w:tcPr>
            <w:tcW w:w="2084"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Centro de salud</w:t>
            </w:r>
          </w:p>
        </w:tc>
        <w:tc>
          <w:tcPr>
            <w:tcW w:w="100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3.1</w:t>
            </w:r>
          </w:p>
        </w:tc>
        <w:tc>
          <w:tcPr>
            <w:tcW w:w="1071"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4.8</w:t>
            </w:r>
          </w:p>
        </w:tc>
        <w:tc>
          <w:tcPr>
            <w:tcW w:w="105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1.7</w:t>
            </w:r>
          </w:p>
        </w:tc>
        <w:tc>
          <w:tcPr>
            <w:tcW w:w="889"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1.9</w:t>
            </w:r>
          </w:p>
        </w:tc>
        <w:tc>
          <w:tcPr>
            <w:tcW w:w="1220"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3.9</w:t>
            </w:r>
          </w:p>
        </w:tc>
      </w:tr>
      <w:tr w:rsidR="003D702F" w:rsidRPr="00981E15">
        <w:tblPrEx>
          <w:tblCellMar>
            <w:top w:w="0" w:type="dxa"/>
            <w:bottom w:w="0" w:type="dxa"/>
          </w:tblCellMar>
        </w:tblPrEx>
        <w:tc>
          <w:tcPr>
            <w:tcW w:w="2084"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En casa de la comadrona</w:t>
            </w:r>
          </w:p>
        </w:tc>
        <w:tc>
          <w:tcPr>
            <w:tcW w:w="100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2.3</w:t>
            </w:r>
          </w:p>
        </w:tc>
        <w:tc>
          <w:tcPr>
            <w:tcW w:w="1071"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2.6</w:t>
            </w:r>
          </w:p>
        </w:tc>
        <w:tc>
          <w:tcPr>
            <w:tcW w:w="105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2.1</w:t>
            </w:r>
          </w:p>
        </w:tc>
        <w:tc>
          <w:tcPr>
            <w:tcW w:w="889"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2.8</w:t>
            </w:r>
          </w:p>
        </w:tc>
        <w:tc>
          <w:tcPr>
            <w:tcW w:w="1220"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2.0</w:t>
            </w:r>
          </w:p>
        </w:tc>
      </w:tr>
      <w:tr w:rsidR="003D702F" w:rsidRPr="00981E15">
        <w:tblPrEx>
          <w:tblCellMar>
            <w:top w:w="0" w:type="dxa"/>
            <w:bottom w:w="0" w:type="dxa"/>
          </w:tblCellMar>
        </w:tblPrEx>
        <w:tc>
          <w:tcPr>
            <w:tcW w:w="2084"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En su casa</w:t>
            </w:r>
          </w:p>
        </w:tc>
        <w:tc>
          <w:tcPr>
            <w:tcW w:w="100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43.9</w:t>
            </w:r>
          </w:p>
        </w:tc>
        <w:tc>
          <w:tcPr>
            <w:tcW w:w="1071"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22.4</w:t>
            </w:r>
          </w:p>
        </w:tc>
        <w:tc>
          <w:tcPr>
            <w:tcW w:w="1053"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62.0</w:t>
            </w:r>
          </w:p>
        </w:tc>
        <w:tc>
          <w:tcPr>
            <w:tcW w:w="889"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70.1</w:t>
            </w:r>
          </w:p>
        </w:tc>
        <w:tc>
          <w:tcPr>
            <w:tcW w:w="1220" w:type="dxa"/>
            <w:shd w:val="clear" w:color="auto" w:fill="auto"/>
            <w:vAlign w:val="bottom"/>
          </w:tcPr>
          <w:p w:rsidR="003D702F" w:rsidRPr="00981E15" w:rsidRDefault="003D702F" w:rsidP="00E35D5F">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26.1</w:t>
            </w:r>
          </w:p>
        </w:tc>
      </w:tr>
      <w:tr w:rsidR="003D702F" w:rsidRPr="00981E15">
        <w:tblPrEx>
          <w:tblCellMar>
            <w:top w:w="0" w:type="dxa"/>
            <w:bottom w:w="0" w:type="dxa"/>
          </w:tblCellMar>
        </w:tblPrEx>
        <w:tc>
          <w:tcPr>
            <w:tcW w:w="2084" w:type="dxa"/>
            <w:tcBorders>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0" w:line="210" w:lineRule="exact"/>
              <w:ind w:right="40"/>
              <w:rPr>
                <w:sz w:val="17"/>
                <w:szCs w:val="24"/>
              </w:rPr>
            </w:pPr>
            <w:r w:rsidRPr="00981E15">
              <w:rPr>
                <w:sz w:val="17"/>
                <w:szCs w:val="24"/>
              </w:rPr>
              <w:t>En otro lugar</w:t>
            </w:r>
          </w:p>
        </w:tc>
        <w:tc>
          <w:tcPr>
            <w:tcW w:w="1003" w:type="dxa"/>
            <w:tcBorders>
              <w:bottom w:val="single" w:sz="12" w:space="0" w:color="auto"/>
            </w:tcBorders>
            <w:shd w:val="clear" w:color="auto" w:fill="auto"/>
            <w:vAlign w:val="bottom"/>
          </w:tcPr>
          <w:p w:rsidR="003D702F" w:rsidRPr="00981E15" w:rsidRDefault="003D702F" w:rsidP="00E35D5F">
            <w:pPr>
              <w:tabs>
                <w:tab w:val="left" w:pos="288"/>
                <w:tab w:val="left" w:pos="576"/>
                <w:tab w:val="left" w:pos="864"/>
                <w:tab w:val="left" w:pos="1152"/>
              </w:tabs>
              <w:spacing w:before="40" w:after="80" w:line="210" w:lineRule="exact"/>
              <w:ind w:right="40"/>
              <w:jc w:val="right"/>
              <w:rPr>
                <w:sz w:val="17"/>
                <w:szCs w:val="24"/>
              </w:rPr>
            </w:pPr>
            <w:r w:rsidRPr="00981E15">
              <w:rPr>
                <w:sz w:val="17"/>
                <w:szCs w:val="24"/>
              </w:rPr>
              <w:t>0.6</w:t>
            </w:r>
          </w:p>
        </w:tc>
        <w:tc>
          <w:tcPr>
            <w:tcW w:w="1071" w:type="dxa"/>
            <w:tcBorders>
              <w:bottom w:val="single" w:sz="12" w:space="0" w:color="auto"/>
            </w:tcBorders>
            <w:shd w:val="clear" w:color="auto" w:fill="auto"/>
            <w:vAlign w:val="bottom"/>
          </w:tcPr>
          <w:p w:rsidR="003D702F" w:rsidRPr="00981E15" w:rsidRDefault="003D702F" w:rsidP="00E35D5F">
            <w:pPr>
              <w:tabs>
                <w:tab w:val="left" w:pos="288"/>
                <w:tab w:val="left" w:pos="576"/>
                <w:tab w:val="left" w:pos="864"/>
                <w:tab w:val="left" w:pos="1152"/>
              </w:tabs>
              <w:spacing w:before="40" w:after="80" w:line="210" w:lineRule="exact"/>
              <w:ind w:right="40"/>
              <w:jc w:val="right"/>
              <w:rPr>
                <w:sz w:val="17"/>
                <w:szCs w:val="24"/>
              </w:rPr>
            </w:pPr>
            <w:r w:rsidRPr="00981E15">
              <w:rPr>
                <w:sz w:val="17"/>
                <w:szCs w:val="24"/>
              </w:rPr>
              <w:t>0.8</w:t>
            </w:r>
          </w:p>
        </w:tc>
        <w:tc>
          <w:tcPr>
            <w:tcW w:w="1053" w:type="dxa"/>
            <w:tcBorders>
              <w:bottom w:val="single" w:sz="12" w:space="0" w:color="auto"/>
            </w:tcBorders>
            <w:shd w:val="clear" w:color="auto" w:fill="auto"/>
            <w:vAlign w:val="bottom"/>
          </w:tcPr>
          <w:p w:rsidR="003D702F" w:rsidRPr="00981E15" w:rsidRDefault="003D702F" w:rsidP="00E35D5F">
            <w:pPr>
              <w:tabs>
                <w:tab w:val="left" w:pos="288"/>
                <w:tab w:val="left" w:pos="576"/>
                <w:tab w:val="left" w:pos="864"/>
                <w:tab w:val="left" w:pos="1152"/>
              </w:tabs>
              <w:spacing w:before="40" w:after="80" w:line="210" w:lineRule="exact"/>
              <w:ind w:right="40"/>
              <w:jc w:val="right"/>
              <w:rPr>
                <w:sz w:val="17"/>
                <w:szCs w:val="24"/>
              </w:rPr>
            </w:pPr>
            <w:r w:rsidRPr="00981E15">
              <w:rPr>
                <w:sz w:val="17"/>
                <w:szCs w:val="24"/>
              </w:rPr>
              <w:t>0.5</w:t>
            </w:r>
          </w:p>
        </w:tc>
        <w:tc>
          <w:tcPr>
            <w:tcW w:w="889" w:type="dxa"/>
            <w:tcBorders>
              <w:bottom w:val="single" w:sz="12" w:space="0" w:color="auto"/>
            </w:tcBorders>
            <w:shd w:val="clear" w:color="auto" w:fill="auto"/>
            <w:vAlign w:val="bottom"/>
          </w:tcPr>
          <w:p w:rsidR="003D702F" w:rsidRPr="00981E15" w:rsidRDefault="003D702F" w:rsidP="00E35D5F">
            <w:pPr>
              <w:tabs>
                <w:tab w:val="left" w:pos="288"/>
                <w:tab w:val="left" w:pos="576"/>
                <w:tab w:val="left" w:pos="864"/>
                <w:tab w:val="left" w:pos="1152"/>
              </w:tabs>
              <w:spacing w:before="40" w:after="80" w:line="210" w:lineRule="exact"/>
              <w:ind w:right="40"/>
              <w:jc w:val="right"/>
              <w:rPr>
                <w:sz w:val="17"/>
                <w:szCs w:val="24"/>
              </w:rPr>
            </w:pPr>
            <w:r w:rsidRPr="00981E15">
              <w:rPr>
                <w:sz w:val="17"/>
                <w:szCs w:val="24"/>
              </w:rPr>
              <w:t>0.4</w:t>
            </w:r>
          </w:p>
        </w:tc>
        <w:tc>
          <w:tcPr>
            <w:tcW w:w="1220" w:type="dxa"/>
            <w:tcBorders>
              <w:bottom w:val="single" w:sz="12" w:space="0" w:color="auto"/>
            </w:tcBorders>
            <w:shd w:val="clear" w:color="auto" w:fill="auto"/>
            <w:vAlign w:val="bottom"/>
          </w:tcPr>
          <w:p w:rsidR="003D702F" w:rsidRPr="00981E15" w:rsidRDefault="003D702F" w:rsidP="00E35D5F">
            <w:pPr>
              <w:tabs>
                <w:tab w:val="left" w:pos="288"/>
                <w:tab w:val="left" w:pos="576"/>
                <w:tab w:val="left" w:pos="864"/>
                <w:tab w:val="left" w:pos="1152"/>
              </w:tabs>
              <w:spacing w:before="40" w:after="80" w:line="210" w:lineRule="exact"/>
              <w:ind w:right="40"/>
              <w:jc w:val="right"/>
              <w:rPr>
                <w:sz w:val="17"/>
                <w:szCs w:val="24"/>
              </w:rPr>
            </w:pPr>
            <w:r w:rsidRPr="00981E15">
              <w:rPr>
                <w:sz w:val="17"/>
                <w:szCs w:val="24"/>
              </w:rPr>
              <w:t>0.8</w:t>
            </w:r>
          </w:p>
        </w:tc>
      </w:tr>
    </w:tbl>
    <w:p w:rsidR="003D702F" w:rsidRPr="00981E15" w:rsidRDefault="003D702F" w:rsidP="003D702F">
      <w:pPr>
        <w:pStyle w:val="SingleTxt"/>
        <w:spacing w:after="0" w:line="120" w:lineRule="exact"/>
        <w:rPr>
          <w:sz w:val="10"/>
        </w:rPr>
      </w:pPr>
    </w:p>
    <w:p w:rsidR="003D702F" w:rsidRPr="00981E15" w:rsidRDefault="003D702F" w:rsidP="004A2840">
      <w:pPr>
        <w:pStyle w:val="FootnoteText"/>
        <w:tabs>
          <w:tab w:val="clear" w:pos="418"/>
          <w:tab w:val="right" w:pos="1476"/>
          <w:tab w:val="left" w:pos="1548"/>
          <w:tab w:val="right" w:pos="1836"/>
          <w:tab w:val="left" w:pos="1908"/>
        </w:tabs>
        <w:ind w:left="1548" w:hanging="288"/>
        <w:rPr>
          <w:w w:val="103"/>
        </w:rPr>
      </w:pPr>
      <w:r w:rsidRPr="00981E15">
        <w:rPr>
          <w:i/>
          <w:w w:val="103"/>
        </w:rPr>
        <w:t>Fuente</w:t>
      </w:r>
      <w:r w:rsidRPr="00981E15">
        <w:rPr>
          <w:w w:val="103"/>
        </w:rPr>
        <w:t>: ENCOVI 2006, INE.</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El comportamiento del tipo de asistencia del parto según los datos del MSPAS entre los años 2000 y 2005 es el siguiente:</w:t>
      </w:r>
    </w:p>
    <w:p w:rsidR="003D702F" w:rsidRPr="00981E15" w:rsidRDefault="003D702F" w:rsidP="003D702F">
      <w:pPr>
        <w:pStyle w:val="SingleTxt"/>
        <w:spacing w:after="0" w:line="120" w:lineRule="exact"/>
        <w:rPr>
          <w:sz w:val="10"/>
        </w:rPr>
      </w:pPr>
    </w:p>
    <w:p w:rsidR="003D702F" w:rsidRPr="00981E15" w:rsidRDefault="00E35D5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br w:type="page"/>
      </w:r>
      <w:r w:rsidR="003D702F" w:rsidRPr="00981E15">
        <w:rPr>
          <w:spacing w:val="4"/>
        </w:rPr>
        <w:tab/>
      </w:r>
      <w:r w:rsidR="003D702F" w:rsidRPr="00981E15">
        <w:rPr>
          <w:spacing w:val="4"/>
        </w:rPr>
        <w:tab/>
      </w:r>
      <w:r w:rsidR="003D702F" w:rsidRPr="00981E15">
        <w:rPr>
          <w:b w:val="0"/>
          <w:spacing w:val="4"/>
        </w:rPr>
        <w:t>Gráfico 6</w:t>
      </w:r>
      <w:r w:rsidR="003D702F" w:rsidRPr="00981E15">
        <w:rPr>
          <w:spacing w:val="4"/>
        </w:rPr>
        <w:br/>
        <w:t xml:space="preserve">Tipo de Asistencia durante el parto en porcentajes </w:t>
      </w: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2000-2005</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E35D5F">
      <w:pPr>
        <w:pStyle w:val="FootnoteText"/>
        <w:tabs>
          <w:tab w:val="clear" w:pos="418"/>
          <w:tab w:val="right" w:pos="1476"/>
          <w:tab w:val="left" w:pos="1548"/>
          <w:tab w:val="right" w:pos="1836"/>
          <w:tab w:val="left" w:pos="1908"/>
        </w:tabs>
        <w:ind w:left="1267" w:right="1267" w:hanging="16"/>
        <w:rPr>
          <w:spacing w:val="4"/>
          <w:w w:val="103"/>
        </w:rPr>
      </w:pPr>
      <w:r w:rsidRPr="00981E15">
        <w:rPr>
          <w:noProof/>
          <w:spacing w:val="4"/>
          <w:w w:val="103"/>
        </w:rPr>
        <w:pict>
          <v:shape id="_x0000_s2033" type="#_x0000_t75" style="position:absolute;left:0;text-align:left;margin-left:31.35pt;margin-top:1.1pt;width:419.1pt;height:199.7pt;z-index:-5" wrapcoords="-39 0 -39 21519 21600 21519 21600 0 -39 0">
            <v:imagedata r:id="rId51" o:title=""/>
            <w10:wrap type="through"/>
          </v:shape>
        </w:pict>
      </w:r>
      <w:r w:rsidRPr="00981E15">
        <w:rPr>
          <w:i/>
          <w:spacing w:val="4"/>
          <w:w w:val="103"/>
        </w:rPr>
        <w:t>Fuente</w:t>
      </w:r>
      <w:r w:rsidRPr="00981E15">
        <w:rPr>
          <w:spacing w:val="4"/>
          <w:w w:val="103"/>
        </w:rPr>
        <w:t>: SIGSA.</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Aumentar el acceso de la atención del parto a un centro asistencial es uno de los principales retos del sistema de salud. Para ello es importante el desarrollo de un modelo de atención que contemple las distintas realidades culturales del país, así como poder garantizar la capacidad de resolución de los problemas. Con tal objetivo, el MSPAS ha iniciado un proceso de reforma del segundo nivel de ate</w:t>
      </w:r>
      <w:r w:rsidRPr="00981E15">
        <w:t>n</w:t>
      </w:r>
      <w:r w:rsidRPr="00981E15">
        <w:t>ción, sobre la base de diferenciar los servicios de salud desde la perspectiva de su capacidad resolut</w:t>
      </w:r>
      <w:r w:rsidRPr="00981E15">
        <w:t>i</w:t>
      </w:r>
      <w:r w:rsidRPr="00981E15">
        <w:t>va, que contempla desde la ampliación de horario hasta aumentar su capacidad para resolver eme</w:t>
      </w:r>
      <w:r w:rsidRPr="00981E15">
        <w:t>r</w:t>
      </w:r>
      <w:r w:rsidRPr="00981E15">
        <w:t>gencias.</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Planificación Familiar</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La totalidad de las áreas de salud del MSPAS provee servicios de planificación familiar y cuenta con abastecimiento de anticonceptivos. Según los registros, a septiembre de 2005 el 80% de los servicios regulares estaban abastecidos. Esta disponibilidad permitió cubrir a 317,060 usuarias nuevas, que contribuyen en 350,796 años protección pareja (APP) y la cobertura de 349,157 parejas protegidas. De acuerdo con la evaluación que se realizó del inventario a nivel nacional de anticonceptivos en t</w:t>
      </w:r>
      <w:r w:rsidRPr="00981E15">
        <w:t>o</w:t>
      </w:r>
      <w:r w:rsidRPr="00981E15">
        <w:t>dos los servicios de la red, se evidenció desabastecimiento de solamente 6% hasta septiembre de 2006 (ver cuadro 8). En el año 2005 se logró mejorar el abastecimiento de anticonceptivos en los servicios de salud y ONGs a nivel nacional. En el año 2002 se cubrió el 81.2% mientras que en el año 2005 se cubrió el 92.3% y en el 2006 se cubrió el 91.7%.</w:t>
      </w:r>
    </w:p>
    <w:p w:rsidR="003D702F" w:rsidRPr="00981E15" w:rsidRDefault="003D702F" w:rsidP="003D702F">
      <w:pPr>
        <w:pStyle w:val="SingleTxt"/>
        <w:numPr>
          <w:ilvl w:val="0"/>
          <w:numId w:val="37"/>
        </w:numPr>
        <w:tabs>
          <w:tab w:val="clear" w:pos="475"/>
          <w:tab w:val="num" w:pos="1742"/>
        </w:tabs>
        <w:ind w:left="1267"/>
      </w:pPr>
      <w:r w:rsidRPr="00981E15">
        <w:t>En forma similar a lo que se observa en otros servicios para la salud materna, los valores varían según las características del área de residencia, escolaridad y condición étnica. Así en el 2002 la tasa de prev</w:t>
      </w:r>
      <w:r w:rsidRPr="00981E15">
        <w:t>a</w:t>
      </w:r>
      <w:r w:rsidRPr="00981E15">
        <w:t>lencia de uso de mecanismos anticonceptivos (MAC) en todo el país fue 43%, pero en mujeres que residían en el área rural era de sólo 35%, en mujeres indígenas de 24% y en mujeres in escolaridad de 25%; en tanto que en las muj</w:t>
      </w:r>
      <w:r w:rsidRPr="00981E15">
        <w:t>e</w:t>
      </w:r>
      <w:r w:rsidRPr="00981E15">
        <w:t>res que residían en el área urbana la tasa de prevalencia de uso de MAC fue de 57%, en las ladinas de 53% y en las que tenían secundaria o mayor nivel de escolaridad fue de 68%.</w:t>
      </w:r>
    </w:p>
    <w:p w:rsidR="003D702F" w:rsidRPr="00981E15" w:rsidRDefault="003D702F" w:rsidP="003D702F">
      <w:pPr>
        <w:pStyle w:val="SingleTxt"/>
        <w:numPr>
          <w:ilvl w:val="0"/>
          <w:numId w:val="37"/>
        </w:numPr>
        <w:tabs>
          <w:tab w:val="clear" w:pos="475"/>
          <w:tab w:val="num" w:pos="1742"/>
        </w:tabs>
        <w:ind w:left="1267"/>
      </w:pPr>
      <w:r w:rsidRPr="00981E15">
        <w:t>El porcentaje de mujeres en edad reproductiva y en unión que no estaban utilizando ningún MAC y que no deseaban tener un hijo en el corto tiempo (demanda insatisfecha de MAC), fue en promedio de 28%, en tanto entre las mujeres del área rural era de 32%, entre las indígenas de 39% y en las que no tenían ningún nivel de escolaridad fue de 38%.</w:t>
      </w:r>
    </w:p>
    <w:p w:rsidR="003D702F" w:rsidRPr="00981E15" w:rsidRDefault="003D702F" w:rsidP="003D702F">
      <w:pPr>
        <w:pStyle w:val="SingleTxt"/>
        <w:numPr>
          <w:ilvl w:val="0"/>
          <w:numId w:val="37"/>
        </w:numPr>
        <w:tabs>
          <w:tab w:val="clear" w:pos="475"/>
          <w:tab w:val="num" w:pos="1742"/>
        </w:tabs>
        <w:ind w:left="1267"/>
      </w:pPr>
      <w:r w:rsidRPr="00981E15">
        <w:t>En la actualidad la oferta de los servicios de planificación familiar se divide entre las entidades privadas y públicas, notándose un importante cambio a partir de 2001, cuando los servicios públicos s</w:t>
      </w:r>
      <w:r w:rsidRPr="00981E15">
        <w:t>o</w:t>
      </w:r>
      <w:r w:rsidRPr="00981E15">
        <w:t xml:space="preserve">brepasaron a los privados debido al inicio de la implementación del PNSR, en respuesta al marco legal establecido por </w:t>
      </w:r>
      <w:smartTag w:uri="urn:schemas-microsoft-com:office:smarttags" w:element="PersonName">
        <w:smartTagPr>
          <w:attr w:name="ProductID" w:val="la Ley"/>
        </w:smartTagPr>
        <w:r w:rsidRPr="00981E15">
          <w:t>la Ley</w:t>
        </w:r>
      </w:smartTag>
      <w:r w:rsidRPr="00981E15">
        <w:t xml:space="preserve"> de Desarrollo Social. En ese año el MSPAS asignó recursos específicos para la compra de insumos anticonceptivos, la promoción, información y educación sobre el tema y el des</w:t>
      </w:r>
      <w:r w:rsidRPr="00981E15">
        <w:t>a</w:t>
      </w:r>
      <w:r w:rsidRPr="00981E15">
        <w:t>rrollo del modelo de provisión de servicios de planificación familiar.</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r>
      <w:r w:rsidRPr="00981E15">
        <w:rPr>
          <w:b w:val="0"/>
          <w:spacing w:val="4"/>
        </w:rPr>
        <w:t>Gráfico 7</w:t>
      </w:r>
      <w:r w:rsidRPr="00981E15">
        <w:rPr>
          <w:spacing w:val="4"/>
        </w:rPr>
        <w:br/>
        <w:t>Indicador de años protección anticonceptiva (en miles)</w:t>
      </w: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1992-2005</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D2287E">
      <w:pPr>
        <w:pStyle w:val="SingleTxt"/>
        <w:suppressAutoHyphens/>
        <w:spacing w:line="240" w:lineRule="auto"/>
      </w:pPr>
      <w:r w:rsidRPr="00981E15">
        <w:pict>
          <v:shape id="_x0000_i1030" type="#_x0000_t75" style="width:346.5pt;height:127.5pt" wrapcoords="-47 0 -47 21473 21600 21473 21600 0 -47 0" o:allowoverlap="f">
            <v:imagedata r:id="rId52" o:title=""/>
          </v:shape>
        </w:pict>
      </w:r>
    </w:p>
    <w:p w:rsidR="003D702F" w:rsidRPr="00981E15" w:rsidRDefault="003D702F" w:rsidP="003D702F">
      <w:pPr>
        <w:pStyle w:val="SingleTxt"/>
        <w:spacing w:after="0" w:line="120" w:lineRule="exact"/>
        <w:rPr>
          <w:sz w:val="10"/>
        </w:rPr>
      </w:pPr>
    </w:p>
    <w:p w:rsidR="003D702F" w:rsidRPr="00981E15" w:rsidRDefault="003D702F" w:rsidP="00D2287E">
      <w:pPr>
        <w:pStyle w:val="FootnoteText"/>
        <w:tabs>
          <w:tab w:val="clear" w:pos="418"/>
          <w:tab w:val="right" w:pos="1476"/>
          <w:tab w:val="left" w:pos="1548"/>
          <w:tab w:val="right" w:pos="1836"/>
          <w:tab w:val="left" w:pos="1908"/>
        </w:tabs>
        <w:ind w:left="1267" w:right="1267" w:hanging="7"/>
        <w:rPr>
          <w:spacing w:val="4"/>
          <w:w w:val="103"/>
        </w:rPr>
      </w:pPr>
      <w:r w:rsidRPr="00981E15">
        <w:rPr>
          <w:i/>
          <w:spacing w:val="4"/>
          <w:w w:val="103"/>
        </w:rPr>
        <w:t>Fuente</w:t>
      </w:r>
      <w:r w:rsidRPr="00981E15">
        <w:rPr>
          <w:spacing w:val="4"/>
          <w:w w:val="103"/>
        </w:rPr>
        <w:t>: Informe Anual de Proveedores, 2005. MSPAS.</w:t>
      </w: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br w:type="page"/>
      </w:r>
      <w:r w:rsidRPr="00981E15">
        <w:rPr>
          <w:spacing w:val="4"/>
        </w:rPr>
        <w:tab/>
      </w:r>
      <w:r w:rsidRPr="00981E15">
        <w:rPr>
          <w:spacing w:val="4"/>
        </w:rPr>
        <w:tab/>
      </w:r>
      <w:r w:rsidRPr="00981E15">
        <w:rPr>
          <w:b w:val="0"/>
          <w:spacing w:val="4"/>
        </w:rPr>
        <w:t>Gráfico 8</w:t>
      </w:r>
      <w:r w:rsidRPr="00981E15">
        <w:rPr>
          <w:spacing w:val="4"/>
        </w:rPr>
        <w:br/>
        <w:t>Porcentaje de desabastecimiento de los métodos de planificación familiar</w:t>
      </w: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2001–Marzo de 2006</w:t>
      </w:r>
    </w:p>
    <w:p w:rsidR="003D702F" w:rsidRPr="00981E15" w:rsidRDefault="003D702F" w:rsidP="003D702F">
      <w:pPr>
        <w:pStyle w:val="SingleTxt"/>
        <w:spacing w:after="0" w:line="120" w:lineRule="exact"/>
        <w:rPr>
          <w:sz w:val="10"/>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r w:rsidRPr="00981E15">
        <w:rPr>
          <w:i/>
          <w:noProof/>
          <w:spacing w:val="4"/>
          <w:w w:val="103"/>
        </w:rPr>
        <w:pict>
          <v:shape id="_x0000_s2035" type="#_x0000_t75" style="position:absolute;left:0;text-align:left;margin-left:41.8pt;margin-top:.5pt;width:434.05pt;height:135.85pt;z-index:-3" wrapcoords="-37 0 -37 21481 21600 21481 21600 0 -37 0" o:allowoverlap="f">
            <v:imagedata r:id="rId53" o:title=""/>
            <w10:wrap type="square"/>
          </v:shape>
        </w:pict>
      </w: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3D702F">
      <w:pPr>
        <w:pStyle w:val="SingleTxt"/>
        <w:spacing w:after="0" w:line="120" w:lineRule="exact"/>
        <w:rPr>
          <w:sz w:val="10"/>
        </w:rPr>
      </w:pPr>
    </w:p>
    <w:p w:rsidR="003D702F" w:rsidRPr="00981E15" w:rsidRDefault="003D702F" w:rsidP="00E9496B">
      <w:pPr>
        <w:pStyle w:val="FootnoteText"/>
        <w:tabs>
          <w:tab w:val="clear" w:pos="418"/>
          <w:tab w:val="right" w:pos="1476"/>
          <w:tab w:val="left" w:pos="1548"/>
          <w:tab w:val="right" w:pos="1836"/>
          <w:tab w:val="left" w:pos="1908"/>
        </w:tabs>
        <w:ind w:left="1267" w:right="1267" w:hanging="13"/>
        <w:rPr>
          <w:spacing w:val="4"/>
          <w:w w:val="103"/>
        </w:rPr>
      </w:pPr>
      <w:r w:rsidRPr="00981E15">
        <w:rPr>
          <w:i/>
          <w:spacing w:val="4"/>
          <w:w w:val="103"/>
        </w:rPr>
        <w:t>Fuente:</w:t>
      </w:r>
      <w:r w:rsidRPr="00981E15">
        <w:rPr>
          <w:spacing w:val="4"/>
          <w:w w:val="103"/>
        </w:rPr>
        <w:t xml:space="preserve"> Informe PNSR Inventarios Nivel Nacional. Marzo 2006.</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En la gráfico anterior se puede visualizar el desabastecimiento de uno o más anticonceptivos en el momento de la visita en los puntos de entrega de servicios. El principal reto para prestar el servicio de planificación familiar es disminuir de manera significativa la demanda insatisfecha. Para el 2006 el costo total de los métodos anticonceptivos representan una erogación total de Q. 7.289,629, de la cual el aporte del Gobierno a través del MSPAS ascendió a Q. 3.280,333 y el resto ha sido cubierto con recursos de la cooperación de los Gobiernos de Canadá y Holanda.</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r>
      <w:r w:rsidRPr="00981E15">
        <w:rPr>
          <w:b w:val="0"/>
          <w:spacing w:val="4"/>
        </w:rPr>
        <w:t>Cuadro</w:t>
      </w:r>
      <w:r w:rsidRPr="00981E15">
        <w:rPr>
          <w:spacing w:val="4"/>
        </w:rPr>
        <w:t xml:space="preserve"> </w:t>
      </w:r>
      <w:r w:rsidRPr="00981E15">
        <w:rPr>
          <w:b w:val="0"/>
          <w:spacing w:val="4"/>
        </w:rPr>
        <w:t>29</w:t>
      </w:r>
      <w:r w:rsidRPr="00981E15">
        <w:rPr>
          <w:spacing w:val="4"/>
        </w:rPr>
        <w:br/>
        <w:t>Métodos Anticonceptivos más usados según tipo</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tbl>
      <w:tblPr>
        <w:tblW w:w="7316" w:type="dxa"/>
        <w:tblInd w:w="1267" w:type="dxa"/>
        <w:tblLayout w:type="fixed"/>
        <w:tblCellMar>
          <w:left w:w="0" w:type="dxa"/>
          <w:right w:w="0" w:type="dxa"/>
        </w:tblCellMar>
        <w:tblLook w:val="0000" w:firstRow="0" w:lastRow="0" w:firstColumn="0" w:lastColumn="0" w:noHBand="0" w:noVBand="0"/>
      </w:tblPr>
      <w:tblGrid>
        <w:gridCol w:w="5003"/>
        <w:gridCol w:w="2313"/>
      </w:tblGrid>
      <w:tr w:rsidR="003D702F" w:rsidRPr="00981E15">
        <w:tblPrEx>
          <w:tblCellMar>
            <w:top w:w="0" w:type="dxa"/>
            <w:bottom w:w="0" w:type="dxa"/>
          </w:tblCellMar>
        </w:tblPrEx>
        <w:trPr>
          <w:tblHeader/>
        </w:trPr>
        <w:tc>
          <w:tcPr>
            <w:tcW w:w="5003" w:type="dxa"/>
            <w:tcBorders>
              <w:top w:val="single" w:sz="4" w:space="0" w:color="auto"/>
              <w:bottom w:val="single" w:sz="12" w:space="0" w:color="auto"/>
            </w:tcBorders>
            <w:shd w:val="clear" w:color="auto" w:fill="auto"/>
            <w:vAlign w:val="bottom"/>
          </w:tcPr>
          <w:p w:rsidR="003D702F" w:rsidRPr="00981E15" w:rsidRDefault="003D702F" w:rsidP="00032CF7">
            <w:pPr>
              <w:spacing w:before="80" w:after="80" w:line="160" w:lineRule="exact"/>
              <w:ind w:right="40"/>
              <w:rPr>
                <w:i/>
                <w:sz w:val="14"/>
                <w:szCs w:val="24"/>
              </w:rPr>
            </w:pPr>
            <w:r w:rsidRPr="00981E15">
              <w:rPr>
                <w:i/>
                <w:sz w:val="14"/>
                <w:szCs w:val="24"/>
              </w:rPr>
              <w:t>Método</w:t>
            </w:r>
          </w:p>
        </w:tc>
        <w:tc>
          <w:tcPr>
            <w:tcW w:w="2313" w:type="dxa"/>
            <w:tcBorders>
              <w:top w:val="single" w:sz="4" w:space="0" w:color="auto"/>
              <w:bottom w:val="single" w:sz="12" w:space="0" w:color="auto"/>
            </w:tcBorders>
            <w:shd w:val="clear" w:color="auto" w:fill="auto"/>
            <w:vAlign w:val="bottom"/>
          </w:tcPr>
          <w:p w:rsidR="003D702F" w:rsidRPr="00981E15" w:rsidRDefault="003D702F" w:rsidP="00032CF7">
            <w:pPr>
              <w:spacing w:before="80" w:after="80" w:line="160" w:lineRule="exact"/>
              <w:ind w:right="40"/>
              <w:jc w:val="right"/>
              <w:rPr>
                <w:i/>
                <w:sz w:val="14"/>
                <w:szCs w:val="24"/>
              </w:rPr>
            </w:pPr>
            <w:r w:rsidRPr="00981E15">
              <w:rPr>
                <w:i/>
                <w:sz w:val="14"/>
                <w:szCs w:val="24"/>
              </w:rPr>
              <w:t>Total</w:t>
            </w:r>
          </w:p>
        </w:tc>
      </w:tr>
      <w:tr w:rsidR="003D702F" w:rsidRPr="00981E15">
        <w:tblPrEx>
          <w:tblCellMar>
            <w:top w:w="0" w:type="dxa"/>
            <w:bottom w:w="0" w:type="dxa"/>
          </w:tblCellMar>
        </w:tblPrEx>
        <w:trPr>
          <w:trHeight w:hRule="exact" w:val="115"/>
          <w:tblHeader/>
        </w:trPr>
        <w:tc>
          <w:tcPr>
            <w:tcW w:w="5003" w:type="dxa"/>
            <w:tcBorders>
              <w:top w:val="single" w:sz="12" w:space="0" w:color="auto"/>
            </w:tcBorders>
            <w:shd w:val="clear" w:color="auto" w:fill="auto"/>
            <w:vAlign w:val="bottom"/>
          </w:tcPr>
          <w:p w:rsidR="003D702F" w:rsidRPr="00981E15" w:rsidRDefault="003D702F" w:rsidP="00032CF7">
            <w:pPr>
              <w:spacing w:before="40" w:after="40" w:line="210" w:lineRule="exact"/>
              <w:ind w:right="40"/>
              <w:rPr>
                <w:sz w:val="17"/>
                <w:szCs w:val="24"/>
              </w:rPr>
            </w:pPr>
          </w:p>
        </w:tc>
        <w:tc>
          <w:tcPr>
            <w:tcW w:w="2313" w:type="dxa"/>
            <w:tcBorders>
              <w:top w:val="single" w:sz="12" w:space="0" w:color="auto"/>
            </w:tcBorders>
            <w:shd w:val="clear" w:color="auto" w:fill="auto"/>
            <w:vAlign w:val="bottom"/>
          </w:tcPr>
          <w:p w:rsidR="003D702F" w:rsidRPr="00981E15" w:rsidRDefault="003D702F" w:rsidP="00032CF7">
            <w:pPr>
              <w:spacing w:before="40" w:after="40" w:line="210" w:lineRule="exact"/>
              <w:ind w:right="40"/>
              <w:jc w:val="right"/>
              <w:rPr>
                <w:sz w:val="17"/>
                <w:szCs w:val="24"/>
              </w:rPr>
            </w:pPr>
          </w:p>
        </w:tc>
      </w:tr>
      <w:tr w:rsidR="003D702F" w:rsidRPr="00981E15">
        <w:tblPrEx>
          <w:tblCellMar>
            <w:top w:w="0" w:type="dxa"/>
            <w:bottom w:w="0" w:type="dxa"/>
          </w:tblCellMar>
        </w:tblPrEx>
        <w:tc>
          <w:tcPr>
            <w:tcW w:w="500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Inyectable</w:t>
            </w:r>
          </w:p>
        </w:tc>
        <w:tc>
          <w:tcPr>
            <w:tcW w:w="231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67,783</w:t>
            </w:r>
          </w:p>
        </w:tc>
      </w:tr>
      <w:tr w:rsidR="003D702F" w:rsidRPr="00981E15">
        <w:tblPrEx>
          <w:tblCellMar>
            <w:top w:w="0" w:type="dxa"/>
            <w:bottom w:w="0" w:type="dxa"/>
          </w:tblCellMar>
        </w:tblPrEx>
        <w:tc>
          <w:tcPr>
            <w:tcW w:w="500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smartTag w:uri="urn:schemas-microsoft-com:office:smarttags" w:element="place">
              <w:r w:rsidRPr="00981E15">
                <w:rPr>
                  <w:sz w:val="17"/>
                  <w:szCs w:val="24"/>
                </w:rPr>
                <w:t>DIU</w:t>
              </w:r>
            </w:smartTag>
          </w:p>
        </w:tc>
        <w:tc>
          <w:tcPr>
            <w:tcW w:w="231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820</w:t>
            </w:r>
          </w:p>
        </w:tc>
      </w:tr>
      <w:tr w:rsidR="003D702F" w:rsidRPr="00981E15">
        <w:tblPrEx>
          <w:tblCellMar>
            <w:top w:w="0" w:type="dxa"/>
            <w:bottom w:w="0" w:type="dxa"/>
          </w:tblCellMar>
        </w:tblPrEx>
        <w:tc>
          <w:tcPr>
            <w:tcW w:w="500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Condón</w:t>
            </w:r>
          </w:p>
        </w:tc>
        <w:tc>
          <w:tcPr>
            <w:tcW w:w="231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18,826</w:t>
            </w:r>
          </w:p>
        </w:tc>
      </w:tr>
      <w:tr w:rsidR="003D702F" w:rsidRPr="00981E15">
        <w:tblPrEx>
          <w:tblCellMar>
            <w:top w:w="0" w:type="dxa"/>
            <w:bottom w:w="0" w:type="dxa"/>
          </w:tblCellMar>
        </w:tblPrEx>
        <w:tc>
          <w:tcPr>
            <w:tcW w:w="500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Píldora</w:t>
            </w:r>
          </w:p>
        </w:tc>
        <w:tc>
          <w:tcPr>
            <w:tcW w:w="231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15,408</w:t>
            </w:r>
          </w:p>
        </w:tc>
      </w:tr>
      <w:tr w:rsidR="003D702F" w:rsidRPr="00981E15">
        <w:tblPrEx>
          <w:tblCellMar>
            <w:top w:w="0" w:type="dxa"/>
            <w:bottom w:w="0" w:type="dxa"/>
          </w:tblCellMar>
        </w:tblPrEx>
        <w:tc>
          <w:tcPr>
            <w:tcW w:w="500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MELA</w:t>
            </w:r>
          </w:p>
        </w:tc>
        <w:tc>
          <w:tcPr>
            <w:tcW w:w="231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14,720</w:t>
            </w:r>
          </w:p>
        </w:tc>
      </w:tr>
      <w:tr w:rsidR="003D702F" w:rsidRPr="00981E15">
        <w:tblPrEx>
          <w:tblCellMar>
            <w:top w:w="0" w:type="dxa"/>
            <w:bottom w:w="0" w:type="dxa"/>
          </w:tblCellMar>
        </w:tblPrEx>
        <w:tc>
          <w:tcPr>
            <w:tcW w:w="500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MDF</w:t>
            </w:r>
          </w:p>
        </w:tc>
        <w:tc>
          <w:tcPr>
            <w:tcW w:w="231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298</w:t>
            </w:r>
          </w:p>
        </w:tc>
      </w:tr>
      <w:tr w:rsidR="003D702F" w:rsidRPr="00981E15">
        <w:tblPrEx>
          <w:tblCellMar>
            <w:top w:w="0" w:type="dxa"/>
            <w:bottom w:w="0" w:type="dxa"/>
          </w:tblCellMar>
        </w:tblPrEx>
        <w:tc>
          <w:tcPr>
            <w:tcW w:w="500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rPr>
                <w:sz w:val="17"/>
                <w:szCs w:val="24"/>
              </w:rPr>
            </w:pPr>
            <w:r w:rsidRPr="00981E15">
              <w:rPr>
                <w:sz w:val="17"/>
                <w:szCs w:val="24"/>
              </w:rPr>
              <w:t>Operaciones AQV</w:t>
            </w:r>
          </w:p>
        </w:tc>
        <w:tc>
          <w:tcPr>
            <w:tcW w:w="2313" w:type="dxa"/>
            <w:shd w:val="clear" w:color="auto" w:fill="auto"/>
            <w:vAlign w:val="bottom"/>
          </w:tcPr>
          <w:p w:rsidR="003D702F" w:rsidRPr="00981E15" w:rsidRDefault="003D702F" w:rsidP="00032CF7">
            <w:pPr>
              <w:tabs>
                <w:tab w:val="left" w:pos="288"/>
                <w:tab w:val="left" w:pos="576"/>
                <w:tab w:val="left" w:pos="864"/>
                <w:tab w:val="left" w:pos="1152"/>
              </w:tabs>
              <w:spacing w:before="40" w:after="40" w:line="210" w:lineRule="exact"/>
              <w:ind w:right="40"/>
              <w:jc w:val="right"/>
              <w:rPr>
                <w:sz w:val="17"/>
                <w:szCs w:val="24"/>
              </w:rPr>
            </w:pPr>
            <w:r w:rsidRPr="00981E15">
              <w:rPr>
                <w:sz w:val="17"/>
                <w:szCs w:val="24"/>
              </w:rPr>
              <w:t>2,105</w:t>
            </w:r>
          </w:p>
        </w:tc>
      </w:tr>
      <w:tr w:rsidR="003D702F" w:rsidRPr="00981E15">
        <w:tblPrEx>
          <w:tblCellMar>
            <w:top w:w="0" w:type="dxa"/>
            <w:bottom w:w="0" w:type="dxa"/>
          </w:tblCellMar>
        </w:tblPrEx>
        <w:tc>
          <w:tcPr>
            <w:tcW w:w="5003" w:type="dxa"/>
            <w:tcBorders>
              <w:bottom w:val="single" w:sz="4"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rPr>
                <w:sz w:val="17"/>
                <w:szCs w:val="24"/>
              </w:rPr>
            </w:pPr>
            <w:r w:rsidRPr="00981E15">
              <w:rPr>
                <w:sz w:val="17"/>
                <w:szCs w:val="24"/>
              </w:rPr>
              <w:t>Otros métodos naturales</w:t>
            </w:r>
          </w:p>
        </w:tc>
        <w:tc>
          <w:tcPr>
            <w:tcW w:w="2313" w:type="dxa"/>
            <w:tcBorders>
              <w:bottom w:val="single" w:sz="4"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40" w:after="81" w:line="210" w:lineRule="exact"/>
              <w:ind w:right="40"/>
              <w:jc w:val="right"/>
              <w:rPr>
                <w:sz w:val="17"/>
                <w:szCs w:val="24"/>
              </w:rPr>
            </w:pPr>
            <w:r w:rsidRPr="00981E15">
              <w:rPr>
                <w:sz w:val="17"/>
                <w:szCs w:val="24"/>
              </w:rPr>
              <w:t>222</w:t>
            </w:r>
          </w:p>
        </w:tc>
      </w:tr>
      <w:tr w:rsidR="003D702F" w:rsidRPr="00981E15">
        <w:tblPrEx>
          <w:tblCellMar>
            <w:top w:w="0" w:type="dxa"/>
            <w:bottom w:w="0" w:type="dxa"/>
          </w:tblCellMar>
        </w:tblPrEx>
        <w:tc>
          <w:tcPr>
            <w:tcW w:w="5003" w:type="dxa"/>
            <w:tcBorders>
              <w:top w:val="single" w:sz="4" w:space="0" w:color="auto"/>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81" w:after="81" w:line="210" w:lineRule="exact"/>
              <w:ind w:right="40"/>
              <w:rPr>
                <w:b/>
                <w:sz w:val="17"/>
                <w:szCs w:val="24"/>
              </w:rPr>
            </w:pPr>
            <w:r w:rsidRPr="00981E15">
              <w:rPr>
                <w:b/>
                <w:sz w:val="17"/>
                <w:szCs w:val="24"/>
              </w:rPr>
              <w:tab/>
              <w:t>Total</w:t>
            </w:r>
          </w:p>
        </w:tc>
        <w:tc>
          <w:tcPr>
            <w:tcW w:w="2313" w:type="dxa"/>
            <w:tcBorders>
              <w:top w:val="single" w:sz="4" w:space="0" w:color="auto"/>
              <w:bottom w:val="single" w:sz="12" w:space="0" w:color="auto"/>
            </w:tcBorders>
            <w:shd w:val="clear" w:color="auto" w:fill="auto"/>
            <w:vAlign w:val="bottom"/>
          </w:tcPr>
          <w:p w:rsidR="003D702F" w:rsidRPr="00981E15" w:rsidRDefault="003D702F" w:rsidP="00032CF7">
            <w:pPr>
              <w:tabs>
                <w:tab w:val="left" w:pos="288"/>
                <w:tab w:val="left" w:pos="576"/>
                <w:tab w:val="left" w:pos="864"/>
                <w:tab w:val="left" w:pos="1152"/>
              </w:tabs>
              <w:spacing w:before="81" w:after="81" w:line="210" w:lineRule="exact"/>
              <w:ind w:right="40"/>
              <w:jc w:val="right"/>
              <w:rPr>
                <w:b/>
                <w:sz w:val="17"/>
                <w:szCs w:val="24"/>
              </w:rPr>
            </w:pPr>
            <w:r w:rsidRPr="00981E15">
              <w:rPr>
                <w:b/>
                <w:sz w:val="17"/>
                <w:szCs w:val="24"/>
              </w:rPr>
              <w:t>120,182</w:t>
            </w:r>
          </w:p>
        </w:tc>
      </w:tr>
    </w:tbl>
    <w:p w:rsidR="003D702F" w:rsidRPr="00981E15" w:rsidRDefault="003D702F" w:rsidP="003D702F">
      <w:pPr>
        <w:pStyle w:val="SingleTxt"/>
        <w:spacing w:after="0" w:line="120" w:lineRule="exact"/>
        <w:rPr>
          <w:sz w:val="10"/>
        </w:rPr>
      </w:pPr>
    </w:p>
    <w:p w:rsidR="003D702F" w:rsidRPr="00981E15" w:rsidRDefault="003D702F" w:rsidP="003313A7">
      <w:pPr>
        <w:pStyle w:val="FootnoteText"/>
        <w:tabs>
          <w:tab w:val="clear" w:pos="418"/>
          <w:tab w:val="right" w:pos="1476"/>
          <w:tab w:val="left" w:pos="1548"/>
          <w:tab w:val="right" w:pos="1836"/>
          <w:tab w:val="left" w:pos="1908"/>
        </w:tabs>
        <w:ind w:left="1548" w:hanging="288"/>
        <w:rPr>
          <w:w w:val="103"/>
        </w:rPr>
      </w:pPr>
      <w:r w:rsidRPr="00981E15">
        <w:rPr>
          <w:i/>
          <w:w w:val="103"/>
        </w:rPr>
        <w:t>Fuente</w:t>
      </w:r>
      <w:r w:rsidRPr="00981E15">
        <w:rPr>
          <w:w w:val="103"/>
        </w:rPr>
        <w:t xml:space="preserve">: Ministerio de Salud, julio </w:t>
      </w:r>
      <w:r w:rsidR="003313A7" w:rsidRPr="00981E15">
        <w:rPr>
          <w:w w:val="103"/>
        </w:rPr>
        <w:t xml:space="preserve">de </w:t>
      </w:r>
      <w:r w:rsidRPr="00981E15">
        <w:rPr>
          <w:w w:val="103"/>
        </w:rPr>
        <w:t>2007.</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Mejoras de la información en cuanto a salud reproductiva</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 xml:space="preserve">Entre las acciones previstas en el Plan Estratégico para Reducir </w:t>
      </w:r>
      <w:smartTag w:uri="urn:schemas-microsoft-com:office:smarttags" w:element="PersonName">
        <w:smartTagPr>
          <w:attr w:name="ProductID" w:val="la Mortalidad Materna"/>
        </w:smartTagPr>
        <w:smartTag w:uri="urn:schemas-microsoft-com:office:smarttags" w:element="PersonName">
          <w:smartTagPr>
            <w:attr w:name="ProductID" w:val="LA MORTALIDAD"/>
          </w:smartTagPr>
          <w:r w:rsidRPr="00981E15">
            <w:t>la Mortalidad</w:t>
          </w:r>
        </w:smartTag>
        <w:r w:rsidRPr="00981E15">
          <w:t xml:space="preserve"> Materna</w:t>
        </w:r>
      </w:smartTag>
      <w:r w:rsidRPr="00981E15">
        <w:t xml:space="preserve"> en el 2007 se desarrolló un sistema de vigilancia epidemiológica rutinario que permita cada año disponer de un análisis del indicador de RMM. Para ello se elaboraron manuales, protocolos y se capacitó a epidemiólogos de las diferentes regiones de salud. Su implementación se ha iniciado en los departamentos de Sololá y Alta Verapaz, previendo el seguimiento de la implementación en el 2008 en las áreas e mayor mortalidad materna. En forma paralela, el MSPAS con el apoyo del grupo interagencial realizó un análisis de la mortalidad en mujeres en edad fértil (</w:t>
      </w:r>
      <w:smartTag w:uri="urn:schemas-microsoft-com:office:smarttags" w:element="metricconverter">
        <w:smartTagPr>
          <w:attr w:name="ProductID" w:val="10 a"/>
        </w:smartTagPr>
        <w:r w:rsidRPr="00981E15">
          <w:t>10 a</w:t>
        </w:r>
      </w:smartTag>
      <w:r w:rsidRPr="00981E15">
        <w:t xml:space="preserve"> 49 años) con los d</w:t>
      </w:r>
      <w:r w:rsidRPr="00981E15">
        <w:t>a</w:t>
      </w:r>
      <w:r w:rsidRPr="00981E15">
        <w:t>tos recolectados en el 2006. Este estudio se ha terminado en diciembre de 2007 y se tiene prevista su presentación para enero de 2008.</w:t>
      </w:r>
    </w:p>
    <w:p w:rsidR="003D702F" w:rsidRPr="00981E15" w:rsidRDefault="003D702F" w:rsidP="003D702F">
      <w:pPr>
        <w:pStyle w:val="SingleTxt"/>
        <w:numPr>
          <w:ilvl w:val="0"/>
          <w:numId w:val="37"/>
        </w:numPr>
        <w:tabs>
          <w:tab w:val="clear" w:pos="475"/>
          <w:tab w:val="num" w:pos="1742"/>
        </w:tabs>
        <w:ind w:left="1267"/>
      </w:pPr>
      <w:r w:rsidRPr="00981E15">
        <w:t>Por su parte el Instituto Nacional de Estadísticas (INE) incluye entre sus principales logros la public</w:t>
      </w:r>
      <w:r w:rsidRPr="00981E15">
        <w:t>a</w:t>
      </w:r>
      <w:r w:rsidRPr="00981E15">
        <w:t>ción de las estadísticas hospitalarias y estadísticas vitales. Las estadísticas hospitalarias están orient</w:t>
      </w:r>
      <w:r w:rsidRPr="00981E15">
        <w:t>a</w:t>
      </w:r>
      <w:r w:rsidRPr="00981E15">
        <w:t>das a los servicios internos, como por ejemplo los pacientes que causan ingreso hospitalario; y los externos que se refieren a los pacientes ambulatorios. Las estadísticas vitales dan a conocer inform</w:t>
      </w:r>
      <w:r w:rsidRPr="00981E15">
        <w:t>a</w:t>
      </w:r>
      <w:r w:rsidRPr="00981E15">
        <w:t>ción sobre nacimientos, defunciones, mortinatos, matrimonios y divorcios.</w:t>
      </w:r>
    </w:p>
    <w:p w:rsidR="003D702F" w:rsidRPr="00981E15" w:rsidRDefault="003D702F" w:rsidP="003D702F">
      <w:pPr>
        <w:pStyle w:val="SingleTxt"/>
        <w:numPr>
          <w:ilvl w:val="0"/>
          <w:numId w:val="37"/>
        </w:numPr>
        <w:tabs>
          <w:tab w:val="clear" w:pos="475"/>
          <w:tab w:val="num" w:pos="1742"/>
        </w:tabs>
        <w:ind w:left="1267"/>
      </w:pPr>
      <w:r w:rsidRPr="00981E15">
        <w:t xml:space="preserve">En esa misma dirección se aprobó el diseño de una boleta de tipo digital, de acuerdo a las boletas rediseñadas de estadísticas hospitalarias. Este nuevo sistema permitirá obtener la información con mayor rapidez y oportunidad pues será generada mensualmente. El sistema contará con la asignación digital de códigos de </w:t>
      </w:r>
      <w:smartTag w:uri="urn:schemas-microsoft-com:office:smarttags" w:element="PersonName">
        <w:smartTagPr>
          <w:attr w:name="ProductID" w:val="la D￩cima Clasificaci￳n"/>
        </w:smartTagPr>
        <w:smartTag w:uri="urn:schemas-microsoft-com:office:smarttags" w:element="PersonName">
          <w:smartTagPr>
            <w:attr w:name="ProductID" w:val="la D￩cima"/>
          </w:smartTagPr>
          <w:r w:rsidRPr="00981E15">
            <w:t>la Décima</w:t>
          </w:r>
        </w:smartTag>
        <w:r w:rsidRPr="00981E15">
          <w:t xml:space="preserve"> Clasificación</w:t>
        </w:r>
      </w:smartTag>
      <w:r w:rsidRPr="00981E15">
        <w:t xml:space="preserve"> Internacional de Enfermedades (CIE-10), que hará posible identificar con una mayor exactitud el código correspondiente a cada causa médica de morbilidad en las distintas fuentes de información. Este programa digital está actualmente en proceso de ejecución y se espera ponerlo en funcionamiento a finales de 2007.</w:t>
      </w:r>
    </w:p>
    <w:p w:rsidR="003D702F" w:rsidRPr="00981E15" w:rsidRDefault="003D702F" w:rsidP="003D702F">
      <w:pPr>
        <w:pStyle w:val="SingleTxt"/>
        <w:numPr>
          <w:ilvl w:val="0"/>
          <w:numId w:val="37"/>
        </w:numPr>
        <w:tabs>
          <w:tab w:val="clear" w:pos="475"/>
          <w:tab w:val="num" w:pos="1742"/>
        </w:tabs>
        <w:ind w:left="1267"/>
      </w:pPr>
      <w:r w:rsidRPr="00981E15">
        <w:t xml:space="preserve">Asimismo, en el marco de </w:t>
      </w:r>
      <w:smartTag w:uri="urn:schemas-microsoft-com:office:smarttags" w:element="PersonName">
        <w:smartTagPr>
          <w:attr w:name="ProductID" w:val="la Estrategia"/>
        </w:smartTagPr>
        <w:r w:rsidRPr="00981E15">
          <w:t>la Estrategia</w:t>
        </w:r>
      </w:smartTag>
      <w:r w:rsidRPr="00981E15">
        <w:t xml:space="preserve"> de Desarrollo Estadístico (ENDE) y el Sistema Estadístico Naci</w:t>
      </w:r>
      <w:r w:rsidRPr="00981E15">
        <w:t>o</w:t>
      </w:r>
      <w:r w:rsidRPr="00981E15">
        <w:t xml:space="preserve">nal, el INE logró la conformación de </w:t>
      </w:r>
      <w:smartTag w:uri="urn:schemas-microsoft-com:office:smarttags" w:element="PersonName">
        <w:smartTagPr>
          <w:attr w:name="ProductID" w:val="la oficina Coordinadora Sectorial"/>
        </w:smartTagPr>
        <w:r w:rsidRPr="00981E15">
          <w:t>la oficina Coordinadora Sectorial</w:t>
        </w:r>
      </w:smartTag>
      <w:r w:rsidRPr="00981E15">
        <w:t xml:space="preserve"> de Estadísticas de Salud, integr</w:t>
      </w:r>
      <w:r w:rsidRPr="00981E15">
        <w:t>a</w:t>
      </w:r>
      <w:r w:rsidRPr="00981E15">
        <w:t xml:space="preserve">da por el MSPAS, el Instituto Guatemalteco de Seguridad Social (IGSS) y la participación como ente observador de </w:t>
      </w:r>
      <w:smartTag w:uri="urn:schemas-microsoft-com:office:smarttags" w:element="PersonName">
        <w:smartTagPr>
          <w:attr w:name="ProductID" w:val="la Organizaci￳n Panamericana"/>
        </w:smartTagPr>
        <w:smartTag w:uri="urn:schemas-microsoft-com:office:smarttags" w:element="PersonName">
          <w:smartTagPr>
            <w:attr w:name="ProductID" w:val="la Organizaci￳n"/>
          </w:smartTagPr>
          <w:r w:rsidRPr="00981E15">
            <w:t>la Organización</w:t>
          </w:r>
        </w:smartTag>
        <w:r w:rsidRPr="00981E15">
          <w:t xml:space="preserve"> Panamericana</w:t>
        </w:r>
      </w:smartTag>
      <w:r w:rsidRPr="00981E15">
        <w:t xml:space="preserve"> de </w:t>
      </w:r>
      <w:smartTag w:uri="urn:schemas-microsoft-com:office:smarttags" w:element="PersonName">
        <w:smartTagPr>
          <w:attr w:name="ProductID" w:val="la Salud"/>
        </w:smartTagPr>
        <w:r w:rsidRPr="00981E15">
          <w:t>la Salud</w:t>
        </w:r>
      </w:smartTag>
      <w:r w:rsidRPr="00981E15">
        <w:t xml:space="preserve">/Organización Mundial de </w:t>
      </w:r>
      <w:smartTag w:uri="urn:schemas-microsoft-com:office:smarttags" w:element="PersonName">
        <w:smartTagPr>
          <w:attr w:name="ProductID" w:val="la Salud"/>
        </w:smartTagPr>
        <w:r w:rsidRPr="00981E15">
          <w:t>la Salud</w:t>
        </w:r>
      </w:smartTag>
      <w:r w:rsidRPr="00981E15">
        <w:t xml:space="preserve"> (OPS/OMS). A través de este proceso de coordinación se logró la aprobación del Nuevo Certificado Médico de Defunción, el cual incluye la captura de defunciones fetales y aspectos específicos para facilitar la obtención de información relacionada con la mortalidad materna.</w:t>
      </w:r>
    </w:p>
    <w:p w:rsidR="003D702F" w:rsidRPr="00981E15" w:rsidRDefault="003D702F" w:rsidP="003D702F">
      <w:pPr>
        <w:pStyle w:val="SingleTxt"/>
        <w:numPr>
          <w:ilvl w:val="0"/>
          <w:numId w:val="37"/>
        </w:numPr>
        <w:tabs>
          <w:tab w:val="clear" w:pos="475"/>
          <w:tab w:val="num" w:pos="1742"/>
        </w:tabs>
        <w:ind w:left="1267"/>
      </w:pPr>
      <w:r w:rsidRPr="00981E15">
        <w:t>Se capacitó mediante talleres a coordinadores y coordinadoras de promoción de las 26 áreas de salud, comadronas y líderes comunitarios, sobre el uso de materiales nuevos tales como video testimonial de planificación familiar, trifoliares de cuidados prenatales y el dispositivo intrauterino DIU. Se cap</w:t>
      </w:r>
      <w:r w:rsidRPr="00981E15">
        <w:t>a</w:t>
      </w:r>
      <w:r w:rsidRPr="00981E15">
        <w:t>citó y trabajó (2005) en el proceso de promoción e información de salud a nivel comunitario con 4,363 hombres y lideres comunitarios, para involucrar al género masculino en los procesos relacionados con el tema de salud reproductiva. Asimismo se hizo entrega de 3,380 maletines para las comadronas tr</w:t>
      </w:r>
      <w:r w:rsidRPr="00981E15">
        <w:t>a</w:t>
      </w:r>
      <w:r w:rsidRPr="00981E15">
        <w:t>dicionales que incluyen un “kit básico” para la atención de madres e hijos e hijas.</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Aumento del personal calificado en salud reproductiva</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El PNSR ha desarrollado las siguientes acciones para fortalecer a su personal en la temática de salud reproductiva:</w:t>
      </w:r>
    </w:p>
    <w:p w:rsidR="003D702F" w:rsidRPr="00981E15" w:rsidRDefault="003D702F" w:rsidP="00032CF7">
      <w:pPr>
        <w:pStyle w:val="SingleTxt"/>
        <w:tabs>
          <w:tab w:val="right" w:pos="1685"/>
        </w:tabs>
        <w:suppressAutoHyphens/>
        <w:ind w:left="1742" w:hanging="475"/>
      </w:pPr>
      <w:r w:rsidRPr="00981E15">
        <w:tab/>
        <w:t>•</w:t>
      </w:r>
      <w:r w:rsidRPr="00981E15">
        <w:tab/>
        <w:t>Organización de talleres de capacitación sobre las guías de atención prenatal, parto, post parto, atención del recién nacido o nacida y emergencias obstétricas (325 proveedores capacit</w:t>
      </w:r>
      <w:r w:rsidRPr="00981E15">
        <w:t>a</w:t>
      </w:r>
      <w:r w:rsidRPr="00981E15">
        <w:t xml:space="preserve">dos) </w:t>
      </w:r>
    </w:p>
    <w:p w:rsidR="003D702F" w:rsidRPr="00981E15" w:rsidRDefault="003D702F" w:rsidP="00032CF7">
      <w:pPr>
        <w:pStyle w:val="SingleTxt"/>
        <w:tabs>
          <w:tab w:val="right" w:pos="1685"/>
        </w:tabs>
        <w:suppressAutoHyphens/>
        <w:ind w:left="1742" w:hanging="475"/>
      </w:pPr>
      <w:r w:rsidRPr="00981E15">
        <w:tab/>
        <w:t>•</w:t>
      </w:r>
      <w:r w:rsidRPr="00981E15">
        <w:tab/>
        <w:t>Capacitación en atención post aborto a personal de salud de 37 centros de la red hospitalaria.</w:t>
      </w:r>
    </w:p>
    <w:p w:rsidR="003D702F" w:rsidRPr="00981E15" w:rsidRDefault="003D702F" w:rsidP="00032CF7">
      <w:pPr>
        <w:pStyle w:val="SingleTxt"/>
        <w:tabs>
          <w:tab w:val="right" w:pos="1685"/>
        </w:tabs>
        <w:suppressAutoHyphens/>
        <w:ind w:left="1742" w:hanging="475"/>
      </w:pPr>
      <w:r w:rsidRPr="00981E15">
        <w:tab/>
        <w:t>•</w:t>
      </w:r>
      <w:r w:rsidRPr="00981E15">
        <w:tab/>
        <w:t>Capacitación en la técnica de inspección visual con ácido acético y colposcopia, biopsia, criot</w:t>
      </w:r>
      <w:r w:rsidRPr="00981E15">
        <w:t>e</w:t>
      </w:r>
      <w:r w:rsidRPr="00981E15">
        <w:t>rapia y lletz (10 médicos ginecólogos).</w:t>
      </w:r>
    </w:p>
    <w:p w:rsidR="003D702F" w:rsidRPr="00981E15" w:rsidRDefault="003D702F" w:rsidP="00032CF7">
      <w:pPr>
        <w:pStyle w:val="SingleTxt"/>
        <w:tabs>
          <w:tab w:val="right" w:pos="1685"/>
        </w:tabs>
        <w:suppressAutoHyphens/>
        <w:ind w:left="1742" w:hanging="475"/>
      </w:pPr>
      <w:r w:rsidRPr="00981E15">
        <w:tab/>
        <w:t>•</w:t>
      </w:r>
      <w:r w:rsidRPr="00981E15">
        <w:tab/>
        <w:t xml:space="preserve">Capacitación en cáncer de cerviz e inspección visual con ácido acético (150 médicas y médicos, directores y directoras, enfermeras y auxiliares de enfermería) de los tres niveles de atención. </w:t>
      </w:r>
    </w:p>
    <w:p w:rsidR="003D702F" w:rsidRPr="00981E15" w:rsidRDefault="003D702F" w:rsidP="00032CF7">
      <w:pPr>
        <w:pStyle w:val="SingleTxt"/>
        <w:tabs>
          <w:tab w:val="right" w:pos="1685"/>
        </w:tabs>
        <w:suppressAutoHyphens/>
        <w:ind w:left="1742" w:hanging="475"/>
      </w:pPr>
      <w:r w:rsidRPr="00981E15">
        <w:tab/>
        <w:t>•</w:t>
      </w:r>
      <w:r w:rsidRPr="00981E15">
        <w:tab/>
        <w:t xml:space="preserve">Tres talleres regionales sobre </w:t>
      </w:r>
      <w:smartTag w:uri="urn:schemas-microsoft-com:office:smarttags" w:element="PersonName">
        <w:smartTagPr>
          <w:attr w:name="ProductID" w:val="la Ley"/>
        </w:smartTagPr>
        <w:r w:rsidRPr="00981E15">
          <w:t>la Ley</w:t>
        </w:r>
      </w:smartTag>
      <w:r w:rsidRPr="00981E15">
        <w:t xml:space="preserve"> de Desarrollo Social a jefes de los departamentos de ob</w:t>
      </w:r>
      <w:r w:rsidRPr="00981E15">
        <w:t>s</w:t>
      </w:r>
      <w:r w:rsidRPr="00981E15">
        <w:t>tetricia (personal médico de 37 hospitales nacionales sensibilizados).</w:t>
      </w:r>
    </w:p>
    <w:p w:rsidR="003D702F" w:rsidRPr="00981E15" w:rsidRDefault="003D702F" w:rsidP="00032CF7">
      <w:pPr>
        <w:pStyle w:val="SingleTxt"/>
        <w:tabs>
          <w:tab w:val="right" w:pos="1685"/>
        </w:tabs>
        <w:suppressAutoHyphens/>
        <w:ind w:left="1742" w:hanging="475"/>
      </w:pPr>
      <w:r w:rsidRPr="00981E15">
        <w:tab/>
        <w:t>•</w:t>
      </w:r>
      <w:r w:rsidRPr="00981E15">
        <w:tab/>
        <w:t>Capacitación en tecnología anticonceptiva (530 prestados de salud).</w:t>
      </w:r>
    </w:p>
    <w:p w:rsidR="003D702F" w:rsidRPr="00981E15" w:rsidRDefault="003D702F" w:rsidP="00032CF7">
      <w:pPr>
        <w:pStyle w:val="SingleTxt"/>
        <w:tabs>
          <w:tab w:val="right" w:pos="1685"/>
        </w:tabs>
        <w:suppressAutoHyphens/>
        <w:ind w:left="1742" w:hanging="475"/>
      </w:pPr>
      <w:r w:rsidRPr="00981E15">
        <w:tab/>
        <w:t>•</w:t>
      </w:r>
      <w:r w:rsidRPr="00981E15">
        <w:tab/>
        <w:t>Consejería balanceada de planificación familiar (160 prestadores de nuevo ingreso de salud).</w:t>
      </w:r>
    </w:p>
    <w:p w:rsidR="003D702F" w:rsidRPr="00981E15" w:rsidRDefault="003D702F" w:rsidP="00032CF7">
      <w:pPr>
        <w:pStyle w:val="SingleTxt"/>
        <w:tabs>
          <w:tab w:val="right" w:pos="1685"/>
        </w:tabs>
        <w:suppressAutoHyphens/>
        <w:ind w:left="1742" w:hanging="475"/>
      </w:pPr>
      <w:r w:rsidRPr="00981E15">
        <w:tab/>
        <w:t>•</w:t>
      </w:r>
      <w:r w:rsidRPr="00981E15">
        <w:tab/>
        <w:t>Logística de métodos anticonceptivos y socialización del inventario a 258 prestadores de salud de las 29 áreas de salud del país.</w:t>
      </w:r>
    </w:p>
    <w:p w:rsidR="003D702F" w:rsidRPr="00981E15" w:rsidRDefault="003D702F" w:rsidP="00032CF7">
      <w:pPr>
        <w:pStyle w:val="SingleTxt"/>
        <w:tabs>
          <w:tab w:val="right" w:pos="1685"/>
        </w:tabs>
        <w:suppressAutoHyphens/>
        <w:ind w:left="1742" w:hanging="475"/>
      </w:pPr>
      <w:r w:rsidRPr="00981E15">
        <w:tab/>
        <w:t>•</w:t>
      </w:r>
      <w:r w:rsidRPr="00981E15">
        <w:tab/>
        <w:t>Capacitación en estrategias para adolescentes a 19 promotores juveniles municipales, tres técnicos regionales y 19 proveedores de servicios de salud.</w:t>
      </w:r>
    </w:p>
    <w:p w:rsidR="003D702F" w:rsidRPr="00981E15" w:rsidRDefault="003D702F" w:rsidP="00032CF7">
      <w:pPr>
        <w:pStyle w:val="SingleTxt"/>
        <w:tabs>
          <w:tab w:val="right" w:pos="1685"/>
        </w:tabs>
        <w:suppressAutoHyphens/>
        <w:ind w:left="1742" w:hanging="475"/>
      </w:pPr>
      <w:r w:rsidRPr="00981E15">
        <w:tab/>
        <w:t>•</w:t>
      </w:r>
      <w:r w:rsidRPr="00981E15">
        <w:tab/>
        <w:t>Capacitación en salud reproductiva (200 facilitadores institucionales comunitarios).</w:t>
      </w:r>
    </w:p>
    <w:p w:rsidR="003D702F" w:rsidRPr="00981E15" w:rsidRDefault="003D702F" w:rsidP="00032CF7">
      <w:pPr>
        <w:pStyle w:val="SingleTxt"/>
        <w:tabs>
          <w:tab w:val="right" w:pos="1685"/>
        </w:tabs>
        <w:suppressAutoHyphens/>
        <w:ind w:left="1742" w:hanging="475"/>
      </w:pPr>
      <w:r w:rsidRPr="00981E15">
        <w:tab/>
        <w:t>•</w:t>
      </w:r>
      <w:r w:rsidRPr="00981E15">
        <w:tab/>
        <w:t>Capacitación sobre paternidad y maternidad responsable (25 representantes de instituciones de nivel central y 100 departamentales).</w:t>
      </w:r>
    </w:p>
    <w:p w:rsidR="003D702F" w:rsidRPr="00981E15" w:rsidRDefault="003D702F" w:rsidP="003D702F">
      <w:pPr>
        <w:pStyle w:val="SingleTxt"/>
        <w:numPr>
          <w:ilvl w:val="0"/>
          <w:numId w:val="37"/>
        </w:numPr>
        <w:tabs>
          <w:tab w:val="clear" w:pos="475"/>
          <w:tab w:val="num" w:pos="1742"/>
        </w:tabs>
        <w:ind w:left="1267"/>
      </w:pPr>
      <w:r w:rsidRPr="00981E15">
        <w:t>Por otra parte, entre los programas que desarrolló el Fondo de Desarrollo Indígena Guatemalteco (FODIGUA), se encuentra el denominado Utzilal Winaq (en español Salud Integral). Dentro de este programa se incluyeron diez proyectos que contaban con una asignación total de Q. 1.899,647, de los cuales hasta septiembre se habían dictaminado y probado nueve. El Programa de Salud Integral es de naturaleza preventiva y se basa en la coordinación con comadronas provenientes de las mismas c</w:t>
      </w:r>
      <w:r w:rsidRPr="00981E15">
        <w:t>o</w:t>
      </w:r>
      <w:r w:rsidRPr="00981E15">
        <w:t>munidades, a fin de lograr eficiencia y eficacia en el trabajo que se desarrolla con grupos de mujeres, hombres, niños y niñas. El programa está orientado a comunidades pobres, habitadas por personas indígenas de los departamentos de Totonicapán, Chimaltenango, Baja Verapaz, Quetzaltenango y Quiché. Las beneficiarias de este programa son hasta el momento 1,078 mujeres, especialmente c</w:t>
      </w:r>
      <w:r w:rsidRPr="00981E15">
        <w:t>o</w:t>
      </w:r>
      <w:r w:rsidRPr="00981E15">
        <w:t>madronas.</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Informar y educar a la población en el tema de salud reproductiva</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 xml:space="preserve">El PGSR ha desarrollado materiales de información, educación y comunicación (IEC); ha prestado apoyo a la campaña de información en salud reproductiva en asociación con </w:t>
      </w:r>
      <w:smartTag w:uri="urn:schemas-microsoft-com:office:smarttags" w:element="PersonName">
        <w:smartTagPr>
          <w:attr w:name="ProductID" w:val="la Secretar￭a"/>
        </w:smartTagPr>
        <w:r w:rsidRPr="00981E15">
          <w:t>la Secretaría</w:t>
        </w:r>
      </w:smartTag>
      <w:r w:rsidRPr="00981E15">
        <w:t xml:space="preserve"> de Comunic</w:t>
      </w:r>
      <w:r w:rsidRPr="00981E15">
        <w:t>a</w:t>
      </w:r>
      <w:r w:rsidRPr="00981E15">
        <w:t xml:space="preserve">ción Social de </w:t>
      </w:r>
      <w:smartTag w:uri="urn:schemas-microsoft-com:office:smarttags" w:element="PersonName">
        <w:smartTagPr>
          <w:attr w:name="ProductID" w:val="la Presidencia"/>
        </w:smartTagPr>
        <w:r w:rsidRPr="00981E15">
          <w:t>la Presidencia</w:t>
        </w:r>
      </w:smartTag>
      <w:r w:rsidRPr="00981E15">
        <w:t xml:space="preserve"> (SCSP); ha diseñado cuñas radiales y materiales como trifoliares y afiches en los cuatro idiomas mayas; y ha otorgado apoyo a la instalación de </w:t>
      </w:r>
      <w:smartTag w:uri="urn:schemas-microsoft-com:office:smarttags" w:element="PersonName">
        <w:smartTagPr>
          <w:attr w:name="ProductID" w:val="la “Línea"/>
        </w:smartTagPr>
        <w:r w:rsidRPr="00981E15">
          <w:t>la “Línea</w:t>
        </w:r>
      </w:smartTag>
      <w:r w:rsidRPr="00981E15">
        <w:t xml:space="preserve"> de Salud para Adole</w:t>
      </w:r>
      <w:r w:rsidRPr="00981E15">
        <w:t>s</w:t>
      </w:r>
      <w:r w:rsidRPr="00981E15">
        <w:t xml:space="preserve">centes”, que es un esfuerzo conjunto realizado por el MSPAS, Municipalidades de Guatemala y </w:t>
      </w:r>
      <w:smartTag w:uri="urn:schemas-microsoft-com:office:smarttags" w:element="PersonName">
        <w:smartTagPr>
          <w:attr w:name="ProductID" w:val="la ONG G￩nesis"/>
        </w:smartTagPr>
        <w:smartTag w:uri="urn:schemas-microsoft-com:office:smarttags" w:element="PersonName">
          <w:smartTagPr>
            <w:attr w:name="ProductID" w:val="la ONG"/>
          </w:smartTagPr>
          <w:r w:rsidRPr="00981E15">
            <w:t>la ONG</w:t>
          </w:r>
        </w:smartTag>
        <w:r w:rsidRPr="00981E15">
          <w:t xml:space="preserve"> Génesis</w:t>
        </w:r>
      </w:smartTag>
      <w:r w:rsidRPr="00981E15">
        <w:t>, que se inicio en septiembre de 2006.</w:t>
      </w:r>
    </w:p>
    <w:p w:rsidR="003D702F" w:rsidRPr="00981E15" w:rsidRDefault="003D702F" w:rsidP="003D702F">
      <w:pPr>
        <w:pStyle w:val="SingleTxt"/>
        <w:numPr>
          <w:ilvl w:val="0"/>
          <w:numId w:val="37"/>
        </w:numPr>
        <w:tabs>
          <w:tab w:val="clear" w:pos="475"/>
          <w:tab w:val="num" w:pos="1742"/>
        </w:tabs>
        <w:ind w:left="1267"/>
      </w:pPr>
      <w:r w:rsidRPr="00981E15">
        <w:t>Se han elaborado y difundido los siguientes documentos:</w:t>
      </w:r>
    </w:p>
    <w:p w:rsidR="003D702F" w:rsidRPr="00981E15" w:rsidRDefault="003D702F" w:rsidP="00032CF7">
      <w:pPr>
        <w:pStyle w:val="SingleTxt"/>
        <w:tabs>
          <w:tab w:val="right" w:pos="1685"/>
        </w:tabs>
        <w:suppressAutoHyphens/>
        <w:ind w:left="1742" w:hanging="475"/>
      </w:pPr>
      <w:r w:rsidRPr="00981E15">
        <w:tab/>
        <w:t>•</w:t>
      </w:r>
      <w:r w:rsidRPr="00981E15">
        <w:tab/>
        <w:t>Guías de atención del embarazo, parto, post-parto y emergencias obstétricas.</w:t>
      </w:r>
    </w:p>
    <w:p w:rsidR="003D702F" w:rsidRPr="00981E15" w:rsidRDefault="003D702F" w:rsidP="00032CF7">
      <w:pPr>
        <w:pStyle w:val="SingleTxt"/>
        <w:tabs>
          <w:tab w:val="right" w:pos="1685"/>
        </w:tabs>
        <w:suppressAutoHyphens/>
        <w:ind w:left="1742" w:hanging="475"/>
      </w:pPr>
      <w:r w:rsidRPr="00981E15">
        <w:tab/>
        <w:t>•</w:t>
      </w:r>
      <w:r w:rsidRPr="00981E15">
        <w:tab/>
        <w:t>Manual de capacitación sobre cáncer de cuello uterino y colposcopia.</w:t>
      </w:r>
    </w:p>
    <w:p w:rsidR="003D702F" w:rsidRPr="00981E15" w:rsidRDefault="003D702F" w:rsidP="00032CF7">
      <w:pPr>
        <w:pStyle w:val="SingleTxt"/>
        <w:tabs>
          <w:tab w:val="right" w:pos="1685"/>
        </w:tabs>
        <w:suppressAutoHyphens/>
        <w:ind w:left="1742" w:hanging="475"/>
      </w:pPr>
      <w:r w:rsidRPr="00981E15">
        <w:tab/>
        <w:t>•</w:t>
      </w:r>
      <w:r w:rsidRPr="00981E15">
        <w:tab/>
        <w:t>Mini guía de planificación familiar.</w:t>
      </w:r>
    </w:p>
    <w:p w:rsidR="003D702F" w:rsidRPr="00981E15" w:rsidRDefault="003D702F" w:rsidP="00032CF7">
      <w:pPr>
        <w:pStyle w:val="SingleTxt"/>
        <w:tabs>
          <w:tab w:val="right" w:pos="1685"/>
        </w:tabs>
        <w:suppressAutoHyphens/>
        <w:ind w:left="1742" w:hanging="475"/>
      </w:pPr>
      <w:r w:rsidRPr="00981E15">
        <w:tab/>
        <w:t>•</w:t>
      </w:r>
      <w:r w:rsidRPr="00981E15">
        <w:tab/>
        <w:t>Manual de capacitación para adolescentes.</w:t>
      </w:r>
    </w:p>
    <w:p w:rsidR="003D702F" w:rsidRPr="00981E15" w:rsidRDefault="003D702F" w:rsidP="00032CF7">
      <w:pPr>
        <w:pStyle w:val="SingleTxt"/>
        <w:tabs>
          <w:tab w:val="right" w:pos="1685"/>
        </w:tabs>
        <w:suppressAutoHyphens/>
        <w:ind w:left="1742" w:hanging="475"/>
      </w:pPr>
      <w:r w:rsidRPr="00981E15">
        <w:tab/>
        <w:t>•</w:t>
      </w:r>
      <w:r w:rsidRPr="00981E15">
        <w:tab/>
        <w:t>Protocolo de víctimas de violencia sexual.</w:t>
      </w:r>
    </w:p>
    <w:p w:rsidR="003D702F" w:rsidRPr="00981E15" w:rsidRDefault="003D702F" w:rsidP="003D702F">
      <w:pPr>
        <w:pStyle w:val="SingleTxt"/>
        <w:numPr>
          <w:ilvl w:val="0"/>
          <w:numId w:val="37"/>
        </w:numPr>
        <w:tabs>
          <w:tab w:val="clear" w:pos="475"/>
          <w:tab w:val="num" w:pos="1742"/>
        </w:tabs>
        <w:ind w:left="1267"/>
      </w:pPr>
      <w:r w:rsidRPr="00981E15">
        <w:t xml:space="preserve">El Consejo Nacional de </w:t>
      </w:r>
      <w:smartTag w:uri="urn:schemas-microsoft-com:office:smarttags" w:element="PersonName">
        <w:smartTagPr>
          <w:attr w:name="ProductID" w:val="la Juventud"/>
        </w:smartTagPr>
        <w:r w:rsidRPr="00981E15">
          <w:t>la Juventud</w:t>
        </w:r>
      </w:smartTag>
      <w:r w:rsidRPr="00981E15">
        <w:t xml:space="preserve"> (CONJUVE) ha apoyado acciones de información y educación en el tema de salud reproductiva dentro del Plan Nacional de Formación y Capacitación, específicamente en el proyecto “Liderazgo Juvenil, como herramienta para combatir el VIH-SIDA”. Para el efecto en el 2006 se realizaron 84 talleres informativos a los que acudieron alrededor de 230 jóvenes por taller. Se realizaron dieciocho Ferias de Salud, las cuales se llevan a cabo en las cabeceras departamentales, en donde se hace un esfuerzo interinstitucional y se proporciona información a los adolescentes en diferentes temas de salud reproductiva. A estas ferias asisten aproximadamente 12,000 jóvenes que hacen un recorrido por los stands en donde se tienen preparadas charlas, dinámicas y material impr</w:t>
      </w:r>
      <w:r w:rsidRPr="00981E15">
        <w:t>e</w:t>
      </w:r>
      <w:r w:rsidRPr="00981E15">
        <w:t xml:space="preserve">so. </w:t>
      </w:r>
    </w:p>
    <w:p w:rsidR="003D702F" w:rsidRPr="00981E15" w:rsidRDefault="003D702F" w:rsidP="003D702F">
      <w:pPr>
        <w:pStyle w:val="SingleTxt"/>
        <w:numPr>
          <w:ilvl w:val="0"/>
          <w:numId w:val="37"/>
        </w:numPr>
        <w:tabs>
          <w:tab w:val="clear" w:pos="475"/>
          <w:tab w:val="num" w:pos="1742"/>
        </w:tabs>
        <w:ind w:left="1267"/>
      </w:pPr>
      <w:r w:rsidRPr="00981E15">
        <w:t>En el 2006 se capacitó a las trabajadoras sociales de las 26 direcciones de las áreas de salud, en el módulo de salud reproductiva para adolescentes, para que ellas puedan replicar estos conocimientos ya que por la función que realizan pueden incidir en mejor forma en los jóvenes.</w:t>
      </w:r>
    </w:p>
    <w:p w:rsidR="003D702F" w:rsidRPr="00981E15" w:rsidRDefault="003D702F" w:rsidP="003D702F">
      <w:pPr>
        <w:pStyle w:val="SingleTxt"/>
        <w:numPr>
          <w:ilvl w:val="0"/>
          <w:numId w:val="37"/>
        </w:numPr>
        <w:tabs>
          <w:tab w:val="clear" w:pos="475"/>
          <w:tab w:val="num" w:pos="1742"/>
        </w:tabs>
        <w:ind w:left="1267"/>
      </w:pPr>
      <w:r w:rsidRPr="00981E15">
        <w:t xml:space="preserve">En el 2007 el Ministro de Salud integró </w:t>
      </w:r>
      <w:smartTag w:uri="urn:schemas-microsoft-com:office:smarttags" w:element="PersonName">
        <w:smartTagPr>
          <w:attr w:name="ProductID" w:val="la Comisi￳n Nacional"/>
        </w:smartTagPr>
        <w:smartTag w:uri="urn:schemas-microsoft-com:office:smarttags" w:element="PersonName">
          <w:smartTagPr>
            <w:attr w:name="ProductID" w:val="la Comisi￳n"/>
          </w:smartTagPr>
          <w:r w:rsidRPr="00981E15">
            <w:t>la Comisión</w:t>
          </w:r>
        </w:smartTag>
        <w:r w:rsidRPr="00981E15">
          <w:t xml:space="preserve"> Nacional</w:t>
        </w:r>
      </w:smartTag>
      <w:r w:rsidRPr="00981E15">
        <w:t xml:space="preserve"> para </w:t>
      </w:r>
      <w:smartTag w:uri="urn:schemas-microsoft-com:office:smarttags" w:element="PersonName">
        <w:smartTagPr>
          <w:attr w:name="ProductID" w:val="la Maternidad"/>
        </w:smartTagPr>
        <w:r w:rsidRPr="00981E15">
          <w:t>la Maternidad</w:t>
        </w:r>
      </w:smartTag>
      <w:r w:rsidRPr="00981E15">
        <w:t xml:space="preserve"> Saludable. Este esfuerzo trata de implementar acciones integrales de salud, que persiguen reducir la mortalidad mate</w:t>
      </w:r>
      <w:r w:rsidRPr="00981E15">
        <w:t>r</w:t>
      </w:r>
      <w:r w:rsidRPr="00981E15">
        <w:t xml:space="preserve">na. </w:t>
      </w:r>
    </w:p>
    <w:p w:rsidR="003D702F" w:rsidRPr="00981E15" w:rsidRDefault="003D702F" w:rsidP="003D702F">
      <w:pPr>
        <w:pStyle w:val="SingleTxt"/>
        <w:numPr>
          <w:ilvl w:val="0"/>
          <w:numId w:val="37"/>
        </w:numPr>
        <w:tabs>
          <w:tab w:val="clear" w:pos="475"/>
          <w:tab w:val="num" w:pos="1742"/>
        </w:tabs>
        <w:ind w:left="1267"/>
      </w:pPr>
      <w:r w:rsidRPr="00981E15">
        <w:t xml:space="preserve">El Departamento de Promoción y Educación en Salud conduce </w:t>
      </w:r>
      <w:smartTag w:uri="urn:schemas-microsoft-com:office:smarttags" w:element="PersonName">
        <w:smartTagPr>
          <w:attr w:name="ProductID" w:val="la Subcomisi￳n"/>
        </w:smartTagPr>
        <w:r w:rsidRPr="00981E15">
          <w:t>la Subcomisión</w:t>
        </w:r>
      </w:smartTag>
      <w:r w:rsidRPr="00981E15">
        <w:t xml:space="preserve"> de Promoción de la Maternidad Saludable, de </w:t>
      </w:r>
      <w:smartTag w:uri="urn:schemas-microsoft-com:office:smarttags" w:element="PersonName">
        <w:smartTagPr>
          <w:attr w:name="ProductID" w:val="la Comisi￳n Nacional"/>
        </w:smartTagPr>
        <w:r w:rsidRPr="00981E15">
          <w:t>la Comisión Nacional</w:t>
        </w:r>
      </w:smartTag>
      <w:r w:rsidRPr="00981E15">
        <w:t xml:space="preserve"> para </w:t>
      </w:r>
      <w:smartTag w:uri="urn:schemas-microsoft-com:office:smarttags" w:element="PersonName">
        <w:smartTagPr>
          <w:attr w:name="ProductID" w:val="la Maternidad Saludable"/>
        </w:smartTagPr>
        <w:r w:rsidRPr="00981E15">
          <w:t>la Maternidad Saludable</w:t>
        </w:r>
      </w:smartTag>
      <w:r w:rsidRPr="00981E15">
        <w:t>, integrará y coordinará con instituciones, organizaciones de la sociedad civil, agencias de c</w:t>
      </w:r>
      <w:r w:rsidRPr="00981E15">
        <w:t>o</w:t>
      </w:r>
      <w:r w:rsidRPr="00981E15">
        <w:t>operación y otras interesadas en aportar para este objeto. Uno de los primeros departamentos donde se implementará este proceso es Alta Verapaz, por ser uno de los que muestran mayor índice al respecto, pero se espera ir implementando el mismo en otros departamentos que presentan la misma problemática.</w:t>
      </w:r>
    </w:p>
    <w:p w:rsidR="003D702F" w:rsidRPr="00981E15" w:rsidRDefault="003D702F" w:rsidP="003D702F">
      <w:pPr>
        <w:pStyle w:val="SingleTxt"/>
        <w:numPr>
          <w:ilvl w:val="0"/>
          <w:numId w:val="37"/>
        </w:numPr>
        <w:tabs>
          <w:tab w:val="clear" w:pos="475"/>
          <w:tab w:val="num" w:pos="1742"/>
        </w:tabs>
        <w:ind w:left="1267"/>
      </w:pPr>
      <w:r w:rsidRPr="00981E15">
        <w:t>Se crearon Espacios Amigables, que dirigen su atención a mujeres y hombres adolescentes, en materia de salud reproductiva, en ese contexto se fortalecieron los espacios de 13 municipios seleccionados, de las regiones del país. Se capacitó a las trabajadoras sociales de las 23 áreas de salud del MSP, en el módulo de Salud Reproductiva para Adolescentes. Se han capacitado a pastores evangélicos para que contribuyan como facilitadores del tema a nivel local en las áreas donde tienen representación.</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Fortalecimiento del Programa Nacional de Salud Reproductiva</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 xml:space="preserve">Como resultado de las gestiones realizadas por el PNSR ante </w:t>
      </w:r>
      <w:smartTag w:uri="urn:schemas-microsoft-com:office:smarttags" w:element="PersonName">
        <w:smartTagPr>
          <w:attr w:name="ProductID" w:val="la Comisi￳n"/>
        </w:smartTagPr>
        <w:r w:rsidRPr="00981E15">
          <w:t>la Comisión</w:t>
        </w:r>
      </w:smartTag>
      <w:r w:rsidRPr="00981E15">
        <w:t xml:space="preserve"> de Salud del Congreso de </w:t>
      </w:r>
      <w:smartTag w:uri="urn:schemas-microsoft-com:office:smarttags" w:element="PersonName">
        <w:smartTagPr>
          <w:attr w:name="ProductID" w:val="la Rep￺blica"/>
        </w:smartTagPr>
        <w:r w:rsidRPr="00981E15">
          <w:t>la República</w:t>
        </w:r>
      </w:smartTag>
      <w:r w:rsidRPr="00981E15">
        <w:t>, en el presupuesto de 2006 el MSPAS se contempló una asignación específica de Q. 32.5 millones destinada a ejecutar un ambicioso proyecto de fortalecimiento de los servicios de salud r</w:t>
      </w:r>
      <w:r w:rsidRPr="00981E15">
        <w:t>e</w:t>
      </w:r>
      <w:r w:rsidRPr="00981E15">
        <w:t xml:space="preserve">productiva que contempla seis ejes esenciales. Esta asignación presupuestaria es financiada con el porcentaje que fija el artículo 26 de </w:t>
      </w:r>
      <w:smartTag w:uri="urn:schemas-microsoft-com:office:smarttags" w:element="PersonName">
        <w:smartTagPr>
          <w:attr w:name="ProductID" w:val="la Ley"/>
        </w:smartTagPr>
        <w:r w:rsidRPr="00981E15">
          <w:t>la Ley</w:t>
        </w:r>
      </w:smartTag>
      <w:r w:rsidRPr="00981E15">
        <w:t xml:space="preserve"> del Impuesto sobre distribución de Bebidas Alcohólicas De</w:t>
      </w:r>
      <w:r w:rsidRPr="00981E15">
        <w:t>s</w:t>
      </w:r>
      <w:r w:rsidRPr="00981E15">
        <w:t>tiladas, Cervezas y otras Bebidas Fermentadas (Decreto No. 21-2004), que dispone que los recursos recaudados por la aplicación del impuesto, se destinará un mínimo de quince (15%) para programas de salud sexual y reproductiva, planificación familiar y alcoholismo del Ministerio de Salud Pública y Asistencia Social. Según esa ley tales recursos no podrán asignarse o transferirse a otros destinos.</w:t>
      </w:r>
    </w:p>
    <w:p w:rsidR="003D702F" w:rsidRPr="00981E15" w:rsidRDefault="003D702F" w:rsidP="003D702F">
      <w:pPr>
        <w:pStyle w:val="SingleTxt"/>
        <w:numPr>
          <w:ilvl w:val="0"/>
          <w:numId w:val="37"/>
        </w:numPr>
        <w:tabs>
          <w:tab w:val="clear" w:pos="475"/>
          <w:tab w:val="num" w:pos="1742"/>
        </w:tabs>
        <w:ind w:left="1267"/>
      </w:pPr>
      <w:r w:rsidRPr="00981E15">
        <w:t xml:space="preserve">Para dar seguimiento a las acciones de prevención y diagnóstico temprano del cáncer cérvico uterino, se otorgó equipo y material a las clínicas ginecológicas de cuatro distritos de salud, entre ellos Usumatlán y San Jorge en el departamento de Zacapa; y de </w:t>
      </w:r>
      <w:smartTag w:uri="urn:schemas-microsoft-com:office:smarttags" w:element="PersonName">
        <w:smartTagPr>
          <w:attr w:name="ProductID" w:val="la Gomera"/>
        </w:smartTagPr>
        <w:r w:rsidRPr="00981E15">
          <w:t>la Gomera</w:t>
        </w:r>
      </w:smartTag>
      <w:r w:rsidRPr="00981E15">
        <w:t xml:space="preserve"> y Puerto de San José, en el d</w:t>
      </w:r>
      <w:r w:rsidRPr="00981E15">
        <w:t>e</w:t>
      </w:r>
      <w:r w:rsidRPr="00981E15">
        <w:t>partamento de Escuintla. Además se fortaleció la vigilancia epidemiológica a través de un proceso de cambio en el sistema de información.</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Mortalidad Infantil</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Es importante destacar que en el caso de la mortalidad infantil las intervenciones se concentran más en procesos de educación, información y comunicación respecto a hábitos alimenticios, como por ejemplo, la lactancia materna exclusiva, a prácticas de higiene, al reconocimiento de signos y señales de peligro, y a la atención inmediata de complicaciones con énfasis en infecciones respiratorias agudas y la enfermedad diarreica. Estos servicios se prestan tanto dentro de los programas regulares como en los servicios de extensión de cobertura con el apoyo de organizaciones no gubernamentales.</w:t>
      </w:r>
    </w:p>
    <w:p w:rsidR="003D702F" w:rsidRPr="00981E15" w:rsidRDefault="003D702F" w:rsidP="003D702F">
      <w:pPr>
        <w:pStyle w:val="SingleTxt"/>
        <w:numPr>
          <w:ilvl w:val="0"/>
          <w:numId w:val="37"/>
        </w:numPr>
        <w:tabs>
          <w:tab w:val="clear" w:pos="475"/>
          <w:tab w:val="num" w:pos="1742"/>
        </w:tabs>
        <w:ind w:left="1267"/>
      </w:pPr>
      <w:r w:rsidRPr="00981E15">
        <w:t>Además el MSPAS se encuentra desarrollando un proceso de capacitación de personal institucional, en cuanto a normas de atención nacional con énfasis en el binomio niño y mujer, cubriendo el 85 por ciento de los proveedores.</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Paternidad y Maternidad Responsable</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 xml:space="preserve">El MSPAS coordina </w:t>
      </w:r>
      <w:smartTag w:uri="urn:schemas-microsoft-com:office:smarttags" w:element="PersonName">
        <w:smartTagPr>
          <w:attr w:name="ProductID" w:val="la Red Nacional"/>
        </w:smartTagPr>
        <w:r w:rsidRPr="00981E15">
          <w:t>la Red Nacional</w:t>
        </w:r>
      </w:smartTag>
      <w:r w:rsidRPr="00981E15">
        <w:t xml:space="preserve"> de Paternidad y Maternidad Responsable, integrada por instituciones gubernamentales, no gubernamentales, sectores de </w:t>
      </w:r>
      <w:smartTag w:uri="urn:schemas-microsoft-com:office:smarttags" w:element="PersonName">
        <w:smartTagPr>
          <w:attr w:name="ProductID" w:val="la Iglesia"/>
        </w:smartTagPr>
        <w:r w:rsidRPr="00981E15">
          <w:t>la Iglesia</w:t>
        </w:r>
      </w:smartTag>
      <w:r w:rsidRPr="00981E15">
        <w:t xml:space="preserve"> y académicos, que realiza acciones tendientes a promover la paternidad y maternidad responsable y la corresponsabilidad en el cuidado de las hijas e hijos. Además, se han implementado las redes departamentales en donde se está fortaleciendo la creación de escuelas para padres y madres, a quienes se capacita en auto cuidado, en derechos sexu</w:t>
      </w:r>
      <w:r w:rsidRPr="00981E15">
        <w:t>a</w:t>
      </w:r>
      <w:r w:rsidRPr="00981E15">
        <w:t>les y reproductivos, y equidad de género en el marco de los derechos humanos de las mujeres.</w:t>
      </w:r>
    </w:p>
    <w:p w:rsidR="003D702F" w:rsidRPr="00981E15" w:rsidRDefault="003D702F" w:rsidP="003D702F">
      <w:pPr>
        <w:pStyle w:val="SingleTxt"/>
        <w:numPr>
          <w:ilvl w:val="0"/>
          <w:numId w:val="37"/>
        </w:numPr>
        <w:tabs>
          <w:tab w:val="clear" w:pos="475"/>
          <w:tab w:val="num" w:pos="1742"/>
        </w:tabs>
        <w:ind w:left="1267"/>
      </w:pPr>
      <w:r w:rsidRPr="00981E15">
        <w:t xml:space="preserve">Con el fin de lograr la sostenibilidad de </w:t>
      </w:r>
      <w:smartTag w:uri="urn:schemas-microsoft-com:office:smarttags" w:element="PersonName">
        <w:smartTagPr>
          <w:attr w:name="ProductID" w:val="la Red Nacional"/>
        </w:smartTagPr>
        <w:smartTag w:uri="urn:schemas-microsoft-com:office:smarttags" w:element="PersonName">
          <w:smartTagPr>
            <w:attr w:name="ProductID" w:val="la Red"/>
          </w:smartTagPr>
          <w:r w:rsidRPr="00981E15">
            <w:t>la Red</w:t>
          </w:r>
        </w:smartTag>
        <w:r w:rsidRPr="00981E15">
          <w:t xml:space="preserve"> Nacional</w:t>
        </w:r>
      </w:smartTag>
      <w:r w:rsidRPr="00981E15">
        <w:t xml:space="preserve"> de Paternidad y Maternidad Responsable, se está impulsando la formalización de esta instancia mediante la emisión de un acuerdo gubernativo. Para el personal del nivel central se desarrolló el Diplomado de </w:t>
      </w:r>
      <w:smartTag w:uri="urn:schemas-microsoft-com:office:smarttags" w:element="PersonName">
        <w:smartTagPr>
          <w:attr w:name="ProductID" w:val="la Paternidad"/>
        </w:smartTagPr>
        <w:r w:rsidRPr="00981E15">
          <w:t>la Paternidad</w:t>
        </w:r>
      </w:smartTag>
      <w:r w:rsidRPr="00981E15">
        <w:t xml:space="preserve"> y Maternidad Respons</w:t>
      </w:r>
      <w:r w:rsidRPr="00981E15">
        <w:t>a</w:t>
      </w:r>
      <w:r w:rsidRPr="00981E15">
        <w:t xml:space="preserve">ble en el marco de los derechos humanos, con un número aproximado de 25 participantes de diversas instituciones que conforman </w:t>
      </w:r>
      <w:smartTag w:uri="urn:schemas-microsoft-com:office:smarttags" w:element="PersonName">
        <w:smartTagPr>
          <w:attr w:name="ProductID" w:val="la Red Nacional"/>
        </w:smartTagPr>
        <w:r w:rsidRPr="00981E15">
          <w:t>la Red Nacional</w:t>
        </w:r>
      </w:smartTag>
      <w:r w:rsidRPr="00981E15">
        <w:t xml:space="preserve"> de Paternidad y Maternidad Responsable. </w:t>
      </w:r>
    </w:p>
    <w:p w:rsidR="003D702F" w:rsidRPr="00981E15" w:rsidRDefault="003D702F" w:rsidP="003D702F">
      <w:pPr>
        <w:pStyle w:val="SingleTxt"/>
        <w:numPr>
          <w:ilvl w:val="0"/>
          <w:numId w:val="37"/>
        </w:numPr>
        <w:tabs>
          <w:tab w:val="clear" w:pos="475"/>
          <w:tab w:val="num" w:pos="1742"/>
        </w:tabs>
        <w:ind w:left="1267"/>
      </w:pPr>
      <w:r w:rsidRPr="00981E15">
        <w:t>Se capacitó en atención post aborto al personal de salud de las áreas de gerencia y atención en los departamentos de ginecología y obstetricia de 22 hospitales.</w:t>
      </w:r>
    </w:p>
    <w:p w:rsidR="003D702F" w:rsidRPr="00981E15" w:rsidRDefault="003D702F" w:rsidP="003D702F">
      <w:pPr>
        <w:pStyle w:val="SingleTxt"/>
        <w:numPr>
          <w:ilvl w:val="0"/>
          <w:numId w:val="37"/>
        </w:numPr>
        <w:tabs>
          <w:tab w:val="clear" w:pos="475"/>
          <w:tab w:val="num" w:pos="1742"/>
        </w:tabs>
        <w:ind w:left="1267"/>
      </w:pPr>
      <w:r w:rsidRPr="00981E15">
        <w:t>La SOSEP por medio del Programa Creciendo Bien ha capacitado a padres y madres en el tema de la maternidad y paternidad responsable. También ha socializado las guías protocolos del PNSR.</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Programa</w:t>
      </w:r>
      <w:r w:rsidR="00A317B5">
        <w:rPr>
          <w:spacing w:val="4"/>
        </w:rPr>
        <w:t xml:space="preserve"> Nacional de Prevención del VIH/</w:t>
      </w:r>
      <w:r w:rsidRPr="00981E15">
        <w:rPr>
          <w:spacing w:val="4"/>
        </w:rPr>
        <w:t>SIDA</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La vigilancia epidemiológica del VIH/SIDA se inició en Guatemala en 1984. Este proceso se desarrolla con dos modalidades: la vigilancia pasiva, acorde a la demanda de cada servicio de salud y vigilancia de sitio centinela, dirigida a mujeres embarazadas. El sistema de vigilancia epidemiológica se modernizó en el 2002, desarrollándose una base de datos en formato EPI-INFO 2002 la cual fue implementada en todas las áreas de salud a partir de junio de 2003. La notificación de casos VIH/SIDA es obligatoria y confidencial.</w:t>
      </w:r>
    </w:p>
    <w:p w:rsidR="003D702F" w:rsidRPr="00981E15" w:rsidRDefault="003D702F" w:rsidP="003D702F">
      <w:pPr>
        <w:pStyle w:val="SingleTxt"/>
        <w:numPr>
          <w:ilvl w:val="0"/>
          <w:numId w:val="37"/>
        </w:numPr>
        <w:tabs>
          <w:tab w:val="clear" w:pos="475"/>
          <w:tab w:val="num" w:pos="1742"/>
        </w:tabs>
        <w:ind w:left="1267"/>
      </w:pPr>
      <w:r w:rsidRPr="00981E15">
        <w:t xml:space="preserve">Desde 1984 hasta diciembre de 2005 se habían notificado un total de 9,199 casos de SIDA, existiendo una tendencia ascendente. El 70 por ciento de los casos notificados son de género masculino y afectan a la población de </w:t>
      </w:r>
      <w:smartTag w:uri="urn:schemas-microsoft-com:office:smarttags" w:element="metricconverter">
        <w:smartTagPr>
          <w:attr w:name="ProductID" w:val="20 a"/>
        </w:smartTagPr>
        <w:r w:rsidRPr="00981E15">
          <w:t>20 a</w:t>
        </w:r>
      </w:smartTag>
      <w:r w:rsidRPr="00981E15">
        <w:t xml:space="preserve"> 49 años de edad. Lo alarmante es que la epidemia del VIH/SIDA se manifiesta en mayores proporciones entre la población joven y productiva de la sociedad guatemalteca, en el rango de </w:t>
      </w:r>
      <w:smartTag w:uri="urn:schemas-microsoft-com:office:smarttags" w:element="metricconverter">
        <w:smartTagPr>
          <w:attr w:name="ProductID" w:val="15 a"/>
        </w:smartTagPr>
        <w:r w:rsidRPr="00981E15">
          <w:t>15 a</w:t>
        </w:r>
      </w:smartTag>
      <w:r w:rsidRPr="00981E15">
        <w:t xml:space="preserve"> 49 años de edad y que dicha situación se convierte en una amenaza para el futuro. La tasa promedio de prevalencia del período (1984-2005) en todo el país es de 87.8 por 100,000 habitantes. Los departamentos más afectados por la epidemia que muestran las tasas más altas en orden descendente son Suchitepéquez (156.2), Guatemala (155.9), Escuintla (141.0), Izabal (138.7), Retalhuleu (135.1) y Quetzaltenango (113.3), correspondiendo a estos departamentos el 71 por ciento de todos los casos.</w:t>
      </w:r>
    </w:p>
    <w:p w:rsidR="003D702F" w:rsidRPr="00981E15" w:rsidRDefault="003D702F" w:rsidP="003D702F">
      <w:pPr>
        <w:pStyle w:val="SingleTxt"/>
        <w:numPr>
          <w:ilvl w:val="0"/>
          <w:numId w:val="37"/>
        </w:numPr>
        <w:tabs>
          <w:tab w:val="clear" w:pos="475"/>
          <w:tab w:val="num" w:pos="1742"/>
        </w:tabs>
        <w:ind w:left="1267"/>
      </w:pPr>
      <w:r w:rsidRPr="00981E15">
        <w:t xml:space="preserve">En cuanto al VIH, su vigilancia se inició a partir de 2003 y al mes de agosto de 2006 se habían notificado un total de 2,104 casos. Según el Programa Nacional del SIDA (PNS), en 2005 se estimaba que había 44,473 personas de </w:t>
      </w:r>
      <w:smartTag w:uri="urn:schemas-microsoft-com:office:smarttags" w:element="metricconverter">
        <w:smartTagPr>
          <w:attr w:name="ProductID" w:val="15 a"/>
        </w:smartTagPr>
        <w:r w:rsidRPr="00981E15">
          <w:t>15 a</w:t>
        </w:r>
      </w:smartTag>
      <w:r w:rsidRPr="00981E15">
        <w:t xml:space="preserve"> 44 años de edad viviendo con VIH, con una prevalencia de 0.9 por ciento, de las cuales el 31.8 por ciento eran mujeres.</w:t>
      </w:r>
    </w:p>
    <w:p w:rsidR="003D702F" w:rsidRPr="00981E15" w:rsidRDefault="003D702F" w:rsidP="003D702F">
      <w:pPr>
        <w:pStyle w:val="SingleTxt"/>
        <w:numPr>
          <w:ilvl w:val="0"/>
          <w:numId w:val="37"/>
        </w:numPr>
        <w:tabs>
          <w:tab w:val="clear" w:pos="475"/>
          <w:tab w:val="num" w:pos="1742"/>
        </w:tabs>
        <w:ind w:left="1267"/>
      </w:pPr>
      <w:r w:rsidRPr="00981E15">
        <w:t>Se ha evidenciado que la alta prevalencia de esta enfermedad se manifiesta principalmente, entre grupos de personas que tienen relaciones homosexuales; las y los trabajadores del sexo; la población privada de libertad en centros de detención preventiva y penal; los jóvenes en riego social y la niñez de la calle; y en personas afectadas por la tuberculosis. Sin embargo, el contagio del VIH/SIDA ha ido en aumento entre las mujeres y en especial entre las mujeres amas de casa, quienes en términos generales han sido contagiadas por su pareja.</w:t>
      </w:r>
    </w:p>
    <w:p w:rsidR="003D702F" w:rsidRPr="00981E15" w:rsidRDefault="003D702F" w:rsidP="003D702F">
      <w:pPr>
        <w:pStyle w:val="SingleTxt"/>
        <w:numPr>
          <w:ilvl w:val="0"/>
          <w:numId w:val="37"/>
        </w:numPr>
        <w:tabs>
          <w:tab w:val="clear" w:pos="475"/>
          <w:tab w:val="num" w:pos="1742"/>
        </w:tabs>
        <w:ind w:left="1267"/>
      </w:pPr>
      <w:r w:rsidRPr="00981E15">
        <w:t>Pese a la limitada información disponible, hay evidencia de que en Guatemala está ocurriendo un proceso de feminización de la epidemia, lo que se refleja en la reducción de la razón hombre/mujer en el contagio del VIH/SIDA. Si bien en Guatemala, al inicio de la epidemia, ésta afectaba más a los varones (por cada mujer había cinco hombres contagiados), ha crecido el número de mujeres contagiadas (alcanzándose casi la paridad entre hombre y mujer).</w:t>
      </w:r>
    </w:p>
    <w:p w:rsidR="003D702F" w:rsidRPr="00981E15" w:rsidRDefault="003D702F" w:rsidP="003D702F">
      <w:pPr>
        <w:pStyle w:val="SingleTxt"/>
        <w:numPr>
          <w:ilvl w:val="0"/>
          <w:numId w:val="37"/>
        </w:numPr>
        <w:tabs>
          <w:tab w:val="clear" w:pos="475"/>
          <w:tab w:val="num" w:pos="1742"/>
        </w:tabs>
        <w:ind w:left="1267"/>
      </w:pPr>
      <w:r w:rsidRPr="00981E15">
        <w:t>Las mujeres enfrentan mayor riesgo de contagio, debido a su posición subordinada, la que se manifiesta en el limitado control sobre su vida sexual, el poco conocimiento sobre las prácticas sexuales de su pareja y su reducida capacidad para negociar el uso del preservativo. Aunque el conocimiento sobre el VIH/SIDA aparece bastante generalizado entre las mujeres en edad reproductiva, el uso del preservativo es una práctica poco frecuente entre aquellas sexualmente activas, aún entre las de mayor nivel educativo, las residentes en áreas urbanas y las no indígenas. En otras palabras, existen ciertos factores –como las creencias erradas sobre la sexualidad y el ejercicio desigual del poder en las relaciones de pareja- que están obstaculizando la prevención de la enfermedad.</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Tratamiento preventivo a mujeres embarazadas</w:t>
      </w: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A fin de prevenir la transmisión de la infección de la madre al hijo o hija, el MSPAS lleva a cabo pruebas voluntarias con consejería y proporciona tratamientos preventivos en los casos de mujeres embarazadas que han dado resultado positivo en los diagnósticos (tamizajes). En el 2006 se tamizaron a 31,534 mujeres embarazadas y se proporcionó tratamiento para la prevención de la transmisión de madre-hijo/hija con medicamentos antirretrovirales (ARV), a 92 mujeres embarazadas que habían resultado VIH positivo.</w:t>
      </w:r>
    </w:p>
    <w:p w:rsidR="003D702F" w:rsidRPr="00981E15" w:rsidRDefault="003D702F" w:rsidP="003D702F">
      <w:pPr>
        <w:pStyle w:val="SingleTxt"/>
        <w:numPr>
          <w:ilvl w:val="0"/>
          <w:numId w:val="37"/>
        </w:numPr>
        <w:tabs>
          <w:tab w:val="clear" w:pos="475"/>
          <w:tab w:val="num" w:pos="1742"/>
        </w:tabs>
        <w:ind w:left="1267"/>
      </w:pPr>
      <w:r w:rsidRPr="00981E15">
        <w:t>En la siguiente gráfico se observa el aumento que ha experimentado la cobertura del tamizaje del VIH en mujeres embarazadas en el período de 2003 al 2006. Como se puede observar el número de mujeres tamizadas se ha incrementado en el año 2006 en 7,136 con relación al total de 2005.</w:t>
      </w:r>
    </w:p>
    <w:p w:rsidR="0092197C" w:rsidRPr="00981E15" w:rsidRDefault="0092197C" w:rsidP="0092197C">
      <w:pPr>
        <w:pStyle w:val="SingleTxt"/>
        <w:suppressAutoHyphens/>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r>
      <w:r w:rsidRPr="00981E15">
        <w:rPr>
          <w:b w:val="0"/>
          <w:spacing w:val="4"/>
        </w:rPr>
        <w:t>Gráfic</w:t>
      </w:r>
      <w:r w:rsidR="004D0B54">
        <w:rPr>
          <w:b w:val="0"/>
          <w:spacing w:val="4"/>
        </w:rPr>
        <w:t>a</w:t>
      </w:r>
      <w:r w:rsidRPr="00981E15">
        <w:rPr>
          <w:b w:val="0"/>
          <w:spacing w:val="4"/>
        </w:rPr>
        <w:t xml:space="preserve"> 9</w:t>
      </w:r>
      <w:r w:rsidRPr="00981E15">
        <w:rPr>
          <w:b w:val="0"/>
          <w:spacing w:val="4"/>
        </w:rPr>
        <w:br/>
      </w:r>
      <w:r w:rsidRPr="00981E15">
        <w:rPr>
          <w:spacing w:val="4"/>
        </w:rPr>
        <w:t>Número de Mujeres Embarazadas Tamizadas y VIH Positivas</w:t>
      </w:r>
    </w:p>
    <w:p w:rsidR="003D702F" w:rsidRPr="00981E15" w:rsidRDefault="003D702F" w:rsidP="003D702F">
      <w:pPr>
        <w:pStyle w:val="SingleTxt"/>
        <w:spacing w:after="0" w:line="120" w:lineRule="exact"/>
        <w:rPr>
          <w:sz w:val="10"/>
        </w:rPr>
      </w:pP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MSPAS y Programa Nacional de SIDA</w:t>
      </w:r>
    </w:p>
    <w:p w:rsidR="003D702F" w:rsidRPr="00981E15" w:rsidRDefault="003D702F" w:rsidP="003D70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4"/>
        </w:rPr>
      </w:pPr>
      <w:r w:rsidRPr="00981E15">
        <w:rPr>
          <w:spacing w:val="4"/>
        </w:rPr>
        <w:tab/>
      </w:r>
      <w:r w:rsidRPr="00981E15">
        <w:rPr>
          <w:spacing w:val="4"/>
        </w:rPr>
        <w:tab/>
        <w:t>2003-2006*</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r w:rsidRPr="00981E15">
        <w:rPr>
          <w:noProof/>
        </w:rPr>
        <w:pict>
          <v:shape id="_x0000_s2034" type="#_x0000_t75" style="position:absolute;left:0;text-align:left;margin-left:52.25pt;margin-top:5.65pt;width:442.2pt;height:177.95pt;z-index:-4" wrapcoords="-37 0 -37 21509 21600 21509 21600 0 -37 0">
            <v:imagedata r:id="rId54" o:title="" grayscale="t"/>
            <w10:wrap type="tight"/>
          </v:shape>
        </w:pict>
      </w:r>
    </w:p>
    <w:p w:rsidR="003D702F" w:rsidRPr="00981E15" w:rsidRDefault="003D702F" w:rsidP="00032CF7">
      <w:pPr>
        <w:pStyle w:val="SingleTxt"/>
        <w:suppressAutoHyphens/>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92197C" w:rsidRPr="00981E15" w:rsidRDefault="0092197C" w:rsidP="003D702F">
      <w:pPr>
        <w:pStyle w:val="FootnoteText"/>
        <w:tabs>
          <w:tab w:val="clear" w:pos="418"/>
          <w:tab w:val="right" w:pos="1476"/>
          <w:tab w:val="left" w:pos="1548"/>
          <w:tab w:val="right" w:pos="1836"/>
          <w:tab w:val="left" w:pos="1908"/>
        </w:tabs>
        <w:ind w:left="1267" w:right="1267" w:hanging="1267"/>
        <w:rPr>
          <w:i/>
          <w:spacing w:val="4"/>
          <w:w w:val="103"/>
        </w:rPr>
      </w:pPr>
    </w:p>
    <w:p w:rsidR="003D702F" w:rsidRPr="00981E15" w:rsidRDefault="003D702F" w:rsidP="0092197C">
      <w:pPr>
        <w:pStyle w:val="FootnoteText"/>
        <w:tabs>
          <w:tab w:val="clear" w:pos="418"/>
          <w:tab w:val="right" w:pos="1476"/>
          <w:tab w:val="left" w:pos="1548"/>
          <w:tab w:val="right" w:pos="1836"/>
          <w:tab w:val="left" w:pos="1908"/>
        </w:tabs>
        <w:ind w:left="1267" w:right="1267" w:hanging="7"/>
        <w:rPr>
          <w:spacing w:val="4"/>
          <w:w w:val="103"/>
        </w:rPr>
      </w:pPr>
      <w:r w:rsidRPr="00981E15">
        <w:rPr>
          <w:i/>
          <w:spacing w:val="4"/>
          <w:w w:val="103"/>
        </w:rPr>
        <w:t>Fuente:</w:t>
      </w:r>
      <w:r w:rsidRPr="00981E15">
        <w:rPr>
          <w:spacing w:val="4"/>
          <w:w w:val="103"/>
        </w:rPr>
        <w:t xml:space="preserve"> PNS, 2006.</w:t>
      </w:r>
    </w:p>
    <w:p w:rsidR="0092197C" w:rsidRPr="00981E15" w:rsidRDefault="0092197C" w:rsidP="0092197C">
      <w:pPr>
        <w:pStyle w:val="FootnoteText"/>
        <w:tabs>
          <w:tab w:val="clear" w:pos="418"/>
          <w:tab w:val="right" w:pos="1476"/>
          <w:tab w:val="left" w:pos="1548"/>
          <w:tab w:val="right" w:pos="1836"/>
          <w:tab w:val="left" w:pos="1908"/>
        </w:tabs>
        <w:spacing w:line="120" w:lineRule="exact"/>
        <w:ind w:left="1267" w:right="1267" w:hanging="7"/>
        <w:rPr>
          <w:spacing w:val="4"/>
          <w:w w:val="103"/>
          <w:sz w:val="10"/>
        </w:rPr>
      </w:pPr>
    </w:p>
    <w:p w:rsidR="003D702F" w:rsidRPr="00981E15" w:rsidRDefault="003D702F" w:rsidP="0092197C">
      <w:pPr>
        <w:pStyle w:val="FootnoteText"/>
        <w:tabs>
          <w:tab w:val="clear" w:pos="418"/>
          <w:tab w:val="right" w:pos="1476"/>
          <w:tab w:val="left" w:pos="1548"/>
          <w:tab w:val="right" w:pos="1836"/>
          <w:tab w:val="left" w:pos="1908"/>
        </w:tabs>
        <w:ind w:left="1267" w:right="1267" w:hanging="7"/>
        <w:rPr>
          <w:spacing w:val="4"/>
          <w:w w:val="103"/>
        </w:rPr>
      </w:pPr>
      <w:r w:rsidRPr="00981E15">
        <w:rPr>
          <w:spacing w:val="4"/>
          <w:w w:val="103"/>
        </w:rPr>
        <w:t>ME = mujeres embarazadas.</w:t>
      </w:r>
    </w:p>
    <w:p w:rsidR="003D702F" w:rsidRPr="00981E15" w:rsidRDefault="003D702F" w:rsidP="003D702F">
      <w:pPr>
        <w:pStyle w:val="SingleTxt"/>
        <w:spacing w:after="0" w:line="120" w:lineRule="exact"/>
        <w:rPr>
          <w:sz w:val="10"/>
        </w:rPr>
      </w:pPr>
    </w:p>
    <w:p w:rsidR="003D702F" w:rsidRPr="00981E15" w:rsidRDefault="003D702F" w:rsidP="003D702F">
      <w:pPr>
        <w:pStyle w:val="FootnoteText"/>
        <w:tabs>
          <w:tab w:val="clear" w:pos="418"/>
          <w:tab w:val="right" w:pos="1476"/>
          <w:tab w:val="left" w:pos="1548"/>
          <w:tab w:val="right" w:pos="1836"/>
          <w:tab w:val="left" w:pos="1908"/>
        </w:tabs>
        <w:ind w:left="1267" w:right="1267" w:hanging="1267"/>
        <w:rPr>
          <w:spacing w:val="4"/>
          <w:w w:val="103"/>
        </w:rPr>
      </w:pPr>
      <w:r w:rsidRPr="00981E15">
        <w:rPr>
          <w:spacing w:val="4"/>
          <w:w w:val="103"/>
        </w:rPr>
        <w:tab/>
        <w:t>*</w:t>
      </w:r>
      <w:r w:rsidRPr="00981E15">
        <w:rPr>
          <w:spacing w:val="4"/>
          <w:w w:val="103"/>
        </w:rPr>
        <w:tab/>
        <w:t>Hasta septiembre de 2006.</w:t>
      </w:r>
    </w:p>
    <w:p w:rsidR="003D702F" w:rsidRPr="00981E15" w:rsidRDefault="003D702F" w:rsidP="003D702F">
      <w:pPr>
        <w:pStyle w:val="SingleTxt"/>
        <w:spacing w:after="0" w:line="120" w:lineRule="exact"/>
        <w:rPr>
          <w:sz w:val="10"/>
        </w:rPr>
      </w:pPr>
    </w:p>
    <w:p w:rsidR="003D702F" w:rsidRPr="00981E15" w:rsidRDefault="003D702F"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El considerable aumento en el servicio de tamizaje es el resultado de tres factores: a) la aplicación de normas para el manejo clínico de mujeres embarazadas VIH positivo o con SIDA; b) la elaboración de un diagnóstico situacional de siete áreas de salud priorizadas pero cero prevalencia; y c) la aplicación de pruebas rápidas para el diagnóstico del VIH en ocho áreas de salud en las cuales están implementados 39 servicios. Asimismo, se ha capacitado al personal de las áreas de salud (250 personas) para la atención y orientación de mujeres embarazadas VIH positivas.</w:t>
      </w:r>
    </w:p>
    <w:p w:rsidR="003D702F" w:rsidRPr="00981E15" w:rsidRDefault="003D702F" w:rsidP="003D702F">
      <w:pPr>
        <w:pStyle w:val="SingleTxt"/>
        <w:numPr>
          <w:ilvl w:val="0"/>
          <w:numId w:val="37"/>
        </w:numPr>
        <w:tabs>
          <w:tab w:val="clear" w:pos="475"/>
          <w:tab w:val="num" w:pos="1742"/>
        </w:tabs>
        <w:ind w:left="1267"/>
      </w:pPr>
      <w:r w:rsidRPr="00981E15">
        <w:t>Debido a la tendencia creciente antes indicada para el 2005, se han realizado gestiones para que los recién nacidos de mujeres VIH positivas tengan acceso a la profilaxis ARV proporcionada por el PNS en más del 70 por ciento actual. También es importante señalar que se ha dado seguimiento y evaluación a las mujeres pacientes viviendo con sida (PVVS) en post parto y sus recién nacidos en unidades de atención integral. El costo de estas actividades ha significado la erogación de un total de USD 980,000, que han sido cubiertos por USD 600,00 del Fondo Mundial, USD 300,000 por UNICEF y USD 80,000 por el MSPAS.</w:t>
      </w:r>
    </w:p>
    <w:p w:rsidR="003D702F" w:rsidRPr="00981E15" w:rsidRDefault="003D702F" w:rsidP="003D702F">
      <w:pPr>
        <w:pStyle w:val="SingleTxt"/>
        <w:numPr>
          <w:ilvl w:val="0"/>
          <w:numId w:val="37"/>
        </w:numPr>
        <w:tabs>
          <w:tab w:val="clear" w:pos="475"/>
          <w:tab w:val="num" w:pos="1742"/>
        </w:tabs>
        <w:ind w:left="1267"/>
      </w:pPr>
      <w:r w:rsidRPr="00981E15">
        <w:t>A partir de enero de 2006 se inició el estudio denominado “sífilis en mujeres embarazadas” en cuatro maternidades periféricas de la capital, con el objetivo de caracterizar epidemiológicamente este problema, así como analizar el proceso de esta vigilancia.</w:t>
      </w:r>
    </w:p>
    <w:p w:rsidR="003D702F" w:rsidRPr="00981E15" w:rsidRDefault="003D702F" w:rsidP="003D702F">
      <w:pPr>
        <w:pStyle w:val="SingleTxt"/>
        <w:spacing w:after="0" w:line="120" w:lineRule="exact"/>
        <w:rPr>
          <w:sz w:val="10"/>
        </w:rPr>
      </w:pPr>
    </w:p>
    <w:p w:rsidR="00707FC5" w:rsidRPr="00981E15" w:rsidRDefault="00707FC5" w:rsidP="003D702F">
      <w:pPr>
        <w:pStyle w:val="SingleTxt"/>
        <w:spacing w:after="0" w:line="120" w:lineRule="exact"/>
        <w:rPr>
          <w:sz w:val="10"/>
        </w:rPr>
      </w:pPr>
    </w:p>
    <w:p w:rsidR="003D702F" w:rsidRPr="00981E15" w:rsidRDefault="003D702F" w:rsidP="00707F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Programa de Salud Mental </w:t>
      </w:r>
    </w:p>
    <w:p w:rsidR="003D702F" w:rsidRPr="00981E15" w:rsidRDefault="003D702F" w:rsidP="003D702F">
      <w:pPr>
        <w:pStyle w:val="SingleTxt"/>
        <w:spacing w:after="0" w:line="120" w:lineRule="exact"/>
        <w:rPr>
          <w:sz w:val="10"/>
        </w:rPr>
      </w:pPr>
    </w:p>
    <w:p w:rsidR="00707FC5" w:rsidRPr="00981E15" w:rsidRDefault="00707FC5" w:rsidP="003D702F">
      <w:pPr>
        <w:pStyle w:val="SingleTxt"/>
        <w:spacing w:after="0" w:line="120" w:lineRule="exact"/>
        <w:rPr>
          <w:sz w:val="10"/>
        </w:rPr>
      </w:pPr>
    </w:p>
    <w:p w:rsidR="003D702F" w:rsidRPr="00981E15" w:rsidRDefault="003D702F" w:rsidP="003D702F">
      <w:pPr>
        <w:pStyle w:val="SingleTxt"/>
        <w:numPr>
          <w:ilvl w:val="0"/>
          <w:numId w:val="37"/>
        </w:numPr>
        <w:tabs>
          <w:tab w:val="clear" w:pos="475"/>
          <w:tab w:val="num" w:pos="1742"/>
        </w:tabs>
        <w:ind w:left="1267"/>
      </w:pPr>
      <w:r w:rsidRPr="00981E15">
        <w:t>Este programa que forma parte del Plan Nacional de Salud 2004-2020 tiene como objetivo iniciar el reconocimiento y registro de los problemas de salud mental más comunes en atención primaria. Dentro de los principales ejes de intervención: violencia (intrafamiliar, política, basada en género, patrimonial, infanto juvenil y sexual), alcoholismo y adicciones, desastres y emergencias, trastornos mentales más frecuentes, trastornos comportamentales de la niñez y adolescencia.</w:t>
      </w:r>
    </w:p>
    <w:p w:rsidR="003D702F" w:rsidRPr="00981E15" w:rsidRDefault="003D702F" w:rsidP="003D702F">
      <w:pPr>
        <w:pStyle w:val="SingleTxt"/>
        <w:numPr>
          <w:ilvl w:val="0"/>
          <w:numId w:val="37"/>
        </w:numPr>
        <w:tabs>
          <w:tab w:val="clear" w:pos="475"/>
          <w:tab w:val="num" w:pos="1742"/>
        </w:tabs>
        <w:ind w:left="1267"/>
      </w:pPr>
      <w:r w:rsidRPr="00981E15">
        <w:t xml:space="preserve">Dentro de las acciones prioritarias de cada eje se ejecuta la promoción, prevención, detección, diagnóstico, tratamiento y atención al daño, así como rehabilitación y recuperación psicosocial. Entre los principales logros del programa se encuentran: </w:t>
      </w:r>
    </w:p>
    <w:p w:rsidR="003D702F" w:rsidRPr="00981E15" w:rsidRDefault="003D702F" w:rsidP="00032CF7">
      <w:pPr>
        <w:pStyle w:val="SingleTxt"/>
        <w:tabs>
          <w:tab w:val="right" w:pos="1685"/>
        </w:tabs>
        <w:suppressAutoHyphens/>
        <w:ind w:left="1742" w:hanging="475"/>
      </w:pPr>
      <w:r w:rsidRPr="00981E15">
        <w:tab/>
        <w:t>•</w:t>
      </w:r>
      <w:r w:rsidRPr="00981E15">
        <w:tab/>
        <w:t xml:space="preserve">Elaboración, socialización e inicio de implementación de: 1) protocolo de atención a personas afectadas por violencia, violencia sexual basada en género, violencia por el conflicto armado interno, 2) protocolo de atención en desastres, 3) protocolo de atención de los principales problemas mentales más frecuentes. </w:t>
      </w:r>
    </w:p>
    <w:p w:rsidR="003D702F" w:rsidRPr="00981E15" w:rsidRDefault="003D702F" w:rsidP="00032CF7">
      <w:pPr>
        <w:pStyle w:val="SingleTxt"/>
        <w:tabs>
          <w:tab w:val="right" w:pos="1685"/>
        </w:tabs>
        <w:suppressAutoHyphens/>
        <w:ind w:left="1742" w:hanging="475"/>
      </w:pPr>
      <w:r w:rsidRPr="00981E15">
        <w:tab/>
        <w:t>•</w:t>
      </w:r>
      <w:r w:rsidRPr="00981E15">
        <w:tab/>
        <w:t xml:space="preserve">Política de Salud Mental para la atención integral 2007-2015, y el Plan Estratégico para el Fomento de </w:t>
      </w:r>
      <w:smartTag w:uri="urn:schemas-microsoft-com:office:smarttags" w:element="PersonName">
        <w:smartTagPr>
          <w:attr w:name="ProductID" w:val="la Salud Mental"/>
        </w:smartTagPr>
        <w:r w:rsidRPr="00981E15">
          <w:t>la Salud Mental</w:t>
        </w:r>
      </w:smartTag>
      <w:r w:rsidRPr="00981E15">
        <w:t xml:space="preserve"> 2007-2020.</w:t>
      </w:r>
    </w:p>
    <w:p w:rsidR="003D702F" w:rsidRPr="00981E15" w:rsidRDefault="003D702F" w:rsidP="00032CF7">
      <w:pPr>
        <w:pStyle w:val="SingleTxt"/>
        <w:tabs>
          <w:tab w:val="right" w:pos="1685"/>
        </w:tabs>
        <w:suppressAutoHyphens/>
        <w:ind w:left="1742" w:hanging="475"/>
      </w:pPr>
      <w:r w:rsidRPr="00981E15">
        <w:tab/>
        <w:t>•</w:t>
      </w:r>
      <w:r w:rsidRPr="00981E15">
        <w:tab/>
        <w:t xml:space="preserve">Se trabajó en </w:t>
      </w:r>
      <w:smartTag w:uri="urn:schemas-microsoft-com:office:smarttags" w:element="PersonName">
        <w:smartTagPr>
          <w:attr w:name="ProductID" w:val="La Investigaci￳n"/>
        </w:smartTagPr>
        <w:r w:rsidRPr="00981E15">
          <w:t>la Investigación</w:t>
        </w:r>
      </w:smartTag>
      <w:r w:rsidRPr="00981E15">
        <w:t xml:space="preserve"> de </w:t>
      </w:r>
      <w:smartTag w:uri="urn:schemas-microsoft-com:office:smarttags" w:element="PersonName">
        <w:smartTagPr>
          <w:attr w:name="ProductID" w:val="la Situaci￳n"/>
        </w:smartTagPr>
        <w:r w:rsidRPr="00981E15">
          <w:t>la Situación</w:t>
        </w:r>
      </w:smartTag>
      <w:r w:rsidRPr="00981E15">
        <w:t xml:space="preserve"> de Salud Mental del país, en el Marco de la reforma de los Servicios de Salud Mental y también se trabajó en </w:t>
      </w:r>
      <w:smartTag w:uri="urn:schemas-microsoft-com:office:smarttags" w:element="PersonName">
        <w:smartTagPr>
          <w:attr w:name="ProductID" w:val="La Investigaci￳n"/>
        </w:smartTagPr>
        <w:r w:rsidRPr="00981E15">
          <w:t>la Investigación</w:t>
        </w:r>
      </w:smartTag>
      <w:r w:rsidRPr="00981E15">
        <w:t xml:space="preserve"> de </w:t>
      </w:r>
      <w:smartTag w:uri="urn:schemas-microsoft-com:office:smarttags" w:element="PersonName">
        <w:smartTagPr>
          <w:attr w:name="ProductID" w:val="la Situaci￳n"/>
        </w:smartTagPr>
        <w:r w:rsidRPr="00981E15">
          <w:t>la Situación</w:t>
        </w:r>
      </w:smartTag>
      <w:r w:rsidRPr="00981E15">
        <w:t xml:space="preserve"> de los Servicios de Salud Mental a Nivel Nacional.</w:t>
      </w:r>
    </w:p>
    <w:p w:rsidR="004F345B" w:rsidRPr="00981E15" w:rsidRDefault="004F345B" w:rsidP="00FF4ADA">
      <w:pPr>
        <w:pStyle w:val="SingleTxt"/>
        <w:tabs>
          <w:tab w:val="right" w:pos="1685"/>
        </w:tabs>
        <w:suppressAutoHyphens/>
        <w:ind w:left="1742" w:hanging="475"/>
      </w:pPr>
      <w:r w:rsidRPr="00981E15">
        <w:tab/>
        <w:t>•</w:t>
      </w:r>
      <w:r w:rsidRPr="00981E15">
        <w:tab/>
        <w:t xml:space="preserve">Se inició el Proceso de descentralización de Psiquiatras de </w:t>
      </w:r>
      <w:smartTag w:uri="urn:schemas-microsoft-com:office:smarttags" w:element="PersonName">
        <w:smartTagPr>
          <w:attr w:name="ProductID" w:val="la Consulta Externa"/>
        </w:smartTagPr>
        <w:r w:rsidRPr="00981E15">
          <w:t>la Consulta Externa</w:t>
        </w:r>
      </w:smartTag>
      <w:r w:rsidRPr="00981E15">
        <w:t xml:space="preserve"> del Hospital Nacional de Salud Mental, a dos clínicas Periféricas, zona 18 y 19.</w:t>
      </w:r>
    </w:p>
    <w:p w:rsidR="004F345B" w:rsidRPr="00981E15" w:rsidRDefault="004F345B" w:rsidP="00FF4ADA">
      <w:pPr>
        <w:pStyle w:val="SingleTxt"/>
        <w:tabs>
          <w:tab w:val="right" w:pos="1685"/>
        </w:tabs>
        <w:suppressAutoHyphens/>
        <w:ind w:left="1742" w:hanging="475"/>
      </w:pPr>
      <w:r w:rsidRPr="00981E15">
        <w:tab/>
        <w:t>•</w:t>
      </w:r>
      <w:r w:rsidRPr="00981E15">
        <w:tab/>
        <w:t xml:space="preserve">Se contrataron psicólogos para los Distritos Municipales de Salud ubicados en Rabinal, Baja Verapaz y en </w:t>
      </w:r>
      <w:smartTag w:uri="urn:schemas-microsoft-com:office:smarttags" w:element="PersonName">
        <w:smartTagPr>
          <w:attr w:name="ProductID" w:val="La Libertad"/>
        </w:smartTagPr>
        <w:r w:rsidRPr="00981E15">
          <w:t>La Libertad</w:t>
        </w:r>
      </w:smartTag>
      <w:r w:rsidRPr="00981E15">
        <w:t xml:space="preserve">, Petén. Ello como parte de la implementación del Modelo de Atención Integral con énfasis en Salud Mental, en respuesta a </w:t>
      </w:r>
      <w:smartTag w:uri="urn:schemas-microsoft-com:office:smarttags" w:element="PersonName">
        <w:smartTagPr>
          <w:attr w:name="ProductID" w:val="la Sentencia"/>
        </w:smartTagPr>
        <w:r w:rsidRPr="00981E15">
          <w:t>la Sentencia</w:t>
        </w:r>
      </w:smartTag>
      <w:r w:rsidRPr="00981E15">
        <w:t xml:space="preserve"> de </w:t>
      </w:r>
      <w:smartTag w:uri="urn:schemas-microsoft-com:office:smarttags" w:element="PersonName">
        <w:smartTagPr>
          <w:attr w:name="ProductID" w:val="la Corte Interamericana"/>
        </w:smartTagPr>
        <w:r w:rsidRPr="00981E15">
          <w:t>la Corte Interamericana</w:t>
        </w:r>
      </w:smartTag>
      <w:r w:rsidRPr="00981E15">
        <w:t xml:space="preserve"> de Derechos Humanos.</w:t>
      </w:r>
    </w:p>
    <w:p w:rsidR="004F345B" w:rsidRPr="00981E15" w:rsidRDefault="004F345B" w:rsidP="00FF4ADA">
      <w:pPr>
        <w:pStyle w:val="SingleTxt"/>
        <w:tabs>
          <w:tab w:val="right" w:pos="1685"/>
        </w:tabs>
        <w:suppressAutoHyphens/>
        <w:ind w:left="1742" w:hanging="475"/>
        <w:rPr>
          <w:rFonts w:eastAsia="Batang"/>
        </w:rPr>
      </w:pPr>
      <w:r w:rsidRPr="00981E15">
        <w:tab/>
        <w:t>•</w:t>
      </w:r>
      <w:r w:rsidRPr="00981E15">
        <w:tab/>
      </w:r>
      <w:r w:rsidRPr="00981E15">
        <w:rPr>
          <w:rFonts w:eastAsia="Batang"/>
        </w:rPr>
        <w:t xml:space="preserve">Se elaboró e implementó el Plan Integral con énfasis en Salud Mental, en respuesta a la sentencia de </w:t>
      </w:r>
      <w:smartTag w:uri="urn:schemas-microsoft-com:office:smarttags" w:element="PersonName">
        <w:smartTagPr>
          <w:attr w:name="ProductID" w:val="la Corte Interamericana"/>
        </w:smartTagPr>
        <w:r w:rsidRPr="00981E15">
          <w:rPr>
            <w:rFonts w:eastAsia="Batang"/>
          </w:rPr>
          <w:t>la Corte Interamericana</w:t>
        </w:r>
      </w:smartTag>
      <w:r w:rsidRPr="00981E15">
        <w:rPr>
          <w:rFonts w:eastAsia="Batang"/>
        </w:rPr>
        <w:t xml:space="preserve"> de Derechos Humanos, por violación de los derechos humanos en la aldea Plan de Sánchez, Rabinal, Baja Verapaz, durante el conflicto armado interno, beneficiando a 41 mil 500 habitantes del distrito municipal de salud del citado municipio.</w:t>
      </w:r>
    </w:p>
    <w:p w:rsidR="004F345B" w:rsidRPr="00981E15" w:rsidRDefault="004F345B" w:rsidP="00FF4ADA">
      <w:pPr>
        <w:pStyle w:val="SingleTxt"/>
        <w:tabs>
          <w:tab w:val="right" w:pos="1685"/>
        </w:tabs>
        <w:suppressAutoHyphens/>
        <w:ind w:left="1742" w:hanging="475"/>
        <w:rPr>
          <w:rFonts w:eastAsia="Batang"/>
        </w:rPr>
      </w:pPr>
      <w:r w:rsidRPr="00981E15">
        <w:tab/>
        <w:t>•</w:t>
      </w:r>
      <w:r w:rsidRPr="00981E15">
        <w:tab/>
      </w:r>
      <w:r w:rsidRPr="00981E15">
        <w:rPr>
          <w:rFonts w:eastAsia="Batang"/>
        </w:rPr>
        <w:t xml:space="preserve">Implementación del Plan Integral con énfasis en salud mental, en respuesta al acercamiento amistoso del Gobierno, garantizando atención psicosocial a la población de Dos Erres, contribuyendo a evitar la condena por violación de los derechos humanos, beneficiando a 60 mil habitantes del distrito municipal de </w:t>
      </w:r>
      <w:smartTag w:uri="urn:schemas-microsoft-com:office:smarttags" w:element="PersonName">
        <w:smartTagPr>
          <w:attr w:name="ProductID" w:val="La Libertad"/>
        </w:smartTagPr>
        <w:r w:rsidRPr="00981E15">
          <w:rPr>
            <w:rFonts w:eastAsia="Batang"/>
          </w:rPr>
          <w:t>La Libertad</w:t>
        </w:r>
      </w:smartTag>
      <w:r w:rsidRPr="00981E15">
        <w:rPr>
          <w:rFonts w:eastAsia="Batang"/>
        </w:rPr>
        <w:t>, Petén Suroccidental, Sayaxché.</w:t>
      </w:r>
    </w:p>
    <w:p w:rsidR="004F345B" w:rsidRPr="00981E15" w:rsidRDefault="004F345B" w:rsidP="00FF4ADA">
      <w:pPr>
        <w:pStyle w:val="SingleTxt"/>
        <w:tabs>
          <w:tab w:val="right" w:pos="1685"/>
        </w:tabs>
        <w:suppressAutoHyphens/>
        <w:ind w:left="1742" w:hanging="475"/>
        <w:rPr>
          <w:rFonts w:eastAsia="Batang"/>
        </w:rPr>
      </w:pPr>
      <w:r w:rsidRPr="00981E15">
        <w:tab/>
        <w:t>•</w:t>
      </w:r>
      <w:r w:rsidRPr="00981E15">
        <w:tab/>
      </w:r>
      <w:r w:rsidRPr="00981E15">
        <w:rPr>
          <w:rFonts w:eastAsia="Batang"/>
        </w:rPr>
        <w:t>Elaboración y validación del protocolo de atención a víctimas de violencia política, experiencia única en Guatemala dentro del sector público, fortaleciendo el rol rector del Ministerio de Salud Pública en materia de recuperación psicosocial, a beneficio nacional.</w:t>
      </w:r>
    </w:p>
    <w:p w:rsidR="004F345B" w:rsidRPr="00981E15" w:rsidRDefault="004F345B" w:rsidP="00FF4ADA">
      <w:pPr>
        <w:pStyle w:val="SingleTxt"/>
        <w:tabs>
          <w:tab w:val="right" w:pos="1685"/>
        </w:tabs>
        <w:suppressAutoHyphens/>
        <w:ind w:left="1742" w:hanging="475"/>
        <w:rPr>
          <w:rFonts w:eastAsia="Batang"/>
        </w:rPr>
      </w:pPr>
      <w:r w:rsidRPr="00981E15">
        <w:tab/>
        <w:t>•</w:t>
      </w:r>
      <w:r w:rsidRPr="00981E15">
        <w:tab/>
      </w:r>
      <w:r w:rsidRPr="00981E15">
        <w:rPr>
          <w:rFonts w:eastAsia="Batang"/>
        </w:rPr>
        <w:t xml:space="preserve">Se dio atención psicosocial a 90 mil personas afectadas por la tormenta </w:t>
      </w:r>
      <w:r w:rsidRPr="00981E15">
        <w:rPr>
          <w:rFonts w:eastAsia="Batang"/>
          <w:i/>
        </w:rPr>
        <w:t>Stan</w:t>
      </w:r>
      <w:r w:rsidRPr="00981E15">
        <w:rPr>
          <w:rFonts w:eastAsia="Batang"/>
        </w:rPr>
        <w:t xml:space="preserve">, durante un año (2005-2006), con personal especializado en salud mental, en los primeros seis meses, atención garantizada por un equipo multidisciplinario en los departamentos afectados de Sololá, Quetzaltenango, Huehuetenango, San Marcos, Chimaltenango, Retalhuleu, Suchitepéquez y Escuintla. </w:t>
      </w:r>
    </w:p>
    <w:p w:rsidR="004F345B" w:rsidRPr="00981E15" w:rsidRDefault="004F345B" w:rsidP="00FF4ADA">
      <w:pPr>
        <w:pStyle w:val="SingleTxt"/>
        <w:tabs>
          <w:tab w:val="right" w:pos="1685"/>
        </w:tabs>
        <w:suppressAutoHyphens/>
        <w:ind w:left="1742" w:hanging="475"/>
        <w:rPr>
          <w:rFonts w:eastAsia="Batang"/>
        </w:rPr>
      </w:pPr>
      <w:r w:rsidRPr="00981E15">
        <w:tab/>
        <w:t>•</w:t>
      </w:r>
      <w:r w:rsidRPr="00981E15">
        <w:tab/>
      </w:r>
      <w:r w:rsidRPr="00981E15">
        <w:rPr>
          <w:rFonts w:eastAsia="Batang"/>
        </w:rPr>
        <w:t xml:space="preserve">Se capacitó a 35 Psicólogos de áreas de salud y del proyecto Pos tormenta </w:t>
      </w:r>
      <w:r w:rsidRPr="00981E15">
        <w:rPr>
          <w:rFonts w:eastAsia="Batang"/>
          <w:i/>
        </w:rPr>
        <w:t>Stan</w:t>
      </w:r>
      <w:r w:rsidRPr="00981E15">
        <w:rPr>
          <w:rFonts w:eastAsia="Batang"/>
        </w:rPr>
        <w:t xml:space="preserve">, sobre promoción de la salud mental, beneficiando a dos millones 500 mil habitantes en 12 áreas de salud afectadas por la tormenta </w:t>
      </w:r>
      <w:r w:rsidRPr="00981E15">
        <w:rPr>
          <w:rFonts w:eastAsia="Batang"/>
          <w:i/>
        </w:rPr>
        <w:t xml:space="preserve">Stan </w:t>
      </w:r>
      <w:r w:rsidRPr="00981E15">
        <w:rPr>
          <w:rFonts w:eastAsia="Batang"/>
        </w:rPr>
        <w:t>y post-</w:t>
      </w:r>
      <w:r w:rsidRPr="00981E15">
        <w:rPr>
          <w:rFonts w:eastAsia="Batang"/>
          <w:i/>
        </w:rPr>
        <w:t>Stan</w:t>
      </w:r>
      <w:r w:rsidRPr="00981E15">
        <w:rPr>
          <w:rFonts w:eastAsia="Batang"/>
        </w:rPr>
        <w:t>, con financiamiento parcial de USAID/URC/Calidad en Salud.</w:t>
      </w:r>
    </w:p>
    <w:p w:rsidR="004F345B" w:rsidRPr="00981E15" w:rsidRDefault="004F345B" w:rsidP="004F345B">
      <w:pPr>
        <w:pStyle w:val="SingleTxt"/>
        <w:spacing w:after="0" w:line="120" w:lineRule="exact"/>
        <w:rPr>
          <w:rFonts w:eastAsia="Batang"/>
          <w:sz w:val="10"/>
        </w:rPr>
      </w:pPr>
    </w:p>
    <w:p w:rsidR="004F345B" w:rsidRPr="00981E15" w:rsidRDefault="004F345B" w:rsidP="004F345B">
      <w:pPr>
        <w:pStyle w:val="SingleTxt"/>
        <w:spacing w:after="0" w:line="120" w:lineRule="exact"/>
        <w:rPr>
          <w:rFonts w:eastAsia="Batang"/>
          <w:sz w:val="10"/>
        </w:rPr>
      </w:pPr>
    </w:p>
    <w:p w:rsidR="004F345B" w:rsidRPr="00981E15" w:rsidRDefault="004F345B" w:rsidP="004F34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Violencia Intrafamiliar</w:t>
      </w:r>
    </w:p>
    <w:p w:rsidR="004F345B" w:rsidRPr="00981E15" w:rsidRDefault="004F345B" w:rsidP="004F345B">
      <w:pPr>
        <w:pStyle w:val="SingleTxt"/>
        <w:spacing w:after="0" w:line="120" w:lineRule="exact"/>
        <w:rPr>
          <w:sz w:val="10"/>
        </w:rPr>
      </w:pP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El Estado de Guatemala cuenta con instituciones que por mandato legal atienden la violencia intrafamiliar y la violencia contra las mujeres, para responder a esta problemática, siendo las principales </w:t>
      </w:r>
      <w:smartTag w:uri="urn:schemas-microsoft-com:office:smarttags" w:element="PersonName">
        <w:smartTagPr>
          <w:attr w:name="ProductID" w:val="la Coordinadora Nacional"/>
        </w:smartTagPr>
        <w:r w:rsidRPr="00981E15">
          <w:t>la Coordinadora Nacional</w:t>
        </w:r>
      </w:smartTag>
      <w:r w:rsidRPr="00981E15">
        <w:t xml:space="preserve"> para </w:t>
      </w:r>
      <w:smartTag w:uri="urn:schemas-microsoft-com:office:smarttags" w:element="PersonName">
        <w:smartTagPr>
          <w:attr w:name="ProductID" w:val="la Prevenci￳n"/>
        </w:smartTagPr>
        <w:r w:rsidRPr="00981E15">
          <w:t>la Prevención</w:t>
        </w:r>
      </w:smartTag>
      <w:r w:rsidRPr="00981E15">
        <w:t xml:space="preserve"> de </w:t>
      </w:r>
      <w:smartTag w:uri="urn:schemas-microsoft-com:office:smarttags" w:element="PersonName">
        <w:smartTagPr>
          <w:attr w:name="ProductID" w:val="la Violencia Intrafamiliar"/>
        </w:smartTagPr>
        <w:r w:rsidRPr="00981E15">
          <w:t>la Violencia Intrafamiliar</w:t>
        </w:r>
      </w:smartTag>
      <w:r w:rsidRPr="00981E15">
        <w:t xml:space="preserve"> y Contra las Mujeres (CONAPREVI) y el Programa de Prevención y Erradicación de </w:t>
      </w:r>
      <w:smartTag w:uri="urn:schemas-microsoft-com:office:smarttags" w:element="PersonName">
        <w:smartTagPr>
          <w:attr w:name="ProductID" w:val="la Violencia Intrafamiliar"/>
        </w:smartTagPr>
        <w:r w:rsidRPr="00981E15">
          <w:t>la Violencia Intrafamiliar</w:t>
        </w:r>
      </w:smartTag>
      <w:r w:rsidRPr="00981E15">
        <w:t xml:space="preserve"> (PROPEVI).</w:t>
      </w:r>
      <w:r w:rsidR="005E7D65" w:rsidRPr="00981E15">
        <w:t xml:space="preserve"> </w:t>
      </w:r>
    </w:p>
    <w:p w:rsidR="004F345B" w:rsidRPr="00981E15" w:rsidRDefault="004F345B" w:rsidP="004F345B">
      <w:pPr>
        <w:pStyle w:val="SingleTxt"/>
        <w:numPr>
          <w:ilvl w:val="0"/>
          <w:numId w:val="39"/>
        </w:numPr>
        <w:tabs>
          <w:tab w:val="clear" w:pos="475"/>
          <w:tab w:val="num" w:pos="1742"/>
        </w:tabs>
        <w:ind w:left="1267"/>
      </w:pPr>
      <w:r w:rsidRPr="00981E15">
        <w:t xml:space="preserve">El trabajo que ha desarrollado CONAPREVI, como instancia asesora, coordinadora e impulsora de políticas públicas dirigidas a prevenir, atender y erradicar la violencia intrafamiliar y contra las mujeres, se desarrolló en la parte de </w:t>
      </w:r>
      <w:r w:rsidRPr="00981E15">
        <w:rPr>
          <w:i/>
        </w:rPr>
        <w:t>Mecanismos Especializados de la Mujer</w:t>
      </w:r>
      <w:r w:rsidRPr="00981E15">
        <w:t>.</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Programa de Prevención y Erradicación de </w:t>
      </w:r>
      <w:smartTag w:uri="urn:schemas-microsoft-com:office:smarttags" w:element="PersonName">
        <w:smartTagPr>
          <w:attr w:name="ProductID" w:val="la Violencia Intrafamiliar"/>
        </w:smartTagPr>
        <w:r w:rsidRPr="00981E15">
          <w:t>la Violencia Intrafamiliar</w:t>
        </w:r>
      </w:smartTag>
      <w:r w:rsidRPr="00981E15">
        <w:t xml:space="preserve"> (PROPEVI)</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A partir de 2007 PROPEVI se encuentra ubicada en la estructura programática y presupuestaria de </w:t>
      </w:r>
      <w:smartTag w:uri="urn:schemas-microsoft-com:office:smarttags" w:element="PersonName">
        <w:smartTagPr>
          <w:attr w:name="ProductID" w:val="la Secretar￭a"/>
        </w:smartTagPr>
        <w:r w:rsidRPr="00981E15">
          <w:t>la Secretaría</w:t>
        </w:r>
      </w:smartTag>
      <w:r w:rsidRPr="00981E15">
        <w:t xml:space="preserve"> de Bienestar Social, con el objetivo de brindar atención integral a víctima de violencia intrafamiliar a nivel departamental. PROPEVI brinda orientación social, legal y terapia psicológica a las personas víctimas de violencia intrafamiliar, en su mayoría mujeres. PROPEVI brinda sus servicios a nivel central y nacional, cuenta con un delegado o una delegada en los 21 departamentos restantes del país.</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rPr>
          <w:b w:val="0"/>
        </w:rPr>
        <w:br w:type="page"/>
      </w:r>
      <w:r w:rsidRPr="00981E15">
        <w:rPr>
          <w:b w:val="0"/>
        </w:rPr>
        <w:tab/>
      </w:r>
      <w:r w:rsidRPr="00981E15">
        <w:rPr>
          <w:b w:val="0"/>
        </w:rPr>
        <w:tab/>
        <w:t>Cuadro 30</w:t>
      </w:r>
      <w:r w:rsidRPr="00981E15">
        <w:rPr>
          <w:b w:val="0"/>
        </w:rPr>
        <w:br/>
      </w:r>
      <w:r w:rsidRPr="00981E15">
        <w:t>Casos atendidos por PROPEVI 2004-2007</w:t>
      </w:r>
    </w:p>
    <w:p w:rsidR="004F345B" w:rsidRPr="00981E15" w:rsidRDefault="004F345B" w:rsidP="004F345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72"/>
        <w:gridCol w:w="1116"/>
        <w:gridCol w:w="1170"/>
        <w:gridCol w:w="1098"/>
        <w:gridCol w:w="1164"/>
      </w:tblGrid>
      <w:tr w:rsidR="004F345B" w:rsidRPr="00981E15">
        <w:tblPrEx>
          <w:tblCellMar>
            <w:top w:w="0" w:type="dxa"/>
            <w:bottom w:w="0" w:type="dxa"/>
          </w:tblCellMar>
        </w:tblPrEx>
        <w:trPr>
          <w:tblHeader/>
        </w:trPr>
        <w:tc>
          <w:tcPr>
            <w:tcW w:w="2772"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left"/>
              <w:rPr>
                <w:i/>
                <w:sz w:val="14"/>
                <w:szCs w:val="24"/>
              </w:rPr>
            </w:pPr>
            <w:r w:rsidRPr="00981E15">
              <w:rPr>
                <w:i/>
                <w:sz w:val="14"/>
                <w:szCs w:val="24"/>
              </w:rPr>
              <w:t>Población que atiende</w:t>
            </w:r>
          </w:p>
        </w:tc>
        <w:tc>
          <w:tcPr>
            <w:tcW w:w="1116"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i/>
                <w:sz w:val="14"/>
                <w:szCs w:val="24"/>
              </w:rPr>
            </w:pPr>
            <w:r w:rsidRPr="00981E15">
              <w:rPr>
                <w:i/>
                <w:sz w:val="14"/>
                <w:szCs w:val="24"/>
              </w:rPr>
              <w:t>2004</w:t>
            </w:r>
          </w:p>
        </w:tc>
        <w:tc>
          <w:tcPr>
            <w:tcW w:w="1170"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i/>
                <w:sz w:val="14"/>
                <w:szCs w:val="24"/>
              </w:rPr>
            </w:pPr>
            <w:r w:rsidRPr="00981E15">
              <w:rPr>
                <w:i/>
                <w:sz w:val="14"/>
                <w:szCs w:val="24"/>
              </w:rPr>
              <w:t>2005</w:t>
            </w:r>
          </w:p>
        </w:tc>
        <w:tc>
          <w:tcPr>
            <w:tcW w:w="1098"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i/>
                <w:sz w:val="14"/>
                <w:szCs w:val="24"/>
              </w:rPr>
            </w:pPr>
            <w:r w:rsidRPr="00981E15">
              <w:rPr>
                <w:i/>
                <w:sz w:val="14"/>
                <w:szCs w:val="24"/>
              </w:rPr>
              <w:t>2006</w:t>
            </w:r>
          </w:p>
        </w:tc>
        <w:tc>
          <w:tcPr>
            <w:tcW w:w="1164"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i/>
                <w:sz w:val="14"/>
                <w:szCs w:val="24"/>
              </w:rPr>
            </w:pPr>
            <w:r w:rsidRPr="00981E15">
              <w:rPr>
                <w:i/>
                <w:sz w:val="14"/>
                <w:szCs w:val="24"/>
              </w:rPr>
              <w:t>2007(*)</w:t>
            </w:r>
          </w:p>
        </w:tc>
      </w:tr>
      <w:tr w:rsidR="004F345B" w:rsidRPr="00981E15">
        <w:tblPrEx>
          <w:tblCellMar>
            <w:top w:w="0" w:type="dxa"/>
            <w:bottom w:w="0" w:type="dxa"/>
          </w:tblCellMar>
        </w:tblPrEx>
        <w:trPr>
          <w:trHeight w:hRule="exact" w:val="115"/>
          <w:tblHeader/>
        </w:trPr>
        <w:tc>
          <w:tcPr>
            <w:tcW w:w="2772"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sz w:val="17"/>
              </w:rPr>
            </w:pPr>
          </w:p>
        </w:tc>
        <w:tc>
          <w:tcPr>
            <w:tcW w:w="1116"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sz w:val="17"/>
              </w:rPr>
            </w:pPr>
          </w:p>
        </w:tc>
        <w:tc>
          <w:tcPr>
            <w:tcW w:w="1170"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sz w:val="17"/>
              </w:rPr>
            </w:pPr>
          </w:p>
        </w:tc>
        <w:tc>
          <w:tcPr>
            <w:tcW w:w="1098"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sz w:val="17"/>
              </w:rPr>
            </w:pPr>
          </w:p>
        </w:tc>
        <w:tc>
          <w:tcPr>
            <w:tcW w:w="1164"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jc w:val="right"/>
              <w:rPr>
                <w:sz w:val="17"/>
              </w:rPr>
            </w:pPr>
          </w:p>
        </w:tc>
      </w:tr>
      <w:tr w:rsidR="004F345B" w:rsidRPr="00981E15">
        <w:tblPrEx>
          <w:tblCellMar>
            <w:top w:w="0" w:type="dxa"/>
            <w:bottom w:w="0" w:type="dxa"/>
          </w:tblCellMar>
        </w:tblPrEx>
        <w:tc>
          <w:tcPr>
            <w:tcW w:w="2772" w:type="dxa"/>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rPr>
                <w:sz w:val="17"/>
                <w:szCs w:val="24"/>
              </w:rPr>
            </w:pPr>
            <w:r w:rsidRPr="00981E15">
              <w:rPr>
                <w:sz w:val="17"/>
                <w:szCs w:val="24"/>
              </w:rPr>
              <w:t>Casos atendidos VIF</w:t>
            </w:r>
          </w:p>
        </w:tc>
        <w:tc>
          <w:tcPr>
            <w:tcW w:w="1116" w:type="dxa"/>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sidRPr="00981E15">
              <w:rPr>
                <w:sz w:val="17"/>
                <w:szCs w:val="24"/>
              </w:rPr>
              <w:t>6,550</w:t>
            </w:r>
          </w:p>
        </w:tc>
        <w:tc>
          <w:tcPr>
            <w:tcW w:w="1170" w:type="dxa"/>
            <w:shd w:val="clear" w:color="auto" w:fill="auto"/>
            <w:vAlign w:val="bottom"/>
          </w:tcPr>
          <w:p w:rsidR="004F345B" w:rsidRPr="00981E15" w:rsidRDefault="0045641F"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4,</w:t>
            </w:r>
            <w:r w:rsidR="004F345B" w:rsidRPr="00981E15">
              <w:rPr>
                <w:sz w:val="17"/>
                <w:szCs w:val="24"/>
              </w:rPr>
              <w:t>707</w:t>
            </w:r>
          </w:p>
        </w:tc>
        <w:tc>
          <w:tcPr>
            <w:tcW w:w="1098" w:type="dxa"/>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sidRPr="00981E15">
              <w:rPr>
                <w:sz w:val="17"/>
                <w:szCs w:val="24"/>
              </w:rPr>
              <w:t>2,625</w:t>
            </w:r>
          </w:p>
        </w:tc>
        <w:tc>
          <w:tcPr>
            <w:tcW w:w="1164" w:type="dxa"/>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sidRPr="00981E15">
              <w:rPr>
                <w:sz w:val="17"/>
                <w:szCs w:val="24"/>
              </w:rPr>
              <w:t>1,576</w:t>
            </w:r>
          </w:p>
        </w:tc>
      </w:tr>
      <w:tr w:rsidR="004F345B" w:rsidRPr="00981E15">
        <w:tblPrEx>
          <w:tblCellMar>
            <w:top w:w="0" w:type="dxa"/>
            <w:bottom w:w="0" w:type="dxa"/>
          </w:tblCellMar>
        </w:tblPrEx>
        <w:tc>
          <w:tcPr>
            <w:tcW w:w="2772" w:type="dxa"/>
            <w:tcBorders>
              <w:bottom w:val="single" w:sz="12" w:space="0" w:color="auto"/>
            </w:tcBorders>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rPr>
                <w:sz w:val="17"/>
                <w:szCs w:val="24"/>
              </w:rPr>
            </w:pPr>
            <w:r w:rsidRPr="00981E15">
              <w:rPr>
                <w:sz w:val="17"/>
                <w:szCs w:val="24"/>
              </w:rPr>
              <w:t>Sensibilización y concientización en VIF</w:t>
            </w:r>
          </w:p>
        </w:tc>
        <w:tc>
          <w:tcPr>
            <w:tcW w:w="1116" w:type="dxa"/>
            <w:tcBorders>
              <w:bottom w:val="single" w:sz="12" w:space="0" w:color="auto"/>
            </w:tcBorders>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sidRPr="00981E15">
              <w:rPr>
                <w:sz w:val="17"/>
                <w:szCs w:val="24"/>
              </w:rPr>
              <w:t>43,184</w:t>
            </w:r>
          </w:p>
        </w:tc>
        <w:tc>
          <w:tcPr>
            <w:tcW w:w="1170" w:type="dxa"/>
            <w:tcBorders>
              <w:bottom w:val="single" w:sz="12" w:space="0" w:color="auto"/>
            </w:tcBorders>
            <w:shd w:val="clear" w:color="auto" w:fill="auto"/>
            <w:vAlign w:val="bottom"/>
          </w:tcPr>
          <w:p w:rsidR="004F345B" w:rsidRPr="00981E15" w:rsidRDefault="0045641F"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Pr>
                <w:sz w:val="17"/>
                <w:szCs w:val="24"/>
              </w:rPr>
              <w:t>73,</w:t>
            </w:r>
            <w:r w:rsidR="004F345B" w:rsidRPr="00981E15">
              <w:rPr>
                <w:sz w:val="17"/>
                <w:szCs w:val="24"/>
              </w:rPr>
              <w:t>526</w:t>
            </w:r>
          </w:p>
        </w:tc>
        <w:tc>
          <w:tcPr>
            <w:tcW w:w="1098" w:type="dxa"/>
            <w:tcBorders>
              <w:bottom w:val="single" w:sz="12" w:space="0" w:color="auto"/>
            </w:tcBorders>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sidRPr="00981E15">
              <w:rPr>
                <w:sz w:val="17"/>
                <w:szCs w:val="24"/>
              </w:rPr>
              <w:t>76,611</w:t>
            </w:r>
          </w:p>
        </w:tc>
        <w:tc>
          <w:tcPr>
            <w:tcW w:w="1164" w:type="dxa"/>
            <w:tcBorders>
              <w:bottom w:val="single" w:sz="12" w:space="0" w:color="auto"/>
            </w:tcBorders>
            <w:shd w:val="clear" w:color="auto" w:fill="auto"/>
            <w:vAlign w:val="bottom"/>
          </w:tcPr>
          <w:p w:rsidR="004F345B" w:rsidRPr="00981E15" w:rsidRDefault="004F345B" w:rsidP="00FF4ADA">
            <w:pPr>
              <w:pStyle w:val="SingleTxt"/>
              <w:tabs>
                <w:tab w:val="left" w:pos="288"/>
                <w:tab w:val="left" w:pos="576"/>
                <w:tab w:val="left" w:pos="864"/>
                <w:tab w:val="left" w:pos="1152"/>
              </w:tabs>
              <w:suppressAutoHyphens/>
              <w:spacing w:before="40" w:after="40" w:line="210" w:lineRule="exact"/>
              <w:ind w:left="0" w:right="43"/>
              <w:jc w:val="right"/>
              <w:rPr>
                <w:sz w:val="17"/>
                <w:szCs w:val="24"/>
              </w:rPr>
            </w:pPr>
            <w:r w:rsidRPr="00981E15">
              <w:rPr>
                <w:sz w:val="17"/>
                <w:szCs w:val="24"/>
              </w:rPr>
              <w:t>40,696</w:t>
            </w:r>
          </w:p>
        </w:tc>
      </w:tr>
    </w:tbl>
    <w:p w:rsidR="004F345B" w:rsidRPr="00981E15" w:rsidRDefault="004F345B" w:rsidP="004F345B">
      <w:pPr>
        <w:pStyle w:val="SingleTxt"/>
        <w:spacing w:after="0" w:line="120" w:lineRule="exact"/>
        <w:rPr>
          <w:sz w:val="10"/>
        </w:rPr>
      </w:pPr>
    </w:p>
    <w:p w:rsidR="004F345B" w:rsidRPr="00981E15" w:rsidRDefault="004F345B" w:rsidP="004F53BB">
      <w:pPr>
        <w:pStyle w:val="FootnoteText"/>
        <w:tabs>
          <w:tab w:val="clear" w:pos="418"/>
          <w:tab w:val="right" w:pos="1476"/>
          <w:tab w:val="left" w:pos="1548"/>
          <w:tab w:val="right" w:pos="1836"/>
          <w:tab w:val="left" w:pos="1908"/>
        </w:tabs>
        <w:ind w:left="1267" w:right="1267" w:hanging="13"/>
        <w:rPr>
          <w:w w:val="103"/>
        </w:rPr>
      </w:pPr>
      <w:r w:rsidRPr="00981E15">
        <w:rPr>
          <w:i/>
          <w:w w:val="103"/>
        </w:rPr>
        <w:t>Fuente</w:t>
      </w:r>
      <w:r w:rsidRPr="00981E15">
        <w:rPr>
          <w:w w:val="103"/>
        </w:rPr>
        <w:t>: PROPEVI, julio de</w:t>
      </w:r>
      <w:r w:rsidR="005E7D65" w:rsidRPr="00981E15">
        <w:rPr>
          <w:w w:val="103"/>
        </w:rPr>
        <w:t xml:space="preserve"> </w:t>
      </w:r>
      <w:r w:rsidRPr="00981E15">
        <w:rPr>
          <w:w w:val="103"/>
        </w:rPr>
        <w:t>2007.</w:t>
      </w:r>
    </w:p>
    <w:p w:rsidR="004F345B" w:rsidRPr="00981E15" w:rsidRDefault="004F345B" w:rsidP="004F345B">
      <w:pPr>
        <w:pStyle w:val="SingleTxt"/>
        <w:spacing w:after="0" w:line="120" w:lineRule="exact"/>
        <w:rPr>
          <w:sz w:val="10"/>
        </w:rPr>
      </w:pPr>
    </w:p>
    <w:p w:rsidR="004F345B" w:rsidRPr="00981E15" w:rsidRDefault="004F345B" w:rsidP="002233AB">
      <w:pPr>
        <w:pStyle w:val="FootnoteText"/>
        <w:tabs>
          <w:tab w:val="clear" w:pos="418"/>
          <w:tab w:val="right" w:pos="1476"/>
          <w:tab w:val="left" w:pos="1548"/>
          <w:tab w:val="right" w:pos="1836"/>
          <w:tab w:val="left" w:pos="1908"/>
        </w:tabs>
        <w:ind w:left="1548" w:right="1267" w:hanging="288"/>
        <w:rPr>
          <w:w w:val="103"/>
        </w:rPr>
      </w:pPr>
      <w:r w:rsidRPr="00981E15">
        <w:rPr>
          <w:w w:val="103"/>
        </w:rPr>
        <w:tab/>
        <w:t>*</w:t>
      </w:r>
      <w:r w:rsidRPr="00981E15">
        <w:rPr>
          <w:w w:val="103"/>
        </w:rPr>
        <w:tab/>
        <w:t>A marzo.</w:t>
      </w:r>
    </w:p>
    <w:p w:rsidR="004F345B" w:rsidRPr="00981E15" w:rsidRDefault="004F345B" w:rsidP="004F345B">
      <w:pPr>
        <w:pStyle w:val="SingleTxt"/>
        <w:spacing w:after="0" w:line="120" w:lineRule="exact"/>
        <w:rPr>
          <w:sz w:val="10"/>
        </w:rPr>
      </w:pP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En materia de comunicación y divulgación PROPEVI ha diseñado y reproducido material didáctico para desarrollar </w:t>
      </w:r>
      <w:smartTag w:uri="urn:schemas-microsoft-com:office:smarttags" w:element="PersonName">
        <w:smartTagPr>
          <w:attr w:name="ProductID" w:val="la Campa￱a"/>
        </w:smartTagPr>
        <w:r w:rsidRPr="00981E15">
          <w:t>la Campaña</w:t>
        </w:r>
      </w:smartTag>
      <w:r w:rsidRPr="00981E15">
        <w:t xml:space="preserve"> de Prevención y erradicación de la violencia doméstica en toda la República.</w:t>
      </w:r>
      <w:r w:rsidR="005E7D65" w:rsidRPr="00981E15">
        <w:t xml:space="preserve"> </w:t>
      </w:r>
      <w:r w:rsidRPr="00981E15">
        <w:t>Se elaboró el manual de auto cuidado con énfasis en equidad de género. En el 2006 se implementó el Teléfono de Ayuda Familiar (TAF) que funciona las 24 horas, por medio del cual se orienta y se ofrece información a las víctimas de violencia intrafamiliar, sobre los pasos a seguir para la denuncia y la obtención de las medidas de protección.</w:t>
      </w:r>
    </w:p>
    <w:p w:rsidR="004F345B" w:rsidRPr="00981E15" w:rsidRDefault="004F345B" w:rsidP="004F345B">
      <w:pPr>
        <w:pStyle w:val="SingleTxt"/>
        <w:numPr>
          <w:ilvl w:val="0"/>
          <w:numId w:val="39"/>
        </w:numPr>
        <w:tabs>
          <w:tab w:val="clear" w:pos="475"/>
          <w:tab w:val="num" w:pos="1742"/>
        </w:tabs>
        <w:ind w:left="1267"/>
      </w:pPr>
      <w:r w:rsidRPr="00981E15">
        <w:t xml:space="preserve">PROPEVI cuenta con dos refugios temporales dirigidos a mujeres víctimas de violencia intrafamiliar ubicados en el departamento de Guatemala. De estos dos refugios, uno fue creado a iniciativa de </w:t>
      </w:r>
      <w:smartTag w:uri="urn:schemas-microsoft-com:office:smarttags" w:element="PersonName">
        <w:smartTagPr>
          <w:attr w:name="ProductID" w:val="la Oficina"/>
        </w:smartTagPr>
        <w:r w:rsidRPr="00981E15">
          <w:t>la Oficina</w:t>
        </w:r>
      </w:smartTag>
      <w:r w:rsidRPr="00981E15">
        <w:t xml:space="preserve"> de Atención a </w:t>
      </w:r>
      <w:smartTag w:uri="urn:schemas-microsoft-com:office:smarttags" w:element="PersonName">
        <w:smartTagPr>
          <w:attr w:name="ProductID" w:val="la V￭ctima"/>
        </w:smartTagPr>
        <w:r w:rsidRPr="00981E15">
          <w:t>la Víctima</w:t>
        </w:r>
      </w:smartTag>
      <w:r w:rsidRPr="00981E15">
        <w:t xml:space="preserve"> (OAV) de </w:t>
      </w:r>
      <w:smartTag w:uri="urn:schemas-microsoft-com:office:smarttags" w:element="PersonName">
        <w:smartTagPr>
          <w:attr w:name="ProductID" w:val="la Polic￭a Nacional"/>
        </w:smartTagPr>
        <w:r w:rsidRPr="00981E15">
          <w:t>la Policía Nacional</w:t>
        </w:r>
      </w:smartTag>
      <w:r w:rsidRPr="00981E15">
        <w:t xml:space="preserve"> Civil (PNC), ya que ésta al recibir las denuncias durante la noche y madrugada no contaba con un lugar para albergar y proteger a las mujeres. Este esfuerzo fue coordinado entre </w:t>
      </w:r>
      <w:smartTag w:uri="urn:schemas-microsoft-com:office:smarttags" w:element="PersonName">
        <w:smartTagPr>
          <w:attr w:name="ProductID" w:val="la OAV"/>
        </w:smartTagPr>
        <w:r w:rsidRPr="00981E15">
          <w:t>la OAV</w:t>
        </w:r>
      </w:smartTag>
      <w:r w:rsidRPr="00981E15">
        <w:t xml:space="preserve"> de </w:t>
      </w:r>
      <w:smartTag w:uri="urn:schemas-microsoft-com:office:smarttags" w:element="PersonName">
        <w:smartTagPr>
          <w:attr w:name="ProductID" w:val="la PNC"/>
        </w:smartTagPr>
        <w:r w:rsidRPr="00981E15">
          <w:t>la PNC</w:t>
        </w:r>
      </w:smartTag>
      <w:r w:rsidRPr="00981E15">
        <w:t xml:space="preserve">, PROPEVI y </w:t>
      </w:r>
      <w:smartTag w:uri="urn:schemas-microsoft-com:office:smarttags" w:element="PersonName">
        <w:smartTagPr>
          <w:attr w:name="ProductID" w:val="la Municipalidad"/>
        </w:smartTagPr>
        <w:r w:rsidRPr="00981E15">
          <w:t>la Municipalidad</w:t>
        </w:r>
      </w:smartTag>
      <w:r w:rsidRPr="00981E15">
        <w:t xml:space="preserve"> de Villa Nueva, a través del Alcalde Municipal.</w:t>
      </w:r>
    </w:p>
    <w:p w:rsidR="004F345B" w:rsidRPr="00981E15" w:rsidRDefault="004F345B" w:rsidP="004F345B">
      <w:pPr>
        <w:pStyle w:val="SingleTxt"/>
        <w:numPr>
          <w:ilvl w:val="0"/>
          <w:numId w:val="39"/>
        </w:numPr>
        <w:tabs>
          <w:tab w:val="clear" w:pos="475"/>
          <w:tab w:val="num" w:pos="1742"/>
        </w:tabs>
        <w:ind w:left="1267"/>
      </w:pPr>
      <w:r w:rsidRPr="00981E15">
        <w:t>Para acceder a los refugios, las víctimas deben llevar la copia de la denuncia recibida por cualquiera de las instituciones correspondientes. Los refugios son temporales o de emergencia, funcionan al momento de la crisis que las mujeres enfrentan cuando son agredidas y suelen ser expulsadas de su lugar de residencia, acompañadas de las y los niños. En este contexto, los refugios las albergan mientras procede la denuncia y se dictan las medidas de seguridad, lo que regularmente se hace retirando al agresor de la vivienda en común. En el mes de enero de 2007 se instauró un refugio en el departamento de Huehuetenango, por considerarse uno de los departamentos más afectados por la violencia intrafamiliar, lo cual ayudará a brindar una mejor atención y seguimiento a las víctimas de la violencia intrafamiliar.</w:t>
      </w:r>
    </w:p>
    <w:p w:rsidR="004F345B" w:rsidRPr="00981E15" w:rsidRDefault="004F345B" w:rsidP="004F345B">
      <w:pPr>
        <w:pStyle w:val="SingleTxt"/>
        <w:spacing w:after="0" w:line="120" w:lineRule="exact"/>
        <w:rPr>
          <w:sz w:val="10"/>
        </w:rPr>
      </w:pPr>
    </w:p>
    <w:p w:rsidR="004F345B" w:rsidRPr="00981E15" w:rsidRDefault="004F345B" w:rsidP="004F345B">
      <w:pPr>
        <w:pStyle w:val="SingleTxt"/>
        <w:spacing w:after="0" w:line="120" w:lineRule="exact"/>
        <w:rPr>
          <w:sz w:val="10"/>
        </w:rPr>
      </w:pPr>
    </w:p>
    <w:p w:rsidR="004F345B" w:rsidRPr="00981E15" w:rsidRDefault="004F345B" w:rsidP="004F345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Sistema de Justicia </w:t>
      </w:r>
    </w:p>
    <w:p w:rsidR="004F345B" w:rsidRPr="00981E15" w:rsidRDefault="004F345B" w:rsidP="004F345B">
      <w:pPr>
        <w:pStyle w:val="SingleTxt"/>
        <w:spacing w:after="0" w:line="120" w:lineRule="exact"/>
        <w:rPr>
          <w:sz w:val="10"/>
        </w:rPr>
      </w:pP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En la respuesta generalizada al problema de la violencia intrafamiliar y contra las mujeres tanto en las instituciones gubernamentales como en la mayoría de las instituciones no gubernamentales, prevalece una concepción que equipara violencia intrafamiliar con violencia contra las mujeres. Esta confusión conceptual trae consecuencias para el abordaje y la atención de esta problemática, porque al tratarlas como un mismo problema se invisibiliza el contenido político diferenciado de ambas dimensiones de las relaciones violentas; ocultando en el caso de la violencia contra las mujeres las relaciones de poder opresivas entre los sexos que pueden ocurrir en diferentes ámbitos o espacios sociales, atravesando otras determinaciones estructurales, como la jurídica o legal.</w:t>
      </w:r>
    </w:p>
    <w:p w:rsidR="004F345B" w:rsidRPr="00981E15" w:rsidRDefault="004F345B" w:rsidP="004F345B">
      <w:pPr>
        <w:pStyle w:val="SingleTxt"/>
        <w:numPr>
          <w:ilvl w:val="0"/>
          <w:numId w:val="39"/>
        </w:numPr>
        <w:tabs>
          <w:tab w:val="clear" w:pos="475"/>
          <w:tab w:val="num" w:pos="1742"/>
        </w:tabs>
        <w:ind w:left="1267"/>
      </w:pPr>
      <w:r w:rsidRPr="00981E15">
        <w:t xml:space="preserve">En términos operativos, los altos niveles de silencio y secreto que rodean el problema de la violencia contra las mujeres y la violencia intrafamiliar limitan la posibilidad de identificarla, como un problema de seguridad ciudadana. Esa lógica está asociada con la legitimación social del uso de la violencia en cualquiera o en todas sus expresiones, lo cual pone en peligro la reproducción de la misma sociedad. </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Organismo Judicial</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El Organismo Judicial forma parte de </w:t>
      </w:r>
      <w:smartTag w:uri="urn:schemas-microsoft-com:office:smarttags" w:element="PersonName">
        <w:smartTagPr>
          <w:attr w:name="ProductID" w:val="la Asamblea"/>
        </w:smartTagPr>
        <w:r w:rsidRPr="00981E15">
          <w:t>la Asamblea</w:t>
        </w:r>
      </w:smartTag>
      <w:r w:rsidRPr="00981E15">
        <w:t xml:space="preserve"> de Delegadas y de </w:t>
      </w:r>
      <w:smartTag w:uri="urn:schemas-microsoft-com:office:smarttags" w:element="PersonName">
        <w:smartTagPr>
          <w:attr w:name="ProductID" w:val="la Junta Coordinadora"/>
        </w:smartTagPr>
        <w:r w:rsidRPr="00981E15">
          <w:t>la Junta Coordinadora</w:t>
        </w:r>
      </w:smartTag>
      <w:r w:rsidRPr="00981E15">
        <w:t xml:space="preserve"> de </w:t>
      </w:r>
      <w:smartTag w:uri="urn:schemas-microsoft-com:office:smarttags" w:element="PersonName">
        <w:smartTagPr>
          <w:attr w:name="ProductID" w:val="la Coordinadora Nacional"/>
        </w:smartTagPr>
        <w:r w:rsidRPr="00981E15">
          <w:t>la Coordinadora Nacional</w:t>
        </w:r>
      </w:smartTag>
      <w:r w:rsidRPr="00981E15">
        <w:t xml:space="preserve"> de Prevención y Erradicación de </w:t>
      </w:r>
      <w:smartTag w:uri="urn:schemas-microsoft-com:office:smarttags" w:element="PersonName">
        <w:smartTagPr>
          <w:attr w:name="ProductID" w:val="la Violencia Intrafamiliar"/>
        </w:smartTagPr>
        <w:smartTag w:uri="urn:schemas-microsoft-com:office:smarttags" w:element="PersonName">
          <w:smartTagPr>
            <w:attr w:name="ProductID" w:val="la Violencia"/>
          </w:smartTagPr>
          <w:r w:rsidRPr="00981E15">
            <w:t>la Violencia</w:t>
          </w:r>
        </w:smartTag>
        <w:r w:rsidRPr="00981E15">
          <w:t xml:space="preserve"> Intrafamiliar</w:t>
        </w:r>
      </w:smartTag>
      <w:r w:rsidRPr="00981E15">
        <w:t xml:space="preserve"> y en Contra de las Mujeres (CONAPREVI).</w:t>
      </w:r>
      <w:r w:rsidR="005E7D65" w:rsidRPr="00981E15">
        <w:t xml:space="preserve"> </w:t>
      </w:r>
      <w:r w:rsidRPr="00981E15">
        <w:t xml:space="preserve">A la fecha se está realizando un análisis a la iniciativa de Ley 3626 que dispone aprobar </w:t>
      </w:r>
      <w:smartTag w:uri="urn:schemas-microsoft-com:office:smarttags" w:element="PersonName">
        <w:smartTagPr>
          <w:attr w:name="ProductID" w:val="la Ley Marco"/>
        </w:smartTagPr>
        <w:smartTag w:uri="urn:schemas-microsoft-com:office:smarttags" w:element="PersonName">
          <w:smartTagPr>
            <w:attr w:name="ProductID" w:val="la Ley"/>
          </w:smartTagPr>
          <w:r w:rsidRPr="00981E15">
            <w:t>la Ley</w:t>
          </w:r>
        </w:smartTag>
        <w:r w:rsidRPr="00981E15">
          <w:t xml:space="preserve"> Marco</w:t>
        </w:r>
      </w:smartTag>
      <w:r w:rsidRPr="00981E15">
        <w:t xml:space="preserve"> del Sistema Nacional de Seguridad, así como la propuesta estratégica de </w:t>
      </w:r>
      <w:smartTag w:uri="urn:schemas-microsoft-com:office:smarttags" w:element="PersonName">
        <w:smartTagPr>
          <w:attr w:name="ProductID" w:val="la “Comisión"/>
        </w:smartTagPr>
        <w:r w:rsidRPr="00981E15">
          <w:t>la “Comisión</w:t>
        </w:r>
      </w:smartTag>
      <w:r w:rsidRPr="00981E15">
        <w:t xml:space="preserve"> para Análisis de Iniciativas Legislativas sobre el Femicidio en Guatemala”. El propósito de </w:t>
      </w:r>
      <w:smartTag w:uri="urn:schemas-microsoft-com:office:smarttags" w:element="PersonName">
        <w:smartTagPr>
          <w:attr w:name="ProductID" w:val="la Comisi￳n"/>
        </w:smartTagPr>
        <w:r w:rsidRPr="00981E15">
          <w:t>la Comisión</w:t>
        </w:r>
      </w:smartTag>
      <w:r w:rsidRPr="00981E15">
        <w:t xml:space="preserve"> es que ante la asamblea de organizaciones e instituciones públicas y de la sociedad civil, se trabaje por alcanzar un mismo objetivo general para lograr que el Congreso de </w:t>
      </w:r>
      <w:smartTag w:uri="urn:schemas-microsoft-com:office:smarttags" w:element="PersonName">
        <w:smartTagPr>
          <w:attr w:name="ProductID" w:val="la Rep￺blica"/>
        </w:smartTagPr>
        <w:r w:rsidRPr="00981E15">
          <w:t>la República</w:t>
        </w:r>
      </w:smartTag>
      <w:r w:rsidRPr="00981E15">
        <w:t xml:space="preserve"> de Guatemala, apruebe la legislación idónea para prevenir sancionar y erradicar la violencia extrema en contra de las mujeres. </w:t>
      </w:r>
    </w:p>
    <w:p w:rsidR="004F345B" w:rsidRPr="00981E15" w:rsidRDefault="004F345B" w:rsidP="004F345B">
      <w:pPr>
        <w:pStyle w:val="SingleTxt"/>
        <w:numPr>
          <w:ilvl w:val="0"/>
          <w:numId w:val="39"/>
        </w:numPr>
        <w:tabs>
          <w:tab w:val="clear" w:pos="475"/>
          <w:tab w:val="num" w:pos="1742"/>
        </w:tabs>
        <w:ind w:left="1267"/>
      </w:pPr>
      <w:r w:rsidRPr="00981E15">
        <w:t xml:space="preserve">En materia de prevención, erradicación y sanción de </w:t>
      </w:r>
      <w:smartTag w:uri="urn:schemas-microsoft-com:office:smarttags" w:element="PersonName">
        <w:smartTagPr>
          <w:attr w:name="ProductID" w:val="la VIF"/>
        </w:smartTagPr>
        <w:r w:rsidRPr="00981E15">
          <w:t>la VIF</w:t>
        </w:r>
      </w:smartTag>
      <w:r w:rsidRPr="00981E15">
        <w:t>, el Organismo Judicial ha logrado:</w:t>
      </w:r>
    </w:p>
    <w:p w:rsidR="004F345B" w:rsidRPr="00981E15" w:rsidRDefault="004F345B" w:rsidP="00FF4ADA">
      <w:pPr>
        <w:pStyle w:val="SingleTxt"/>
        <w:tabs>
          <w:tab w:val="right" w:pos="1685"/>
        </w:tabs>
        <w:suppressAutoHyphens/>
        <w:ind w:left="1742" w:hanging="475"/>
      </w:pPr>
      <w:r w:rsidRPr="00981E15">
        <w:tab/>
        <w:t>•</w:t>
      </w:r>
      <w:r w:rsidRPr="00981E15">
        <w:tab/>
        <w:t>La atención y servicios institucionales con la cobertura nacional de los Juzgados del Organismo Judicial, principalmente por medio de los Juzgados de Paz que se encuentran en el interior del país.</w:t>
      </w:r>
    </w:p>
    <w:p w:rsidR="004F345B" w:rsidRPr="00981E15" w:rsidRDefault="004F345B" w:rsidP="00FF4ADA">
      <w:pPr>
        <w:pStyle w:val="SingleTxt"/>
        <w:tabs>
          <w:tab w:val="right" w:pos="1685"/>
        </w:tabs>
        <w:suppressAutoHyphens/>
        <w:ind w:left="1742" w:hanging="475"/>
        <w:rPr>
          <w:bCs/>
        </w:rPr>
      </w:pPr>
      <w:r w:rsidRPr="00981E15">
        <w:tab/>
        <w:t>•</w:t>
      </w:r>
      <w:r w:rsidRPr="00981E15">
        <w:tab/>
        <w:t xml:space="preserve">Implementación de la boleta Única de Registro de Violencia Intrafamiliar que marca el artículo 5 de </w:t>
      </w:r>
      <w:smartTag w:uri="urn:schemas-microsoft-com:office:smarttags" w:element="PersonName">
        <w:smartTagPr>
          <w:attr w:name="ProductID" w:val="la Ley"/>
        </w:smartTagPr>
        <w:r w:rsidRPr="00981E15">
          <w:t>la Ley</w:t>
        </w:r>
      </w:smartTag>
      <w:r w:rsidRPr="00981E15">
        <w:t xml:space="preserve"> de Violencia Intrafamiliar.</w:t>
      </w:r>
    </w:p>
    <w:p w:rsidR="004F345B" w:rsidRPr="00981E15" w:rsidRDefault="004F345B" w:rsidP="00FF4ADA">
      <w:pPr>
        <w:pStyle w:val="SingleTxt"/>
        <w:tabs>
          <w:tab w:val="right" w:pos="1685"/>
        </w:tabs>
        <w:suppressAutoHyphens/>
        <w:ind w:left="1742" w:hanging="475"/>
      </w:pPr>
      <w:r w:rsidRPr="00981E15">
        <w:rPr>
          <w:bCs/>
        </w:rPr>
        <w:tab/>
        <w:t>•</w:t>
      </w:r>
      <w:r w:rsidRPr="00981E15">
        <w:rPr>
          <w:bCs/>
        </w:rPr>
        <w:tab/>
        <w:t>Profundización del conocimiento acerca de la problemática y la respuesta institucional, así como el mejoramiento de la calidad y oportunidad de los servicios de atención y el fortalecimiento de procesos de sensibilización y educación.</w:t>
      </w:r>
    </w:p>
    <w:p w:rsidR="004F345B" w:rsidRPr="00981E15" w:rsidRDefault="004F345B" w:rsidP="00FF4ADA">
      <w:pPr>
        <w:pStyle w:val="SingleTxt"/>
        <w:tabs>
          <w:tab w:val="right" w:pos="1685"/>
        </w:tabs>
        <w:suppressAutoHyphens/>
        <w:ind w:left="1742" w:hanging="475"/>
      </w:pPr>
      <w:r w:rsidRPr="00981E15">
        <w:tab/>
        <w:t>•</w:t>
      </w:r>
      <w:r w:rsidRPr="00981E15">
        <w:tab/>
        <w:t>Fijar directrices políticas y acciones concertadas, con el fin de prevenir, atender, sancionar y reducir la violencia intrafamiliar y en contra de las mujeres. Esta área estratégica ha promovido acciones encaminadas a prevenir la problemática, así como a sensibilizar y capacitar a operadores y operadoras de justicia y personal involucrado en la atención de los Juzgados respectivos y unidades vinculantes, involucradas en la atención, así como educar a la población en general. Para esto, se ha valido de técnicas de comunicación social, desarrolladas con base a varias líneas generales: 1) Información (para promover cambios sociales); 2) Capacitación y educación (para iniciar el cambio en patrones socioculturales) y 3) Apertura de espacios y mecanismo de interlocución con la sociedad civil (para apoyar la prevención desde el ámbito local).</w:t>
      </w:r>
    </w:p>
    <w:p w:rsidR="004F345B" w:rsidRPr="00981E15" w:rsidRDefault="004F345B" w:rsidP="004F345B">
      <w:pPr>
        <w:pStyle w:val="SingleTxt"/>
        <w:spacing w:after="0" w:line="120" w:lineRule="exact"/>
        <w:rPr>
          <w:sz w:val="10"/>
        </w:rPr>
      </w:pPr>
    </w:p>
    <w:p w:rsidR="004F345B" w:rsidRPr="00981E15" w:rsidRDefault="004F53B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br w:type="page"/>
      </w:r>
      <w:r w:rsidR="004F345B" w:rsidRPr="00981E15">
        <w:tab/>
      </w:r>
      <w:r w:rsidR="004F345B" w:rsidRPr="00981E15">
        <w:tab/>
        <w:t xml:space="preserve">Medidas y acciones del Organismo Judicial para la protección </w:t>
      </w:r>
      <w:r w:rsidR="004F345B" w:rsidRPr="00981E15">
        <w:br/>
        <w:t>de víctimas de Violencia Intrafamiliar</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La Ley para Prevenir, Sancionar y Erradicar </w:t>
      </w:r>
      <w:smartTag w:uri="urn:schemas-microsoft-com:office:smarttags" w:element="PersonName">
        <w:smartTagPr>
          <w:attr w:name="ProductID" w:val="la Violencia Intrafamiliar"/>
        </w:smartTagPr>
        <w:smartTag w:uri="urn:schemas-microsoft-com:office:smarttags" w:element="PersonName">
          <w:smartTagPr>
            <w:attr w:name="ProductID" w:val="la Violencia"/>
          </w:smartTagPr>
          <w:r w:rsidRPr="00981E15">
            <w:t>la Violencia</w:t>
          </w:r>
        </w:smartTag>
        <w:r w:rsidRPr="00981E15">
          <w:t xml:space="preserve"> Intrafamiliar</w:t>
        </w:r>
      </w:smartTag>
      <w:r w:rsidRPr="00981E15">
        <w:t xml:space="preserve">, Decreto 97-96, regula la aplicación de medidas de protección necesarias para garantizar la vida, integridad, seguridad y dignidad de las víctimas de violencia intrafamiliar. Asimismo, tiene como objetivo brindar protección especial a mujeres, niños, niñas, jóvenes, ancianos y ancianas y personas discapacitadas, tomando en consideración las situaciones específicas de cada caso. </w:t>
      </w:r>
    </w:p>
    <w:p w:rsidR="004F345B" w:rsidRPr="00981E15" w:rsidRDefault="004F345B" w:rsidP="004F345B">
      <w:pPr>
        <w:pStyle w:val="SingleTxt"/>
        <w:numPr>
          <w:ilvl w:val="0"/>
          <w:numId w:val="39"/>
        </w:numPr>
        <w:tabs>
          <w:tab w:val="clear" w:pos="475"/>
          <w:tab w:val="num" w:pos="1742"/>
        </w:tabs>
        <w:ind w:left="1267"/>
      </w:pPr>
      <w:r w:rsidRPr="00981E15">
        <w:t>Esta ley no contempla delitos ni faltas dentro de su cuerpo normativo, además de las contenidas en el artículo 88 del Código Penal. Sin embargo, es un recurso legal valioso que utilizan las y los operadores de justicia, para dictar medidas de seguridad a las víctimas</w:t>
      </w:r>
      <w:r w:rsidRPr="00981E15">
        <w:rPr>
          <w:b/>
        </w:rPr>
        <w:t xml:space="preserve"> </w:t>
      </w:r>
      <w:r w:rsidRPr="00981E15">
        <w:t>de violencia intrafamiliar, para proteger la vida y seguridad (especialmente mujeres sobrevivientes de esta problemática).</w:t>
      </w:r>
    </w:p>
    <w:p w:rsidR="004F345B" w:rsidRPr="00981E15" w:rsidRDefault="004F345B" w:rsidP="004F345B">
      <w:pPr>
        <w:pStyle w:val="SingleTxt"/>
        <w:numPr>
          <w:ilvl w:val="0"/>
          <w:numId w:val="39"/>
        </w:numPr>
        <w:tabs>
          <w:tab w:val="clear" w:pos="475"/>
          <w:tab w:val="num" w:pos="1742"/>
        </w:tabs>
        <w:ind w:left="1267"/>
      </w:pPr>
      <w:r w:rsidRPr="00981E15">
        <w:t xml:space="preserve">Para el seguimiento y apoyo en los casos de violencia intrafamiliar, se han llevado a cabo diferentes acciones de acuerdo a las matrices que contiene el Plan Nacional de Prevención y Erradicación de </w:t>
      </w:r>
      <w:smartTag w:uri="urn:schemas-microsoft-com:office:smarttags" w:element="PersonName">
        <w:smartTagPr>
          <w:attr w:name="ProductID" w:val="la Violencia Intrafamiliar"/>
        </w:smartTagPr>
        <w:smartTag w:uri="urn:schemas-microsoft-com:office:smarttags" w:element="PersonName">
          <w:smartTagPr>
            <w:attr w:name="ProductID" w:val="la Violencia"/>
          </w:smartTagPr>
          <w:r w:rsidRPr="00981E15">
            <w:t>la Violencia</w:t>
          </w:r>
        </w:smartTag>
        <w:r w:rsidRPr="00981E15">
          <w:t xml:space="preserve"> Intrafamiliar</w:t>
        </w:r>
      </w:smartTag>
      <w:r w:rsidRPr="00981E15">
        <w:t xml:space="preserve"> y en Contra de las Mujeres PLANOVI 2004-2014: </w:t>
      </w:r>
    </w:p>
    <w:p w:rsidR="004F345B" w:rsidRPr="00981E15" w:rsidRDefault="004F345B" w:rsidP="004F345B">
      <w:pPr>
        <w:pStyle w:val="SingleTxt"/>
        <w:numPr>
          <w:ilvl w:val="0"/>
          <w:numId w:val="39"/>
        </w:numPr>
        <w:tabs>
          <w:tab w:val="clear" w:pos="475"/>
          <w:tab w:val="num" w:pos="1742"/>
        </w:tabs>
        <w:ind w:left="1267"/>
      </w:pPr>
      <w:r w:rsidRPr="00981E15">
        <w:rPr>
          <w:b/>
          <w:i/>
        </w:rPr>
        <w:t>Matriz de Investigación, Análisis y Estadística.</w:t>
      </w:r>
      <w:r w:rsidRPr="00981E15">
        <w:t xml:space="preserve"> Se ha propiciado la realización de estudios de investigación para identificar las desigualdades de género en la prestación de los servicios jurisdiccionales del país, cuyos resultados permitirán realizar acciones a incorporar en los planes de trabajo:</w:t>
      </w:r>
    </w:p>
    <w:p w:rsidR="004F345B" w:rsidRPr="00981E15" w:rsidRDefault="004F345B" w:rsidP="00FF4ADA">
      <w:pPr>
        <w:pStyle w:val="SingleTxt"/>
        <w:tabs>
          <w:tab w:val="right" w:pos="1685"/>
        </w:tabs>
        <w:suppressAutoHyphens/>
        <w:ind w:left="1742" w:hanging="475"/>
      </w:pPr>
      <w:r w:rsidRPr="00981E15">
        <w:tab/>
        <w:t>•</w:t>
      </w:r>
      <w:r w:rsidRPr="00981E15">
        <w:tab/>
        <w:t xml:space="preserve">“La Respuesta Institucional del Organismo Judicial ante </w:t>
      </w:r>
      <w:smartTag w:uri="urn:schemas-microsoft-com:office:smarttags" w:element="PersonName">
        <w:smartTagPr>
          <w:attr w:name="ProductID" w:val="la Denuncia"/>
        </w:smartTagPr>
        <w:r w:rsidRPr="00981E15">
          <w:t>la Denuncia</w:t>
        </w:r>
      </w:smartTag>
      <w:r w:rsidRPr="00981E15">
        <w:t xml:space="preserve"> de las Mujeres Sobrevivientes de Violencia Intrafamiliar (Ruta Crítica y Registro de Casos)”, por medio de </w:t>
      </w:r>
      <w:smartTag w:uri="urn:schemas-microsoft-com:office:smarttags" w:element="PersonName">
        <w:smartTagPr>
          <w:attr w:name="ProductID" w:val="La Unidad"/>
        </w:smartTagPr>
        <w:r w:rsidRPr="00981E15">
          <w:t>la Unidad</w:t>
        </w:r>
      </w:smartTag>
      <w:r w:rsidRPr="00981E15">
        <w:t xml:space="preserve"> de Modernización del Organismo Judicial. Este estudio se realizó en los departamentos de Guatemala, Quetzaltenango, Suchitepéquez, Alta Verapaz y Zacapa, abarcando en cada uno de ellos la cabecera departamental y dos municipios, (pendiente de publicación y presentación pública). Entre los resultados del estudio se pudo establecer que hay Juzgados en donde las mujeres reciben atención oportuna y eficaz y se le da seguimiento a los casos, por medio de los Consejos de Desarrollo Comunitario y autoridades locales. Como resultado de la revisión de expedientes se logró determinar que existe un subregistro de casos, lo que evidenció la necesidad de incorporar al software de Gestión del Organismo Judicial, </w:t>
      </w:r>
      <w:smartTag w:uri="urn:schemas-microsoft-com:office:smarttags" w:element="PersonName">
        <w:smartTagPr>
          <w:attr w:name="ProductID" w:val="la Boleta"/>
        </w:smartTagPr>
        <w:r w:rsidRPr="00981E15">
          <w:t>la Boleta</w:t>
        </w:r>
      </w:smartTag>
      <w:r w:rsidRPr="00981E15">
        <w:t xml:space="preserve"> Única de Registro de Violencia Intrafamiliar a efecto de contar con la información de los órganos jurisdiccionales mediante este sistema. Proceso que actualmente se encuentra en fase de instalación. </w:t>
      </w:r>
    </w:p>
    <w:p w:rsidR="004F345B" w:rsidRPr="00981E15" w:rsidRDefault="004F345B" w:rsidP="00FF4ADA">
      <w:pPr>
        <w:pStyle w:val="SingleTxt"/>
        <w:tabs>
          <w:tab w:val="right" w:pos="1685"/>
        </w:tabs>
        <w:suppressAutoHyphens/>
        <w:ind w:left="1742" w:hanging="475"/>
      </w:pPr>
      <w:r w:rsidRPr="00981E15">
        <w:tab/>
        <w:t>•</w:t>
      </w:r>
      <w:r w:rsidRPr="00981E15">
        <w:tab/>
        <w:t xml:space="preserve">“Mejoramiento de </w:t>
      </w:r>
      <w:smartTag w:uri="urn:schemas-microsoft-com:office:smarttags" w:element="PersonName">
        <w:smartTagPr>
          <w:attr w:name="ProductID" w:val="la Interpretaci￳n"/>
        </w:smartTagPr>
        <w:r w:rsidRPr="00981E15">
          <w:t>la Interpretación</w:t>
        </w:r>
      </w:smartTag>
      <w:r w:rsidRPr="00981E15">
        <w:t xml:space="preserve"> y Aplicación de Las Leyes de Violencia Intrafamiliar en América Central y República Dominicana, en el Marco del Organismo Judicial de Guatemala”, elaborado en coordinación con </w:t>
      </w:r>
      <w:smartTag w:uri="urn:schemas-microsoft-com:office:smarttags" w:element="PersonName">
        <w:smartTagPr>
          <w:attr w:name="ProductID" w:val="la Fundaci￳n Justicia"/>
        </w:smartTagPr>
        <w:smartTag w:uri="urn:schemas-microsoft-com:office:smarttags" w:element="PersonName">
          <w:smartTagPr>
            <w:attr w:name="ProductID" w:val="la Fundaci￳n"/>
          </w:smartTagPr>
          <w:r w:rsidRPr="00981E15">
            <w:t>la Fundación</w:t>
          </w:r>
        </w:smartTag>
        <w:r w:rsidRPr="00981E15">
          <w:t xml:space="preserve"> Justicia</w:t>
        </w:r>
      </w:smartTag>
      <w:r w:rsidRPr="00981E15">
        <w:t xml:space="preserve"> y Género de Costa Rica con apoyo de ILANUD y UNIFEM. Esta incluye la presentación de dos productos: “Diagnóstico de la aplicación de </w:t>
      </w:r>
      <w:smartTag w:uri="urn:schemas-microsoft-com:office:smarttags" w:element="PersonName">
        <w:smartTagPr>
          <w:attr w:name="ProductID" w:val="la Ley"/>
        </w:smartTagPr>
        <w:r w:rsidRPr="00981E15">
          <w:t>la Ley</w:t>
        </w:r>
      </w:smartTag>
      <w:r w:rsidRPr="00981E15">
        <w:t xml:space="preserve"> para Prevenir, Sancionar y Erradicar </w:t>
      </w:r>
      <w:smartTag w:uri="urn:schemas-microsoft-com:office:smarttags" w:element="PersonName">
        <w:smartTagPr>
          <w:attr w:name="ProductID" w:val="la Violencia Intrafamiliar"/>
        </w:smartTagPr>
        <w:smartTag w:uri="urn:schemas-microsoft-com:office:smarttags" w:element="PersonName">
          <w:smartTagPr>
            <w:attr w:name="ProductID" w:val="la Violencia"/>
          </w:smartTagPr>
          <w:r w:rsidRPr="00981E15">
            <w:t>la Violencia</w:t>
          </w:r>
        </w:smartTag>
        <w:r w:rsidRPr="00981E15">
          <w:t xml:space="preserve"> Intrafamiliar</w:t>
        </w:r>
      </w:smartTag>
      <w:r w:rsidRPr="00981E15">
        <w:t xml:space="preserve"> en Guatemala” y “Protocolo de Aplicación de </w:t>
      </w:r>
      <w:smartTag w:uri="urn:schemas-microsoft-com:office:smarttags" w:element="PersonName">
        <w:smartTagPr>
          <w:attr w:name="ProductID" w:val="la Ley"/>
        </w:smartTagPr>
        <w:r w:rsidRPr="00981E15">
          <w:t>la Ley</w:t>
        </w:r>
      </w:smartTag>
      <w:r w:rsidRPr="00981E15">
        <w:t xml:space="preserve"> para Prevenir, Sancionar y Erradicar </w:t>
      </w:r>
      <w:smartTag w:uri="urn:schemas-microsoft-com:office:smarttags" w:element="PersonName">
        <w:smartTagPr>
          <w:attr w:name="ProductID" w:val="la Violencia Intrafamiliar"/>
        </w:smartTagPr>
        <w:smartTag w:uri="urn:schemas-microsoft-com:office:smarttags" w:element="PersonName">
          <w:smartTagPr>
            <w:attr w:name="ProductID" w:val="la Violencia"/>
          </w:smartTagPr>
          <w:r w:rsidRPr="00981E15">
            <w:t>la Violencia</w:t>
          </w:r>
        </w:smartTag>
        <w:r w:rsidRPr="00981E15">
          <w:t xml:space="preserve"> Intrafamiliar</w:t>
        </w:r>
      </w:smartTag>
      <w:r w:rsidRPr="00981E15">
        <w:t xml:space="preserve"> en Guatemala. Actualmente ambos documentos se encuentran en fase de revisión para su aprobación y presentación pública.</w:t>
      </w:r>
    </w:p>
    <w:p w:rsidR="004F345B" w:rsidRPr="00981E15" w:rsidRDefault="004F345B" w:rsidP="004F345B">
      <w:pPr>
        <w:pStyle w:val="SingleTxt"/>
        <w:numPr>
          <w:ilvl w:val="0"/>
          <w:numId w:val="39"/>
        </w:numPr>
        <w:tabs>
          <w:tab w:val="clear" w:pos="475"/>
          <w:tab w:val="num" w:pos="1742"/>
        </w:tabs>
        <w:ind w:left="1267"/>
      </w:pPr>
      <w:r w:rsidRPr="00981E15">
        <w:t xml:space="preserve">Se ha promovido un sistema interinstitucional de registro de las denuncias y atención de la violencia intrafamiliar y en contra de la mujer, con la coordinación de </w:t>
      </w:r>
      <w:smartTag w:uri="urn:schemas-microsoft-com:office:smarttags" w:element="PersonName">
        <w:smartTagPr>
          <w:attr w:name="ProductID" w:val="la Secci￳n"/>
        </w:smartTagPr>
        <w:r w:rsidRPr="00981E15">
          <w:t>la Sección</w:t>
        </w:r>
      </w:smartTag>
      <w:r w:rsidRPr="00981E15">
        <w:t xml:space="preserve"> de Documentación y Estadística Judicial del Centro Nacional de Análisis y Documentación Judicial, CENADOJ del Organismo Judicial.</w:t>
      </w:r>
    </w:p>
    <w:p w:rsidR="004F345B" w:rsidRPr="00981E15" w:rsidRDefault="004F345B" w:rsidP="004F345B">
      <w:pPr>
        <w:pStyle w:val="SingleTxt"/>
        <w:numPr>
          <w:ilvl w:val="0"/>
          <w:numId w:val="39"/>
        </w:numPr>
        <w:tabs>
          <w:tab w:val="clear" w:pos="475"/>
          <w:tab w:val="num" w:pos="1742"/>
        </w:tabs>
        <w:ind w:left="1267"/>
      </w:pPr>
      <w:r w:rsidRPr="00981E15">
        <w:rPr>
          <w:b/>
          <w:i/>
        </w:rPr>
        <w:t>Matriz de Atención Integral.</w:t>
      </w:r>
      <w:r w:rsidRPr="00981E15">
        <w:t xml:space="preserve"> La mayoría de Juzgados de Familia y de </w:t>
      </w:r>
      <w:smartTag w:uri="urn:schemas-microsoft-com:office:smarttags" w:element="PersonName">
        <w:smartTagPr>
          <w:attr w:name="ProductID" w:val="La Ni￱ez"/>
        </w:smartTagPr>
        <w:r w:rsidRPr="00981E15">
          <w:t>la Niñez</w:t>
        </w:r>
      </w:smartTag>
      <w:r w:rsidRPr="00981E15">
        <w:t xml:space="preserve"> y </w:t>
      </w:r>
      <w:smartTag w:uri="urn:schemas-microsoft-com:office:smarttags" w:element="PersonName">
        <w:smartTagPr>
          <w:attr w:name="ProductID" w:val="la Adolescencia"/>
        </w:smartTagPr>
        <w:r w:rsidRPr="00981E15">
          <w:t>la Adolescencia</w:t>
        </w:r>
      </w:smartTag>
      <w:r w:rsidRPr="00981E15">
        <w:t xml:space="preserve">, cuentan con profesionales de Psicología y de Trabajo Social, con el objeto de brindar una atención integral de atención de la violencia intrafamiliar y en contra de las mujeres. Se ha creado un sistema de Redes de Apoyo para la derivación y seguimiento de casos para sobrevivientes de Violencia Intrafamiliar y en Contra de </w:t>
      </w:r>
      <w:smartTag w:uri="urn:schemas-microsoft-com:office:smarttags" w:element="PersonName">
        <w:smartTagPr>
          <w:attr w:name="ProductID" w:val="la Mujer"/>
        </w:smartTagPr>
        <w:r w:rsidRPr="00981E15">
          <w:t>la Mujer</w:t>
        </w:r>
      </w:smartTag>
      <w:r w:rsidRPr="00981E15">
        <w:t>, coordinación que se ha realizado con instituciones del Estado y especialmente con instancias de la sociedad civil.</w:t>
      </w:r>
    </w:p>
    <w:p w:rsidR="004F345B" w:rsidRPr="00981E15" w:rsidRDefault="004F345B" w:rsidP="004F345B">
      <w:pPr>
        <w:pStyle w:val="SingleTxt"/>
        <w:numPr>
          <w:ilvl w:val="0"/>
          <w:numId w:val="39"/>
        </w:numPr>
        <w:tabs>
          <w:tab w:val="clear" w:pos="475"/>
          <w:tab w:val="num" w:pos="1742"/>
        </w:tabs>
        <w:ind w:left="1267"/>
      </w:pPr>
      <w:r w:rsidRPr="00981E15">
        <w:t xml:space="preserve">Para mejorar el acceso a la justicia a las mujeres víctimas, se ha promovido: </w:t>
      </w:r>
    </w:p>
    <w:p w:rsidR="004F345B" w:rsidRPr="00981E15" w:rsidRDefault="004F345B" w:rsidP="00FF4ADA">
      <w:pPr>
        <w:pStyle w:val="SingleTxt"/>
        <w:tabs>
          <w:tab w:val="right" w:pos="1685"/>
        </w:tabs>
        <w:suppressAutoHyphens/>
        <w:ind w:left="1742" w:hanging="475"/>
      </w:pPr>
      <w:r w:rsidRPr="00981E15">
        <w:tab/>
        <w:t>•</w:t>
      </w:r>
      <w:r w:rsidRPr="00981E15">
        <w:tab/>
        <w:t xml:space="preserve">La actualización de normas y procedimientos institucionales para la atención y prevención de la violencia intrafamiliar y en contra de las mujeres. </w:t>
      </w:r>
    </w:p>
    <w:p w:rsidR="004F345B" w:rsidRPr="00981E15" w:rsidRDefault="004F345B" w:rsidP="00FF4ADA">
      <w:pPr>
        <w:pStyle w:val="SingleTxt"/>
        <w:tabs>
          <w:tab w:val="right" w:pos="1685"/>
        </w:tabs>
        <w:suppressAutoHyphens/>
        <w:ind w:left="1742" w:hanging="475"/>
      </w:pPr>
      <w:r w:rsidRPr="00981E15">
        <w:tab/>
        <w:t>•</w:t>
      </w:r>
      <w:r w:rsidRPr="00981E15">
        <w:tab/>
        <w:t>Accionado e impulsado coordinaciones al más alto nivel interinstitucional para el seguimiento de las tareas correspondientes al sistema de justicia y otros.</w:t>
      </w:r>
    </w:p>
    <w:p w:rsidR="004F345B" w:rsidRPr="00981E15" w:rsidRDefault="004F345B" w:rsidP="00FF4ADA">
      <w:pPr>
        <w:pStyle w:val="SingleTxt"/>
        <w:tabs>
          <w:tab w:val="right" w:pos="1685"/>
        </w:tabs>
        <w:suppressAutoHyphens/>
        <w:ind w:left="1742" w:hanging="475"/>
      </w:pPr>
      <w:r w:rsidRPr="00981E15">
        <w:tab/>
        <w:t>•</w:t>
      </w:r>
      <w:r w:rsidRPr="00981E15">
        <w:tab/>
        <w:t>Fortalecimiento de la descentralización.</w:t>
      </w:r>
    </w:p>
    <w:p w:rsidR="004F345B" w:rsidRPr="00981E15" w:rsidRDefault="004F345B" w:rsidP="00FF4ADA">
      <w:pPr>
        <w:pStyle w:val="SingleTxt"/>
        <w:tabs>
          <w:tab w:val="right" w:pos="1685"/>
        </w:tabs>
        <w:suppressAutoHyphens/>
        <w:ind w:left="1742" w:hanging="475"/>
      </w:pPr>
      <w:r w:rsidRPr="00981E15">
        <w:tab/>
        <w:t>•</w:t>
      </w:r>
      <w:r w:rsidRPr="00981E15">
        <w:tab/>
        <w:t xml:space="preserve">Diseño e implementación de un programa de formación de aspirantes a Jueces y Juezas de Paz. </w:t>
      </w:r>
    </w:p>
    <w:p w:rsidR="004F345B" w:rsidRPr="00981E15" w:rsidRDefault="004F345B" w:rsidP="00FF4ADA">
      <w:pPr>
        <w:pStyle w:val="SingleTxt"/>
        <w:tabs>
          <w:tab w:val="right" w:pos="1685"/>
        </w:tabs>
        <w:suppressAutoHyphens/>
        <w:ind w:left="1742" w:hanging="475"/>
      </w:pPr>
      <w:r w:rsidRPr="00981E15">
        <w:tab/>
        <w:t>•</w:t>
      </w:r>
      <w:r w:rsidRPr="00981E15">
        <w:tab/>
        <w:t xml:space="preserve">Implementación de reformas educativas que garanticen la inclusión del enfoque de género en las capacitaciones al personal jurisdiccional a nivel nacional. </w:t>
      </w:r>
    </w:p>
    <w:p w:rsidR="004F345B" w:rsidRPr="00981E15" w:rsidRDefault="004F345B" w:rsidP="00FF4ADA">
      <w:pPr>
        <w:pStyle w:val="SingleTxt"/>
        <w:tabs>
          <w:tab w:val="right" w:pos="1685"/>
        </w:tabs>
        <w:suppressAutoHyphens/>
        <w:ind w:left="1742" w:hanging="475"/>
      </w:pPr>
      <w:r w:rsidRPr="00981E15">
        <w:tab/>
        <w:t>•</w:t>
      </w:r>
      <w:r w:rsidRPr="00981E15">
        <w:tab/>
        <w:t xml:space="preserve">Currícula reformada y adecuada que incluya el problema de </w:t>
      </w:r>
      <w:smartTag w:uri="urn:schemas-microsoft-com:office:smarttags" w:element="PersonName">
        <w:smartTagPr>
          <w:attr w:name="ProductID" w:val="la Violencia Intrafamiliar"/>
        </w:smartTagPr>
        <w:r w:rsidRPr="00981E15">
          <w:t>la Violencia Intrafamiliar</w:t>
        </w:r>
      </w:smartTag>
      <w:r w:rsidRPr="00981E15">
        <w:t xml:space="preserve"> y en Contra de las mujeres en el sistema de capacitación y formación de candidatos y candidatas a Jueces y Juezas, así como al personal jurisdiccional.</w:t>
      </w:r>
    </w:p>
    <w:p w:rsidR="004F345B" w:rsidRPr="00981E15" w:rsidRDefault="004F345B" w:rsidP="00FF4ADA">
      <w:pPr>
        <w:pStyle w:val="SingleTxt"/>
        <w:tabs>
          <w:tab w:val="right" w:pos="1685"/>
        </w:tabs>
        <w:suppressAutoHyphens/>
        <w:ind w:left="1742" w:hanging="475"/>
      </w:pPr>
      <w:r w:rsidRPr="00981E15">
        <w:tab/>
        <w:t>•</w:t>
      </w:r>
      <w:r w:rsidRPr="00981E15">
        <w:tab/>
        <w:t xml:space="preserve">Se han organizado talleres, conferencias, charlas, foros de reflexión y análisis crítico sobre Violencia Intrafamiliar y en Contra de las Mujer, dirigido a grupos objetivo como funcionarias y funcionarios, comunicadores y comunicadoras, sobrevivientes, líderes y lideresas. </w:t>
      </w:r>
    </w:p>
    <w:p w:rsidR="004F345B" w:rsidRPr="00981E15" w:rsidRDefault="004F345B" w:rsidP="004F345B">
      <w:pPr>
        <w:pStyle w:val="SingleTxt"/>
        <w:numPr>
          <w:ilvl w:val="0"/>
          <w:numId w:val="39"/>
        </w:numPr>
        <w:tabs>
          <w:tab w:val="clear" w:pos="475"/>
          <w:tab w:val="num" w:pos="1742"/>
        </w:tabs>
        <w:ind w:left="1267"/>
      </w:pPr>
      <w:r w:rsidRPr="00981E15">
        <w:rPr>
          <w:b/>
          <w:i/>
        </w:rPr>
        <w:t>Matriz de Prevención, Sensibilización y Educación</w:t>
      </w:r>
      <w:r w:rsidRPr="00981E15">
        <w:t xml:space="preserve">. Se ha generado información para promover cambios sociales a favor de una vida libre de violencia, con actividades de capacitación y educación para lograr cambios de patrones culturales con estrategias como capacitaciones, material informativo, prensa, televisión – medios de comunicación a nivel nacional. Especialmente con el Departamento de Comunicación Social y </w:t>
      </w:r>
      <w:smartTag w:uri="urn:schemas-microsoft-com:office:smarttags" w:element="PersonName">
        <w:smartTagPr>
          <w:attr w:name="ProductID" w:val="La Unidad"/>
        </w:smartTagPr>
        <w:r w:rsidRPr="00981E15">
          <w:t>la Unidad</w:t>
        </w:r>
      </w:smartTag>
      <w:r w:rsidRPr="00981E15">
        <w:t xml:space="preserve"> de Capacitación Institucional del Organismo Judicial.</w:t>
      </w:r>
    </w:p>
    <w:p w:rsidR="004F345B" w:rsidRPr="00981E15" w:rsidRDefault="004F345B" w:rsidP="004F345B">
      <w:pPr>
        <w:pStyle w:val="SingleTxt"/>
        <w:numPr>
          <w:ilvl w:val="0"/>
          <w:numId w:val="39"/>
        </w:numPr>
        <w:tabs>
          <w:tab w:val="clear" w:pos="475"/>
          <w:tab w:val="num" w:pos="1742"/>
        </w:tabs>
        <w:ind w:left="1267"/>
      </w:pPr>
      <w:r w:rsidRPr="00981E15">
        <w:t xml:space="preserve">En el Organismo Judicial existen programas de divulgación para la prevención y erradicación de la violencia intrafamiliar, por medio de </w:t>
      </w:r>
      <w:smartTag w:uri="urn:schemas-microsoft-com:office:smarttags" w:element="PersonName">
        <w:smartTagPr>
          <w:attr w:name="ProductID" w:val="La Unidad"/>
        </w:smartTagPr>
        <w:r w:rsidRPr="00981E15">
          <w:t>la Unidad</w:t>
        </w:r>
      </w:smartTag>
      <w:r w:rsidRPr="00981E15">
        <w:t xml:space="preserve"> de Capacitación Institucional y del Departamento de Comunicación Social. En su oportunidad por medio del Departamento de Psicología se crearon algunas herramientas psicopedagógicas que permitieron visibilizar la problemática, las cuales se incluyeron en agenda interna de trabajo. Además, se desarrollaron materiales de información, educación y sensibilización en la problemática de violencia intrafamiliar, violencia en contra de las mujeres, abuso y hostigamiento sexual a niñas y niños y otros temas vinculantes.</w:t>
      </w:r>
    </w:p>
    <w:p w:rsidR="004F345B" w:rsidRPr="00981E15" w:rsidRDefault="004F345B" w:rsidP="004F345B">
      <w:pPr>
        <w:pStyle w:val="SingleTxt"/>
        <w:numPr>
          <w:ilvl w:val="0"/>
          <w:numId w:val="39"/>
        </w:numPr>
        <w:tabs>
          <w:tab w:val="clear" w:pos="475"/>
          <w:tab w:val="num" w:pos="1742"/>
        </w:tabs>
        <w:ind w:left="1267"/>
      </w:pPr>
      <w:r w:rsidRPr="00981E15">
        <w:t xml:space="preserve">Estas acciones las ha retomado </w:t>
      </w:r>
      <w:smartTag w:uri="urn:schemas-microsoft-com:office:smarttags" w:element="PersonName">
        <w:smartTagPr>
          <w:attr w:name="ProductID" w:val="La Unidad"/>
        </w:smartTagPr>
        <w:r w:rsidRPr="00981E15">
          <w:t>la Unidad</w:t>
        </w:r>
      </w:smartTag>
      <w:r w:rsidRPr="00981E15">
        <w:t xml:space="preserve"> de </w:t>
      </w:r>
      <w:smartTag w:uri="urn:schemas-microsoft-com:office:smarttags" w:element="PersonName">
        <w:smartTagPr>
          <w:attr w:name="ProductID" w:val="la Mujer"/>
        </w:smartTagPr>
        <w:r w:rsidRPr="00981E15">
          <w:t>la Mujer</w:t>
        </w:r>
      </w:smartTag>
      <w:r w:rsidRPr="00981E15">
        <w:t xml:space="preserve"> y Análisis de Género a nivel nacional, con la reproducción y distribución de materiales gratuitos a las unidades jurisdiccionales y otras que lo soliciten. Con esto se da cumplimiento al Plan Nacional de Prevención y Erradicación de </w:t>
      </w:r>
      <w:smartTag w:uri="urn:schemas-microsoft-com:office:smarttags" w:element="PersonName">
        <w:smartTagPr>
          <w:attr w:name="ProductID" w:val="la Violencia Intrafamiliar"/>
        </w:smartTagPr>
        <w:smartTag w:uri="urn:schemas-microsoft-com:office:smarttags" w:element="PersonName">
          <w:smartTagPr>
            <w:attr w:name="ProductID" w:val="la Violencia"/>
          </w:smartTagPr>
          <w:r w:rsidRPr="00981E15">
            <w:t>la Violencia</w:t>
          </w:r>
        </w:smartTag>
        <w:r w:rsidRPr="00981E15">
          <w:t xml:space="preserve"> Intrafamiliar</w:t>
        </w:r>
      </w:smartTag>
      <w:r w:rsidRPr="00981E15">
        <w:t xml:space="preserve"> y Contra las Mujeres PLANOVI 2004-2014, en </w:t>
      </w:r>
      <w:smartTag w:uri="urn:schemas-microsoft-com:office:smarttags" w:element="PersonName">
        <w:smartTagPr>
          <w:attr w:name="ProductID" w:val="la matriz B"/>
        </w:smartTagPr>
        <w:r w:rsidRPr="00981E15">
          <w:t>la matriz B</w:t>
        </w:r>
      </w:smartTag>
      <w:r w:rsidRPr="00981E15">
        <w:t xml:space="preserve"> (prevención, sensibilización y educación), con los objetivos específicos: “Generar información para promover cambios sociales a favor de una vida libre de violencia”.</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rPr>
          <w:b w:val="0"/>
        </w:rPr>
        <w:tab/>
      </w:r>
      <w:r w:rsidRPr="00981E15">
        <w:rPr>
          <w:b w:val="0"/>
        </w:rPr>
        <w:tab/>
        <w:t>Cuadro 31</w:t>
      </w:r>
      <w:r w:rsidRPr="00981E15">
        <w:rPr>
          <w:b w:val="0"/>
        </w:rPr>
        <w:br/>
      </w:r>
      <w:r w:rsidRPr="00981E15">
        <w:t>Cantidad de denuncias recibidas en el Organismo Judicial Violencia Intrafamiliar</w:t>
      </w:r>
    </w:p>
    <w:p w:rsidR="004F345B" w:rsidRPr="00981E15" w:rsidRDefault="004F345B" w:rsidP="004F345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4F345B" w:rsidRPr="00981E15">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i/>
                <w:sz w:val="14"/>
                <w:szCs w:val="24"/>
              </w:rPr>
            </w:pPr>
            <w:r w:rsidRPr="00981E15">
              <w:rPr>
                <w:i/>
                <w:sz w:val="14"/>
                <w:szCs w:val="24"/>
              </w:rPr>
              <w:t>Año</w:t>
            </w:r>
          </w:p>
        </w:tc>
        <w:tc>
          <w:tcPr>
            <w:tcW w:w="2440"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i/>
                <w:sz w:val="14"/>
                <w:szCs w:val="24"/>
              </w:rPr>
            </w:pPr>
            <w:r w:rsidRPr="00981E15">
              <w:rPr>
                <w:i/>
                <w:sz w:val="14"/>
                <w:szCs w:val="24"/>
              </w:rPr>
              <w:t>Mujeres*</w:t>
            </w:r>
          </w:p>
        </w:tc>
        <w:tc>
          <w:tcPr>
            <w:tcW w:w="2440" w:type="dxa"/>
            <w:tcBorders>
              <w:top w:val="single" w:sz="4" w:space="0" w:color="auto"/>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i/>
                <w:sz w:val="14"/>
                <w:szCs w:val="24"/>
              </w:rPr>
            </w:pPr>
            <w:r w:rsidRPr="00981E15">
              <w:rPr>
                <w:i/>
                <w:sz w:val="14"/>
                <w:szCs w:val="24"/>
              </w:rPr>
              <w:t>Hombres**</w:t>
            </w:r>
          </w:p>
        </w:tc>
      </w:tr>
      <w:tr w:rsidR="004F345B" w:rsidRPr="00981E15">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sz w:val="17"/>
              </w:rPr>
            </w:pPr>
          </w:p>
        </w:tc>
        <w:tc>
          <w:tcPr>
            <w:tcW w:w="2440"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sz w:val="17"/>
              </w:rPr>
            </w:pPr>
          </w:p>
        </w:tc>
        <w:tc>
          <w:tcPr>
            <w:tcW w:w="2440" w:type="dxa"/>
            <w:tcBorders>
              <w:top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sz w:val="17"/>
              </w:rPr>
            </w:pPr>
          </w:p>
        </w:tc>
      </w:tr>
      <w:tr w:rsidR="004F345B" w:rsidRPr="00981E15">
        <w:tblPrEx>
          <w:tblCellMar>
            <w:top w:w="0" w:type="dxa"/>
            <w:bottom w:w="0" w:type="dxa"/>
          </w:tblCellMar>
        </w:tblPrEx>
        <w:tc>
          <w:tcPr>
            <w:tcW w:w="2440" w:type="dxa"/>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2005</w:t>
            </w:r>
          </w:p>
        </w:tc>
        <w:tc>
          <w:tcPr>
            <w:tcW w:w="2440" w:type="dxa"/>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32 439</w:t>
            </w:r>
          </w:p>
        </w:tc>
        <w:tc>
          <w:tcPr>
            <w:tcW w:w="2440" w:type="dxa"/>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5 165</w:t>
            </w:r>
          </w:p>
        </w:tc>
      </w:tr>
      <w:tr w:rsidR="004F345B" w:rsidRPr="00981E15">
        <w:tblPrEx>
          <w:tblCellMar>
            <w:top w:w="0" w:type="dxa"/>
            <w:bottom w:w="0" w:type="dxa"/>
          </w:tblCellMar>
        </w:tblPrEx>
        <w:tc>
          <w:tcPr>
            <w:tcW w:w="2440" w:type="dxa"/>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2006</w:t>
            </w:r>
          </w:p>
        </w:tc>
        <w:tc>
          <w:tcPr>
            <w:tcW w:w="2440" w:type="dxa"/>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34 270</w:t>
            </w:r>
          </w:p>
        </w:tc>
        <w:tc>
          <w:tcPr>
            <w:tcW w:w="2440" w:type="dxa"/>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4 868</w:t>
            </w:r>
          </w:p>
        </w:tc>
      </w:tr>
      <w:tr w:rsidR="004F345B" w:rsidRPr="00981E15">
        <w:tblPrEx>
          <w:tblCellMar>
            <w:top w:w="0" w:type="dxa"/>
            <w:bottom w:w="0" w:type="dxa"/>
          </w:tblCellMar>
        </w:tblPrEx>
        <w:tc>
          <w:tcPr>
            <w:tcW w:w="2440" w:type="dxa"/>
            <w:tcBorders>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2007***</w:t>
            </w:r>
          </w:p>
        </w:tc>
        <w:tc>
          <w:tcPr>
            <w:tcW w:w="2440" w:type="dxa"/>
            <w:tcBorders>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7 312</w:t>
            </w:r>
          </w:p>
        </w:tc>
        <w:tc>
          <w:tcPr>
            <w:tcW w:w="2440" w:type="dxa"/>
            <w:tcBorders>
              <w:bottom w:val="single" w:sz="12" w:space="0" w:color="auto"/>
            </w:tcBorders>
            <w:shd w:val="clear" w:color="auto" w:fill="auto"/>
            <w:vAlign w:val="bottom"/>
          </w:tcPr>
          <w:p w:rsidR="004F345B" w:rsidRPr="00981E15" w:rsidRDefault="004F345B" w:rsidP="00FF4ADA">
            <w:pPr>
              <w:pStyle w:val="SingleTxt"/>
              <w:suppressAutoHyphens/>
              <w:spacing w:before="40" w:after="40" w:line="210" w:lineRule="exact"/>
              <w:ind w:left="0" w:right="43"/>
              <w:rPr>
                <w:sz w:val="17"/>
                <w:szCs w:val="24"/>
              </w:rPr>
            </w:pPr>
            <w:r w:rsidRPr="00981E15">
              <w:rPr>
                <w:sz w:val="17"/>
                <w:szCs w:val="24"/>
              </w:rPr>
              <w:t>1 498</w:t>
            </w:r>
          </w:p>
        </w:tc>
      </w:tr>
    </w:tbl>
    <w:p w:rsidR="004F345B" w:rsidRPr="00981E15" w:rsidRDefault="004F345B" w:rsidP="004F345B">
      <w:pPr>
        <w:pStyle w:val="SingleTxt"/>
        <w:spacing w:after="0" w:line="120" w:lineRule="exact"/>
        <w:rPr>
          <w:sz w:val="10"/>
        </w:rPr>
      </w:pPr>
    </w:p>
    <w:p w:rsidR="004F345B" w:rsidRPr="00981E15" w:rsidRDefault="004F345B" w:rsidP="00FF4ADA">
      <w:pPr>
        <w:pStyle w:val="FootnoteText"/>
        <w:tabs>
          <w:tab w:val="clear" w:pos="418"/>
          <w:tab w:val="right" w:pos="1476"/>
          <w:tab w:val="left" w:pos="1548"/>
          <w:tab w:val="right" w:pos="1836"/>
          <w:tab w:val="left" w:pos="1908"/>
        </w:tabs>
        <w:ind w:left="1267" w:right="1267" w:firstLine="11"/>
        <w:rPr>
          <w:w w:val="103"/>
        </w:rPr>
      </w:pPr>
      <w:r w:rsidRPr="00981E15">
        <w:rPr>
          <w:i/>
          <w:w w:val="103"/>
        </w:rPr>
        <w:t>Fuente</w:t>
      </w:r>
      <w:r w:rsidRPr="00981E15">
        <w:rPr>
          <w:w w:val="103"/>
        </w:rPr>
        <w:t xml:space="preserve">: Unidad de </w:t>
      </w:r>
      <w:smartTag w:uri="urn:schemas-microsoft-com:office:smarttags" w:element="PersonName">
        <w:smartTagPr>
          <w:attr w:name="ProductID" w:val="la Mujer. Organismo Judicial"/>
        </w:smartTagPr>
        <w:smartTag w:uri="urn:schemas-microsoft-com:office:smarttags" w:element="PersonName">
          <w:smartTagPr>
            <w:attr w:name="ProductID" w:val="la Mujer. Organismo"/>
          </w:smartTagPr>
          <w:r w:rsidRPr="00981E15">
            <w:rPr>
              <w:w w:val="103"/>
            </w:rPr>
            <w:t>la Mujer. Organismo</w:t>
          </w:r>
        </w:smartTag>
        <w:r w:rsidRPr="00981E15">
          <w:rPr>
            <w:w w:val="103"/>
          </w:rPr>
          <w:t xml:space="preserve"> Judicial</w:t>
        </w:r>
      </w:smartTag>
      <w:r w:rsidRPr="00981E15">
        <w:rPr>
          <w:w w:val="103"/>
        </w:rPr>
        <w:t>, julio de 2007.</w:t>
      </w:r>
    </w:p>
    <w:p w:rsidR="004F345B" w:rsidRPr="00981E15" w:rsidRDefault="004F345B" w:rsidP="004F345B">
      <w:pPr>
        <w:pStyle w:val="SingleTxt"/>
        <w:spacing w:after="0" w:line="120" w:lineRule="exact"/>
        <w:rPr>
          <w:sz w:val="10"/>
        </w:rPr>
      </w:pPr>
    </w:p>
    <w:p w:rsidR="004F345B" w:rsidRPr="00981E15" w:rsidRDefault="004F345B" w:rsidP="00EC28D9">
      <w:pPr>
        <w:pStyle w:val="FootnoteText"/>
        <w:tabs>
          <w:tab w:val="clear" w:pos="418"/>
          <w:tab w:val="right" w:pos="1476"/>
          <w:tab w:val="left" w:pos="1548"/>
          <w:tab w:val="right" w:pos="1836"/>
          <w:tab w:val="left" w:pos="1908"/>
        </w:tabs>
        <w:ind w:left="1548" w:right="1267" w:hanging="288"/>
        <w:rPr>
          <w:i/>
          <w:w w:val="103"/>
        </w:rPr>
      </w:pPr>
      <w:r w:rsidRPr="00981E15">
        <w:rPr>
          <w:i/>
          <w:w w:val="103"/>
        </w:rPr>
        <w:tab/>
        <w:t>*</w:t>
      </w:r>
      <w:r w:rsidRPr="00981E15">
        <w:rPr>
          <w:i/>
          <w:w w:val="103"/>
        </w:rPr>
        <w:tab/>
      </w:r>
      <w:r w:rsidRPr="00981E15">
        <w:rPr>
          <w:w w:val="103"/>
        </w:rPr>
        <w:t>Incluye niñas en las cifras correspondientes a mujeres.</w:t>
      </w:r>
    </w:p>
    <w:p w:rsidR="004F345B" w:rsidRPr="00981E15" w:rsidRDefault="004F345B" w:rsidP="00EC28D9">
      <w:pPr>
        <w:pStyle w:val="FootnoteText"/>
        <w:tabs>
          <w:tab w:val="clear" w:pos="418"/>
          <w:tab w:val="right" w:pos="1476"/>
          <w:tab w:val="left" w:pos="1548"/>
          <w:tab w:val="right" w:pos="1836"/>
          <w:tab w:val="left" w:pos="1908"/>
        </w:tabs>
        <w:ind w:left="1548" w:right="1267" w:hanging="288"/>
        <w:rPr>
          <w:w w:val="103"/>
        </w:rPr>
      </w:pPr>
      <w:r w:rsidRPr="00981E15">
        <w:rPr>
          <w:i/>
          <w:w w:val="103"/>
        </w:rPr>
        <w:tab/>
        <w:t>**</w:t>
      </w:r>
      <w:r w:rsidRPr="00981E15">
        <w:rPr>
          <w:i/>
          <w:w w:val="103"/>
        </w:rPr>
        <w:tab/>
      </w:r>
      <w:r w:rsidRPr="00981E15">
        <w:rPr>
          <w:w w:val="103"/>
        </w:rPr>
        <w:t>Incluye niños en los datos de hombres.</w:t>
      </w:r>
    </w:p>
    <w:p w:rsidR="004F345B" w:rsidRPr="00981E15" w:rsidRDefault="004F345B" w:rsidP="00EC28D9">
      <w:pPr>
        <w:pStyle w:val="FootnoteText"/>
        <w:tabs>
          <w:tab w:val="clear" w:pos="418"/>
          <w:tab w:val="right" w:pos="1476"/>
          <w:tab w:val="left" w:pos="1548"/>
          <w:tab w:val="right" w:pos="1836"/>
          <w:tab w:val="left" w:pos="1908"/>
        </w:tabs>
        <w:ind w:left="1548" w:right="1267" w:hanging="288"/>
        <w:rPr>
          <w:w w:val="103"/>
        </w:rPr>
      </w:pPr>
      <w:r w:rsidRPr="00981E15">
        <w:rPr>
          <w:i/>
          <w:w w:val="103"/>
        </w:rPr>
        <w:tab/>
        <w:t>**</w:t>
      </w:r>
      <w:r w:rsidRPr="00981E15">
        <w:rPr>
          <w:i/>
          <w:w w:val="103"/>
        </w:rPr>
        <w:tab/>
      </w:r>
      <w:r w:rsidRPr="00981E15">
        <w:rPr>
          <w:w w:val="103"/>
        </w:rPr>
        <w:t>Cifras de enero a marzo de 2007.</w:t>
      </w:r>
    </w:p>
    <w:p w:rsidR="004F345B" w:rsidRPr="00981E15" w:rsidRDefault="004F345B" w:rsidP="004F345B">
      <w:pPr>
        <w:pStyle w:val="SingleTxt"/>
        <w:spacing w:after="0" w:line="120" w:lineRule="exact"/>
        <w:rPr>
          <w:sz w:val="10"/>
        </w:rPr>
      </w:pP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Formación de operadores del Organismo Judicial </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Como parte del programa de formación inicial de aspirantes a jueces de paz, el tema de violencia intrafamiliar es uno de los que más se aborda, ya que generalmente son de los casos que más se conocen en dichas judicaturas. El Organismo Judicial a través de la formación continua, dirigido a funcionarios y funcionarias y empleadas y empleadas que forman parte del Organismo Judicial, desarrolló las siguientes capacitaciones: </w:t>
      </w:r>
    </w:p>
    <w:p w:rsidR="004F345B" w:rsidRPr="00981E15" w:rsidRDefault="004F345B" w:rsidP="00FF4ADA">
      <w:pPr>
        <w:pStyle w:val="SingleTxt"/>
        <w:tabs>
          <w:tab w:val="right" w:pos="1685"/>
        </w:tabs>
        <w:suppressAutoHyphens/>
        <w:ind w:left="1742" w:hanging="475"/>
      </w:pPr>
      <w:r w:rsidRPr="00981E15">
        <w:tab/>
        <w:t>•</w:t>
      </w:r>
      <w:r w:rsidRPr="00981E15">
        <w:tab/>
        <w:t xml:space="preserve">En el 2004 se realizaron dos eventos de capacitación con 51 funcionarios y funcionarias judiciales capacitados (10 hombres y 41 mujeres). </w:t>
      </w:r>
    </w:p>
    <w:p w:rsidR="004F345B" w:rsidRPr="00981E15" w:rsidRDefault="004F345B" w:rsidP="00FF4ADA">
      <w:pPr>
        <w:pStyle w:val="SingleTxt"/>
        <w:tabs>
          <w:tab w:val="right" w:pos="1685"/>
        </w:tabs>
        <w:suppressAutoHyphens/>
        <w:ind w:left="1742" w:hanging="475"/>
      </w:pPr>
      <w:r w:rsidRPr="00981E15">
        <w:tab/>
        <w:t>•</w:t>
      </w:r>
      <w:r w:rsidRPr="00981E15">
        <w:tab/>
        <w:t xml:space="preserve">En el 2005 se realizaron tres eventos con participación de 215 funcionarias y funcionarios judiciales, quienes fueron capacitados en el tema de violencia intrafamiliar siendo 28 hombres y 187 mujeres. </w:t>
      </w:r>
    </w:p>
    <w:p w:rsidR="004F345B" w:rsidRPr="00981E15" w:rsidRDefault="004F345B" w:rsidP="00FF4ADA">
      <w:pPr>
        <w:pStyle w:val="SingleTxt"/>
        <w:tabs>
          <w:tab w:val="right" w:pos="1685"/>
        </w:tabs>
        <w:suppressAutoHyphens/>
        <w:ind w:left="1742" w:hanging="475"/>
      </w:pPr>
      <w:r w:rsidRPr="00981E15">
        <w:tab/>
        <w:t>•</w:t>
      </w:r>
      <w:r w:rsidRPr="00981E15">
        <w:tab/>
        <w:t xml:space="preserve">En el 2006 se desarrollaron 24 talleres, en donde se difundió la aplicación de </w:t>
      </w:r>
      <w:smartTag w:uri="urn:schemas-microsoft-com:office:smarttags" w:element="PersonName">
        <w:smartTagPr>
          <w:attr w:name="ProductID" w:val="la Ley"/>
        </w:smartTagPr>
        <w:r w:rsidRPr="00981E15">
          <w:t>la Ley</w:t>
        </w:r>
      </w:smartTag>
      <w:r w:rsidRPr="00981E15">
        <w:t xml:space="preserve"> para Prevenir, Sancionar y Erradicar </w:t>
      </w:r>
      <w:smartTag w:uri="urn:schemas-microsoft-com:office:smarttags" w:element="PersonName">
        <w:smartTagPr>
          <w:attr w:name="ProductID" w:val="la Violencia Intrafamiliar"/>
        </w:smartTagPr>
        <w:smartTag w:uri="urn:schemas-microsoft-com:office:smarttags" w:element="PersonName">
          <w:smartTagPr>
            <w:attr w:name="ProductID" w:val="la Violencia"/>
          </w:smartTagPr>
          <w:r w:rsidRPr="00981E15">
            <w:t>la Violencia</w:t>
          </w:r>
        </w:smartTag>
        <w:r w:rsidRPr="00981E15">
          <w:t xml:space="preserve"> Intrafamiliar</w:t>
        </w:r>
      </w:smartTag>
      <w:r w:rsidRPr="00981E15">
        <w:t xml:space="preserve">, así como capacitación sobre los instrumentos internacionales de protección de los derechos de las mujeres. En total se capacitó a 280 funcionarias y funcionarios judiciales (137 hombres y 143 mujeres). En dichos talleres participaron además psicólogos y psicólogas así como trabajadoras sociales que laboran en los juzgados del país. </w:t>
      </w:r>
    </w:p>
    <w:p w:rsidR="004F345B" w:rsidRPr="00981E15" w:rsidRDefault="004F345B" w:rsidP="00FF4ADA">
      <w:pPr>
        <w:pStyle w:val="SingleTxt"/>
        <w:tabs>
          <w:tab w:val="right" w:pos="1685"/>
        </w:tabs>
        <w:suppressAutoHyphens/>
        <w:ind w:left="1742" w:hanging="475"/>
      </w:pPr>
      <w:r w:rsidRPr="00981E15">
        <w:tab/>
        <w:t>•</w:t>
      </w:r>
      <w:r w:rsidRPr="00981E15">
        <w:tab/>
        <w:t xml:space="preserve">A junio 2007 se han efectuado dos eventos de capacitación donde se ha abordado el tema de violencia en contra de las mujeres, habiendo participado un total de 18 funcionarias y funcionarios judiciales (6 hombres y 12 mujeres). </w:t>
      </w:r>
    </w:p>
    <w:p w:rsidR="004F345B" w:rsidRPr="00981E15" w:rsidRDefault="004F345B" w:rsidP="00FF4ADA">
      <w:pPr>
        <w:pStyle w:val="SingleTxt"/>
        <w:tabs>
          <w:tab w:val="right" w:pos="1685"/>
        </w:tabs>
        <w:suppressAutoHyphens/>
        <w:ind w:left="1742" w:hanging="475"/>
      </w:pPr>
      <w:r w:rsidRPr="00981E15">
        <w:tab/>
        <w:t>•</w:t>
      </w:r>
      <w:r w:rsidRPr="00981E15">
        <w:tab/>
        <w:t xml:space="preserve">La formación continua se desarrolla con recursos del Organismo Judicial en su mayoría, </w:t>
      </w:r>
      <w:smartTag w:uri="urn:schemas-microsoft-com:office:smarttags" w:element="PersonName">
        <w:smartTagPr>
          <w:attr w:name="ProductID" w:val="La Unidad"/>
        </w:smartTagPr>
        <w:r w:rsidRPr="00981E15">
          <w:t>la Unidad</w:t>
        </w:r>
      </w:smartTag>
      <w:r w:rsidRPr="00981E15">
        <w:t xml:space="preserve"> de Modernización de este Organismo y otras instituciones cooperantes.</w:t>
      </w:r>
    </w:p>
    <w:p w:rsidR="004F345B" w:rsidRPr="00981E15" w:rsidRDefault="004F345B" w:rsidP="00FF4ADA">
      <w:pPr>
        <w:pStyle w:val="SingleTxt"/>
        <w:tabs>
          <w:tab w:val="right" w:pos="1685"/>
        </w:tabs>
        <w:suppressAutoHyphens/>
        <w:ind w:left="1742" w:hanging="475"/>
      </w:pPr>
      <w:r w:rsidRPr="00981E15">
        <w:tab/>
        <w:t>•</w:t>
      </w:r>
      <w:r w:rsidRPr="00981E15">
        <w:tab/>
        <w:t>En el nivel de Especialización, en el 2005 participaron 9 mujeres en el Diplomado de Estudios de Actualización de Estudios de Derechos de las Mujeres y Género y En el 2006 fueron 7 las funcionarias judiciales que participaron en el mismo.</w:t>
      </w:r>
    </w:p>
    <w:p w:rsidR="004F345B" w:rsidRPr="00981E15" w:rsidRDefault="004F345B" w:rsidP="00FF4ADA">
      <w:pPr>
        <w:pStyle w:val="SingleTxt"/>
        <w:tabs>
          <w:tab w:val="right" w:pos="1685"/>
        </w:tabs>
        <w:suppressAutoHyphens/>
        <w:ind w:left="1742" w:hanging="475"/>
      </w:pPr>
      <w:r w:rsidRPr="00981E15">
        <w:tab/>
        <w:t>•</w:t>
      </w:r>
      <w:r w:rsidRPr="00981E15">
        <w:tab/>
        <w:t xml:space="preserve">En el 2006 participaron 9 funcionarios y funcionarias en </w:t>
      </w:r>
      <w:smartTag w:uri="urn:schemas-microsoft-com:office:smarttags" w:element="PersonName">
        <w:smartTagPr>
          <w:attr w:name="ProductID" w:val="la Maestr￭a"/>
        </w:smartTagPr>
        <w:r w:rsidRPr="00981E15">
          <w:t>la Maestría</w:t>
        </w:r>
      </w:smartTag>
      <w:r w:rsidRPr="00981E15">
        <w:t xml:space="preserve"> de Derechos de las Mujeres y Acceso a </w:t>
      </w:r>
      <w:smartTag w:uri="urn:schemas-microsoft-com:office:smarttags" w:element="PersonName">
        <w:smartTagPr>
          <w:attr w:name="ProductID" w:val="la Justicia"/>
        </w:smartTagPr>
        <w:r w:rsidRPr="00981E15">
          <w:t>la Justicia</w:t>
        </w:r>
      </w:smartTag>
      <w:r w:rsidRPr="00981E15">
        <w:t xml:space="preserve"> (3 hombres y 6 mujeres). Estos funcionarios y funcionarias participantes fueron becadas con el apoyo financiero del Proyecto Iniciativa para los Derechos de las Mujeres, ejecutado por Chemonics, con apoyo de USAID.</w:t>
      </w:r>
    </w:p>
    <w:p w:rsidR="004F345B" w:rsidRPr="00981E15" w:rsidRDefault="004F345B" w:rsidP="00FF4ADA">
      <w:pPr>
        <w:pStyle w:val="SingleTxt"/>
        <w:tabs>
          <w:tab w:val="right" w:pos="1685"/>
        </w:tabs>
        <w:suppressAutoHyphens/>
        <w:ind w:left="1742" w:hanging="475"/>
      </w:pPr>
      <w:r w:rsidRPr="00981E15">
        <w:tab/>
        <w:t>•</w:t>
      </w:r>
      <w:r w:rsidRPr="00981E15">
        <w:tab/>
        <w:t xml:space="preserve">En el 2007 están participando 5 Juezas en </w:t>
      </w:r>
      <w:smartTag w:uri="urn:schemas-microsoft-com:office:smarttags" w:element="PersonName">
        <w:smartTagPr>
          <w:attr w:name="ProductID" w:val="la Maestr￭a"/>
        </w:smartTagPr>
        <w:r w:rsidRPr="00981E15">
          <w:t>la Maestría</w:t>
        </w:r>
      </w:smartTag>
      <w:r w:rsidRPr="00981E15">
        <w:t xml:space="preserve"> de Derechos de las Mujeres y Acceso a </w:t>
      </w:r>
      <w:smartTag w:uri="urn:schemas-microsoft-com:office:smarttags" w:element="PersonName">
        <w:smartTagPr>
          <w:attr w:name="ProductID" w:val="la Justicia"/>
        </w:smartTagPr>
        <w:r w:rsidRPr="00981E15">
          <w:t>la Justicia</w:t>
        </w:r>
      </w:smartTag>
      <w:r w:rsidRPr="00981E15">
        <w:t xml:space="preserve">, con apoyo del Programa de Acceso a </w:t>
      </w:r>
      <w:smartTag w:uri="urn:schemas-microsoft-com:office:smarttags" w:element="PersonName">
        <w:smartTagPr>
          <w:attr w:name="ProductID" w:val="la Justicia"/>
        </w:smartTagPr>
        <w:r w:rsidRPr="00981E15">
          <w:t>la Justicia</w:t>
        </w:r>
      </w:smartTag>
      <w:r w:rsidRPr="00981E15">
        <w:t xml:space="preserve"> de </w:t>
      </w:r>
      <w:smartTag w:uri="urn:schemas-microsoft-com:office:smarttags" w:element="PersonName">
        <w:smartTagPr>
          <w:attr w:name="ProductID" w:val="la Uni￳n Europea."/>
        </w:smartTagPr>
        <w:r w:rsidRPr="00981E15">
          <w:t>la Unión Europea.</w:t>
        </w:r>
      </w:smartTag>
    </w:p>
    <w:p w:rsidR="004F345B" w:rsidRPr="00981E15" w:rsidRDefault="004F345B" w:rsidP="00FF4ADA">
      <w:pPr>
        <w:pStyle w:val="SingleTxt"/>
        <w:tabs>
          <w:tab w:val="right" w:pos="1685"/>
        </w:tabs>
        <w:suppressAutoHyphens/>
        <w:ind w:left="1742" w:hanging="475"/>
      </w:pPr>
      <w:r w:rsidRPr="00981E15">
        <w:tab/>
        <w:t>•</w:t>
      </w:r>
      <w:r w:rsidRPr="00981E15">
        <w:tab/>
        <w:t xml:space="preserve">El nivel de especialización cuenta con el aval académico del Programa de Postgrado de </w:t>
      </w:r>
      <w:smartTag w:uri="urn:schemas-microsoft-com:office:smarttags" w:element="PersonName">
        <w:smartTagPr>
          <w:attr w:name="ProductID" w:val="la Facultad"/>
        </w:smartTagPr>
        <w:r w:rsidRPr="00981E15">
          <w:t>la Facultad</w:t>
        </w:r>
      </w:smartTag>
      <w:r w:rsidRPr="00981E15">
        <w:t xml:space="preserve"> de Ciencias Jurídicas y Sociales de </w:t>
      </w:r>
      <w:smartTag w:uri="urn:schemas-microsoft-com:office:smarttags" w:element="PersonName">
        <w:smartTagPr>
          <w:attr w:name="ProductID" w:val="la Universidad"/>
        </w:smartTagPr>
        <w:r w:rsidRPr="00981E15">
          <w:t>la Universidad</w:t>
        </w:r>
      </w:smartTag>
      <w:r w:rsidRPr="00981E15">
        <w:t xml:space="preserve"> de San Carlos de Guatemala.</w:t>
      </w:r>
    </w:p>
    <w:p w:rsidR="004F345B" w:rsidRPr="00981E15" w:rsidRDefault="004F345B" w:rsidP="00FF4ADA">
      <w:pPr>
        <w:pStyle w:val="SingleTxt"/>
        <w:tabs>
          <w:tab w:val="right" w:pos="1685"/>
        </w:tabs>
        <w:suppressAutoHyphens/>
        <w:ind w:left="1742" w:hanging="475"/>
      </w:pPr>
      <w:r w:rsidRPr="00981E15">
        <w:tab/>
        <w:t>•</w:t>
      </w:r>
      <w:r w:rsidRPr="00981E15">
        <w:tab/>
        <w:t xml:space="preserve">En marzo de 2006, en conmemoración del Día Internacional de </w:t>
      </w:r>
      <w:smartTag w:uri="urn:schemas-microsoft-com:office:smarttags" w:element="PersonName">
        <w:smartTagPr>
          <w:attr w:name="ProductID" w:val="la Mujer"/>
        </w:smartTagPr>
        <w:r w:rsidRPr="00981E15">
          <w:t>la Mujer</w:t>
        </w:r>
      </w:smartTag>
      <w:r w:rsidRPr="00981E15">
        <w:t xml:space="preserve">, por iniciativa de </w:t>
      </w:r>
      <w:smartTag w:uri="urn:schemas-microsoft-com:office:smarttags" w:element="PersonName">
        <w:smartTagPr>
          <w:attr w:name="ProductID" w:val="la Presidenta"/>
        </w:smartTagPr>
        <w:r w:rsidRPr="00981E15">
          <w:t>la Presidenta</w:t>
        </w:r>
      </w:smartTag>
      <w:r w:rsidRPr="00981E15">
        <w:t xml:space="preserve"> del Organismo Judicial, </w:t>
      </w:r>
      <w:smartTag w:uri="urn:schemas-microsoft-com:office:smarttags" w:element="PersonName">
        <w:smartTagPr>
          <w:attr w:name="ProductID" w:val="La Unidad"/>
        </w:smartTagPr>
        <w:r w:rsidRPr="00981E15">
          <w:t>la Unidad</w:t>
        </w:r>
      </w:smartTag>
      <w:r w:rsidRPr="00981E15">
        <w:t xml:space="preserve"> de Modernización del Organismo Judicial conjuntamente con instituciones del Sector Justicia, desarrolló el Programa de Derechos Humanos de las Mujeres y Violencia Intrafamiliar. </w:t>
      </w:r>
    </w:p>
    <w:p w:rsidR="004F345B" w:rsidRPr="00981E15" w:rsidRDefault="004F345B" w:rsidP="00FF4ADA">
      <w:pPr>
        <w:pStyle w:val="SingleTxt"/>
        <w:suppressAutoHyphens/>
      </w:pPr>
      <w:r w:rsidRPr="00981E15">
        <w:t xml:space="preserve">La temática desarrollada en los talleres fue sobre normas nacionales e internacionales relativas a los derechos humanos de las mujeres, especialmente el derecho a una vida libre de violencia y la caracterización de la violencia intrafamiliar, desde la perspectiva de género. Este Programa se desarrolló a nivel nacional y fue trabajado estratégicamente por medio de cinco regiones del país, con la finalidad de lograr la sensibilización y capacitación de las personas operadoras del Sector Justicia de Guatemala. </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Ministerio Público (MP)</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Actualmente en el país la violencia intrafamiliar no se encuentra tipificada como delito dentro de la legislación penal. A pesar de que la violencia intrafamiliar no es perseguible penalmente, el Ministerio Público recibe las denuncias y les da trámite. Se cita a la víctima, se le toma su declaración, se solicitan y tramitan ante el Juzgado de Familia medidas de seguridad.</w:t>
      </w:r>
    </w:p>
    <w:p w:rsidR="004F345B" w:rsidRPr="00981E15" w:rsidRDefault="004F345B" w:rsidP="004F345B">
      <w:pPr>
        <w:pStyle w:val="SingleTxt"/>
        <w:numPr>
          <w:ilvl w:val="0"/>
          <w:numId w:val="39"/>
        </w:numPr>
        <w:tabs>
          <w:tab w:val="clear" w:pos="475"/>
          <w:tab w:val="num" w:pos="1742"/>
        </w:tabs>
        <w:ind w:left="1267"/>
      </w:pPr>
      <w:r w:rsidRPr="00981E15">
        <w:t>Las medidas de seguridad, las juntas conciliatorias y la posibilidad de elevar la violencia a lesiones (dependiendo del tipo de lesión y del tiempo de incapacidad de la víctima) son los mecanismos para dar respuesta a las víctimas, en virtud de que la violencia intrafamiliar no se encuentra regulada como delito dentro de la legislación penal.</w:t>
      </w:r>
    </w:p>
    <w:p w:rsidR="004F345B" w:rsidRPr="00981E15" w:rsidRDefault="004F345B" w:rsidP="004F345B">
      <w:pPr>
        <w:pStyle w:val="SingleTxt"/>
        <w:numPr>
          <w:ilvl w:val="0"/>
          <w:numId w:val="39"/>
        </w:numPr>
        <w:tabs>
          <w:tab w:val="clear" w:pos="475"/>
          <w:tab w:val="num" w:pos="1742"/>
        </w:tabs>
        <w:ind w:left="1267"/>
      </w:pPr>
      <w:smartTag w:uri="urn:schemas-microsoft-com:office:smarttags" w:element="PersonName">
        <w:smartTagPr>
          <w:attr w:name="ProductID" w:val="La Unidad"/>
        </w:smartTagPr>
        <w:r w:rsidRPr="00981E15">
          <w:t>La Unidad</w:t>
        </w:r>
      </w:smartTag>
      <w:r w:rsidRPr="00981E15">
        <w:t xml:space="preserve"> de Capacitación del MP (UNICAP), a través del apoyo del BID elaboró un nuevo diseño de currícula, la cual incluye temas de sensibilización, especialización y actualización en temas relacionados con la equidad de género. Los cursos están dirigidos a Fiscales Distritales, Agentes Fiscales, Auxiliares Fiscales, personal de </w:t>
      </w:r>
      <w:smartTag w:uri="urn:schemas-microsoft-com:office:smarttags" w:element="PersonName">
        <w:smartTagPr>
          <w:attr w:name="ProductID" w:val="la Oficina"/>
        </w:smartTagPr>
        <w:r w:rsidRPr="00981E15">
          <w:t>la Oficina</w:t>
        </w:r>
      </w:smartTag>
      <w:r w:rsidRPr="00981E15">
        <w:t xml:space="preserve"> de Atención a </w:t>
      </w:r>
      <w:smartTag w:uri="urn:schemas-microsoft-com:office:smarttags" w:element="PersonName">
        <w:smartTagPr>
          <w:attr w:name="ProductID" w:val="la V￭ctima"/>
        </w:smartTagPr>
        <w:r w:rsidRPr="00981E15">
          <w:t>la Víctima</w:t>
        </w:r>
      </w:smartTag>
      <w:r w:rsidRPr="00981E15">
        <w:t xml:space="preserve"> y Atención Permanente. En el 2005 se realizó un taller sobre violencia intrafamiliar y niños y niñas víctimas. </w:t>
      </w:r>
    </w:p>
    <w:p w:rsidR="004F345B" w:rsidRPr="00981E15" w:rsidRDefault="004F345B" w:rsidP="004F345B">
      <w:pPr>
        <w:pStyle w:val="SingleTxt"/>
        <w:numPr>
          <w:ilvl w:val="0"/>
          <w:numId w:val="39"/>
        </w:numPr>
        <w:tabs>
          <w:tab w:val="clear" w:pos="475"/>
          <w:tab w:val="num" w:pos="1742"/>
        </w:tabs>
        <w:ind w:left="1267"/>
      </w:pPr>
      <w:r w:rsidRPr="00981E15">
        <w:t>En el 2006 se realizaron los siguientes talleres de capacitación y sensibilización:</w:t>
      </w:r>
    </w:p>
    <w:p w:rsidR="004F345B" w:rsidRPr="00981E15" w:rsidRDefault="004F345B" w:rsidP="00FF4ADA">
      <w:pPr>
        <w:pStyle w:val="SingleTxt"/>
        <w:tabs>
          <w:tab w:val="right" w:pos="1685"/>
        </w:tabs>
        <w:suppressAutoHyphens/>
        <w:ind w:left="1742" w:hanging="475"/>
      </w:pPr>
      <w:r w:rsidRPr="00981E15">
        <w:tab/>
        <w:t>•</w:t>
      </w:r>
      <w:r w:rsidRPr="00981E15">
        <w:tab/>
        <w:t xml:space="preserve">Derechos de las mujeres y violencia intrafamiliar; </w:t>
      </w:r>
    </w:p>
    <w:p w:rsidR="004F345B" w:rsidRPr="00981E15" w:rsidRDefault="004F345B" w:rsidP="00FF4ADA">
      <w:pPr>
        <w:pStyle w:val="SingleTxt"/>
        <w:tabs>
          <w:tab w:val="right" w:pos="1685"/>
        </w:tabs>
        <w:suppressAutoHyphens/>
        <w:ind w:left="1742" w:hanging="475"/>
      </w:pPr>
      <w:r w:rsidRPr="00981E15">
        <w:tab/>
        <w:t>•</w:t>
      </w:r>
      <w:r w:rsidRPr="00981E15">
        <w:tab/>
        <w:t xml:space="preserve">Violencia intrafamiliar y género; </w:t>
      </w:r>
    </w:p>
    <w:p w:rsidR="004F345B" w:rsidRPr="00981E15" w:rsidRDefault="004F345B" w:rsidP="00FF4ADA">
      <w:pPr>
        <w:pStyle w:val="SingleTxt"/>
        <w:tabs>
          <w:tab w:val="right" w:pos="1685"/>
        </w:tabs>
        <w:suppressAutoHyphens/>
        <w:ind w:left="1742" w:hanging="475"/>
      </w:pPr>
      <w:r w:rsidRPr="00981E15">
        <w:tab/>
        <w:t>•</w:t>
      </w:r>
      <w:r w:rsidRPr="00981E15">
        <w:tab/>
        <w:t xml:space="preserve">Masculinidad y género, explotación sexual de niños, niñas y adolescentes en Guatemala; </w:t>
      </w:r>
    </w:p>
    <w:p w:rsidR="004F345B" w:rsidRPr="00981E15" w:rsidRDefault="004F345B" w:rsidP="00FF4ADA">
      <w:pPr>
        <w:pStyle w:val="SingleTxt"/>
        <w:tabs>
          <w:tab w:val="right" w:pos="1685"/>
        </w:tabs>
        <w:suppressAutoHyphens/>
        <w:ind w:left="1742" w:hanging="475"/>
      </w:pPr>
      <w:r w:rsidRPr="00981E15">
        <w:tab/>
        <w:t>•</w:t>
      </w:r>
      <w:r w:rsidRPr="00981E15">
        <w:tab/>
        <w:t>Las y los operadores de justicia y su quehacer frente al femicidio en Guatemala;</w:t>
      </w:r>
    </w:p>
    <w:p w:rsidR="004F345B" w:rsidRPr="00981E15" w:rsidRDefault="004F345B" w:rsidP="00FF4ADA">
      <w:pPr>
        <w:pStyle w:val="SingleTxt"/>
        <w:tabs>
          <w:tab w:val="right" w:pos="1685"/>
        </w:tabs>
        <w:suppressAutoHyphens/>
        <w:ind w:left="1742" w:hanging="475"/>
      </w:pPr>
      <w:r w:rsidRPr="00981E15">
        <w:tab/>
        <w:t>•</w:t>
      </w:r>
      <w:r w:rsidRPr="00981E15">
        <w:tab/>
        <w:t xml:space="preserve">Importancia del manejo de </w:t>
      </w:r>
      <w:smartTag w:uri="urn:schemas-microsoft-com:office:smarttags" w:element="PersonName">
        <w:smartTagPr>
          <w:attr w:name="ProductID" w:val="la Ley"/>
        </w:smartTagPr>
        <w:r w:rsidRPr="00981E15">
          <w:t>la Ley</w:t>
        </w:r>
      </w:smartTag>
      <w:r w:rsidRPr="00981E15">
        <w:t xml:space="preserve"> de Protección integral del menor y </w:t>
      </w:r>
      <w:smartTag w:uri="urn:schemas-microsoft-com:office:smarttags" w:element="PersonName">
        <w:smartTagPr>
          <w:attr w:name="ProductID" w:val="la Ley"/>
        </w:smartTagPr>
        <w:r w:rsidRPr="00981E15">
          <w:t>la Ley</w:t>
        </w:r>
      </w:smartTag>
      <w:r w:rsidRPr="00981E15">
        <w:t xml:space="preserve"> para prevenir, erradicar y sancionar la violencia intrafamiliar; </w:t>
      </w:r>
    </w:p>
    <w:p w:rsidR="004F345B" w:rsidRPr="00981E15" w:rsidRDefault="004F345B" w:rsidP="00FF4ADA">
      <w:pPr>
        <w:pStyle w:val="SingleTxt"/>
        <w:tabs>
          <w:tab w:val="right" w:pos="1685"/>
        </w:tabs>
        <w:suppressAutoHyphens/>
        <w:ind w:left="1742" w:hanging="475"/>
      </w:pPr>
      <w:r w:rsidRPr="00981E15">
        <w:tab/>
        <w:t>•</w:t>
      </w:r>
      <w:r w:rsidRPr="00981E15">
        <w:tab/>
        <w:t>Conciencia pública con enfoque de género.</w:t>
      </w:r>
    </w:p>
    <w:p w:rsidR="004F345B" w:rsidRPr="00981E15" w:rsidRDefault="004F345B" w:rsidP="004F345B">
      <w:pPr>
        <w:pStyle w:val="SingleTxt"/>
        <w:numPr>
          <w:ilvl w:val="0"/>
          <w:numId w:val="39"/>
        </w:numPr>
        <w:tabs>
          <w:tab w:val="clear" w:pos="475"/>
          <w:tab w:val="num" w:pos="1742"/>
        </w:tabs>
        <w:ind w:left="1267"/>
      </w:pPr>
      <w:r w:rsidRPr="00981E15">
        <w:t xml:space="preserve">En el 2007 se han realizado las siguientes capacitaciones: </w:t>
      </w:r>
    </w:p>
    <w:p w:rsidR="004F345B" w:rsidRPr="00981E15" w:rsidRDefault="004F345B" w:rsidP="00FF4ADA">
      <w:pPr>
        <w:pStyle w:val="SingleTxt"/>
        <w:tabs>
          <w:tab w:val="right" w:pos="1685"/>
        </w:tabs>
        <w:suppressAutoHyphens/>
        <w:ind w:left="1742" w:hanging="475"/>
      </w:pPr>
      <w:r w:rsidRPr="00981E15">
        <w:tab/>
        <w:t>•</w:t>
      </w:r>
      <w:r w:rsidRPr="00981E15">
        <w:tab/>
        <w:t xml:space="preserve">Los obstáculos en la persecución penal de los delitos de explotación sexual y comercial; </w:t>
      </w:r>
    </w:p>
    <w:p w:rsidR="004F345B" w:rsidRPr="00981E15" w:rsidRDefault="004F345B" w:rsidP="00FF4ADA">
      <w:pPr>
        <w:pStyle w:val="SingleTxt"/>
        <w:tabs>
          <w:tab w:val="right" w:pos="1685"/>
        </w:tabs>
        <w:suppressAutoHyphens/>
        <w:ind w:left="1742" w:hanging="475"/>
      </w:pPr>
      <w:r w:rsidRPr="00981E15">
        <w:tab/>
        <w:t>•</w:t>
      </w:r>
      <w:r w:rsidRPr="00981E15">
        <w:tab/>
        <w:t>Los delitos de explotación sexual y comercial con énfasis en la trata de menores de edad.</w:t>
      </w:r>
    </w:p>
    <w:p w:rsidR="004F345B" w:rsidRPr="00981E15" w:rsidRDefault="004F345B" w:rsidP="00FF4ADA">
      <w:pPr>
        <w:pStyle w:val="SingleTxt"/>
        <w:tabs>
          <w:tab w:val="right" w:pos="1685"/>
        </w:tabs>
        <w:suppressAutoHyphens/>
        <w:ind w:left="1742" w:hanging="475"/>
      </w:pPr>
      <w:r w:rsidRPr="00981E15">
        <w:tab/>
        <w:t>•</w:t>
      </w:r>
      <w:r w:rsidRPr="00981E15">
        <w:tab/>
        <w:t>Procedimiento para el llenado de boleta de registro estadístico de los casos de violencia intrafamiliar.</w:t>
      </w:r>
    </w:p>
    <w:p w:rsidR="004F345B" w:rsidRPr="00981E15" w:rsidRDefault="004F345B" w:rsidP="004F345B">
      <w:pPr>
        <w:pStyle w:val="SingleTxt"/>
        <w:numPr>
          <w:ilvl w:val="0"/>
          <w:numId w:val="39"/>
        </w:numPr>
        <w:tabs>
          <w:tab w:val="clear" w:pos="475"/>
          <w:tab w:val="num" w:pos="1742"/>
        </w:tabs>
        <w:ind w:left="1267"/>
      </w:pPr>
      <w:r w:rsidRPr="00981E15">
        <w:t>En el Departamento Médico Forense del MP y por iniciativa propia se ha impulsado el programa de educación médica continua, que aunque no está plenamente estructurado ni es sistemático, intenta cada 15 días llevar a cabo espacios de discusión y capacitación sobre medicina forense. La metodología consiste en utilizar ejemplos ilustrativos sobre lesiones y a partir de ello, elaborar e implementar formas de atención especializada. El 10% de los temas los dedican al enfoque de género, dentro de lo cual enfatizan el rompimiento de estereotipos sobre perfil de mujeres que pueden ser víctimas de violación y formas de evitar la re-victimización de las mujeres violentadas.</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Oficina de Atención a </w:t>
      </w:r>
      <w:smartTag w:uri="urn:schemas-microsoft-com:office:smarttags" w:element="PersonName">
        <w:smartTagPr>
          <w:attr w:name="ProductID" w:val="la V￭ctima"/>
        </w:smartTagPr>
        <w:r w:rsidRPr="00981E15">
          <w:t>la Víctima</w:t>
        </w:r>
      </w:smartTag>
      <w:r w:rsidRPr="00981E15">
        <w:t xml:space="preserve"> (OAV) del Ministerio Público</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En el 2005 formuló cuatro módulos de formación y capacitación que cuentan con el enfoque de género como eje transversal: 1) trabajo en red para la víctima; 2) visión general sobre victimología; 3) trabajo de las OAVs y 4) sensibilización. Durante el 2006 los módulos fueron implementados por </w:t>
      </w:r>
      <w:smartTag w:uri="urn:schemas-microsoft-com:office:smarttags" w:element="PersonName">
        <w:smartTagPr>
          <w:attr w:name="ProductID" w:val="la UNICAP"/>
        </w:smartTagPr>
        <w:r w:rsidRPr="00981E15">
          <w:t>la UNICAP</w:t>
        </w:r>
      </w:smartTag>
      <w:r w:rsidRPr="00981E15">
        <w:t xml:space="preserve"> para asegurar que los contenidos lleguen a todo el personal del MP.</w:t>
      </w:r>
    </w:p>
    <w:p w:rsidR="004F345B" w:rsidRPr="00981E15" w:rsidRDefault="004F345B" w:rsidP="004F345B">
      <w:pPr>
        <w:pStyle w:val="SingleTxt"/>
        <w:numPr>
          <w:ilvl w:val="0"/>
          <w:numId w:val="39"/>
        </w:numPr>
        <w:tabs>
          <w:tab w:val="clear" w:pos="475"/>
          <w:tab w:val="num" w:pos="1742"/>
        </w:tabs>
        <w:ind w:left="1267"/>
      </w:pPr>
      <w:smartTag w:uri="urn:schemas-microsoft-com:office:smarttags" w:element="PersonName">
        <w:smartTagPr>
          <w:attr w:name="ProductID" w:val="la Oficina"/>
        </w:smartTagPr>
        <w:r w:rsidRPr="00981E15">
          <w:t>La Oficina</w:t>
        </w:r>
      </w:smartTag>
      <w:r w:rsidRPr="00981E15">
        <w:t xml:space="preserve"> de Atención a </w:t>
      </w:r>
      <w:smartTag w:uri="urn:schemas-microsoft-com:office:smarttags" w:element="PersonName">
        <w:smartTagPr>
          <w:attr w:name="ProductID" w:val="la V￭ctima"/>
        </w:smartTagPr>
        <w:r w:rsidRPr="00981E15">
          <w:t>la Víctima</w:t>
        </w:r>
      </w:smartTag>
      <w:r w:rsidRPr="00981E15">
        <w:t xml:space="preserve"> del MP del departamento de Guatemala cuenta con 6 psicólogas y 2 psicólogos para ayudar a las víctimas de delitos. Brindan atención urgente y necesaria, a la vez que se realiza un abordaje primario para estabilizarlas y puedan continuar con la denuncia. En el interior del país se cuenta con una Oficina de Atención a </w:t>
      </w:r>
      <w:smartTag w:uri="urn:schemas-microsoft-com:office:smarttags" w:element="PersonName">
        <w:smartTagPr>
          <w:attr w:name="ProductID" w:val="la V￭ctima"/>
        </w:smartTagPr>
        <w:r w:rsidRPr="00981E15">
          <w:t>la Víctima</w:t>
        </w:r>
      </w:smartTag>
      <w:r w:rsidRPr="00981E15">
        <w:t xml:space="preserve"> en todas las Fiscalías Distritales y Fiscalías Municipales a cargo de una Psicóloga o Psicólogo.</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Policía Nacional Civil (PNC)</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La División contra Lesiones y Delitos Sexuales trabaja con su personal de investigadores en turnos rotativos las 24 horas del día brindando apoyo a </w:t>
      </w:r>
      <w:smartTag w:uri="urn:schemas-microsoft-com:office:smarttags" w:element="PersonName">
        <w:smartTagPr>
          <w:attr w:name="ProductID" w:val="la Divisi￳n"/>
        </w:smartTagPr>
        <w:r w:rsidRPr="00981E15">
          <w:t>la División</w:t>
        </w:r>
      </w:smartTag>
      <w:r w:rsidRPr="00981E15">
        <w:t xml:space="preserve"> de Atención a </w:t>
      </w:r>
      <w:smartTag w:uri="urn:schemas-microsoft-com:office:smarttags" w:element="PersonName">
        <w:smartTagPr>
          <w:attr w:name="ProductID" w:val="la V￭ctima"/>
        </w:smartTagPr>
        <w:r w:rsidRPr="00981E15">
          <w:t>la Víctima</w:t>
        </w:r>
      </w:smartTag>
      <w:r w:rsidRPr="00981E15">
        <w:t xml:space="preserve"> de </w:t>
      </w:r>
      <w:smartTag w:uri="urn:schemas-microsoft-com:office:smarttags" w:element="PersonName">
        <w:smartTagPr>
          <w:attr w:name="ProductID" w:val="oderamienton.11alᴷĀ/瓐઀઀si￳nă佴ミ뵈뛜઀ﾐ઀ă٤ઁ઀઀imaă佴ミ뵈@݄ઁŰઁăĄઁ઀઀"/>
        </w:smartTagPr>
        <w:smartTag w:uri="urn:schemas-microsoft-com:office:smarttags" w:element="PersonName">
          <w:smartTagPr>
            <w:attr w:name="ProductID" w:val="la Polic￭a"/>
          </w:smartTagPr>
          <w:r w:rsidRPr="00981E15">
            <w:t>la Policía</w:t>
          </w:r>
        </w:smartTag>
        <w:r w:rsidRPr="00981E15">
          <w:t xml:space="preserve"> Nacional</w:t>
        </w:r>
      </w:smartTag>
      <w:r w:rsidRPr="00981E15">
        <w:t xml:space="preserve"> Civil. Las personas víctimas de violación, violencia intrafamiliar, abusos deshonestos violentos y lesiones son trasladadas por elementos de esta sección a </w:t>
      </w:r>
      <w:smartTag w:uri="urn:schemas-microsoft-com:office:smarttags" w:element="PersonName">
        <w:smartTagPr>
          <w:attr w:name="ProductID" w:val="la Fiscal￭a"/>
        </w:smartTagPr>
        <w:r w:rsidRPr="00981E15">
          <w:t>la Fiscalía</w:t>
        </w:r>
      </w:smartTag>
      <w:r w:rsidRPr="00981E15">
        <w:t xml:space="preserve"> de </w:t>
      </w:r>
      <w:smartTag w:uri="urn:schemas-microsoft-com:office:smarttags" w:element="PersonName">
        <w:smartTagPr>
          <w:attr w:name="ProductID" w:val="la Mujer"/>
        </w:smartTagPr>
        <w:r w:rsidRPr="00981E15">
          <w:t>la Mujer</w:t>
        </w:r>
      </w:smartTag>
      <w:r w:rsidRPr="00981E15">
        <w:t xml:space="preserve"> del Ministerio Público, para que se les brinde el apoyo psicológico necesario debido al estado de crisis en que se encuentran. </w:t>
      </w:r>
    </w:p>
    <w:p w:rsidR="004F345B" w:rsidRPr="00981E15" w:rsidRDefault="004F345B" w:rsidP="004F345B">
      <w:pPr>
        <w:pStyle w:val="SingleTxt"/>
        <w:numPr>
          <w:ilvl w:val="0"/>
          <w:numId w:val="39"/>
        </w:numPr>
        <w:tabs>
          <w:tab w:val="clear" w:pos="475"/>
          <w:tab w:val="num" w:pos="1742"/>
        </w:tabs>
        <w:ind w:left="1267"/>
        <w:rPr>
          <w:iCs/>
        </w:rPr>
      </w:pPr>
      <w:r w:rsidRPr="00981E15">
        <w:t>Las diferentes investigaciones que han realizado varias organizaciones gubernamentales y no gubernamentales, han ayudado a poner mayor interés en las cuestiones de género e ir creando mecanismos de sensibilización a la población en general para que se otorguen las mismas oportunidades de igualdad tanto para hombres como para mujeres.</w:t>
      </w:r>
    </w:p>
    <w:p w:rsidR="004F345B" w:rsidRPr="00981E15" w:rsidRDefault="004F345B" w:rsidP="004F345B">
      <w:pPr>
        <w:pStyle w:val="SingleTxt"/>
        <w:numPr>
          <w:ilvl w:val="0"/>
          <w:numId w:val="39"/>
        </w:numPr>
        <w:tabs>
          <w:tab w:val="clear" w:pos="475"/>
          <w:tab w:val="num" w:pos="1742"/>
        </w:tabs>
        <w:ind w:left="1267"/>
      </w:pPr>
      <w:r w:rsidRPr="00981E15">
        <w:t xml:space="preserve">Siendo </w:t>
      </w:r>
      <w:smartTag w:uri="urn:schemas-microsoft-com:office:smarttags" w:element="PersonName">
        <w:smartTagPr>
          <w:attr w:name="ProductID" w:val="la Oficina"/>
        </w:smartTagPr>
        <w:r w:rsidRPr="00981E15">
          <w:t>la Oficina</w:t>
        </w:r>
      </w:smartTag>
      <w:r w:rsidRPr="00981E15">
        <w:t xml:space="preserve"> de Derechos Humanos de </w:t>
      </w:r>
      <w:smartTag w:uri="urn:schemas-microsoft-com:office:smarttags" w:element="PersonName">
        <w:smartTagPr>
          <w:attr w:name="ProductID" w:val="la Polic￭a Nacional Civil"/>
        </w:smartTagPr>
        <w:smartTag w:uri="urn:schemas-microsoft-com:office:smarttags" w:element="PersonName">
          <w:smartTagPr>
            <w:attr w:name="ProductID" w:val="oderamienton.11alĀ৏葠ˍ#Ā&#10;ᅈˊ俠⃐㫪ၩ〫鴰䌯尺尀㄀砀茳႖䐀䍏䵕繅1䐀̀Ѐ墾圳碯逳ᒞ䐀漀挀甀洀攀渀琀猀 愀渀搀 匀攀琀琀椀渀最猀᠀㰀㄀砀茳႖洀慣灭獯☀̀"/>
          </w:smartTagPr>
          <w:r w:rsidRPr="00981E15">
            <w:t>la Policía Nacional</w:t>
          </w:r>
        </w:smartTag>
        <w:r w:rsidRPr="00981E15">
          <w:t xml:space="preserve"> Civil</w:t>
        </w:r>
      </w:smartTag>
      <w:r w:rsidRPr="00981E15">
        <w:t xml:space="preserve">, integrante de la red de apoyo conformada para la coordinación de esfuerzos multidisciplinarios a favor de las víctimas de violencia física, sexual, psicológica o patrimonial, ha organizado foros de reflexión, charlas, paneles, conferencias, seminarios de capacitación constante al personal policial que labora en </w:t>
      </w:r>
      <w:smartTag w:uri="urn:schemas-microsoft-com:office:smarttags" w:element="PersonName">
        <w:smartTagPr>
          <w:attr w:name="ProductID" w:val="la Divisi￳n"/>
        </w:smartTagPr>
        <w:r w:rsidRPr="00981E15">
          <w:t>la División</w:t>
        </w:r>
      </w:smartTag>
      <w:r w:rsidRPr="00981E15">
        <w:t xml:space="preserve"> de Atención Ciudadana y que atiende denuncias de violencia intrafamiliar. Ello con el objeto de concientizar y sensibilizar al personal policial sobre la solidaridad, comprensión y respeto a las mujeres, niños, niñas, víctimas para evitar que sean doblemente victimizadas. Así como la celeridad del trámite para preservar la seguridad de las mismas.</w:t>
      </w:r>
    </w:p>
    <w:p w:rsidR="004F345B" w:rsidRPr="00981E15" w:rsidRDefault="004F345B" w:rsidP="004F345B">
      <w:pPr>
        <w:pStyle w:val="SingleTxt"/>
        <w:numPr>
          <w:ilvl w:val="0"/>
          <w:numId w:val="39"/>
        </w:numPr>
        <w:tabs>
          <w:tab w:val="clear" w:pos="475"/>
          <w:tab w:val="num" w:pos="1742"/>
        </w:tabs>
        <w:ind w:left="1267"/>
      </w:pPr>
      <w:r w:rsidRPr="00981E15">
        <w:t xml:space="preserve">El personal de </w:t>
      </w:r>
      <w:smartTag w:uri="urn:schemas-microsoft-com:office:smarttags" w:element="PersonName">
        <w:smartTagPr>
          <w:attr w:name="ProductID" w:val="la PNC"/>
        </w:smartTagPr>
        <w:r w:rsidRPr="00981E15">
          <w:t>la PNC</w:t>
        </w:r>
      </w:smartTag>
      <w:r w:rsidRPr="00981E15">
        <w:t xml:space="preserve"> ha sido capacitado en temas de equidad de género y de violencia intrafamiliar, logrando tener una mayor respuesta a las llamadas de auxilio que se realizan por el número telefónico de emergencias de </w:t>
      </w:r>
      <w:smartTag w:uri="urn:schemas-microsoft-com:office:smarttags" w:element="PersonName">
        <w:smartTagPr>
          <w:attr w:name="ProductID" w:val="la PNC"/>
        </w:smartTagPr>
        <w:r w:rsidRPr="00981E15">
          <w:t>la PNC</w:t>
        </w:r>
      </w:smartTag>
      <w:r w:rsidRPr="00981E15">
        <w:t xml:space="preserve"> 110, donde se reportan llamadas constantes por problemas de violencia intrafamiliar. El personal que atiende las líneas de teléfono han recibido los cursos de: 1) Intervención en Crisis, 2) Derechos de las Víctimas de Delitos, 3) Autoestima, relaciones interpersonales y 4) mediación en conflictos. </w:t>
      </w:r>
      <w:smartTag w:uri="urn:schemas-microsoft-com:office:smarttags" w:element="PersonName">
        <w:smartTagPr>
          <w:attr w:name="ProductID" w:val="la Divisi￳n"/>
        </w:smartTagPr>
        <w:r w:rsidRPr="00981E15">
          <w:t>La División</w:t>
        </w:r>
      </w:smartTag>
      <w:r w:rsidRPr="00981E15">
        <w:t xml:space="preserve"> de Atención a </w:t>
      </w:r>
      <w:smartTag w:uri="urn:schemas-microsoft-com:office:smarttags" w:element="PersonName">
        <w:smartTagPr>
          <w:attr w:name="ProductID" w:val="la V￭ctima"/>
        </w:smartTagPr>
        <w:r w:rsidRPr="00981E15">
          <w:t>la Víctima</w:t>
        </w:r>
      </w:smartTag>
      <w:r w:rsidRPr="00981E15">
        <w:t xml:space="preserve"> de </w:t>
      </w:r>
      <w:smartTag w:uri="urn:schemas-microsoft-com:office:smarttags" w:element="PersonName">
        <w:smartTagPr>
          <w:attr w:name="ProductID" w:val="la PNC"/>
        </w:smartTagPr>
        <w:r w:rsidRPr="00981E15">
          <w:t>la PNC</w:t>
        </w:r>
      </w:smartTag>
      <w:r w:rsidRPr="00981E15">
        <w:t xml:space="preserve">, elaboró un “Manual de Procedimiento en Atención a Víctimas de Delitos”, donde se tiene un apartado especial de abordaje en los casos de mujeres que han sido víctimas de un hecho delictivo. </w:t>
      </w:r>
    </w:p>
    <w:p w:rsidR="004F345B" w:rsidRPr="00981E15" w:rsidRDefault="004F345B" w:rsidP="004F345B">
      <w:pPr>
        <w:pStyle w:val="SingleTxt"/>
        <w:numPr>
          <w:ilvl w:val="0"/>
          <w:numId w:val="39"/>
        </w:numPr>
        <w:tabs>
          <w:tab w:val="clear" w:pos="475"/>
          <w:tab w:val="num" w:pos="1742"/>
        </w:tabs>
        <w:ind w:left="1267"/>
      </w:pPr>
      <w:r w:rsidRPr="00981E15">
        <w:t xml:space="preserve">Mediante </w:t>
      </w:r>
      <w:smartTag w:uri="urn:schemas-microsoft-com:office:smarttags" w:element="PersonName">
        <w:smartTagPr>
          <w:attr w:name="ProductID" w:val="la Oficina"/>
        </w:smartTagPr>
        <w:r w:rsidRPr="00981E15">
          <w:t>la Oficina</w:t>
        </w:r>
      </w:smartTag>
      <w:r w:rsidRPr="00981E15">
        <w:t xml:space="preserve"> de Carácter Multiétnico de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rsidRPr="00981E15">
            <w:t>la Policía</w:t>
          </w:r>
        </w:smartTag>
        <w:r w:rsidRPr="00981E15">
          <w:t xml:space="preserve"> Nacional</w:t>
        </w:r>
      </w:smartTag>
      <w:r w:rsidRPr="00981E15">
        <w:t xml:space="preserve"> Civil se fomentan los valores de confianza y respeto entre las comunidades y </w:t>
      </w:r>
      <w:smartTag w:uri="urn:schemas-microsoft-com:office:smarttags" w:element="PersonName">
        <w:smartTagPr>
          <w:attr w:name="ProductID" w:val="la Polic￭a Nacional"/>
        </w:smartTagPr>
        <w:smartTag w:uri="urn:schemas-microsoft-com:office:smarttags" w:element="PersonName">
          <w:smartTagPr>
            <w:attr w:name="ProductID" w:val="la Polic￭a"/>
          </w:smartTagPr>
          <w:r w:rsidRPr="00981E15">
            <w:t>la Policía</w:t>
          </w:r>
        </w:smartTag>
        <w:r w:rsidRPr="00981E15">
          <w:t xml:space="preserve"> Nacional</w:t>
        </w:r>
      </w:smartTag>
      <w:r w:rsidRPr="00981E15">
        <w:t xml:space="preserve"> Civil. Esto con el propósito de la generar la participación activa entre las mismas, para el fortalecimiento de la seguridad ciudadana y la legitimidad institucional. Para ello, </w:t>
      </w:r>
      <w:smartTag w:uri="urn:schemas-microsoft-com:office:smarttags" w:element="PersonName">
        <w:smartTagPr>
          <w:attr w:name="ProductID" w:val="la Divisi￳n"/>
        </w:smartTagPr>
        <w:r w:rsidRPr="00981E15">
          <w:t>la División</w:t>
        </w:r>
      </w:smartTag>
      <w:r w:rsidRPr="00981E15">
        <w:t xml:space="preserve"> de Carácter Multiétnico desarrolla distintas actividades dentro de las cuales están las denominadas de Apoyo Comunitario, espacio por medio del cual realiza en coordinación con otras entidades gubernamentales y no gubernamentales especialistas en el tema. </w:t>
      </w:r>
    </w:p>
    <w:p w:rsidR="004F345B" w:rsidRPr="00981E15" w:rsidRDefault="004F345B" w:rsidP="004F345B">
      <w:pPr>
        <w:pStyle w:val="SingleTxt"/>
        <w:numPr>
          <w:ilvl w:val="0"/>
          <w:numId w:val="39"/>
        </w:numPr>
        <w:tabs>
          <w:tab w:val="clear" w:pos="475"/>
          <w:tab w:val="num" w:pos="1742"/>
        </w:tabs>
        <w:ind w:left="1267"/>
      </w:pPr>
      <w:r w:rsidRPr="00981E15">
        <w:t>Se han desarrollado programas orientados a prevenir la violencia contra la mujer, el maltrato infantil y promover el tema de género en comunidades rurales mayoritariamente indígenas de los departamentos de Quetzaltenango, Santa Cruz del Quiché y Alta Verapaz a través de exposiciones en el idioma de cada región. Como resultado de este proceso se ha desarrollado un total de 288 jornadas de capacitación y sensibilización, en los cuales han participado un total de 11,590 personas.</w:t>
      </w:r>
    </w:p>
    <w:p w:rsidR="004F345B" w:rsidRPr="00981E15" w:rsidRDefault="004F345B" w:rsidP="004F345B">
      <w:pPr>
        <w:pStyle w:val="SingleTxt"/>
        <w:numPr>
          <w:ilvl w:val="0"/>
          <w:numId w:val="39"/>
        </w:numPr>
        <w:tabs>
          <w:tab w:val="clear" w:pos="475"/>
          <w:tab w:val="num" w:pos="1742"/>
        </w:tabs>
        <w:ind w:left="1267"/>
      </w:pPr>
      <w:r w:rsidRPr="00981E15">
        <w:t>El Vice Ministerio de Apoyo Comunitario del Ministerio de Gobernación ha permitido trabajar en forma ordenada y coordinada con todos los programas que son destinados a apoyar a mujeres de las diferentes regiones del país y la protección y seguridad de nuestra niñez. Se han conformado varios comités de vecinos, esto con el fin de conocer a fondo los problemas de seguridad que los aquejan e ir creando estrategias conjuntas para que vivan en armonía en sus comunidades y tengan confianza en sus autoridades para denunciar los diferentes hechos delictivos.</w:t>
      </w:r>
    </w:p>
    <w:p w:rsidR="004F345B" w:rsidRPr="00981E15" w:rsidRDefault="004F345B" w:rsidP="004F345B">
      <w:pPr>
        <w:pStyle w:val="SingleTxt"/>
        <w:numPr>
          <w:ilvl w:val="0"/>
          <w:numId w:val="39"/>
        </w:numPr>
        <w:tabs>
          <w:tab w:val="clear" w:pos="475"/>
          <w:tab w:val="num" w:pos="1742"/>
        </w:tabs>
        <w:ind w:left="1267"/>
      </w:pPr>
      <w:smartTag w:uri="urn:schemas-microsoft-com:office:smarttags" w:element="PersonName">
        <w:smartTagPr>
          <w:attr w:name="ProductID" w:val="la PNC"/>
        </w:smartTagPr>
        <w:r w:rsidRPr="00981E15">
          <w:t>La PNC</w:t>
        </w:r>
      </w:smartTag>
      <w:r w:rsidRPr="00981E15">
        <w:t xml:space="preserve"> tiene una mayor participación en las mesas de justicia de las comunidades donde periódicamente se reúnen líderes comunitarios, jueces, fiscales, Procuraduría de los Derechos Humanos (PDH) y otras instancias con el fin de dar una mejor respuesta a las demandas de la población. </w:t>
      </w:r>
      <w:smartTag w:uri="urn:schemas-microsoft-com:office:smarttags" w:element="PersonName">
        <w:smartTagPr>
          <w:attr w:name="ProductID" w:val="la PNC"/>
        </w:smartTagPr>
        <w:r w:rsidRPr="00981E15">
          <w:t>La PNC</w:t>
        </w:r>
      </w:smartTag>
      <w:r w:rsidRPr="00981E15">
        <w:t xml:space="preserve"> ha realizado campañas de promoción y divulgación de los derechos de la mujer, mediante capacitaciones a lo interno con alumnos y alumnas de </w:t>
      </w:r>
      <w:smartTag w:uri="urn:schemas-microsoft-com:office:smarttags" w:element="PersonName">
        <w:smartTagPr>
          <w:attr w:name="ProductID" w:val="la Academia"/>
        </w:smartTagPr>
        <w:r w:rsidRPr="00981E15">
          <w:t>la Academia</w:t>
        </w:r>
      </w:smartTag>
      <w:r w:rsidRPr="00981E15">
        <w:t xml:space="preserve"> de </w:t>
      </w:r>
      <w:smartTag w:uri="urn:schemas-microsoft-com:office:smarttags" w:element="PersonName">
        <w:smartTagPr>
          <w:attr w:name="ProductID" w:val="la PNC"/>
        </w:smartTagPr>
        <w:r w:rsidRPr="00981E15">
          <w:t>la PNC</w:t>
        </w:r>
      </w:smartTag>
      <w:r w:rsidRPr="00981E15">
        <w:t xml:space="preserve">, con especificidad a la unidad que serán asignados o asignadas a las oficinas de seguridad ciudadana, así como las que trabajan operativamente resguardando la seguridad ciudadana. A lo externo de la institución, las mismas han sido llevadas con adolescentes (alumnas de establecimientos educativos) y con adultas mayores (club de jubilados/as de </w:t>
      </w:r>
      <w:smartTag w:uri="urn:schemas-microsoft-com:office:smarttags" w:element="PersonName">
        <w:smartTagPr>
          <w:attr w:name="ProductID" w:val="la PNC"/>
        </w:smartTagPr>
        <w:r w:rsidRPr="00981E15">
          <w:t>la PNC</w:t>
        </w:r>
      </w:smartTag>
      <w:r w:rsidRPr="00981E15">
        <w:t>, y del Instituto de Previsión Militar) quienes han recibido entre otros, los siguientes seminarios- talleres:</w:t>
      </w:r>
    </w:p>
    <w:p w:rsidR="004F345B" w:rsidRPr="00981E15" w:rsidRDefault="004F345B" w:rsidP="00FF4ADA">
      <w:pPr>
        <w:pStyle w:val="SingleTxt"/>
        <w:tabs>
          <w:tab w:val="right" w:pos="1685"/>
        </w:tabs>
        <w:suppressAutoHyphens/>
        <w:ind w:left="1742" w:hanging="475"/>
      </w:pPr>
      <w:r w:rsidRPr="00981E15">
        <w:tab/>
        <w:t>•</w:t>
      </w:r>
      <w:r w:rsidRPr="00981E15">
        <w:tab/>
        <w:t>Autoestima</w:t>
      </w:r>
    </w:p>
    <w:p w:rsidR="004F345B" w:rsidRPr="00981E15" w:rsidRDefault="004F345B" w:rsidP="00FF4ADA">
      <w:pPr>
        <w:pStyle w:val="SingleTxt"/>
        <w:tabs>
          <w:tab w:val="right" w:pos="1685"/>
        </w:tabs>
        <w:suppressAutoHyphens/>
        <w:ind w:left="1742" w:hanging="475"/>
      </w:pPr>
      <w:r w:rsidRPr="00981E15">
        <w:tab/>
        <w:t>•</w:t>
      </w:r>
      <w:r w:rsidRPr="00981E15">
        <w:tab/>
        <w:t>Un día más conociendo de Derechos Humanos</w:t>
      </w:r>
    </w:p>
    <w:p w:rsidR="004F345B" w:rsidRPr="00981E15" w:rsidRDefault="004F345B" w:rsidP="00FF4ADA">
      <w:pPr>
        <w:pStyle w:val="SingleTxt"/>
        <w:tabs>
          <w:tab w:val="right" w:pos="1685"/>
        </w:tabs>
        <w:suppressAutoHyphens/>
        <w:ind w:left="1742" w:hanging="475"/>
      </w:pPr>
      <w:r w:rsidRPr="00981E15">
        <w:tab/>
        <w:t>•</w:t>
      </w:r>
      <w:r w:rsidRPr="00981E15">
        <w:tab/>
        <w:t xml:space="preserve">Convención sobre </w:t>
      </w:r>
      <w:smartTag w:uri="urn:schemas-microsoft-com:office:smarttags" w:element="PersonName">
        <w:smartTagPr>
          <w:attr w:name="ProductID" w:val="la Eliminaci￳n"/>
        </w:smartTagPr>
        <w:r w:rsidRPr="00981E15">
          <w:t>la Eliminación</w:t>
        </w:r>
      </w:smartTag>
      <w:r w:rsidRPr="00981E15">
        <w:t xml:space="preserve"> de todas las formas de Discriminación contra </w:t>
      </w:r>
      <w:smartTag w:uri="urn:schemas-microsoft-com:office:smarttags" w:element="PersonName">
        <w:smartTagPr>
          <w:attr w:name="ProductID" w:val="la Mujer"/>
        </w:smartTagPr>
        <w:r w:rsidRPr="00981E15">
          <w:t>la Mujer</w:t>
        </w:r>
      </w:smartTag>
      <w:r w:rsidRPr="00981E15">
        <w:t xml:space="preserve"> (CEDAW)</w:t>
      </w:r>
    </w:p>
    <w:p w:rsidR="004F345B" w:rsidRPr="00981E15" w:rsidRDefault="004F345B" w:rsidP="00FF4ADA">
      <w:pPr>
        <w:pStyle w:val="SingleTxt"/>
        <w:tabs>
          <w:tab w:val="right" w:pos="1685"/>
        </w:tabs>
        <w:suppressAutoHyphens/>
        <w:ind w:left="1742" w:hanging="475"/>
      </w:pPr>
      <w:r w:rsidRPr="00981E15">
        <w:tab/>
        <w:t>•</w:t>
      </w:r>
      <w:r w:rsidRPr="00981E15">
        <w:tab/>
        <w:t>Anticoncepción de emergencia (una oportunidad para las mujeres víctimas de violencia sexual)</w:t>
      </w:r>
    </w:p>
    <w:p w:rsidR="004F345B" w:rsidRPr="00981E15" w:rsidRDefault="004F345B" w:rsidP="00FF4ADA">
      <w:pPr>
        <w:pStyle w:val="SingleTxt"/>
        <w:tabs>
          <w:tab w:val="right" w:pos="1685"/>
        </w:tabs>
        <w:suppressAutoHyphens/>
        <w:ind w:left="1742" w:hanging="475"/>
      </w:pPr>
      <w:r w:rsidRPr="00981E15">
        <w:tab/>
        <w:t>•</w:t>
      </w:r>
      <w:r w:rsidRPr="00981E15">
        <w:tab/>
        <w:t xml:space="preserve">Ley para prevenir, sancionar y erradicar la violencia intrafamiliar, (Decreto 97-96 del Congreso de </w:t>
      </w:r>
      <w:smartTag w:uri="urn:schemas-microsoft-com:office:smarttags" w:element="PersonName">
        <w:smartTagPr>
          <w:attr w:name="ProductID" w:val="la Rep￺blica"/>
        </w:smartTagPr>
        <w:r w:rsidRPr="00981E15">
          <w:t>la República</w:t>
        </w:r>
      </w:smartTag>
      <w:r w:rsidRPr="00981E15">
        <w:t xml:space="preserve"> de Guatemala)</w:t>
      </w:r>
    </w:p>
    <w:p w:rsidR="004F345B" w:rsidRPr="00981E15" w:rsidRDefault="004F345B" w:rsidP="00FF4ADA">
      <w:pPr>
        <w:pStyle w:val="SingleTxt"/>
        <w:tabs>
          <w:tab w:val="right" w:pos="1685"/>
        </w:tabs>
        <w:suppressAutoHyphens/>
        <w:ind w:left="1742" w:hanging="475"/>
      </w:pPr>
      <w:r w:rsidRPr="00981E15">
        <w:tab/>
        <w:t>•</w:t>
      </w:r>
      <w:r w:rsidRPr="00981E15">
        <w:tab/>
        <w:t>Allanamiento y sus excepciones</w:t>
      </w:r>
    </w:p>
    <w:p w:rsidR="004F345B" w:rsidRPr="00981E15" w:rsidRDefault="004F345B" w:rsidP="00FF4ADA">
      <w:pPr>
        <w:pStyle w:val="SingleTxt"/>
        <w:tabs>
          <w:tab w:val="right" w:pos="1685"/>
        </w:tabs>
        <w:suppressAutoHyphens/>
        <w:ind w:left="1742" w:hanging="475"/>
      </w:pPr>
      <w:r w:rsidRPr="00981E15">
        <w:tab/>
        <w:t>•</w:t>
      </w:r>
      <w:r w:rsidRPr="00981E15">
        <w:tab/>
        <w:t>Envejecer con dignidad</w:t>
      </w:r>
    </w:p>
    <w:p w:rsidR="004F345B" w:rsidRPr="00981E15" w:rsidRDefault="004F345B" w:rsidP="00FF4ADA">
      <w:pPr>
        <w:pStyle w:val="SingleTxt"/>
        <w:tabs>
          <w:tab w:val="right" w:pos="1685"/>
        </w:tabs>
        <w:suppressAutoHyphens/>
        <w:ind w:left="1742" w:hanging="475"/>
      </w:pPr>
      <w:r w:rsidRPr="00981E15">
        <w:tab/>
        <w:t>•</w:t>
      </w:r>
      <w:r w:rsidRPr="00981E15">
        <w:tab/>
        <w:t>Derechos Humanos y el adulto mayor</w:t>
      </w:r>
    </w:p>
    <w:p w:rsidR="004F345B" w:rsidRPr="00981E15" w:rsidRDefault="004F345B" w:rsidP="00FF4ADA">
      <w:pPr>
        <w:pStyle w:val="SingleTxt"/>
        <w:tabs>
          <w:tab w:val="right" w:pos="1685"/>
        </w:tabs>
        <w:suppressAutoHyphens/>
        <w:ind w:left="1742" w:hanging="475"/>
      </w:pPr>
      <w:r w:rsidRPr="00981E15">
        <w:tab/>
        <w:t>•</w:t>
      </w:r>
      <w:r w:rsidRPr="00981E15">
        <w:tab/>
        <w:t>Mitos y estereotipos en la edad adulta mayor</w:t>
      </w:r>
    </w:p>
    <w:p w:rsidR="004F345B" w:rsidRPr="00981E15" w:rsidRDefault="004F345B" w:rsidP="00FF4ADA">
      <w:pPr>
        <w:pStyle w:val="SingleTxt"/>
        <w:tabs>
          <w:tab w:val="right" w:pos="1685"/>
        </w:tabs>
        <w:suppressAutoHyphens/>
        <w:ind w:left="1742" w:hanging="475"/>
      </w:pPr>
      <w:r w:rsidRPr="00981E15">
        <w:tab/>
        <w:t>•</w:t>
      </w:r>
      <w:r w:rsidRPr="00981E15">
        <w:tab/>
        <w:t>Medidas de seguridad en el hogar, y en la calle</w:t>
      </w:r>
    </w:p>
    <w:p w:rsidR="004F345B" w:rsidRPr="00981E15" w:rsidRDefault="004F345B" w:rsidP="00FF4ADA">
      <w:pPr>
        <w:pStyle w:val="SingleTxt"/>
        <w:tabs>
          <w:tab w:val="right" w:pos="1685"/>
        </w:tabs>
        <w:suppressAutoHyphens/>
        <w:ind w:left="1742" w:hanging="475"/>
      </w:pPr>
      <w:r w:rsidRPr="00981E15">
        <w:tab/>
        <w:t>•</w:t>
      </w:r>
      <w:r w:rsidRPr="00981E15">
        <w:tab/>
        <w:t>Derechos, obligaciones y virtudes de los niños/as</w:t>
      </w:r>
    </w:p>
    <w:p w:rsidR="004F345B" w:rsidRPr="00981E15" w:rsidRDefault="004F345B" w:rsidP="00FF4ADA">
      <w:pPr>
        <w:pStyle w:val="SingleTxt"/>
        <w:tabs>
          <w:tab w:val="right" w:pos="1685"/>
        </w:tabs>
        <w:suppressAutoHyphens/>
        <w:ind w:left="1742" w:hanging="475"/>
      </w:pPr>
      <w:r w:rsidRPr="00981E15">
        <w:tab/>
        <w:t>•</w:t>
      </w:r>
      <w:r w:rsidRPr="00981E15">
        <w:tab/>
        <w:t>Incesto</w:t>
      </w:r>
    </w:p>
    <w:p w:rsidR="004F345B" w:rsidRPr="00981E15" w:rsidRDefault="004F345B" w:rsidP="00FF4ADA">
      <w:pPr>
        <w:pStyle w:val="SingleTxt"/>
        <w:tabs>
          <w:tab w:val="right" w:pos="1685"/>
        </w:tabs>
        <w:suppressAutoHyphens/>
        <w:ind w:left="1742" w:hanging="475"/>
      </w:pPr>
      <w:r w:rsidRPr="00981E15">
        <w:tab/>
        <w:t>•</w:t>
      </w:r>
      <w:r w:rsidRPr="00981E15">
        <w:tab/>
        <w:t>Maltrato Infantil</w:t>
      </w:r>
    </w:p>
    <w:p w:rsidR="004F345B" w:rsidRPr="00981E15" w:rsidRDefault="004F345B" w:rsidP="004F345B">
      <w:pPr>
        <w:pStyle w:val="SingleTxt"/>
        <w:numPr>
          <w:ilvl w:val="0"/>
          <w:numId w:val="39"/>
        </w:numPr>
        <w:tabs>
          <w:tab w:val="clear" w:pos="475"/>
          <w:tab w:val="num" w:pos="1742"/>
        </w:tabs>
        <w:ind w:left="1267"/>
      </w:pPr>
      <w:smartTag w:uri="urn:schemas-microsoft-com:office:smarttags" w:element="PersonName">
        <w:smartTagPr>
          <w:attr w:name="ProductID" w:val="la Polic￭a Nacional Civil"/>
        </w:smartTagPr>
        <w:smartTag w:uri="urn:schemas-microsoft-com:office:smarttags" w:element="PersonName">
          <w:smartTagPr>
            <w:attr w:name="ProductID" w:val="la Polic￭a Nacional"/>
          </w:smartTagPr>
          <w:r w:rsidRPr="00981E15">
            <w:t>La Policía Nacional</w:t>
          </w:r>
        </w:smartTag>
        <w:r w:rsidRPr="00981E15">
          <w:t xml:space="preserve"> Civil</w:t>
        </w:r>
      </w:smartTag>
      <w:r w:rsidRPr="00981E15">
        <w:t xml:space="preserve"> recibe apoyo de radiodifusoras y de empresas de cable por televisión de algunas comunidades en el interior del país, donde le conceden de forma gratuita una hora de programación a la semana para dar a conocer los diferentes derechos que tiene la población, en especial la población vulnerable, entre ellas las mujeres. Este tipo de estrategia de comunicación y divulgación ha sido bien recibida, ya que por lo regular el personal especializado en la atención a víctimas domina idiomas mayas de las diferentes regiones donde se encuentran de servicio, dando como resultado que las estadísticas institucionales obtuvieran en este año (2007) un elevado índice de denuncias por parte de la población indígena.</w:t>
      </w:r>
    </w:p>
    <w:p w:rsidR="004F345B" w:rsidRPr="00981E15" w:rsidRDefault="004F345B" w:rsidP="004F345B">
      <w:pPr>
        <w:pStyle w:val="SingleTxt"/>
        <w:numPr>
          <w:ilvl w:val="0"/>
          <w:numId w:val="39"/>
        </w:numPr>
        <w:tabs>
          <w:tab w:val="clear" w:pos="475"/>
          <w:tab w:val="num" w:pos="1742"/>
        </w:tabs>
        <w:ind w:left="1267"/>
      </w:pPr>
      <w:smartTag w:uri="urn:schemas-microsoft-com:office:smarttags" w:element="PersonName">
        <w:smartTagPr>
          <w:attr w:name="ProductID" w:val="la Oficina"/>
        </w:smartTagPr>
        <w:r w:rsidRPr="00981E15">
          <w:t>La Oficina</w:t>
        </w:r>
      </w:smartTag>
      <w:r w:rsidRPr="00981E15">
        <w:t xml:space="preserve"> de Atención a </w:t>
      </w:r>
      <w:smartTag w:uri="urn:schemas-microsoft-com:office:smarttags" w:element="PersonName">
        <w:smartTagPr>
          <w:attr w:name="ProductID" w:val="la V￭ctima"/>
        </w:smartTagPr>
        <w:r w:rsidRPr="00981E15">
          <w:t>la Víctima</w:t>
        </w:r>
      </w:smartTag>
      <w:r w:rsidRPr="00981E15">
        <w:t xml:space="preserve"> de </w:t>
      </w:r>
      <w:smartTag w:uri="urn:schemas-microsoft-com:office:smarttags" w:element="PersonName">
        <w:smartTagPr>
          <w:attr w:name="ProductID" w:val="la PNC"/>
        </w:smartTagPr>
        <w:r w:rsidRPr="00981E15">
          <w:t>la PNC</w:t>
        </w:r>
      </w:smartTag>
      <w:r w:rsidRPr="00981E15">
        <w:t xml:space="preserve"> ha coordinado con el Instituto de </w:t>
      </w:r>
      <w:smartTag w:uri="urn:schemas-microsoft-com:office:smarttags" w:element="PersonName">
        <w:smartTagPr>
          <w:attr w:name="ProductID" w:val="la Ense￱anza"/>
        </w:smartTagPr>
        <w:r w:rsidRPr="00981E15">
          <w:t>la Enseñanza</w:t>
        </w:r>
      </w:smartTag>
      <w:r w:rsidRPr="00981E15">
        <w:t xml:space="preserve"> para el Desarrollo Sostenible (IEPADES) la elaboración de 7 módulos de capacitación sobre temas de derechos humanos, violencia, ciudadanía, derechos humanos en la acción policial, entre otros. Además se están formando a 12 policías a nivel de la capital para ser facilitadores en las comisarías y puedan replicar la experiencia a otros miembros de la oficina.</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Instituto de </w:t>
      </w:r>
      <w:smartTag w:uri="urn:schemas-microsoft-com:office:smarttags" w:element="PersonName">
        <w:smartTagPr>
          <w:attr w:name="ProductID" w:val="la Defensa P￺blica Penal"/>
        </w:smartTagPr>
        <w:smartTag w:uri="urn:schemas-microsoft-com:office:smarttags" w:element="PersonName">
          <w:smartTagPr>
            <w:attr w:name="ProductID" w:val="la Defensa P￺blica"/>
          </w:smartTagPr>
          <w:r w:rsidRPr="00981E15">
            <w:t>la Defensa Pública</w:t>
          </w:r>
        </w:smartTag>
        <w:r w:rsidRPr="00981E15">
          <w:t xml:space="preserve"> Penal</w:t>
        </w:r>
      </w:smartTag>
      <w:r w:rsidRPr="00981E15">
        <w:t xml:space="preserve"> (IDPP)</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La Dirección del IDPP desde el 2003 se encuentra a cargo de una mujer. El IDPP en el marco de su Política Institucional trabaja con 4 Ejes transversales: a) Adolescentes en Conflicto con </w:t>
      </w:r>
      <w:smartTag w:uri="urn:schemas-microsoft-com:office:smarttags" w:element="PersonName">
        <w:smartTagPr>
          <w:attr w:name="ProductID" w:val="la Ley Penal"/>
        </w:smartTagPr>
        <w:smartTag w:uri="urn:schemas-microsoft-com:office:smarttags" w:element="PersonName">
          <w:smartTagPr>
            <w:attr w:name="ProductID" w:val="la Ley"/>
          </w:smartTagPr>
          <w:r w:rsidRPr="00981E15">
            <w:t>la Ley</w:t>
          </w:r>
        </w:smartTag>
        <w:r w:rsidRPr="00981E15">
          <w:t xml:space="preserve"> Penal</w:t>
        </w:r>
      </w:smartTag>
      <w:r w:rsidRPr="00981E15">
        <w:t xml:space="preserve">, b) Enfoque de Género, c) Interculturalidad y d) Transparencia. A partir del mes de agosto del año 2005, operó la transición de </w:t>
      </w:r>
      <w:smartTag w:uri="urn:schemas-microsoft-com:office:smarttags" w:element="PersonName">
        <w:smartTagPr>
          <w:attr w:name="ProductID" w:val="La Unidad"/>
        </w:smartTagPr>
        <w:r w:rsidRPr="00981E15">
          <w:t>la Unidad</w:t>
        </w:r>
      </w:smartTag>
      <w:r w:rsidRPr="00981E15">
        <w:t xml:space="preserve"> de </w:t>
      </w:r>
      <w:smartTag w:uri="urn:schemas-microsoft-com:office:smarttags" w:element="PersonName">
        <w:smartTagPr>
          <w:attr w:name="ProductID" w:val="la Mujer"/>
        </w:smartTagPr>
        <w:r w:rsidRPr="00981E15">
          <w:t>la Mujer</w:t>
        </w:r>
      </w:smartTag>
      <w:r w:rsidRPr="00981E15">
        <w:t xml:space="preserve"> hacia su transformación en Coordinación de Enfoque de Género, cuya función principal es analizar todos aquellos casos en los cuales una mujer es sindicada de cometer un delito, para determinar si procede establecer una estrategia de defensa, en la cual se demuestre al tribunal la incidencia en desigualdades de género, en la comisión del hecho imputado.</w:t>
      </w:r>
    </w:p>
    <w:p w:rsidR="004F345B" w:rsidRPr="00981E15" w:rsidRDefault="004F345B" w:rsidP="004F345B">
      <w:pPr>
        <w:pStyle w:val="SingleTxt"/>
        <w:numPr>
          <w:ilvl w:val="0"/>
          <w:numId w:val="39"/>
        </w:numPr>
        <w:tabs>
          <w:tab w:val="clear" w:pos="475"/>
          <w:tab w:val="num" w:pos="1742"/>
        </w:tabs>
        <w:ind w:left="1267"/>
      </w:pPr>
      <w:r w:rsidRPr="00981E15">
        <w:t xml:space="preserve">Se suscribió un Convenio de Cooperación Interinstitucional con </w:t>
      </w:r>
      <w:smartTag w:uri="urn:schemas-microsoft-com:office:smarttags" w:element="PersonName">
        <w:smartTagPr>
          <w:attr w:name="ProductID" w:val="la DEMI"/>
        </w:smartTagPr>
        <w:r w:rsidRPr="00981E15">
          <w:t>la DEMI</w:t>
        </w:r>
      </w:smartTag>
      <w:r w:rsidRPr="00981E15">
        <w:t xml:space="preserve"> y </w:t>
      </w:r>
      <w:smartTag w:uri="urn:schemas-microsoft-com:office:smarttags" w:element="PersonName">
        <w:smartTagPr>
          <w:attr w:name="ProductID" w:val="la CONAPREVI"/>
        </w:smartTagPr>
        <w:r w:rsidRPr="00981E15">
          <w:t>la CONAPREVI</w:t>
        </w:r>
      </w:smartTag>
      <w:r w:rsidRPr="00981E15">
        <w:t>, cuyo objetivo es establecer las bases para el fortalecimiento de la cooperación interinstitucional que permita generar condiciones de acceso a la justicia de mujeres ofendidas, mediante asistencia jurídica integral.</w:t>
      </w:r>
    </w:p>
    <w:p w:rsidR="004F345B" w:rsidRPr="00981E15" w:rsidRDefault="004F345B" w:rsidP="004F345B">
      <w:pPr>
        <w:pStyle w:val="SingleTxt"/>
        <w:numPr>
          <w:ilvl w:val="0"/>
          <w:numId w:val="39"/>
        </w:numPr>
        <w:tabs>
          <w:tab w:val="clear" w:pos="475"/>
          <w:tab w:val="num" w:pos="1742"/>
        </w:tabs>
        <w:ind w:left="1267"/>
        <w:rPr>
          <w:b/>
        </w:rPr>
      </w:pPr>
      <w:r w:rsidRPr="00981E15">
        <w:t>El Consejo del IDPP aprobó la implementación de un Proyecto Piloto de Asistencia Jurídica a mujeres víctimas de violencia y en temas de familia. Por medio de este proyecto se brinda apoyo en la obtención de medidas de seguridad y derivación para atención médica, psicológica, o derivación hacia la institución que corresponda. Este proyecto se desarrollará en las cabeceras departamentales de: 1) Guatemala, 2) Escuintla, 3) Quetzaltenango, 4) Alta Verapaz, 5) Jutiapa y 6) El Progreso.</w:t>
      </w:r>
      <w:r w:rsidR="005E7D65" w:rsidRPr="00981E15">
        <w:t xml:space="preserve"> </w:t>
      </w:r>
      <w:r w:rsidRPr="00981E15">
        <w:t xml:space="preserve">Este proyecto inició en octubre de 2007. </w:t>
      </w:r>
    </w:p>
    <w:p w:rsidR="004F345B" w:rsidRPr="00981E15" w:rsidRDefault="004F345B" w:rsidP="004F345B">
      <w:pPr>
        <w:pStyle w:val="SingleTxt"/>
        <w:numPr>
          <w:ilvl w:val="0"/>
          <w:numId w:val="39"/>
        </w:numPr>
        <w:tabs>
          <w:tab w:val="clear" w:pos="475"/>
          <w:tab w:val="num" w:pos="1742"/>
        </w:tabs>
        <w:ind w:left="1267"/>
      </w:pPr>
      <w:r w:rsidRPr="00981E15">
        <w:t xml:space="preserve">En el ámbito de la capacitación y formación de los y las funcionarias del IDDP se incorporó al diseño curricular de formación de los y las Defensoras Públicas y Asistentes, el aprendizaje horizontal y transversal del enfoque de género: </w:t>
      </w:r>
    </w:p>
    <w:p w:rsidR="004F345B" w:rsidRPr="00981E15" w:rsidRDefault="004F345B" w:rsidP="00FF4ADA">
      <w:pPr>
        <w:pStyle w:val="SingleTxt"/>
        <w:tabs>
          <w:tab w:val="right" w:pos="1685"/>
        </w:tabs>
        <w:suppressAutoHyphens/>
        <w:ind w:left="1742" w:hanging="475"/>
      </w:pPr>
      <w:r w:rsidRPr="00981E15">
        <w:tab/>
        <w:t>•</w:t>
      </w:r>
      <w:r w:rsidRPr="00981E15">
        <w:tab/>
        <w:t xml:space="preserve">4 actividades de capacitación sobre Estrategias de Defensa con Perspectiva de Género, dirigido a Capacitadores. Con la participación de 210 personas. </w:t>
      </w:r>
    </w:p>
    <w:p w:rsidR="004F345B" w:rsidRPr="00981E15" w:rsidRDefault="004F345B" w:rsidP="00FF4ADA">
      <w:pPr>
        <w:pStyle w:val="SingleTxt"/>
        <w:tabs>
          <w:tab w:val="right" w:pos="1685"/>
        </w:tabs>
        <w:suppressAutoHyphens/>
        <w:ind w:left="1742" w:hanging="475"/>
      </w:pPr>
      <w:r w:rsidRPr="00981E15">
        <w:tab/>
        <w:t>•</w:t>
      </w:r>
      <w:r w:rsidRPr="00981E15">
        <w:tab/>
      </w:r>
      <w:smartTag w:uri="urn:schemas-microsoft-com:office:smarttags" w:element="PersonName">
        <w:smartTagPr>
          <w:attr w:name="ProductID" w:val="la Coordinaci￳n"/>
        </w:smartTagPr>
        <w:r w:rsidRPr="00981E15">
          <w:t>La Coordinación</w:t>
        </w:r>
      </w:smartTag>
      <w:r w:rsidRPr="00981E15">
        <w:t xml:space="preserve"> de Enfoque de Género, con el apoyo de </w:t>
      </w:r>
      <w:smartTag w:uri="urn:schemas-microsoft-com:office:smarttags" w:element="PersonName">
        <w:smartTagPr>
          <w:attr w:name="ProductID" w:val="La Unidad"/>
        </w:smartTagPr>
        <w:r w:rsidRPr="00981E15">
          <w:t>la Unidad</w:t>
        </w:r>
      </w:smartTag>
      <w:r w:rsidRPr="00981E15">
        <w:t xml:space="preserve"> de Formación y Capacitación del Instituto, realizó 33 talleres de sensibilización en el tema de género, el cual fue dirigido a Defensores Públicos y Personal Técnico y Administrativo. Se contó con 1,112 participantes.</w:t>
      </w:r>
    </w:p>
    <w:p w:rsidR="004F345B" w:rsidRPr="00981E15" w:rsidRDefault="004F345B" w:rsidP="00FF4ADA">
      <w:pPr>
        <w:pStyle w:val="SingleTxt"/>
        <w:tabs>
          <w:tab w:val="right" w:pos="1685"/>
        </w:tabs>
        <w:suppressAutoHyphens/>
        <w:ind w:left="1742" w:hanging="475"/>
      </w:pPr>
      <w:r w:rsidRPr="00981E15">
        <w:tab/>
        <w:t>•</w:t>
      </w:r>
      <w:r w:rsidRPr="00981E15">
        <w:tab/>
        <w:t xml:space="preserve">Con la cooperación de </w:t>
      </w:r>
      <w:smartTag w:uri="urn:schemas-microsoft-com:office:smarttags" w:element="PersonName">
        <w:smartTagPr>
          <w:attr w:name="ProductID" w:val="La Unidad"/>
        </w:smartTagPr>
        <w:r w:rsidRPr="00981E15">
          <w:t>la Unidad</w:t>
        </w:r>
      </w:smartTag>
      <w:r w:rsidRPr="00981E15">
        <w:t xml:space="preserve"> de Modernización del Organismo Judicial se desarrolló un taller de Capacitación relativo al Programa de Violencia Intrafamiliar y Género</w:t>
      </w:r>
      <w:r w:rsidRPr="00981E15">
        <w:rPr>
          <w:b/>
        </w:rPr>
        <w:t xml:space="preserve">, </w:t>
      </w:r>
      <w:r w:rsidRPr="00981E15">
        <w:t>al cual asistieron 66 participantes.</w:t>
      </w:r>
    </w:p>
    <w:p w:rsidR="004F345B" w:rsidRPr="00981E15" w:rsidRDefault="004F345B" w:rsidP="00FF4ADA">
      <w:pPr>
        <w:pStyle w:val="SingleTxt"/>
        <w:tabs>
          <w:tab w:val="right" w:pos="1685"/>
        </w:tabs>
        <w:suppressAutoHyphens/>
        <w:ind w:left="1742" w:hanging="475"/>
      </w:pPr>
      <w:r w:rsidRPr="00981E15">
        <w:tab/>
        <w:t>•</w:t>
      </w:r>
      <w:r w:rsidRPr="00981E15">
        <w:tab/>
        <w:t xml:space="preserve">Durante el 2007, </w:t>
      </w:r>
      <w:smartTag w:uri="urn:schemas-microsoft-com:office:smarttags" w:element="PersonName">
        <w:smartTagPr>
          <w:attr w:name="ProductID" w:val="La Unidad"/>
        </w:smartTagPr>
        <w:r w:rsidRPr="00981E15">
          <w:t>la Unidad</w:t>
        </w:r>
      </w:smartTag>
      <w:r w:rsidRPr="00981E15">
        <w:t xml:space="preserve"> de Formación y Capacitación del IDPP, conjuntamente con </w:t>
      </w:r>
      <w:smartTag w:uri="urn:schemas-microsoft-com:office:smarttags" w:element="PersonName">
        <w:smartTagPr>
          <w:attr w:name="ProductID" w:val="la Coordinaci￳n"/>
        </w:smartTagPr>
        <w:r w:rsidRPr="00981E15">
          <w:t>la Coordinación</w:t>
        </w:r>
      </w:smartTag>
      <w:r w:rsidRPr="00981E15">
        <w:t xml:space="preserve"> de Enfoque de Género realizaron 10 cursos prácticos, dirigidos a Defensores y Defensoras Públicas y Asistentes, relativos a estrategias de litigio con enfoque de género. Se contó con 183 participantes.</w:t>
      </w:r>
    </w:p>
    <w:p w:rsidR="004F345B" w:rsidRPr="00981E15" w:rsidRDefault="004F345B" w:rsidP="00FF4ADA">
      <w:pPr>
        <w:pStyle w:val="SingleTxt"/>
        <w:tabs>
          <w:tab w:val="right" w:pos="1685"/>
        </w:tabs>
        <w:suppressAutoHyphens/>
        <w:ind w:left="1742" w:hanging="475"/>
      </w:pPr>
      <w:r w:rsidRPr="00981E15">
        <w:tab/>
        <w:t>•</w:t>
      </w:r>
      <w:r w:rsidRPr="00981E15">
        <w:tab/>
        <w:t xml:space="preserve">Con financiamiento de USAID, durante los años 2006 y 2007 se otorgaron 7 becas a personal del Instituto, para participar en </w:t>
      </w:r>
      <w:smartTag w:uri="urn:schemas-microsoft-com:office:smarttags" w:element="PersonName">
        <w:smartTagPr>
          <w:attr w:name="ProductID" w:val="la Maestr￭a"/>
        </w:smartTagPr>
        <w:r w:rsidRPr="00981E15">
          <w:t>la Maestría</w:t>
        </w:r>
      </w:smartTag>
      <w:r w:rsidRPr="00981E15">
        <w:t xml:space="preserve"> en Derechos Humanos de las Mujeres, Género y Acceso a </w:t>
      </w:r>
      <w:smartTag w:uri="urn:schemas-microsoft-com:office:smarttags" w:element="PersonName">
        <w:smartTagPr>
          <w:attr w:name="ProductID" w:val="la Justicia"/>
        </w:smartTagPr>
        <w:r w:rsidRPr="00981E15">
          <w:t>la Justicia</w:t>
        </w:r>
      </w:smartTag>
      <w:r w:rsidRPr="00981E15">
        <w:t>,</w:t>
      </w:r>
      <w:r w:rsidRPr="00981E15">
        <w:rPr>
          <w:b/>
        </w:rPr>
        <w:t xml:space="preserve"> </w:t>
      </w:r>
      <w:r w:rsidRPr="00981E15">
        <w:t xml:space="preserve">la cual es impartida por </w:t>
      </w:r>
      <w:smartTag w:uri="urn:schemas-microsoft-com:office:smarttags" w:element="PersonName">
        <w:smartTagPr>
          <w:attr w:name="ProductID" w:val="la Universidad"/>
        </w:smartTagPr>
        <w:r w:rsidRPr="00981E15">
          <w:t>la Universidad</w:t>
        </w:r>
      </w:smartTag>
      <w:r w:rsidRPr="00981E15">
        <w:t xml:space="preserve"> de San Carlos de Guatemala.</w:t>
      </w:r>
    </w:p>
    <w:p w:rsidR="004F345B" w:rsidRPr="00981E15" w:rsidRDefault="004F345B" w:rsidP="00FF4ADA">
      <w:pPr>
        <w:pStyle w:val="SingleTxt"/>
        <w:tabs>
          <w:tab w:val="right" w:pos="1685"/>
        </w:tabs>
        <w:suppressAutoHyphens/>
        <w:ind w:left="1742" w:hanging="475"/>
      </w:pPr>
      <w:r w:rsidRPr="00981E15">
        <w:tab/>
        <w:t>•</w:t>
      </w:r>
      <w:r w:rsidRPr="00981E15">
        <w:tab/>
        <w:t xml:space="preserve">Con financiamiento de </w:t>
      </w:r>
      <w:smartTag w:uri="urn:schemas-microsoft-com:office:smarttags" w:element="PersonName">
        <w:smartTagPr>
          <w:attr w:name="ProductID" w:val="la Uni￳n Europea"/>
        </w:smartTagPr>
        <w:r w:rsidRPr="00981E15">
          <w:t>la Unión Europea</w:t>
        </w:r>
      </w:smartTag>
      <w:r w:rsidRPr="00981E15">
        <w:t xml:space="preserve"> (UE), por medio del Programa de Apoyo a </w:t>
      </w:r>
      <w:smartTag w:uri="urn:schemas-microsoft-com:office:smarttags" w:element="PersonName">
        <w:smartTagPr>
          <w:attr w:name="ProductID" w:val="la Reforma"/>
        </w:smartTagPr>
        <w:r w:rsidRPr="00981E15">
          <w:t>la Reforma</w:t>
        </w:r>
      </w:smartTag>
      <w:r w:rsidRPr="00981E15">
        <w:t xml:space="preserve"> del Sector Justicia (PARJ), durante los años 2007 y 2008 se otorgarán 8 becas a personal del Instituto, para participar en </w:t>
      </w:r>
      <w:smartTag w:uri="urn:schemas-microsoft-com:office:smarttags" w:element="PersonName">
        <w:smartTagPr>
          <w:attr w:name="ProductID" w:val="la Maestr￭a"/>
        </w:smartTagPr>
        <w:r w:rsidRPr="00981E15">
          <w:t>la Maestría</w:t>
        </w:r>
      </w:smartTag>
      <w:r w:rsidRPr="00981E15">
        <w:t xml:space="preserve"> en Derechos Humanos de las Mujeres, Género y Acceso a </w:t>
      </w:r>
      <w:smartTag w:uri="urn:schemas-microsoft-com:office:smarttags" w:element="PersonName">
        <w:smartTagPr>
          <w:attr w:name="ProductID" w:val="la Justicia"/>
        </w:smartTagPr>
        <w:r w:rsidRPr="00981E15">
          <w:t>la Justicia</w:t>
        </w:r>
      </w:smartTag>
      <w:r w:rsidRPr="00981E15">
        <w:t>,</w:t>
      </w:r>
      <w:r w:rsidRPr="00981E15">
        <w:rPr>
          <w:b/>
        </w:rPr>
        <w:t xml:space="preserve"> </w:t>
      </w:r>
      <w:r w:rsidRPr="00981E15">
        <w:t xml:space="preserve">la cual es impartida por </w:t>
      </w:r>
      <w:smartTag w:uri="urn:schemas-microsoft-com:office:smarttags" w:element="PersonName">
        <w:smartTagPr>
          <w:attr w:name="ProductID" w:val="la Universidad"/>
        </w:smartTagPr>
        <w:r w:rsidRPr="00981E15">
          <w:t>la Universidad</w:t>
        </w:r>
      </w:smartTag>
      <w:r w:rsidRPr="00981E15">
        <w:t xml:space="preserve"> de San Carlos de Guatemala.</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Defensoría de </w:t>
      </w:r>
      <w:smartTag w:uri="urn:schemas-microsoft-com:office:smarttags" w:element="PersonName">
        <w:smartTagPr>
          <w:attr w:name="ProductID" w:val="la Mujer Ind￭gena"/>
        </w:smartTagPr>
        <w:r w:rsidRPr="00981E15">
          <w:t>la Mujer Indígena</w:t>
        </w:r>
      </w:smartTag>
      <w:r w:rsidRPr="00981E15">
        <w:t xml:space="preserve"> (DEMI)</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Las mujeres indígenas viven una situación de violencia física, psicológica y patrimonial que limita su desarrollo humano. Ante esta situación, </w:t>
      </w:r>
      <w:smartTag w:uri="urn:schemas-microsoft-com:office:smarttags" w:element="PersonName">
        <w:smartTagPr>
          <w:attr w:name="ProductID" w:val="la DEMI"/>
        </w:smartTagPr>
        <w:r w:rsidRPr="00981E15">
          <w:t>la DEMI</w:t>
        </w:r>
      </w:smartTag>
      <w:r w:rsidRPr="00981E15">
        <w:t xml:space="preserve"> brinda atención integral a las mujeres indígenas violentadas en sus derechos, a través de asesoría jurídica, social y psicológica gratuita en su idioma materno. Información más desarrollada se encuentra en el artículo 3.</w:t>
      </w:r>
    </w:p>
    <w:p w:rsidR="004F345B" w:rsidRPr="00981E15" w:rsidRDefault="004F345B" w:rsidP="004F345B">
      <w:pPr>
        <w:pStyle w:val="SingleTxt"/>
        <w:spacing w:after="0" w:line="120" w:lineRule="exact"/>
        <w:rPr>
          <w:sz w:val="10"/>
        </w:rPr>
      </w:pPr>
    </w:p>
    <w:p w:rsidR="004F345B" w:rsidRPr="00981E15" w:rsidRDefault="004F345B" w:rsidP="004F34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Coordinación del sistema de justicia PNC, MP, OJ e IDPP</w:t>
      </w:r>
    </w:p>
    <w:p w:rsidR="004F345B" w:rsidRPr="00981E15" w:rsidRDefault="004F345B" w:rsidP="004F345B">
      <w:pPr>
        <w:pStyle w:val="SingleTxt"/>
        <w:spacing w:after="0" w:line="120" w:lineRule="exact"/>
        <w:rPr>
          <w:sz w:val="10"/>
        </w:rPr>
      </w:pPr>
    </w:p>
    <w:p w:rsidR="004F345B" w:rsidRPr="00981E15" w:rsidRDefault="004F345B" w:rsidP="004F345B">
      <w:pPr>
        <w:pStyle w:val="SingleTxt"/>
        <w:numPr>
          <w:ilvl w:val="0"/>
          <w:numId w:val="39"/>
        </w:numPr>
        <w:tabs>
          <w:tab w:val="clear" w:pos="475"/>
          <w:tab w:val="num" w:pos="1742"/>
        </w:tabs>
        <w:ind w:left="1267"/>
      </w:pPr>
      <w:r w:rsidRPr="00981E15">
        <w:t xml:space="preserve">Durante el 2006 se instalaron los Juzgados de Primera Instancia de turno de 24 horas en el departamento de Guatemala. En el 2007 se amplió a los municipios de Villa Nueva y Mixco, del departamento de Guatemala. Estos juzgados brindan atención inmediata a las denuncias, y detenciones en el perímetro del departamento y cuentan con la participación conjunta de las instituciones del sistema de justicia en un mismo espacio que permite garantizar un acceso inmediato a las denuncias y medidas de protección de forma inmediata y eficaz. </w:t>
      </w:r>
    </w:p>
    <w:p w:rsidR="00647D95" w:rsidRPr="00981E15" w:rsidRDefault="00647D95" w:rsidP="00647D95">
      <w:pPr>
        <w:pStyle w:val="SingleTxt"/>
        <w:tabs>
          <w:tab w:val="clear" w:pos="1742"/>
        </w:tabs>
        <w:suppressAutoHyphens/>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Unidad de Protección a los Derechos de la Mujer y la Familia,</w:t>
      </w:r>
      <w:r w:rsidRPr="00981E15">
        <w:br/>
        <w:t>Procuraduría General de la Nación (PGN)</w:t>
      </w: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Es la Unidad encargada de brindar asesoría legal con base a las denuncias presentadas por las victimas de violencia intrafamiliar y de género, actuando interinstitucionalmente, con métodos alternativos para la resolución de conflictos de violencia intrafamiliar y de género, así como diversos problemas que se presentan en la vida cotidiana y familiar, pronunciándose con temas de actualidad referentes a los derechos de la mujer.</w:t>
      </w:r>
    </w:p>
    <w:p w:rsidR="00647D95" w:rsidRPr="00981E15" w:rsidRDefault="00647D95" w:rsidP="00647D95">
      <w:pPr>
        <w:pStyle w:val="SingleTxt"/>
        <w:numPr>
          <w:ilvl w:val="0"/>
          <w:numId w:val="39"/>
        </w:numPr>
        <w:tabs>
          <w:tab w:val="clear" w:pos="475"/>
          <w:tab w:val="num" w:pos="1742"/>
        </w:tabs>
        <w:ind w:left="1267"/>
      </w:pPr>
      <w:r w:rsidRPr="00981E15">
        <w:t>La Unidad brinda asesoría legal a las víctimas de violencia intrafamiliar. Promociona y divulga los derechos de la mujer mediante charlas a lo interno de la institución como a los usuarios quienes requieren del servicio, así como en instituciones educativas. Se concientiza sobre lo negativo de la violencia intrafamiliar, así como en lo positivo de la paternidad y maternidad responsables.</w:t>
      </w:r>
    </w:p>
    <w:p w:rsidR="00647D95" w:rsidRPr="00981E15" w:rsidRDefault="00647D95" w:rsidP="00647D95">
      <w:pPr>
        <w:pStyle w:val="SingleTxt"/>
        <w:numPr>
          <w:ilvl w:val="0"/>
          <w:numId w:val="39"/>
        </w:numPr>
        <w:tabs>
          <w:tab w:val="clear" w:pos="475"/>
          <w:tab w:val="num" w:pos="1742"/>
        </w:tabs>
        <w:ind w:left="1267"/>
      </w:pPr>
      <w:r w:rsidRPr="00981E15">
        <w:t>Conjuntamente con la Unidad de Psicología de la Procuraduría General de la Nación se presta ayuda psicológica integral a las mujeres victimas de violencia intrafamiliar y de género, con el objetivo de que salgan del círculo de la violencia y recobren su autoestima. Igualmente se atiende a las parejas que acuden con el ánimo de recibir apoyo para solucionar la violencia intrafamiliar y doméstica. Entre los servicios que presta la Unidad de Psicología se encuentra la entrevista, evaluación, análisis de datos y orientación. Se ha impulsado un programa de rescate a las víctimas de violencia intrafamiliar que se encuentran imposibilitadas física y psicológicamente para efectuar su denuncia.</w:t>
      </w:r>
    </w:p>
    <w:p w:rsidR="00647D95" w:rsidRPr="00981E15" w:rsidRDefault="00647D95" w:rsidP="00647D95">
      <w:pPr>
        <w:pStyle w:val="SingleTxt"/>
        <w:numPr>
          <w:ilvl w:val="0"/>
          <w:numId w:val="39"/>
        </w:numPr>
        <w:tabs>
          <w:tab w:val="clear" w:pos="475"/>
          <w:tab w:val="num" w:pos="1742"/>
        </w:tabs>
        <w:ind w:left="1267"/>
      </w:pPr>
      <w:r w:rsidRPr="00981E15">
        <w:t>La Unidad de la Mujer, ha obtenido los siguientes logros:</w:t>
      </w:r>
    </w:p>
    <w:p w:rsidR="00647D95" w:rsidRPr="00981E15" w:rsidRDefault="00647D95" w:rsidP="00647D95">
      <w:pPr>
        <w:pStyle w:val="SingleTxt"/>
        <w:tabs>
          <w:tab w:val="right" w:pos="1685"/>
        </w:tabs>
        <w:suppressAutoHyphens/>
        <w:ind w:left="1742" w:hanging="475"/>
      </w:pPr>
      <w:r w:rsidRPr="00981E15">
        <w:tab/>
        <w:t>•</w:t>
      </w:r>
      <w:r w:rsidRPr="00981E15">
        <w:tab/>
        <w:t>Amplias y nuevas instalaciones, así como con personal altamente sensibilizado en la materia de violencia intrafamiliar y de género, con el objeto de brindar un mejor servicio a los usuarios y fortalecer su capacidad de respuesta.</w:t>
      </w:r>
    </w:p>
    <w:p w:rsidR="00647D95" w:rsidRPr="00981E15" w:rsidRDefault="00647D95" w:rsidP="00647D95">
      <w:pPr>
        <w:pStyle w:val="SingleTxt"/>
        <w:tabs>
          <w:tab w:val="right" w:pos="1685"/>
        </w:tabs>
        <w:suppressAutoHyphens/>
        <w:ind w:left="1742" w:hanging="475"/>
      </w:pPr>
      <w:r w:rsidRPr="00981E15">
        <w:tab/>
        <w:t>•</w:t>
      </w:r>
      <w:r w:rsidRPr="00981E15">
        <w:tab/>
        <w:t>Se ha fortalecido el sistema de recepción de denuncias de violencia intrafamiliar y de género, las que se incrementaron considerablemente en un aproximado de 55% en el 2007.</w:t>
      </w:r>
    </w:p>
    <w:p w:rsidR="00647D95" w:rsidRPr="00981E15" w:rsidRDefault="00647D95" w:rsidP="00647D95">
      <w:pPr>
        <w:pStyle w:val="SingleTxt"/>
        <w:tabs>
          <w:tab w:val="right" w:pos="1685"/>
        </w:tabs>
        <w:suppressAutoHyphens/>
        <w:ind w:left="1742" w:hanging="475"/>
      </w:pPr>
      <w:r w:rsidRPr="00981E15">
        <w:tab/>
        <w:t>•</w:t>
      </w:r>
      <w:r w:rsidRPr="00981E15">
        <w:tab/>
        <w:t>Atención de hombres víctimas de violencia intrafamiliar, mientras que en años anteriores oscila la recepción de denuncias de hombres entre 3 y 7 en este año de enero a octubre de 2007 se han atendido 68 denuncias efectuadas por hombres.</w:t>
      </w:r>
    </w:p>
    <w:p w:rsidR="00647D95" w:rsidRPr="00981E15" w:rsidRDefault="00647D95" w:rsidP="00647D95">
      <w:pPr>
        <w:pStyle w:val="SingleTxt"/>
        <w:tabs>
          <w:tab w:val="right" w:pos="1685"/>
        </w:tabs>
        <w:suppressAutoHyphens/>
        <w:ind w:left="1742" w:hanging="475"/>
      </w:pPr>
      <w:r w:rsidRPr="00981E15">
        <w:tab/>
        <w:t>•</w:t>
      </w:r>
      <w:r w:rsidRPr="00981E15">
        <w:tab/>
        <w:t>Derivado de la concientización y asesoría que las personas reciben en esta Unidad especialmente los hombres se ha logrado el reconocimiento de 14 menores sin trámites largos y engorrosos, evitando así pérdida de tiempo y gastos innecesarios y se fortalece la paternidad responsable.</w:t>
      </w:r>
    </w:p>
    <w:p w:rsidR="00647D95" w:rsidRPr="00981E15" w:rsidRDefault="00647D95" w:rsidP="00647D95">
      <w:pPr>
        <w:pStyle w:val="SingleTxt"/>
        <w:tabs>
          <w:tab w:val="right" w:pos="1685"/>
        </w:tabs>
        <w:suppressAutoHyphens/>
        <w:ind w:left="1742" w:hanging="475"/>
      </w:pPr>
      <w:r w:rsidRPr="00981E15">
        <w:tab/>
        <w:t>•</w:t>
      </w:r>
      <w:r w:rsidRPr="00981E15">
        <w:tab/>
        <w:t>Recepción de denuncias remitidas por otras instituciones: SOSEP, PROPEVI, Ministerio Público, Grupo Guatemalteco de Mujeres, Juzgados de Paz, Juzgados de Familia, Arzobispado, Mujer Vamos Adelante, REMUPAZ, Derechos Humanos, Centros de Salud y otras. Dando más realce, credibilidad y confiabilidad a la labor de la Unidad de la Mujer de la Procuraduría General de la Nación.</w:t>
      </w:r>
    </w:p>
    <w:p w:rsidR="00647D95" w:rsidRPr="00981E15" w:rsidRDefault="00647D95" w:rsidP="00647D95">
      <w:pPr>
        <w:pStyle w:val="SingleTxt"/>
        <w:tabs>
          <w:tab w:val="right" w:pos="1685"/>
        </w:tabs>
        <w:suppressAutoHyphens/>
        <w:ind w:left="1742" w:hanging="475"/>
      </w:pPr>
      <w:r w:rsidRPr="00981E15">
        <w:tab/>
        <w:t>•</w:t>
      </w:r>
      <w:r w:rsidRPr="00981E15">
        <w:tab/>
        <w:t>Coordinación Interinstitucional con los bufetes populares, juzgados familiares, Instituciones miembros de la Red de Maternidad y Paternidad Responsable, miembros de la Comisión de Femicidio para coadyuvar y coordinar canales de apoyo en pro de la mujer víctima de Violencia Intrafamiliar.</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832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rsidRPr="00981E15">
        <w:rPr>
          <w:b w:val="0"/>
        </w:rPr>
        <w:t>Cuadro 32</w:t>
      </w:r>
      <w:r w:rsidRPr="00981E15">
        <w:br/>
        <w:t>Casos atendidos en la Unidad de la Mujer</w:t>
      </w:r>
      <w:r w:rsidRPr="00981E15">
        <w:br/>
        <w:t>Procuraduría General de la Nación</w:t>
      </w:r>
      <w:r w:rsidRPr="00981E15">
        <w:br/>
        <w:t>2008</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tbl>
      <w:tblPr>
        <w:tblW w:w="9856" w:type="dxa"/>
        <w:tblLayout w:type="fixed"/>
        <w:tblCellMar>
          <w:left w:w="0" w:type="dxa"/>
          <w:right w:w="0" w:type="dxa"/>
        </w:tblCellMar>
        <w:tblLook w:val="0000" w:firstRow="0" w:lastRow="0" w:firstColumn="0" w:lastColumn="0" w:noHBand="0" w:noVBand="0"/>
      </w:tblPr>
      <w:tblGrid>
        <w:gridCol w:w="1656"/>
        <w:gridCol w:w="675"/>
        <w:gridCol w:w="621"/>
        <w:gridCol w:w="630"/>
        <w:gridCol w:w="630"/>
        <w:gridCol w:w="612"/>
        <w:gridCol w:w="594"/>
        <w:gridCol w:w="603"/>
        <w:gridCol w:w="657"/>
        <w:gridCol w:w="675"/>
        <w:gridCol w:w="630"/>
        <w:gridCol w:w="675"/>
        <w:gridCol w:w="639"/>
        <w:gridCol w:w="559"/>
      </w:tblGrid>
      <w:tr w:rsidR="00647D95" w:rsidRPr="00981E15">
        <w:tblPrEx>
          <w:tblCellMar>
            <w:top w:w="0" w:type="dxa"/>
            <w:bottom w:w="0" w:type="dxa"/>
          </w:tblCellMar>
        </w:tblPrEx>
        <w:trPr>
          <w:tblHeader/>
        </w:trPr>
        <w:tc>
          <w:tcPr>
            <w:tcW w:w="1656"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rPr>
                <w:i/>
                <w:kern w:val="0"/>
                <w:sz w:val="14"/>
              </w:rPr>
            </w:pP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Enero</w:t>
            </w:r>
          </w:p>
        </w:tc>
        <w:tc>
          <w:tcPr>
            <w:tcW w:w="621"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Febrero</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Marzo</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Abril</w:t>
            </w:r>
          </w:p>
        </w:tc>
        <w:tc>
          <w:tcPr>
            <w:tcW w:w="612"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Mayo</w:t>
            </w:r>
          </w:p>
        </w:tc>
        <w:tc>
          <w:tcPr>
            <w:tcW w:w="594"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Junio</w:t>
            </w:r>
          </w:p>
        </w:tc>
        <w:tc>
          <w:tcPr>
            <w:tcW w:w="603"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Julio</w:t>
            </w:r>
          </w:p>
        </w:tc>
        <w:tc>
          <w:tcPr>
            <w:tcW w:w="657"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Agosto</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Septiembre</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Octubre</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Noviembre</w:t>
            </w:r>
          </w:p>
        </w:tc>
        <w:tc>
          <w:tcPr>
            <w:tcW w:w="639"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Diciembre</w:t>
            </w:r>
          </w:p>
        </w:tc>
        <w:tc>
          <w:tcPr>
            <w:tcW w:w="559"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Totales</w:t>
            </w:r>
          </w:p>
        </w:tc>
      </w:tr>
      <w:tr w:rsidR="00647D95" w:rsidRPr="00981E15">
        <w:tblPrEx>
          <w:tblCellMar>
            <w:top w:w="0" w:type="dxa"/>
            <w:bottom w:w="0" w:type="dxa"/>
          </w:tblCellMar>
        </w:tblPrEx>
        <w:trPr>
          <w:trHeight w:hRule="exact" w:val="115"/>
          <w:tblHeader/>
        </w:trPr>
        <w:tc>
          <w:tcPr>
            <w:tcW w:w="1656" w:type="dxa"/>
            <w:tcBorders>
              <w:top w:val="single" w:sz="12" w:space="0" w:color="auto"/>
            </w:tcBorders>
            <w:shd w:val="clear" w:color="auto" w:fill="auto"/>
            <w:vAlign w:val="bottom"/>
          </w:tcPr>
          <w:p w:rsidR="00647D95" w:rsidRPr="00981E15" w:rsidRDefault="00647D95" w:rsidP="00647D95">
            <w:pPr>
              <w:spacing w:before="40" w:after="40" w:line="210" w:lineRule="exact"/>
              <w:ind w:right="40"/>
              <w:rPr>
                <w:kern w:val="0"/>
                <w:sz w:val="17"/>
              </w:rPr>
            </w:pPr>
          </w:p>
        </w:tc>
        <w:tc>
          <w:tcPr>
            <w:tcW w:w="675"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21"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0"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0"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12"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594"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57"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75"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0"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75"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9"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559"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física</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9</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8</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8</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w:t>
            </w: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7</w:t>
            </w: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79</w:t>
            </w: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psicológica</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18</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36</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39</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21</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54</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51</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60</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50</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55</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68</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53</w:t>
            </w: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67</w:t>
            </w: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572</w:t>
            </w: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económica</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98</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103</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113</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76</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120</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146</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143</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101</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129</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177</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136</w:t>
            </w: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71</w:t>
            </w: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1 413</w:t>
            </w: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sexual</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r>
      <w:tr w:rsidR="00647D95" w:rsidRPr="00981E15">
        <w:tblPrEx>
          <w:tblCellMar>
            <w:top w:w="0" w:type="dxa"/>
            <w:bottom w:w="0" w:type="dxa"/>
          </w:tblCellMar>
        </w:tblPrEx>
        <w:tc>
          <w:tcPr>
            <w:tcW w:w="1656"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rPr>
                <w:kern w:val="0"/>
                <w:sz w:val="17"/>
              </w:rPr>
            </w:pPr>
            <w:r w:rsidRPr="00981E15">
              <w:rPr>
                <w:kern w:val="0"/>
                <w:sz w:val="17"/>
              </w:rPr>
              <w:t>Otros</w:t>
            </w:r>
          </w:p>
        </w:tc>
        <w:tc>
          <w:tcPr>
            <w:tcW w:w="675"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6</w:t>
            </w:r>
          </w:p>
        </w:tc>
        <w:tc>
          <w:tcPr>
            <w:tcW w:w="621"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3</w:t>
            </w:r>
          </w:p>
        </w:tc>
        <w:tc>
          <w:tcPr>
            <w:tcW w:w="630"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c>
          <w:tcPr>
            <w:tcW w:w="630"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4</w:t>
            </w:r>
          </w:p>
        </w:tc>
        <w:tc>
          <w:tcPr>
            <w:tcW w:w="612"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4</w:t>
            </w:r>
          </w:p>
        </w:tc>
        <w:tc>
          <w:tcPr>
            <w:tcW w:w="594"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7</w:t>
            </w:r>
          </w:p>
        </w:tc>
        <w:tc>
          <w:tcPr>
            <w:tcW w:w="603"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5</w:t>
            </w:r>
          </w:p>
        </w:tc>
        <w:tc>
          <w:tcPr>
            <w:tcW w:w="657"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10</w:t>
            </w:r>
          </w:p>
        </w:tc>
        <w:tc>
          <w:tcPr>
            <w:tcW w:w="675"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10</w:t>
            </w:r>
          </w:p>
        </w:tc>
        <w:tc>
          <w:tcPr>
            <w:tcW w:w="630"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7</w:t>
            </w:r>
          </w:p>
        </w:tc>
        <w:tc>
          <w:tcPr>
            <w:tcW w:w="675"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3</w:t>
            </w:r>
          </w:p>
        </w:tc>
        <w:tc>
          <w:tcPr>
            <w:tcW w:w="639"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3</w:t>
            </w:r>
          </w:p>
        </w:tc>
        <w:tc>
          <w:tcPr>
            <w:tcW w:w="559"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62</w:t>
            </w:r>
          </w:p>
        </w:tc>
      </w:tr>
      <w:tr w:rsidR="00647D95" w:rsidRPr="00981E15">
        <w:tblPrEx>
          <w:tblCellMar>
            <w:top w:w="0" w:type="dxa"/>
            <w:bottom w:w="0" w:type="dxa"/>
          </w:tblCellMar>
        </w:tblPrEx>
        <w:tc>
          <w:tcPr>
            <w:tcW w:w="1656"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rPr>
                <w:b/>
                <w:kern w:val="0"/>
                <w:sz w:val="17"/>
              </w:rPr>
            </w:pPr>
            <w:r w:rsidRPr="00981E15">
              <w:rPr>
                <w:b/>
                <w:kern w:val="0"/>
                <w:sz w:val="17"/>
              </w:rPr>
              <w:tab/>
              <w:t>Total</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132</w:t>
            </w:r>
          </w:p>
        </w:tc>
        <w:tc>
          <w:tcPr>
            <w:tcW w:w="621"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152</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61</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107</w:t>
            </w:r>
          </w:p>
        </w:tc>
        <w:tc>
          <w:tcPr>
            <w:tcW w:w="612"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186</w:t>
            </w:r>
          </w:p>
        </w:tc>
        <w:tc>
          <w:tcPr>
            <w:tcW w:w="59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207</w:t>
            </w:r>
          </w:p>
        </w:tc>
        <w:tc>
          <w:tcPr>
            <w:tcW w:w="603"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218</w:t>
            </w:r>
          </w:p>
        </w:tc>
        <w:tc>
          <w:tcPr>
            <w:tcW w:w="657"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163</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202</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255</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195</w:t>
            </w:r>
          </w:p>
        </w:tc>
        <w:tc>
          <w:tcPr>
            <w:tcW w:w="639"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148</w:t>
            </w:r>
          </w:p>
        </w:tc>
        <w:tc>
          <w:tcPr>
            <w:tcW w:w="559"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2 126</w:t>
            </w:r>
          </w:p>
        </w:tc>
      </w:tr>
    </w:tbl>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8328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 w:rsidRPr="00981E15">
        <w:rPr>
          <w:b w:val="0"/>
        </w:rPr>
        <w:t>Cuadro 33</w:t>
      </w:r>
      <w:r w:rsidRPr="00981E15">
        <w:br/>
        <w:t>Casos atendidos en la Unidad de la Mujer</w:t>
      </w:r>
      <w:r w:rsidRPr="00981E15">
        <w:br/>
        <w:t>Procuraduría General de la Nación</w:t>
      </w:r>
      <w:r w:rsidRPr="00981E15">
        <w:br/>
        <w:t>2007</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tbl>
      <w:tblPr>
        <w:tblW w:w="9856" w:type="dxa"/>
        <w:tblLayout w:type="fixed"/>
        <w:tblCellMar>
          <w:left w:w="0" w:type="dxa"/>
          <w:right w:w="0" w:type="dxa"/>
        </w:tblCellMar>
        <w:tblLook w:val="0000" w:firstRow="0" w:lastRow="0" w:firstColumn="0" w:lastColumn="0" w:noHBand="0" w:noVBand="0"/>
      </w:tblPr>
      <w:tblGrid>
        <w:gridCol w:w="1656"/>
        <w:gridCol w:w="675"/>
        <w:gridCol w:w="621"/>
        <w:gridCol w:w="630"/>
        <w:gridCol w:w="630"/>
        <w:gridCol w:w="612"/>
        <w:gridCol w:w="594"/>
        <w:gridCol w:w="603"/>
        <w:gridCol w:w="657"/>
        <w:gridCol w:w="675"/>
        <w:gridCol w:w="630"/>
        <w:gridCol w:w="675"/>
        <w:gridCol w:w="639"/>
        <w:gridCol w:w="559"/>
      </w:tblGrid>
      <w:tr w:rsidR="00647D95" w:rsidRPr="00981E15">
        <w:tblPrEx>
          <w:tblCellMar>
            <w:top w:w="0" w:type="dxa"/>
            <w:bottom w:w="0" w:type="dxa"/>
          </w:tblCellMar>
        </w:tblPrEx>
        <w:trPr>
          <w:tblHeader/>
        </w:trPr>
        <w:tc>
          <w:tcPr>
            <w:tcW w:w="1656"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rPr>
                <w:i/>
                <w:kern w:val="0"/>
                <w:sz w:val="14"/>
              </w:rPr>
            </w:pP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Enero</w:t>
            </w:r>
          </w:p>
        </w:tc>
        <w:tc>
          <w:tcPr>
            <w:tcW w:w="621"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Febrero</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Marzo</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Abril</w:t>
            </w:r>
          </w:p>
        </w:tc>
        <w:tc>
          <w:tcPr>
            <w:tcW w:w="612"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Mayo</w:t>
            </w:r>
          </w:p>
        </w:tc>
        <w:tc>
          <w:tcPr>
            <w:tcW w:w="594"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Junio</w:t>
            </w:r>
          </w:p>
        </w:tc>
        <w:tc>
          <w:tcPr>
            <w:tcW w:w="603"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Julio</w:t>
            </w:r>
          </w:p>
        </w:tc>
        <w:tc>
          <w:tcPr>
            <w:tcW w:w="657"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Agosto</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Septiembre</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Octubre</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Noviembre</w:t>
            </w:r>
          </w:p>
        </w:tc>
        <w:tc>
          <w:tcPr>
            <w:tcW w:w="639"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Diciembre</w:t>
            </w:r>
          </w:p>
        </w:tc>
        <w:tc>
          <w:tcPr>
            <w:tcW w:w="559" w:type="dxa"/>
            <w:tcBorders>
              <w:top w:val="single" w:sz="4" w:space="0" w:color="auto"/>
              <w:bottom w:val="single" w:sz="12" w:space="0" w:color="auto"/>
            </w:tcBorders>
            <w:shd w:val="clear" w:color="auto" w:fill="auto"/>
            <w:vAlign w:val="bottom"/>
          </w:tcPr>
          <w:p w:rsidR="00647D95" w:rsidRPr="00981E15" w:rsidRDefault="00647D95" w:rsidP="00647D95">
            <w:pPr>
              <w:spacing w:before="80" w:after="80" w:line="160" w:lineRule="exact"/>
              <w:ind w:right="40"/>
              <w:jc w:val="right"/>
              <w:rPr>
                <w:i/>
                <w:kern w:val="0"/>
                <w:sz w:val="12"/>
                <w:szCs w:val="12"/>
              </w:rPr>
            </w:pPr>
            <w:r w:rsidRPr="00981E15">
              <w:rPr>
                <w:i/>
                <w:kern w:val="0"/>
                <w:sz w:val="12"/>
                <w:szCs w:val="12"/>
              </w:rPr>
              <w:t>Totales</w:t>
            </w:r>
          </w:p>
        </w:tc>
      </w:tr>
      <w:tr w:rsidR="00647D95" w:rsidRPr="00981E15">
        <w:tblPrEx>
          <w:tblCellMar>
            <w:top w:w="0" w:type="dxa"/>
            <w:bottom w:w="0" w:type="dxa"/>
          </w:tblCellMar>
        </w:tblPrEx>
        <w:trPr>
          <w:trHeight w:hRule="exact" w:val="115"/>
          <w:tblHeader/>
        </w:trPr>
        <w:tc>
          <w:tcPr>
            <w:tcW w:w="1656" w:type="dxa"/>
            <w:tcBorders>
              <w:top w:val="single" w:sz="12" w:space="0" w:color="auto"/>
            </w:tcBorders>
            <w:shd w:val="clear" w:color="auto" w:fill="auto"/>
            <w:vAlign w:val="bottom"/>
          </w:tcPr>
          <w:p w:rsidR="00647D95" w:rsidRPr="00981E15" w:rsidRDefault="00647D95" w:rsidP="00647D95">
            <w:pPr>
              <w:spacing w:before="40" w:after="40" w:line="210" w:lineRule="exact"/>
              <w:ind w:right="40"/>
              <w:rPr>
                <w:kern w:val="0"/>
                <w:sz w:val="17"/>
              </w:rPr>
            </w:pPr>
          </w:p>
        </w:tc>
        <w:tc>
          <w:tcPr>
            <w:tcW w:w="675"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21"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0"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0"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12"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594"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03"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57"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75"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0"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75"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639"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c>
          <w:tcPr>
            <w:tcW w:w="559" w:type="dxa"/>
            <w:tcBorders>
              <w:top w:val="single" w:sz="12" w:space="0" w:color="auto"/>
            </w:tcBorders>
            <w:shd w:val="clear" w:color="auto" w:fill="auto"/>
            <w:vAlign w:val="bottom"/>
          </w:tcPr>
          <w:p w:rsidR="00647D95" w:rsidRPr="00981E15" w:rsidRDefault="00647D95" w:rsidP="00647D95">
            <w:pPr>
              <w:spacing w:before="40" w:after="40" w:line="210" w:lineRule="exact"/>
              <w:ind w:right="40"/>
              <w:jc w:val="right"/>
              <w:rPr>
                <w:kern w:val="0"/>
                <w:sz w:val="17"/>
              </w:rPr>
            </w:pP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física</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7</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12</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8</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9</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9</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8</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13</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9</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14</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psicológica</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53</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68</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68</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58</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53</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48</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63</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66</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36</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104</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económica</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111</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168</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159</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131</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155</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128</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80</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107</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104</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310</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r>
      <w:tr w:rsidR="00647D95" w:rsidRPr="00981E15">
        <w:tblPrEx>
          <w:tblCellMar>
            <w:top w:w="0" w:type="dxa"/>
            <w:bottom w:w="0" w:type="dxa"/>
          </w:tblCellMar>
        </w:tblPrEx>
        <w:tc>
          <w:tcPr>
            <w:tcW w:w="165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Violencia sexual</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21"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12"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59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03"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5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3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0</w:t>
            </w:r>
          </w:p>
        </w:tc>
        <w:tc>
          <w:tcPr>
            <w:tcW w:w="67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63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55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r>
      <w:tr w:rsidR="00647D95" w:rsidRPr="00981E15">
        <w:tblPrEx>
          <w:tblCellMar>
            <w:top w:w="0" w:type="dxa"/>
            <w:bottom w:w="0" w:type="dxa"/>
          </w:tblCellMar>
        </w:tblPrEx>
        <w:tc>
          <w:tcPr>
            <w:tcW w:w="1656"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rPr>
                <w:kern w:val="0"/>
                <w:sz w:val="17"/>
              </w:rPr>
            </w:pPr>
            <w:r w:rsidRPr="00981E15">
              <w:rPr>
                <w:kern w:val="0"/>
                <w:sz w:val="17"/>
              </w:rPr>
              <w:t>Otros</w:t>
            </w:r>
          </w:p>
        </w:tc>
        <w:tc>
          <w:tcPr>
            <w:tcW w:w="675"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6</w:t>
            </w:r>
          </w:p>
        </w:tc>
        <w:tc>
          <w:tcPr>
            <w:tcW w:w="621"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7</w:t>
            </w:r>
          </w:p>
        </w:tc>
        <w:tc>
          <w:tcPr>
            <w:tcW w:w="630"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0</w:t>
            </w:r>
          </w:p>
        </w:tc>
        <w:tc>
          <w:tcPr>
            <w:tcW w:w="630"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4</w:t>
            </w:r>
          </w:p>
        </w:tc>
        <w:tc>
          <w:tcPr>
            <w:tcW w:w="612"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12</w:t>
            </w:r>
          </w:p>
        </w:tc>
        <w:tc>
          <w:tcPr>
            <w:tcW w:w="594"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7</w:t>
            </w:r>
          </w:p>
        </w:tc>
        <w:tc>
          <w:tcPr>
            <w:tcW w:w="603"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2</w:t>
            </w:r>
          </w:p>
        </w:tc>
        <w:tc>
          <w:tcPr>
            <w:tcW w:w="657"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10</w:t>
            </w:r>
          </w:p>
        </w:tc>
        <w:tc>
          <w:tcPr>
            <w:tcW w:w="675"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3</w:t>
            </w:r>
          </w:p>
        </w:tc>
        <w:tc>
          <w:tcPr>
            <w:tcW w:w="630"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6</w:t>
            </w:r>
          </w:p>
        </w:tc>
        <w:tc>
          <w:tcPr>
            <w:tcW w:w="675"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c>
          <w:tcPr>
            <w:tcW w:w="639"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c>
          <w:tcPr>
            <w:tcW w:w="559"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r>
      <w:tr w:rsidR="00647D95" w:rsidRPr="00981E15">
        <w:tblPrEx>
          <w:tblCellMar>
            <w:top w:w="0" w:type="dxa"/>
            <w:bottom w:w="0" w:type="dxa"/>
          </w:tblCellMar>
        </w:tblPrEx>
        <w:tc>
          <w:tcPr>
            <w:tcW w:w="1656"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rPr>
                <w:b/>
                <w:kern w:val="0"/>
                <w:sz w:val="17"/>
              </w:rPr>
            </w:pPr>
            <w:r w:rsidRPr="00981E15">
              <w:rPr>
                <w:b/>
                <w:kern w:val="0"/>
                <w:sz w:val="17"/>
              </w:rPr>
              <w:tab/>
              <w:t>Total</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180</w:t>
            </w:r>
          </w:p>
        </w:tc>
        <w:tc>
          <w:tcPr>
            <w:tcW w:w="621"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250</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239</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201</w:t>
            </w:r>
          </w:p>
        </w:tc>
        <w:tc>
          <w:tcPr>
            <w:tcW w:w="612"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229</w:t>
            </w:r>
          </w:p>
        </w:tc>
        <w:tc>
          <w:tcPr>
            <w:tcW w:w="59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192</w:t>
            </w:r>
          </w:p>
        </w:tc>
        <w:tc>
          <w:tcPr>
            <w:tcW w:w="603"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153</w:t>
            </w:r>
          </w:p>
        </w:tc>
        <w:tc>
          <w:tcPr>
            <w:tcW w:w="657"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196</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152</w:t>
            </w:r>
          </w:p>
        </w:tc>
        <w:tc>
          <w:tcPr>
            <w:tcW w:w="63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434</w:t>
            </w:r>
          </w:p>
        </w:tc>
        <w:tc>
          <w:tcPr>
            <w:tcW w:w="675"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p>
        </w:tc>
        <w:tc>
          <w:tcPr>
            <w:tcW w:w="639"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p>
        </w:tc>
        <w:tc>
          <w:tcPr>
            <w:tcW w:w="559"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p>
        </w:tc>
      </w:tr>
    </w:tbl>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Artículo 13</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Desarrollo Económico y Social</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Políticas y programas para la erradicación de la pobreza</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 xml:space="preserve">La estrategia Guate Solidaria Rural es el principal mecanismo para la reducción de la pobreza, impulsado por el actual Gobierno de la República. Se orienta al área rural y se enfoca, en un principio, en la atención de 41 municipios priorizados por el Gabinete Social, bajo criterios de pobreza y vulnerabilidad a la inseguridad alimentaria para luego ampliarse al resto de municipios del país. La intervención pretende, por medio de la participación social y la articulación de la oferta pública existente, mejorar el capital humano y ampliar las oportunidades de los más pobres, para que el abandono de la pobreza extrema se realice de manera sostenible. </w:t>
      </w:r>
    </w:p>
    <w:p w:rsidR="00647D95" w:rsidRPr="00981E15" w:rsidRDefault="00647D95" w:rsidP="00647D95">
      <w:pPr>
        <w:pStyle w:val="SingleTxt"/>
        <w:numPr>
          <w:ilvl w:val="0"/>
          <w:numId w:val="39"/>
        </w:numPr>
        <w:tabs>
          <w:tab w:val="clear" w:pos="475"/>
          <w:tab w:val="num" w:pos="1742"/>
        </w:tabs>
        <w:ind w:left="1267"/>
      </w:pPr>
      <w:r w:rsidRPr="00981E15">
        <w:t>Los objetivos intermedios son: 1) reducir la desnutrición infantil; 2) mejorar los ingresos de las familias más pobres por medio de incentivos para la formación de capacidades; 3) que todos los niños y niñas tengan la oportunidad de terminar la educación primaria; 4) ampliar los accesos a la educación secundaria básica; 5) erradicar el analfabetismo; 6) mejorar la salud materna; 7) reducir la mortandad infantil; 8) fomentar la participación comunitaria para el desarrollo. 9) mejorar la infraestructura vial y la competitividad local. 10) que las familias cuenten con viviendas adecuadas que les permitan conservar una buena salud; 11) Que las comunidades reviertan la pérdida de recursos naturales.</w:t>
      </w:r>
    </w:p>
    <w:p w:rsidR="00647D95" w:rsidRPr="00981E15" w:rsidRDefault="00647D95" w:rsidP="00647D95">
      <w:pPr>
        <w:pStyle w:val="SingleTxt"/>
        <w:numPr>
          <w:ilvl w:val="0"/>
          <w:numId w:val="39"/>
        </w:numPr>
        <w:tabs>
          <w:tab w:val="clear" w:pos="475"/>
          <w:tab w:val="num" w:pos="1742"/>
        </w:tabs>
        <w:ind w:left="1267"/>
      </w:pPr>
      <w:r w:rsidRPr="00981E15">
        <w:t>Para cumplir con el objetivo final de la estrategia, así como los objetivos intermedios, se establecieron 37 condiciones mínimas, que son metas o lineamientos de acción. Estas últimas han sido identificadas como áreas de intervención de la política pública, cuya relación costo efectividad es más favorable para el logro de los objetivos intermedios y el objetivo final de la Estrategia. Las condiciones mínimas deberán lograrse en cada comunidad que sea incorporada a la Estrategia, en un período de intervención de dos años, para avanzar de forma focalizada y gradual en toda el área rural del país en el período 2006-2015.</w:t>
      </w:r>
    </w:p>
    <w:p w:rsidR="00647D95" w:rsidRPr="00981E15" w:rsidRDefault="00647D95" w:rsidP="00647D95">
      <w:pPr>
        <w:pStyle w:val="SingleTxt"/>
        <w:spacing w:after="0" w:line="120" w:lineRule="exact"/>
        <w:rPr>
          <w:sz w:val="10"/>
        </w:rPr>
      </w:pPr>
    </w:p>
    <w:p w:rsidR="00647D95" w:rsidRPr="00981E15" w:rsidRDefault="00647D95" w:rsidP="00647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 xml:space="preserve">Fomento y participación de las mujeres en la micro, </w:t>
      </w:r>
      <w:r w:rsidRPr="00981E15">
        <w:br/>
        <w:t xml:space="preserve">mediana y pequeña empresa </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Por medio de la Dirección de Servicios de Desarrollo Empresarial, del Vice Ministerio de la Micro, Pequeña y Mediana Empresa (MIPYME) del Ministerio de Economía se viabiliza el acceso a los servicios de desarrollo empresarial para incrementar la competitividad en el sector MIPYME, estimulando y apoyando las demandas locales para fortalecer la actividad empresarial.</w:t>
      </w:r>
      <w:r w:rsidR="005E7D65" w:rsidRPr="00981E15">
        <w:t xml:space="preserve"> </w:t>
      </w:r>
      <w:r w:rsidRPr="00981E15">
        <w:t>Se promueve la capacitación y asistencia técnica a la mujer empresaria, se realizan actividades de sensibilización a los gobiernos municipales y trabajo para elevar el nivel cultural y la alfabetización de la mujer empresaria con orientación en la gestión empresarial y administrativa. Se divulgan casos exitosos por medio de la Federación Interamericana Empresarial o la Comunidad electrónica de mujeres de negocios. Se realizan diagnósticos para la identificación de sectores de mujeres con mayor potencial de crecimiento y desarrollo, para orientar los servicios, el acceso de la mujer empresaria a los servicios que brinda.</w:t>
      </w:r>
    </w:p>
    <w:p w:rsidR="00647D95" w:rsidRPr="00981E15" w:rsidRDefault="00647D95" w:rsidP="00647D95">
      <w:pPr>
        <w:pStyle w:val="SingleTxt"/>
        <w:numPr>
          <w:ilvl w:val="0"/>
          <w:numId w:val="39"/>
        </w:numPr>
        <w:tabs>
          <w:tab w:val="clear" w:pos="475"/>
          <w:tab w:val="num" w:pos="1742"/>
        </w:tabs>
        <w:ind w:left="1267"/>
      </w:pPr>
      <w:r w:rsidRPr="00981E15">
        <w:t>Como fortalecimiento al Programa de Desarrollo de la MIPYME, en el 2005 se aprueba la Política Nacional para el Desarrollo de la MIPYME, la cual incluye como uno de sus ejes transversales, la equidad de género, con el objetivo de garantizar igualdad de oportunidades para el desarrollo empresarial a hombres y mujeres. Esta política incluye la creación del Consejo Nacional de Productividad Empresarial (CONAPE).</w:t>
      </w:r>
      <w:r w:rsidR="005E7D65" w:rsidRPr="00981E15">
        <w:t xml:space="preserve"> </w:t>
      </w:r>
    </w:p>
    <w:p w:rsidR="00647D95" w:rsidRPr="00981E15" w:rsidRDefault="00647D95" w:rsidP="00647D95">
      <w:pPr>
        <w:pStyle w:val="SingleTxt"/>
        <w:numPr>
          <w:ilvl w:val="0"/>
          <w:numId w:val="39"/>
        </w:numPr>
        <w:tabs>
          <w:tab w:val="clear" w:pos="475"/>
          <w:tab w:val="num" w:pos="1742"/>
        </w:tabs>
        <w:ind w:left="1267"/>
      </w:pPr>
      <w:r w:rsidRPr="00981E15">
        <w:t>Dentro de la Política Nacional de Promoción y Desarrollo de las Mujeres Guatemaltecas y el Plan de Equidad de Oportunidades 2001-2006, el Ministerio de Economía a través del Vice Ministerio de la MIPYME, fue designado como el responsable de la implementación de las acciones del eje económico transversal de género.</w:t>
      </w:r>
    </w:p>
    <w:p w:rsidR="00647D95" w:rsidRPr="00981E15" w:rsidRDefault="00647D95" w:rsidP="00647D95">
      <w:pPr>
        <w:pStyle w:val="SingleTxt"/>
        <w:numPr>
          <w:ilvl w:val="0"/>
          <w:numId w:val="39"/>
        </w:numPr>
        <w:tabs>
          <w:tab w:val="clear" w:pos="475"/>
          <w:tab w:val="num" w:pos="1742"/>
        </w:tabs>
        <w:ind w:left="1267"/>
      </w:pPr>
      <w:r w:rsidRPr="00981E15">
        <w:t>Para el logro los objetivos de trabajo, el Vice Ministerio de Desarrollo de la MIPYME ha firmado alianzas, convenios o cartas de entendimientos con diversas organizaciones no gubernamentales, privadas y públicas, incluyendo a la SEPREM:</w:t>
      </w:r>
    </w:p>
    <w:p w:rsidR="00647D95" w:rsidRPr="00981E15" w:rsidRDefault="00647D95" w:rsidP="00647D95">
      <w:pPr>
        <w:pStyle w:val="SingleTxt"/>
        <w:tabs>
          <w:tab w:val="clear" w:pos="1742"/>
          <w:tab w:val="right" w:pos="1685"/>
        </w:tabs>
        <w:suppressAutoHyphens/>
        <w:ind w:left="1742" w:hanging="475"/>
      </w:pPr>
      <w:r w:rsidRPr="00981E15">
        <w:tab/>
        <w:t>•</w:t>
      </w:r>
      <w:r w:rsidRPr="00981E15">
        <w:tab/>
        <w:t>Con el apoyo del MYDEL/UNIFEM/UNOPS, se crearon dos “Centros de Servicios de Desarrollo Empresarial con equidad de género” ambos en el área rural. Los Centros buscan promover el desarrollo de emprendedoras y emprendedores y de empresas competitivas que contribuyan a generar condiciones propicias para el crecimiento de las mismas y la generación de empleo, en igualdad de oportunidades para hombres y mujeres.</w:t>
      </w:r>
    </w:p>
    <w:p w:rsidR="00647D95" w:rsidRPr="00981E15" w:rsidRDefault="00647D95" w:rsidP="00647D95">
      <w:pPr>
        <w:pStyle w:val="SingleTxt"/>
        <w:tabs>
          <w:tab w:val="clear" w:pos="1742"/>
          <w:tab w:val="right" w:pos="1685"/>
        </w:tabs>
        <w:suppressAutoHyphens/>
        <w:ind w:left="1742" w:hanging="475"/>
      </w:pPr>
      <w:r w:rsidRPr="00981E15">
        <w:tab/>
        <w:t>•</w:t>
      </w:r>
      <w:r w:rsidRPr="00981E15">
        <w:tab/>
        <w:t>La Asociación Internacional DEVNET, Winner (Women into the New Network for Entrepreneurial Renforcement Latin American Network), que tiene como objetivo, promover la equidad de género, generando oportunidades de participación más equitativas para la mujer emprendedora y brindarles oportunidades de crecimiento y expansión. Asimismo, proporcionarles a las empresarias de este sector, servicios de desarrollo empresarial, utilizando las tecnologías de la información y la comunicación (TLC</w:t>
      </w:r>
      <w:r w:rsidR="007352CD">
        <w:t>’</w:t>
      </w:r>
      <w:r w:rsidRPr="00981E15">
        <w:t>s).</w:t>
      </w:r>
    </w:p>
    <w:p w:rsidR="00647D95" w:rsidRPr="00981E15" w:rsidRDefault="00647D95" w:rsidP="00647D95">
      <w:pPr>
        <w:pStyle w:val="SingleTxt"/>
        <w:tabs>
          <w:tab w:val="right" w:pos="1685"/>
        </w:tabs>
        <w:suppressAutoHyphens/>
        <w:ind w:left="1742" w:hanging="475"/>
      </w:pPr>
      <w:r w:rsidRPr="00981E15">
        <w:tab/>
        <w:t>•</w:t>
      </w:r>
      <w:r w:rsidRPr="00981E15">
        <w:tab/>
        <w:t>Convenio con el Programa Mujeres y Desarrollo Económico Local (MYDEL), la Coordinadora Nacional de Microempresarios de Guatemala (CONMIGUAT) y la Agencia de Desarrollo Económico Local de Chiquimula (ASEDECHI), para procesos de formación y el impulso de la empresarialidad femenina, por medio de los programas “Inicie su Negocio” (ISUN), “Mejore su Negocio” (MESUN), así como el empoderamiento económico en el marco de la competitividad y gobernanza local en el área rural.</w:t>
      </w:r>
    </w:p>
    <w:p w:rsidR="00647D95" w:rsidRPr="00981E15" w:rsidRDefault="00647D95" w:rsidP="00647D95">
      <w:pPr>
        <w:pStyle w:val="SingleTxt"/>
        <w:tabs>
          <w:tab w:val="right" w:pos="1685"/>
        </w:tabs>
        <w:suppressAutoHyphens/>
        <w:ind w:left="1742" w:hanging="475"/>
      </w:pPr>
      <w:r w:rsidRPr="00981E15">
        <w:tab/>
        <w:t>•</w:t>
      </w:r>
      <w:r w:rsidRPr="00981E15">
        <w:tab/>
        <w:t xml:space="preserve">Convenio entre la Agencia de Desarrollo Económico Local del departamento de Chiquimula, el Proyecto de Mujeres y Adolescentes en Riesgo Social (MARS), UNIFEM/UNOPS y el Vice Ministerio de la MIPYME, dirigido a brindar capacitación a 175 mujeres del Proyecto MARS en el tema “Inicie su Negocio” (ISUN), en los municipio de Esquipulas y Concepción Las Minas, departamento de Chiquimula. Las capacitaciones buscan contribuir a la ampliación de opciones económicas o autonomía personal a mujeres por medio del apoyo en la formación vocacional y/o desarrollo económico (crédito), con enfoque en la prevención y reducción de la violencia contra la mujer. </w:t>
      </w:r>
    </w:p>
    <w:p w:rsidR="00647D95" w:rsidRPr="00981E15" w:rsidRDefault="00647D95" w:rsidP="00647D95">
      <w:pPr>
        <w:pStyle w:val="SingleTxt"/>
        <w:tabs>
          <w:tab w:val="right" w:pos="1685"/>
        </w:tabs>
        <w:suppressAutoHyphens/>
        <w:ind w:left="1742" w:hanging="475"/>
      </w:pPr>
      <w:r w:rsidRPr="00981E15">
        <w:tab/>
        <w:t>•</w:t>
      </w:r>
      <w:r w:rsidRPr="00981E15">
        <w:tab/>
        <w:t xml:space="preserve">Con el Instituto Técnico de Capacitación y Productividad (INTECAP) para desarrollar un proceso de fortalecimiento en materia de capacitación en gestión empresarial, técnica productiva, y asistencia técnica que contribuyan al desarrollo del sector de la MIPYME en Guatemala, mediante el mejoramiento de sus capacidades empresariales y de esa forma promover el desarrollo de emprendedores y emprendedoras y de empresas competitivas. </w:t>
      </w:r>
    </w:p>
    <w:p w:rsidR="00647D95" w:rsidRPr="00981E15" w:rsidRDefault="00647D95" w:rsidP="00647D95">
      <w:pPr>
        <w:pStyle w:val="SingleTxt"/>
        <w:tabs>
          <w:tab w:val="right" w:pos="1685"/>
        </w:tabs>
        <w:suppressAutoHyphens/>
        <w:ind w:left="1742" w:hanging="475"/>
      </w:pPr>
      <w:r w:rsidRPr="00981E15">
        <w:tab/>
        <w:t>•</w:t>
      </w:r>
      <w:r w:rsidRPr="00981E15">
        <w:tab/>
        <w:t>Convenio con PRONACOM, para la difusión del proyecto educativo “el potencial competitivo de Guatemala”, en el impulso del cambio de actitud y competitividad en los guatemaltecos, para la formación de jóvenes emprendedores y emprendedoras y fomentar el cambio de actitud respecto al sector empresarial, contribuyendo así con el desarrollo de una actitud emprendedora en la juventud y empresarios del sector MIPYME, por medio de cursos de competitividad, dirigido hacia el empresarialismo y el conocimiento del potencial competitivo de Guatemala.</w:t>
      </w:r>
    </w:p>
    <w:p w:rsidR="00647D95" w:rsidRPr="00981E15" w:rsidRDefault="00647D95" w:rsidP="00647D95">
      <w:pPr>
        <w:pStyle w:val="SingleTxt"/>
        <w:tabs>
          <w:tab w:val="right" w:pos="1685"/>
        </w:tabs>
        <w:suppressAutoHyphens/>
        <w:ind w:left="1742" w:hanging="475"/>
      </w:pPr>
      <w:r w:rsidRPr="00981E15">
        <w:tab/>
        <w:t>•</w:t>
      </w:r>
      <w:r w:rsidRPr="00981E15">
        <w:tab/>
        <w:t>Convenio con la Asociación Gremial de Exportadores de Productos No Tradicionales, AGEXPORT, para fortalecer procesos en materia de capacitación gerencial, técnica productiva, y asistencia técnica, orientadas a mejorar las capacidades empresariales y la calidad en el diseño de productos artesanales.</w:t>
      </w:r>
      <w:r w:rsidR="005E7D65" w:rsidRPr="00981E15">
        <w:t xml:space="preserve"> </w:t>
      </w:r>
      <w:r w:rsidRPr="00981E15">
        <w:t xml:space="preserve">Asimismo, orientar procesos de innovación en los productos que realiza el sector artesanal y coordinar acciones para desarrollar estrategias de comercialización. </w:t>
      </w:r>
    </w:p>
    <w:p w:rsidR="00647D95" w:rsidRPr="00981E15" w:rsidRDefault="00647D95" w:rsidP="00647D95">
      <w:pPr>
        <w:pStyle w:val="SingleTxt"/>
        <w:tabs>
          <w:tab w:val="right" w:pos="1685"/>
        </w:tabs>
        <w:suppressAutoHyphens/>
        <w:ind w:left="1742" w:hanging="475"/>
      </w:pPr>
      <w:r w:rsidRPr="00981E15">
        <w:tab/>
        <w:t>•</w:t>
      </w:r>
      <w:r w:rsidRPr="00981E15">
        <w:tab/>
        <w:t>Carta de Entendimiento entre el Ministerio de Economía y la Cámara de Comercio de Guatemala (CCG), con el fin de apoyar actividades para la aplicación, legislación, desarrollo e investigación de TLCs en los ámbitos de gobierno y comercio electrónico y estrechar la buena relación entre ambas instituciones en beneficio del sector MIPYME del país en general.</w:t>
      </w:r>
    </w:p>
    <w:p w:rsidR="00647D95" w:rsidRPr="00981E15" w:rsidRDefault="00647D95" w:rsidP="00647D95">
      <w:pPr>
        <w:pStyle w:val="SingleTxt"/>
        <w:tabs>
          <w:tab w:val="right" w:pos="1685"/>
        </w:tabs>
        <w:suppressAutoHyphens/>
        <w:ind w:left="1742" w:hanging="475"/>
      </w:pPr>
      <w:r w:rsidRPr="00981E15">
        <w:tab/>
        <w:t>•</w:t>
      </w:r>
      <w:r w:rsidRPr="00981E15">
        <w:tab/>
        <w:t xml:space="preserve">Carta de entendimiento entre el Ministerio de Economía y la Secretaría Presidencial de la Mujer, para implementar de manera progresiva y sistemática acciones específicas en el marco de una estrategia que efectivamente permita avanzar en el cumplimiento de las metas de equidad económica de la Política de la Mujer. </w:t>
      </w:r>
    </w:p>
    <w:p w:rsidR="00647D95" w:rsidRPr="00981E15" w:rsidRDefault="00647D95" w:rsidP="00647D95">
      <w:pPr>
        <w:pStyle w:val="SingleTxt"/>
        <w:numPr>
          <w:ilvl w:val="0"/>
          <w:numId w:val="39"/>
        </w:numPr>
        <w:tabs>
          <w:tab w:val="clear" w:pos="475"/>
          <w:tab w:val="num" w:pos="1742"/>
        </w:tabs>
        <w:ind w:left="1267"/>
      </w:pPr>
      <w:r w:rsidRPr="00981E15">
        <w:t xml:space="preserve">En el Ministerio de Economía, el Programa de la Unión Europea tiene un componente de mujer empresaria, desde el 2005 a la fecha. El Proyecto “Promoción de Inversiones e Intercambios Comerciales – Apoyo al Sector de la Micro y Pequeña Empresa en Guatemala tiene como objetivos 1) </w:t>
      </w:r>
      <w:r w:rsidRPr="00981E15">
        <w:rPr>
          <w:i/>
        </w:rPr>
        <w:t>reforzar la situación de la mujer jefe de empresa y de su acceso a los servicios</w:t>
      </w:r>
      <w:r w:rsidRPr="00981E15">
        <w:t xml:space="preserve">; 2) </w:t>
      </w:r>
      <w:r w:rsidRPr="00981E15">
        <w:rPr>
          <w:i/>
        </w:rPr>
        <w:t>reforzar la coordinación interinstitucional y la capacidad organizativa del sector de las Pymes</w:t>
      </w:r>
      <w:r w:rsidRPr="00981E15">
        <w:t xml:space="preserve">; 3) </w:t>
      </w:r>
      <w:r w:rsidRPr="00981E15">
        <w:rPr>
          <w:i/>
        </w:rPr>
        <w:t>mejorar la calidad, la sostenibilidad y la cobertura de los SDE y los Servicios Financieros</w:t>
      </w:r>
      <w:r w:rsidRPr="00981E15">
        <w:t>; 4) </w:t>
      </w:r>
      <w:r w:rsidRPr="00981E15">
        <w:rPr>
          <w:i/>
        </w:rPr>
        <w:t>mejorar los niveles de competitividad, de acceso a los mercados y de los ciclos de calidad de las Pymes y sus productos</w:t>
      </w:r>
      <w:r w:rsidRPr="00981E15">
        <w:t xml:space="preserve">; 5) </w:t>
      </w:r>
      <w:r w:rsidRPr="00981E15">
        <w:rPr>
          <w:i/>
        </w:rPr>
        <w:t>mejorar la capacidad de integración de la economía en los espacios internacionales y regionales</w:t>
      </w:r>
      <w:r w:rsidRPr="00981E15">
        <w:t>.</w:t>
      </w: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34</w:t>
      </w:r>
      <w:r w:rsidRPr="00981E15">
        <w:br/>
        <w:t>Beneficiarios de Servicios de Desarrollo Empresarial</w:t>
      </w:r>
      <w:r w:rsidRPr="00981E15">
        <w:br/>
        <w:t>Inversión realizada y distribución por sexo</w:t>
      </w:r>
      <w:r w:rsidRPr="00981E15">
        <w:br/>
        <w:t>2004 – abril 2006 (Cifras en Quetzales)</w:t>
      </w:r>
    </w:p>
    <w:p w:rsidR="00647D95" w:rsidRPr="00981E15" w:rsidRDefault="00647D95" w:rsidP="00647D9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96"/>
        <w:gridCol w:w="1278"/>
        <w:gridCol w:w="1197"/>
        <w:gridCol w:w="1185"/>
        <w:gridCol w:w="1464"/>
      </w:tblGrid>
      <w:tr w:rsidR="00647D95" w:rsidRPr="00981E15">
        <w:tblPrEx>
          <w:tblCellMar>
            <w:top w:w="0" w:type="dxa"/>
            <w:bottom w:w="0" w:type="dxa"/>
          </w:tblCellMar>
        </w:tblPrEx>
        <w:trPr>
          <w:tblHeader/>
        </w:trPr>
        <w:tc>
          <w:tcPr>
            <w:tcW w:w="2196"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rPr>
                <w:i/>
                <w:kern w:val="0"/>
                <w:sz w:val="14"/>
              </w:rPr>
            </w:pPr>
          </w:p>
        </w:tc>
        <w:tc>
          <w:tcPr>
            <w:tcW w:w="1278"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Año 2004</w:t>
            </w:r>
          </w:p>
        </w:tc>
        <w:tc>
          <w:tcPr>
            <w:tcW w:w="1197"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Año 2005</w:t>
            </w:r>
          </w:p>
        </w:tc>
        <w:tc>
          <w:tcPr>
            <w:tcW w:w="1185"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Año 2006</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Totales</w:t>
            </w:r>
          </w:p>
        </w:tc>
      </w:tr>
      <w:tr w:rsidR="00647D95" w:rsidRPr="00981E15">
        <w:tblPrEx>
          <w:tblCellMar>
            <w:top w:w="0" w:type="dxa"/>
            <w:bottom w:w="0" w:type="dxa"/>
          </w:tblCellMar>
        </w:tblPrEx>
        <w:trPr>
          <w:trHeight w:hRule="exact" w:val="115"/>
          <w:tblHeader/>
        </w:trPr>
        <w:tc>
          <w:tcPr>
            <w:tcW w:w="2196"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rPr>
                <w:kern w:val="0"/>
                <w:sz w:val="17"/>
              </w:rPr>
            </w:pPr>
          </w:p>
        </w:tc>
        <w:tc>
          <w:tcPr>
            <w:tcW w:w="1278"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c>
          <w:tcPr>
            <w:tcW w:w="1197"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c>
          <w:tcPr>
            <w:tcW w:w="1185"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c>
          <w:tcPr>
            <w:tcW w:w="1464"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p>
        </w:tc>
      </w:tr>
      <w:tr w:rsidR="00647D95" w:rsidRPr="00981E15">
        <w:tblPrEx>
          <w:tblCellMar>
            <w:top w:w="0" w:type="dxa"/>
            <w:bottom w:w="0" w:type="dxa"/>
          </w:tblCellMar>
        </w:tblPrEx>
        <w:tc>
          <w:tcPr>
            <w:tcW w:w="2196" w:type="dxa"/>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rPr>
                <w:b/>
                <w:kern w:val="0"/>
                <w:sz w:val="17"/>
              </w:rPr>
            </w:pPr>
            <w:r w:rsidRPr="00981E15">
              <w:rPr>
                <w:b/>
                <w:kern w:val="0"/>
                <w:sz w:val="17"/>
              </w:rPr>
              <w:t>Total Inversión</w:t>
            </w:r>
          </w:p>
        </w:tc>
        <w:tc>
          <w:tcPr>
            <w:tcW w:w="1278" w:type="dxa"/>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p>
        </w:tc>
        <w:tc>
          <w:tcPr>
            <w:tcW w:w="1197" w:type="dxa"/>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p>
        </w:tc>
        <w:tc>
          <w:tcPr>
            <w:tcW w:w="1185" w:type="dxa"/>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Q3 010 113.00</w:t>
            </w:r>
          </w:p>
        </w:tc>
      </w:tr>
      <w:tr w:rsidR="00647D95" w:rsidRPr="00981E15">
        <w:tblPrEx>
          <w:tblCellMar>
            <w:top w:w="0" w:type="dxa"/>
            <w:bottom w:w="0" w:type="dxa"/>
          </w:tblCellMar>
        </w:tblPrEx>
        <w:tc>
          <w:tcPr>
            <w:tcW w:w="2196" w:type="dxa"/>
            <w:shd w:val="clear" w:color="auto" w:fill="auto"/>
            <w:vAlign w:val="bottom"/>
          </w:tcPr>
          <w:p w:rsidR="00647D95" w:rsidRPr="00981E15" w:rsidRDefault="00647D95" w:rsidP="00647D95">
            <w:pPr>
              <w:tabs>
                <w:tab w:val="left" w:pos="288"/>
                <w:tab w:val="left" w:pos="576"/>
                <w:tab w:val="left" w:pos="864"/>
                <w:tab w:val="left" w:pos="1152"/>
              </w:tabs>
              <w:spacing w:before="81" w:after="40" w:line="210" w:lineRule="exact"/>
              <w:ind w:right="40"/>
              <w:rPr>
                <w:kern w:val="0"/>
                <w:sz w:val="17"/>
              </w:rPr>
            </w:pPr>
            <w:r w:rsidRPr="00981E15">
              <w:rPr>
                <w:kern w:val="0"/>
                <w:sz w:val="17"/>
              </w:rPr>
              <w:t>No. de Beneficiarios</w:t>
            </w:r>
          </w:p>
        </w:tc>
        <w:tc>
          <w:tcPr>
            <w:tcW w:w="1278" w:type="dxa"/>
            <w:shd w:val="clear" w:color="auto" w:fill="auto"/>
            <w:vAlign w:val="bottom"/>
          </w:tcPr>
          <w:p w:rsidR="00647D95" w:rsidRPr="00981E15" w:rsidRDefault="00647D95" w:rsidP="00647D95">
            <w:pPr>
              <w:tabs>
                <w:tab w:val="left" w:pos="288"/>
                <w:tab w:val="left" w:pos="576"/>
                <w:tab w:val="left" w:pos="864"/>
                <w:tab w:val="left" w:pos="1152"/>
              </w:tabs>
              <w:spacing w:before="81" w:after="40" w:line="210" w:lineRule="exact"/>
              <w:ind w:right="40"/>
              <w:jc w:val="right"/>
              <w:rPr>
                <w:kern w:val="0"/>
                <w:sz w:val="17"/>
              </w:rPr>
            </w:pPr>
            <w:r w:rsidRPr="00981E15">
              <w:rPr>
                <w:kern w:val="0"/>
                <w:sz w:val="17"/>
              </w:rPr>
              <w:t>2 372</w:t>
            </w:r>
          </w:p>
        </w:tc>
        <w:tc>
          <w:tcPr>
            <w:tcW w:w="1197" w:type="dxa"/>
            <w:shd w:val="clear" w:color="auto" w:fill="auto"/>
            <w:vAlign w:val="bottom"/>
          </w:tcPr>
          <w:p w:rsidR="00647D95" w:rsidRPr="00981E15" w:rsidRDefault="00647D95" w:rsidP="00647D95">
            <w:pPr>
              <w:tabs>
                <w:tab w:val="left" w:pos="288"/>
                <w:tab w:val="left" w:pos="576"/>
                <w:tab w:val="left" w:pos="864"/>
                <w:tab w:val="left" w:pos="1152"/>
              </w:tabs>
              <w:spacing w:before="81" w:after="40" w:line="210" w:lineRule="exact"/>
              <w:ind w:right="40"/>
              <w:jc w:val="right"/>
              <w:rPr>
                <w:kern w:val="0"/>
                <w:sz w:val="17"/>
              </w:rPr>
            </w:pPr>
            <w:r w:rsidRPr="00981E15">
              <w:rPr>
                <w:kern w:val="0"/>
                <w:sz w:val="17"/>
              </w:rPr>
              <w:t>12 830</w:t>
            </w:r>
          </w:p>
        </w:tc>
        <w:tc>
          <w:tcPr>
            <w:tcW w:w="1185" w:type="dxa"/>
            <w:shd w:val="clear" w:color="auto" w:fill="auto"/>
            <w:vAlign w:val="bottom"/>
          </w:tcPr>
          <w:p w:rsidR="00647D95" w:rsidRPr="00981E15" w:rsidRDefault="00647D95" w:rsidP="00647D95">
            <w:pPr>
              <w:tabs>
                <w:tab w:val="left" w:pos="288"/>
                <w:tab w:val="left" w:pos="576"/>
                <w:tab w:val="left" w:pos="864"/>
                <w:tab w:val="left" w:pos="1152"/>
              </w:tabs>
              <w:spacing w:before="81" w:after="40" w:line="210" w:lineRule="exact"/>
              <w:ind w:right="40"/>
              <w:jc w:val="right"/>
              <w:rPr>
                <w:kern w:val="0"/>
                <w:sz w:val="17"/>
              </w:rPr>
            </w:pPr>
            <w:r w:rsidRPr="00981E15">
              <w:rPr>
                <w:kern w:val="0"/>
                <w:sz w:val="17"/>
              </w:rPr>
              <w:t>6 944</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81" w:after="40" w:line="210" w:lineRule="exact"/>
              <w:ind w:right="40"/>
              <w:jc w:val="right"/>
              <w:rPr>
                <w:kern w:val="0"/>
                <w:sz w:val="17"/>
              </w:rPr>
            </w:pPr>
            <w:r w:rsidRPr="00981E15">
              <w:rPr>
                <w:kern w:val="0"/>
                <w:sz w:val="17"/>
              </w:rPr>
              <w:t>22 146</w:t>
            </w:r>
          </w:p>
        </w:tc>
      </w:tr>
      <w:tr w:rsidR="00647D95" w:rsidRPr="00981E15">
        <w:tblPrEx>
          <w:tblCellMar>
            <w:top w:w="0" w:type="dxa"/>
            <w:bottom w:w="0" w:type="dxa"/>
          </w:tblCellMar>
        </w:tblPrEx>
        <w:tc>
          <w:tcPr>
            <w:tcW w:w="2196"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Hombres</w:t>
            </w:r>
          </w:p>
        </w:tc>
        <w:tc>
          <w:tcPr>
            <w:tcW w:w="1278"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1 212</w:t>
            </w:r>
          </w:p>
        </w:tc>
        <w:tc>
          <w:tcPr>
            <w:tcW w:w="1197"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5 448</w:t>
            </w:r>
          </w:p>
        </w:tc>
        <w:tc>
          <w:tcPr>
            <w:tcW w:w="1185"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3 526</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10 186</w:t>
            </w:r>
          </w:p>
        </w:tc>
      </w:tr>
      <w:tr w:rsidR="00647D95" w:rsidRPr="00981E15">
        <w:tblPrEx>
          <w:tblCellMar>
            <w:top w:w="0" w:type="dxa"/>
            <w:bottom w:w="0" w:type="dxa"/>
          </w:tblCellMar>
        </w:tblPrEx>
        <w:tc>
          <w:tcPr>
            <w:tcW w:w="2196"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Mujeres</w:t>
            </w:r>
          </w:p>
        </w:tc>
        <w:tc>
          <w:tcPr>
            <w:tcW w:w="1278"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1 160</w:t>
            </w:r>
          </w:p>
        </w:tc>
        <w:tc>
          <w:tcPr>
            <w:tcW w:w="1197"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7 383</w:t>
            </w:r>
          </w:p>
        </w:tc>
        <w:tc>
          <w:tcPr>
            <w:tcW w:w="1185"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3 418</w:t>
            </w:r>
          </w:p>
        </w:tc>
        <w:tc>
          <w:tcPr>
            <w:tcW w:w="1464"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11 961</w:t>
            </w:r>
          </w:p>
        </w:tc>
      </w:tr>
    </w:tbl>
    <w:p w:rsidR="00647D95" w:rsidRPr="00981E15" w:rsidRDefault="00647D95" w:rsidP="00647D95">
      <w:pPr>
        <w:pStyle w:val="SingleTxt"/>
        <w:spacing w:after="0" w:line="120" w:lineRule="exact"/>
        <w:rPr>
          <w:sz w:val="10"/>
        </w:rPr>
      </w:pPr>
    </w:p>
    <w:p w:rsidR="00647D95" w:rsidRPr="00981E15" w:rsidRDefault="00647D95" w:rsidP="00647D95">
      <w:pPr>
        <w:pStyle w:val="FootnoteText"/>
        <w:tabs>
          <w:tab w:val="clear" w:pos="418"/>
          <w:tab w:val="right" w:pos="1476"/>
          <w:tab w:val="left" w:pos="1548"/>
          <w:tab w:val="right" w:pos="1836"/>
          <w:tab w:val="left" w:pos="1908"/>
        </w:tabs>
        <w:ind w:left="1267" w:right="1267" w:hanging="1267"/>
      </w:pPr>
      <w:r w:rsidRPr="00981E15">
        <w:rPr>
          <w:i/>
        </w:rPr>
        <w:tab/>
      </w:r>
      <w:r w:rsidRPr="00981E15">
        <w:rPr>
          <w:i/>
        </w:rPr>
        <w:tab/>
        <w:t>Fuente</w:t>
      </w:r>
      <w:r w:rsidRPr="00981E15">
        <w:t>: Vice Ministerio de Desarrollo de la MIPYME, Ministerio de Economía</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35</w:t>
      </w:r>
      <w:r w:rsidRPr="00981E15">
        <w:br/>
        <w:t>Montos de crédito, créditos otorgados y distribución por sexo</w:t>
      </w:r>
      <w:r w:rsidRPr="00981E15">
        <w:br/>
        <w:t>2004 – abril 2006 (Cifras en Quetzales)</w:t>
      </w:r>
    </w:p>
    <w:p w:rsidR="00647D95" w:rsidRPr="00981E15" w:rsidRDefault="00647D95" w:rsidP="00647D9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1314"/>
        <w:gridCol w:w="1368"/>
        <w:gridCol w:w="1179"/>
        <w:gridCol w:w="1299"/>
      </w:tblGrid>
      <w:tr w:rsidR="00647D95" w:rsidRPr="00981E15">
        <w:tblPrEx>
          <w:tblCellMar>
            <w:top w:w="0" w:type="dxa"/>
            <w:bottom w:w="0" w:type="dxa"/>
          </w:tblCellMar>
        </w:tblPrEx>
        <w:trPr>
          <w:tblHeader/>
        </w:trPr>
        <w:tc>
          <w:tcPr>
            <w:tcW w:w="2160" w:type="dxa"/>
            <w:tcBorders>
              <w:top w:val="single" w:sz="4" w:space="0" w:color="auto"/>
              <w:bottom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80" w:after="80" w:line="160" w:lineRule="exact"/>
              <w:ind w:right="40"/>
              <w:rPr>
                <w:i/>
                <w:kern w:val="0"/>
                <w:sz w:val="14"/>
              </w:rPr>
            </w:pPr>
            <w:r w:rsidRPr="00981E15">
              <w:rPr>
                <w:i/>
                <w:kern w:val="0"/>
                <w:sz w:val="14"/>
              </w:rPr>
              <w:t>Información crediticia</w:t>
            </w:r>
          </w:p>
        </w:tc>
        <w:tc>
          <w:tcPr>
            <w:tcW w:w="1314" w:type="dxa"/>
            <w:tcBorders>
              <w:top w:val="single" w:sz="4" w:space="0" w:color="auto"/>
              <w:bottom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Año 2004</w:t>
            </w:r>
          </w:p>
        </w:tc>
        <w:tc>
          <w:tcPr>
            <w:tcW w:w="1368" w:type="dxa"/>
            <w:tcBorders>
              <w:top w:val="single" w:sz="4" w:space="0" w:color="auto"/>
              <w:bottom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Año 2005</w:t>
            </w:r>
          </w:p>
        </w:tc>
        <w:tc>
          <w:tcPr>
            <w:tcW w:w="1179" w:type="dxa"/>
            <w:tcBorders>
              <w:top w:val="single" w:sz="4" w:space="0" w:color="auto"/>
              <w:bottom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Año 2006</w:t>
            </w:r>
          </w:p>
        </w:tc>
        <w:tc>
          <w:tcPr>
            <w:tcW w:w="1299" w:type="dxa"/>
            <w:tcBorders>
              <w:top w:val="single" w:sz="4" w:space="0" w:color="auto"/>
              <w:bottom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Totales</w:t>
            </w:r>
          </w:p>
        </w:tc>
      </w:tr>
      <w:tr w:rsidR="00647D95" w:rsidRPr="00981E15">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81" w:line="210" w:lineRule="exact"/>
              <w:ind w:right="40"/>
              <w:rPr>
                <w:kern w:val="0"/>
                <w:sz w:val="17"/>
              </w:rPr>
            </w:pPr>
          </w:p>
        </w:tc>
        <w:tc>
          <w:tcPr>
            <w:tcW w:w="1314" w:type="dxa"/>
            <w:tcBorders>
              <w:top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81" w:line="210" w:lineRule="exact"/>
              <w:ind w:right="40"/>
              <w:jc w:val="right"/>
              <w:rPr>
                <w:kern w:val="0"/>
                <w:sz w:val="17"/>
              </w:rPr>
            </w:pPr>
          </w:p>
        </w:tc>
        <w:tc>
          <w:tcPr>
            <w:tcW w:w="1368" w:type="dxa"/>
            <w:tcBorders>
              <w:top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81" w:line="210" w:lineRule="exact"/>
              <w:ind w:right="40"/>
              <w:jc w:val="right"/>
              <w:rPr>
                <w:kern w:val="0"/>
                <w:sz w:val="17"/>
              </w:rPr>
            </w:pPr>
          </w:p>
        </w:tc>
        <w:tc>
          <w:tcPr>
            <w:tcW w:w="1179" w:type="dxa"/>
            <w:tcBorders>
              <w:top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81" w:line="210" w:lineRule="exact"/>
              <w:ind w:right="40"/>
              <w:jc w:val="right"/>
              <w:rPr>
                <w:kern w:val="0"/>
                <w:sz w:val="17"/>
              </w:rPr>
            </w:pPr>
          </w:p>
        </w:tc>
        <w:tc>
          <w:tcPr>
            <w:tcW w:w="1299" w:type="dxa"/>
            <w:tcBorders>
              <w:top w:val="single" w:sz="12" w:space="0" w:color="auto"/>
            </w:tcBorders>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81" w:line="210" w:lineRule="exact"/>
              <w:ind w:right="40"/>
              <w:jc w:val="right"/>
              <w:rPr>
                <w:kern w:val="0"/>
                <w:sz w:val="17"/>
              </w:rPr>
            </w:pPr>
          </w:p>
        </w:tc>
      </w:tr>
      <w:tr w:rsidR="00647D95" w:rsidRPr="00981E15">
        <w:tblPrEx>
          <w:tblCellMar>
            <w:top w:w="0" w:type="dxa"/>
            <w:bottom w:w="0" w:type="dxa"/>
          </w:tblCellMar>
        </w:tblPrEx>
        <w:tc>
          <w:tcPr>
            <w:tcW w:w="2160"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81" w:line="210" w:lineRule="exact"/>
              <w:ind w:right="40"/>
              <w:rPr>
                <w:b/>
                <w:kern w:val="0"/>
                <w:sz w:val="17"/>
              </w:rPr>
            </w:pPr>
            <w:r w:rsidRPr="00981E15">
              <w:rPr>
                <w:b/>
                <w:kern w:val="0"/>
                <w:sz w:val="17"/>
              </w:rPr>
              <w:t>Total Financiamiento</w:t>
            </w:r>
          </w:p>
        </w:tc>
        <w:tc>
          <w:tcPr>
            <w:tcW w:w="1314"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81" w:line="210" w:lineRule="exact"/>
              <w:ind w:right="40"/>
              <w:jc w:val="right"/>
              <w:rPr>
                <w:b/>
                <w:kern w:val="0"/>
                <w:sz w:val="17"/>
                <w:szCs w:val="17"/>
              </w:rPr>
            </w:pPr>
            <w:r w:rsidRPr="00981E15">
              <w:rPr>
                <w:b/>
                <w:sz w:val="17"/>
                <w:szCs w:val="17"/>
              </w:rPr>
              <w:t>Q83 500 000</w:t>
            </w:r>
          </w:p>
        </w:tc>
        <w:tc>
          <w:tcPr>
            <w:tcW w:w="1368"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81" w:line="210" w:lineRule="exact"/>
              <w:ind w:right="40"/>
              <w:jc w:val="right"/>
              <w:rPr>
                <w:b/>
                <w:kern w:val="0"/>
                <w:sz w:val="17"/>
                <w:szCs w:val="17"/>
              </w:rPr>
            </w:pPr>
            <w:r w:rsidRPr="00981E15">
              <w:rPr>
                <w:b/>
                <w:sz w:val="17"/>
                <w:szCs w:val="17"/>
              </w:rPr>
              <w:t>Q130 525 000</w:t>
            </w:r>
          </w:p>
        </w:tc>
        <w:tc>
          <w:tcPr>
            <w:tcW w:w="1179"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81" w:line="210" w:lineRule="exact"/>
              <w:ind w:right="40"/>
              <w:jc w:val="right"/>
              <w:rPr>
                <w:b/>
                <w:kern w:val="0"/>
                <w:sz w:val="17"/>
                <w:szCs w:val="17"/>
              </w:rPr>
            </w:pPr>
            <w:r w:rsidRPr="00981E15">
              <w:rPr>
                <w:b/>
                <w:sz w:val="17"/>
                <w:szCs w:val="17"/>
              </w:rPr>
              <w:t>Q24 620 000</w:t>
            </w:r>
          </w:p>
        </w:tc>
        <w:tc>
          <w:tcPr>
            <w:tcW w:w="1299"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81" w:line="210" w:lineRule="exact"/>
              <w:ind w:right="40"/>
              <w:jc w:val="right"/>
              <w:rPr>
                <w:b/>
                <w:kern w:val="0"/>
                <w:sz w:val="17"/>
                <w:szCs w:val="17"/>
              </w:rPr>
            </w:pPr>
            <w:r w:rsidRPr="00981E15">
              <w:rPr>
                <w:b/>
                <w:sz w:val="17"/>
                <w:szCs w:val="17"/>
              </w:rPr>
              <w:t>Q238 645 000</w:t>
            </w:r>
          </w:p>
        </w:tc>
      </w:tr>
      <w:tr w:rsidR="00647D95" w:rsidRPr="00981E15">
        <w:tblPrEx>
          <w:tblCellMar>
            <w:top w:w="0" w:type="dxa"/>
            <w:bottom w:w="0" w:type="dxa"/>
          </w:tblCellMar>
        </w:tblPrEx>
        <w:tc>
          <w:tcPr>
            <w:tcW w:w="2160"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40" w:line="210" w:lineRule="exact"/>
              <w:ind w:right="40"/>
              <w:rPr>
                <w:kern w:val="0"/>
                <w:sz w:val="17"/>
              </w:rPr>
            </w:pPr>
            <w:r w:rsidRPr="00981E15">
              <w:rPr>
                <w:kern w:val="0"/>
                <w:sz w:val="17"/>
              </w:rPr>
              <w:t>Mujeres</w:t>
            </w:r>
          </w:p>
        </w:tc>
        <w:tc>
          <w:tcPr>
            <w:tcW w:w="1314"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40" w:line="210" w:lineRule="exact"/>
              <w:ind w:right="40"/>
              <w:jc w:val="right"/>
              <w:rPr>
                <w:kern w:val="0"/>
                <w:sz w:val="17"/>
                <w:szCs w:val="17"/>
              </w:rPr>
            </w:pPr>
            <w:r w:rsidRPr="00981E15">
              <w:rPr>
                <w:sz w:val="17"/>
                <w:szCs w:val="17"/>
              </w:rPr>
              <w:t>Q50 100 000</w:t>
            </w:r>
          </w:p>
        </w:tc>
        <w:tc>
          <w:tcPr>
            <w:tcW w:w="1368"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40" w:line="210" w:lineRule="exact"/>
              <w:ind w:right="40"/>
              <w:jc w:val="right"/>
              <w:rPr>
                <w:kern w:val="0"/>
                <w:sz w:val="17"/>
                <w:szCs w:val="17"/>
              </w:rPr>
            </w:pPr>
            <w:r w:rsidRPr="00981E15">
              <w:rPr>
                <w:sz w:val="17"/>
                <w:szCs w:val="17"/>
              </w:rPr>
              <w:t>Q71 788 750</w:t>
            </w:r>
          </w:p>
        </w:tc>
        <w:tc>
          <w:tcPr>
            <w:tcW w:w="1179"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40" w:line="210" w:lineRule="exact"/>
              <w:ind w:right="40"/>
              <w:jc w:val="right"/>
              <w:rPr>
                <w:kern w:val="0"/>
                <w:sz w:val="17"/>
                <w:szCs w:val="17"/>
              </w:rPr>
            </w:pPr>
            <w:r w:rsidRPr="00981E15">
              <w:rPr>
                <w:sz w:val="17"/>
                <w:szCs w:val="17"/>
              </w:rPr>
              <w:t>Q16 825 000</w:t>
            </w:r>
          </w:p>
        </w:tc>
        <w:tc>
          <w:tcPr>
            <w:tcW w:w="1299"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81" w:after="40" w:line="210" w:lineRule="exact"/>
              <w:ind w:right="40"/>
              <w:jc w:val="right"/>
              <w:rPr>
                <w:kern w:val="0"/>
                <w:sz w:val="17"/>
                <w:szCs w:val="17"/>
              </w:rPr>
            </w:pPr>
            <w:r w:rsidRPr="00981E15">
              <w:rPr>
                <w:sz w:val="17"/>
                <w:szCs w:val="17"/>
              </w:rPr>
              <w:t>Q138 713 750</w:t>
            </w:r>
          </w:p>
        </w:tc>
      </w:tr>
      <w:tr w:rsidR="00647D95" w:rsidRPr="00981E15">
        <w:tblPrEx>
          <w:tblCellMar>
            <w:top w:w="0" w:type="dxa"/>
            <w:bottom w:w="0" w:type="dxa"/>
          </w:tblCellMar>
        </w:tblPrEx>
        <w:tc>
          <w:tcPr>
            <w:tcW w:w="2160"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40" w:line="210" w:lineRule="exact"/>
              <w:ind w:right="40"/>
              <w:rPr>
                <w:kern w:val="0"/>
                <w:sz w:val="17"/>
              </w:rPr>
            </w:pPr>
            <w:r w:rsidRPr="00981E15">
              <w:rPr>
                <w:kern w:val="0"/>
                <w:sz w:val="17"/>
              </w:rPr>
              <w:t>Hombres</w:t>
            </w:r>
          </w:p>
        </w:tc>
        <w:tc>
          <w:tcPr>
            <w:tcW w:w="1314"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Q33 400 000</w:t>
            </w:r>
          </w:p>
        </w:tc>
        <w:tc>
          <w:tcPr>
            <w:tcW w:w="1368"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Q58 736 250</w:t>
            </w:r>
          </w:p>
        </w:tc>
        <w:tc>
          <w:tcPr>
            <w:tcW w:w="1179"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Q7 795 000</w:t>
            </w:r>
          </w:p>
        </w:tc>
        <w:tc>
          <w:tcPr>
            <w:tcW w:w="1299" w:type="dxa"/>
            <w:shd w:val="clear" w:color="auto" w:fill="auto"/>
            <w:vAlign w:val="bottom"/>
          </w:tcPr>
          <w:p w:rsidR="00647D95" w:rsidRPr="00981E15" w:rsidRDefault="00647D95" w:rsidP="00647D95">
            <w:pPr>
              <w:keepNext/>
              <w:keepLines/>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Q99 931 250</w:t>
            </w:r>
          </w:p>
        </w:tc>
      </w:tr>
      <w:tr w:rsidR="00647D95" w:rsidRPr="00981E15">
        <w:tblPrEx>
          <w:tblCellMar>
            <w:top w:w="0" w:type="dxa"/>
            <w:bottom w:w="0" w:type="dxa"/>
          </w:tblCellMar>
        </w:tblPrEx>
        <w:tc>
          <w:tcPr>
            <w:tcW w:w="216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No. De créditos</w:t>
            </w:r>
          </w:p>
        </w:tc>
        <w:tc>
          <w:tcPr>
            <w:tcW w:w="131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22 983</w:t>
            </w:r>
          </w:p>
        </w:tc>
        <w:tc>
          <w:tcPr>
            <w:tcW w:w="1368"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41 941</w:t>
            </w:r>
          </w:p>
        </w:tc>
        <w:tc>
          <w:tcPr>
            <w:tcW w:w="117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1 842</w:t>
            </w:r>
          </w:p>
        </w:tc>
        <w:tc>
          <w:tcPr>
            <w:tcW w:w="129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66 766</w:t>
            </w:r>
          </w:p>
        </w:tc>
      </w:tr>
      <w:tr w:rsidR="00647D95" w:rsidRPr="00981E15">
        <w:tblPrEx>
          <w:tblCellMar>
            <w:top w:w="0" w:type="dxa"/>
            <w:bottom w:w="0" w:type="dxa"/>
          </w:tblCellMar>
        </w:tblPrEx>
        <w:tc>
          <w:tcPr>
            <w:tcW w:w="2160"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Hombres</w:t>
            </w:r>
          </w:p>
        </w:tc>
        <w:tc>
          <w:tcPr>
            <w:tcW w:w="131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9 193</w:t>
            </w:r>
          </w:p>
        </w:tc>
        <w:tc>
          <w:tcPr>
            <w:tcW w:w="1368"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25 165</w:t>
            </w:r>
          </w:p>
        </w:tc>
        <w:tc>
          <w:tcPr>
            <w:tcW w:w="117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780</w:t>
            </w:r>
          </w:p>
        </w:tc>
        <w:tc>
          <w:tcPr>
            <w:tcW w:w="1299"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35 138</w:t>
            </w:r>
          </w:p>
        </w:tc>
      </w:tr>
      <w:tr w:rsidR="00647D95" w:rsidRPr="00981E15">
        <w:tblPrEx>
          <w:tblCellMar>
            <w:top w:w="0" w:type="dxa"/>
            <w:bottom w:w="0" w:type="dxa"/>
          </w:tblCellMar>
        </w:tblPrEx>
        <w:tc>
          <w:tcPr>
            <w:tcW w:w="2160"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Mujeres</w:t>
            </w:r>
          </w:p>
        </w:tc>
        <w:tc>
          <w:tcPr>
            <w:tcW w:w="1314"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13 790</w:t>
            </w:r>
          </w:p>
        </w:tc>
        <w:tc>
          <w:tcPr>
            <w:tcW w:w="1368"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16 776</w:t>
            </w:r>
          </w:p>
        </w:tc>
        <w:tc>
          <w:tcPr>
            <w:tcW w:w="1179"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sz w:val="17"/>
                <w:szCs w:val="17"/>
              </w:rPr>
              <w:t>1 062</w:t>
            </w:r>
          </w:p>
        </w:tc>
        <w:tc>
          <w:tcPr>
            <w:tcW w:w="1299" w:type="dxa"/>
            <w:tcBorders>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31 628</w:t>
            </w:r>
          </w:p>
        </w:tc>
      </w:tr>
    </w:tbl>
    <w:p w:rsidR="00647D95" w:rsidRPr="00981E15" w:rsidRDefault="00647D95" w:rsidP="00647D95">
      <w:pPr>
        <w:pStyle w:val="SingleTxt"/>
        <w:spacing w:after="0" w:line="120" w:lineRule="exact"/>
        <w:rPr>
          <w:sz w:val="10"/>
        </w:rPr>
      </w:pPr>
    </w:p>
    <w:p w:rsidR="00647D95" w:rsidRPr="00981E15" w:rsidRDefault="00647D95" w:rsidP="00647D95">
      <w:pPr>
        <w:pStyle w:val="FootnoteText"/>
        <w:tabs>
          <w:tab w:val="clear" w:pos="418"/>
          <w:tab w:val="right" w:pos="1476"/>
          <w:tab w:val="left" w:pos="1548"/>
          <w:tab w:val="right" w:pos="1836"/>
          <w:tab w:val="left" w:pos="1908"/>
        </w:tabs>
        <w:ind w:left="1267" w:right="1267" w:hanging="1267"/>
      </w:pPr>
      <w:r w:rsidRPr="00981E15">
        <w:tab/>
      </w:r>
      <w:r w:rsidRPr="00981E15">
        <w:tab/>
      </w:r>
      <w:r w:rsidRPr="00981E15">
        <w:rPr>
          <w:i/>
        </w:rPr>
        <w:t>Fuente</w:t>
      </w:r>
      <w:r w:rsidRPr="00981E15">
        <w:t>: Vice Ministerio de Desarrollo de la MIPYME, Ministerio de Economía</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Acceso al crédito</w:t>
      </w: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 xml:space="preserve">La relación de las mujeres con el crédito se inicia a partir del influjo de los proyectos de desarrollo rural, bajo la modalidad de bancos comunales o microcréditos individuales, ejecutados a través de Cooperativas Federadas, Cooperativas No Federadas y Organizaciones Privadas de Desarrollo Financiero (OPDF), en donde los requisitos de acceso a un crédito, son más accesibles que en la banca formal. Sin embargo las tasas de interés son mayores que la tasa de interés bancaria, la cual se encuentra regulada por la banca central. </w:t>
      </w:r>
    </w:p>
    <w:p w:rsidR="00647D95" w:rsidRPr="00981E15" w:rsidRDefault="00647D95" w:rsidP="00647D95">
      <w:pPr>
        <w:pStyle w:val="SingleTxt"/>
        <w:numPr>
          <w:ilvl w:val="0"/>
          <w:numId w:val="39"/>
        </w:numPr>
        <w:tabs>
          <w:tab w:val="clear" w:pos="475"/>
          <w:tab w:val="num" w:pos="1742"/>
        </w:tabs>
        <w:ind w:left="1267"/>
      </w:pPr>
      <w:r w:rsidRPr="00981E15">
        <w:t xml:space="preserve">A nivel nacional en el 2005 se registraron 35 instituciones que proporcionan microcréditos, y 38 en el 2004. La mayoría son organizaciones privadas de desarrollo financiero y cooperativas federadas, con 205,281 préstamos equivalentes al 76.56% de microcréditos registrados. Aún cuando las tasas de interés suelen ser más altas que en la banca formal, con tasas de interés que van de 20% al 36%, mientras que en la banca formal es del 20% anual sobre saldos. </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7A1356" w:rsidRPr="00981E15" w:rsidRDefault="00647D95" w:rsidP="007A13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C514E">
        <w:rPr>
          <w:b w:val="0"/>
        </w:rPr>
        <w:tab/>
      </w:r>
      <w:r w:rsidRPr="00DC514E">
        <w:rPr>
          <w:b w:val="0"/>
        </w:rPr>
        <w:tab/>
        <w:t>Cuadro 36</w:t>
      </w:r>
      <w:r w:rsidRPr="00DC514E">
        <w:rPr>
          <w:b w:val="0"/>
        </w:rPr>
        <w:br/>
      </w:r>
      <w:r w:rsidRPr="00981E15">
        <w:t xml:space="preserve">Tasas promedio de Interés cobrada en créditos según el tipo de Institución, </w:t>
      </w:r>
      <w:r w:rsidRPr="00981E15">
        <w:br/>
        <w:t>Año 2004</w:t>
      </w:r>
      <w:r w:rsidR="007A1356" w:rsidRPr="00981E15">
        <w:t xml:space="preserve"> y </w:t>
      </w:r>
      <w:r w:rsidRPr="00981E15">
        <w:t>2005</w:t>
      </w:r>
    </w:p>
    <w:p w:rsidR="007A1356" w:rsidRPr="00981E15" w:rsidRDefault="007A1356" w:rsidP="007A1356">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647D95" w:rsidRPr="00981E15">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rPr>
                <w:i/>
                <w:kern w:val="0"/>
                <w:sz w:val="14"/>
              </w:rPr>
            </w:pPr>
            <w:r w:rsidRPr="00981E15">
              <w:rPr>
                <w:i/>
                <w:kern w:val="0"/>
                <w:sz w:val="14"/>
              </w:rPr>
              <w:t>Tipo de Institución</w:t>
            </w:r>
          </w:p>
        </w:tc>
        <w:tc>
          <w:tcPr>
            <w:tcW w:w="3660"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rPr>
                <w:i/>
                <w:kern w:val="0"/>
                <w:sz w:val="14"/>
              </w:rPr>
            </w:pPr>
            <w:r w:rsidRPr="00981E15">
              <w:rPr>
                <w:i/>
                <w:kern w:val="0"/>
                <w:sz w:val="14"/>
              </w:rPr>
              <w:t>Tasa de interés cobrada</w:t>
            </w:r>
          </w:p>
        </w:tc>
      </w:tr>
      <w:tr w:rsidR="00647D95" w:rsidRPr="00981E15">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0"/>
              <w:ind w:right="40"/>
              <w:rPr>
                <w:kern w:val="0"/>
              </w:rPr>
            </w:pPr>
          </w:p>
        </w:tc>
        <w:tc>
          <w:tcPr>
            <w:tcW w:w="3660"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0"/>
              <w:ind w:right="40"/>
              <w:rPr>
                <w:kern w:val="0"/>
              </w:rPr>
            </w:pPr>
          </w:p>
        </w:tc>
      </w:tr>
      <w:tr w:rsidR="00647D95" w:rsidRPr="00981E15">
        <w:tblPrEx>
          <w:tblCellMar>
            <w:top w:w="0" w:type="dxa"/>
            <w:bottom w:w="0" w:type="dxa"/>
          </w:tblCellMar>
        </w:tblPrEx>
        <w:tc>
          <w:tcPr>
            <w:tcW w:w="3660" w:type="dxa"/>
            <w:shd w:val="clear" w:color="auto" w:fill="auto"/>
          </w:tcPr>
          <w:p w:rsidR="00647D95" w:rsidRPr="00981E15" w:rsidRDefault="00647D95" w:rsidP="00647D95">
            <w:pPr>
              <w:tabs>
                <w:tab w:val="left" w:pos="288"/>
                <w:tab w:val="left" w:pos="576"/>
                <w:tab w:val="left" w:pos="864"/>
                <w:tab w:val="left" w:pos="1152"/>
              </w:tabs>
              <w:spacing w:before="40" w:after="80"/>
              <w:ind w:right="40"/>
              <w:rPr>
                <w:kern w:val="0"/>
              </w:rPr>
            </w:pPr>
            <w:r w:rsidRPr="00981E15">
              <w:rPr>
                <w:kern w:val="0"/>
              </w:rPr>
              <w:t>Bancos</w:t>
            </w:r>
          </w:p>
        </w:tc>
        <w:tc>
          <w:tcPr>
            <w:tcW w:w="3660" w:type="dxa"/>
            <w:shd w:val="clear" w:color="auto" w:fill="auto"/>
          </w:tcPr>
          <w:p w:rsidR="00647D95" w:rsidRPr="00981E15" w:rsidRDefault="00A2041A" w:rsidP="00647D95">
            <w:pPr>
              <w:tabs>
                <w:tab w:val="left" w:pos="288"/>
                <w:tab w:val="left" w:pos="576"/>
                <w:tab w:val="left" w:pos="864"/>
                <w:tab w:val="left" w:pos="1152"/>
              </w:tabs>
              <w:spacing w:before="40" w:after="80"/>
              <w:ind w:right="40"/>
              <w:rPr>
                <w:kern w:val="0"/>
              </w:rPr>
            </w:pPr>
            <w:r>
              <w:rPr>
                <w:kern w:val="0"/>
              </w:rPr>
              <w:t>20,</w:t>
            </w:r>
            <w:r w:rsidR="00647D95" w:rsidRPr="00981E15">
              <w:rPr>
                <w:kern w:val="0"/>
              </w:rPr>
              <w:t>3%</w:t>
            </w:r>
          </w:p>
        </w:tc>
      </w:tr>
      <w:tr w:rsidR="00647D95" w:rsidRPr="00981E15">
        <w:tblPrEx>
          <w:tblCellMar>
            <w:top w:w="0" w:type="dxa"/>
            <w:bottom w:w="0" w:type="dxa"/>
          </w:tblCellMar>
        </w:tblPrEx>
        <w:tc>
          <w:tcPr>
            <w:tcW w:w="3660" w:type="dxa"/>
            <w:shd w:val="clear" w:color="auto" w:fill="auto"/>
          </w:tcPr>
          <w:p w:rsidR="00647D95" w:rsidRPr="00981E15" w:rsidRDefault="00647D95" w:rsidP="00647D95">
            <w:pPr>
              <w:tabs>
                <w:tab w:val="left" w:pos="288"/>
                <w:tab w:val="left" w:pos="576"/>
                <w:tab w:val="left" w:pos="864"/>
                <w:tab w:val="left" w:pos="1152"/>
              </w:tabs>
              <w:spacing w:before="40" w:after="80"/>
              <w:ind w:right="40"/>
              <w:rPr>
                <w:kern w:val="0"/>
              </w:rPr>
            </w:pPr>
            <w:r w:rsidRPr="00981E15">
              <w:rPr>
                <w:kern w:val="0"/>
              </w:rPr>
              <w:t>Cooperativas Federadas</w:t>
            </w:r>
          </w:p>
        </w:tc>
        <w:tc>
          <w:tcPr>
            <w:tcW w:w="3660" w:type="dxa"/>
            <w:shd w:val="clear" w:color="auto" w:fill="auto"/>
          </w:tcPr>
          <w:p w:rsidR="00647D95" w:rsidRPr="00981E15" w:rsidRDefault="00A2041A" w:rsidP="00647D95">
            <w:pPr>
              <w:tabs>
                <w:tab w:val="left" w:pos="288"/>
                <w:tab w:val="left" w:pos="576"/>
                <w:tab w:val="left" w:pos="864"/>
                <w:tab w:val="left" w:pos="1152"/>
              </w:tabs>
              <w:spacing w:before="40" w:after="80"/>
              <w:ind w:right="40"/>
              <w:rPr>
                <w:kern w:val="0"/>
              </w:rPr>
            </w:pPr>
            <w:r>
              <w:rPr>
                <w:kern w:val="0"/>
              </w:rPr>
              <w:t>20,</w:t>
            </w:r>
            <w:r w:rsidR="00647D95" w:rsidRPr="00981E15">
              <w:rPr>
                <w:kern w:val="0"/>
              </w:rPr>
              <w:t>1%</w:t>
            </w:r>
          </w:p>
        </w:tc>
      </w:tr>
      <w:tr w:rsidR="00647D95" w:rsidRPr="00981E15">
        <w:tblPrEx>
          <w:tblCellMar>
            <w:top w:w="0" w:type="dxa"/>
            <w:bottom w:w="0" w:type="dxa"/>
          </w:tblCellMar>
        </w:tblPrEx>
        <w:tc>
          <w:tcPr>
            <w:tcW w:w="3660" w:type="dxa"/>
            <w:shd w:val="clear" w:color="auto" w:fill="auto"/>
          </w:tcPr>
          <w:p w:rsidR="00647D95" w:rsidRPr="00981E15" w:rsidRDefault="00647D95" w:rsidP="00647D95">
            <w:pPr>
              <w:tabs>
                <w:tab w:val="left" w:pos="288"/>
                <w:tab w:val="left" w:pos="576"/>
                <w:tab w:val="left" w:pos="864"/>
                <w:tab w:val="left" w:pos="1152"/>
              </w:tabs>
              <w:spacing w:before="40" w:after="80"/>
              <w:ind w:right="40"/>
              <w:rPr>
                <w:kern w:val="0"/>
              </w:rPr>
            </w:pPr>
            <w:r w:rsidRPr="00981E15">
              <w:rPr>
                <w:kern w:val="0"/>
              </w:rPr>
              <w:t>Cooperativas no Federadas</w:t>
            </w:r>
          </w:p>
        </w:tc>
        <w:tc>
          <w:tcPr>
            <w:tcW w:w="3660" w:type="dxa"/>
            <w:shd w:val="clear" w:color="auto" w:fill="auto"/>
          </w:tcPr>
          <w:p w:rsidR="00647D95" w:rsidRPr="00981E15" w:rsidRDefault="00647D95" w:rsidP="00647D95">
            <w:pPr>
              <w:tabs>
                <w:tab w:val="left" w:pos="288"/>
                <w:tab w:val="left" w:pos="576"/>
                <w:tab w:val="left" w:pos="864"/>
                <w:tab w:val="left" w:pos="1152"/>
              </w:tabs>
              <w:spacing w:before="40" w:after="80"/>
              <w:ind w:right="40"/>
              <w:rPr>
                <w:kern w:val="0"/>
              </w:rPr>
            </w:pPr>
            <w:r w:rsidRPr="00981E15">
              <w:rPr>
                <w:kern w:val="0"/>
              </w:rPr>
              <w:t>18% – 30%</w:t>
            </w:r>
          </w:p>
        </w:tc>
      </w:tr>
      <w:tr w:rsidR="00647D95" w:rsidRPr="00981E15">
        <w:tblPrEx>
          <w:tblCellMar>
            <w:top w:w="0" w:type="dxa"/>
            <w:bottom w:w="0" w:type="dxa"/>
          </w:tblCellMar>
        </w:tblPrEx>
        <w:tc>
          <w:tcPr>
            <w:tcW w:w="3660" w:type="dxa"/>
            <w:tcBorders>
              <w:bottom w:val="single" w:sz="12" w:space="0" w:color="auto"/>
            </w:tcBorders>
            <w:shd w:val="clear" w:color="auto" w:fill="auto"/>
          </w:tcPr>
          <w:p w:rsidR="00647D95" w:rsidRPr="00981E15" w:rsidRDefault="00647D95" w:rsidP="00647D95">
            <w:pPr>
              <w:tabs>
                <w:tab w:val="left" w:pos="288"/>
                <w:tab w:val="left" w:pos="576"/>
                <w:tab w:val="left" w:pos="864"/>
                <w:tab w:val="left" w:pos="1152"/>
              </w:tabs>
              <w:spacing w:before="40" w:after="80"/>
              <w:ind w:right="40"/>
              <w:rPr>
                <w:kern w:val="0"/>
              </w:rPr>
            </w:pPr>
            <w:r w:rsidRPr="00981E15">
              <w:rPr>
                <w:kern w:val="0"/>
              </w:rPr>
              <w:t>OPDF</w:t>
            </w:r>
            <w:r w:rsidR="007352CD">
              <w:rPr>
                <w:kern w:val="0"/>
              </w:rPr>
              <w:t>’</w:t>
            </w:r>
            <w:r w:rsidRPr="00981E15">
              <w:rPr>
                <w:kern w:val="0"/>
              </w:rPr>
              <w:t>s</w:t>
            </w:r>
          </w:p>
        </w:tc>
        <w:tc>
          <w:tcPr>
            <w:tcW w:w="3660" w:type="dxa"/>
            <w:tcBorders>
              <w:bottom w:val="single" w:sz="12" w:space="0" w:color="auto"/>
            </w:tcBorders>
            <w:shd w:val="clear" w:color="auto" w:fill="auto"/>
          </w:tcPr>
          <w:p w:rsidR="00647D95" w:rsidRPr="00981E15" w:rsidRDefault="00647D95" w:rsidP="00647D95">
            <w:pPr>
              <w:tabs>
                <w:tab w:val="left" w:pos="288"/>
                <w:tab w:val="left" w:pos="576"/>
                <w:tab w:val="left" w:pos="864"/>
                <w:tab w:val="left" w:pos="1152"/>
              </w:tabs>
              <w:spacing w:before="40" w:after="80"/>
              <w:ind w:right="40"/>
              <w:rPr>
                <w:kern w:val="0"/>
              </w:rPr>
            </w:pPr>
            <w:r w:rsidRPr="00981E15">
              <w:rPr>
                <w:kern w:val="0"/>
              </w:rPr>
              <w:t>28%</w:t>
            </w:r>
          </w:p>
        </w:tc>
      </w:tr>
    </w:tbl>
    <w:p w:rsidR="00647D95" w:rsidRPr="00981E15" w:rsidRDefault="00647D95" w:rsidP="00647D95">
      <w:pPr>
        <w:pStyle w:val="SingleTxt"/>
        <w:spacing w:after="0" w:line="120" w:lineRule="exact"/>
        <w:rPr>
          <w:sz w:val="10"/>
        </w:rPr>
      </w:pPr>
    </w:p>
    <w:p w:rsidR="00647D95" w:rsidRPr="00981E15" w:rsidRDefault="00647D95" w:rsidP="00647D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suppressAutoHyphens/>
        <w:ind w:left="1548" w:hanging="288"/>
      </w:pPr>
      <w:r w:rsidRPr="00981E15">
        <w:rPr>
          <w:i/>
          <w:spacing w:val="5"/>
          <w:w w:val="104"/>
          <w:sz w:val="17"/>
        </w:rPr>
        <w:t>Fuente</w:t>
      </w:r>
      <w:r w:rsidRPr="00981E15">
        <w:t>: Elaboración con base a datos del Boletín Financiero y Estadístico Microfinanzas 2004</w:t>
      </w:r>
    </w:p>
    <w:p w:rsidR="00647D95" w:rsidRPr="00981E15" w:rsidRDefault="00647D95" w:rsidP="00647D95">
      <w:pPr>
        <w:pStyle w:val="SingleTxt"/>
        <w:numPr>
          <w:ilvl w:val="0"/>
          <w:numId w:val="39"/>
        </w:numPr>
        <w:tabs>
          <w:tab w:val="clear" w:pos="475"/>
          <w:tab w:val="num" w:pos="1742"/>
        </w:tabs>
        <w:ind w:left="1267"/>
      </w:pPr>
      <w:r w:rsidRPr="00981E15">
        <w:t xml:space="preserve">Dentro del sistema crediticio formal todavía no se considera a las mujeres de escasos recursos como sujetas de crédito. Para los años 2004-2005 dos bancos otorgaban microcréditos, Banco del Café (BANCAFE) y el Banco de Desarrollo Rural (BANRURAL). El primero cerró operaciones en el 2006 y actualmente sólo se tiene la cartera de BANRURAL, el que ha hecho posible la participación de mujeres organizadas en el Consejo de Administración del Banco y como accionistas. El grupo de mujeres accionistas articula a 22 organizaciones representadas por la Federación de Organizaciones Rurales de Desarrollo Integral de la Mujer, Mujeres en Acción, ADIGMIA de Aguacatán, DIGUA en la Costa Sur, entre otras. </w:t>
      </w:r>
    </w:p>
    <w:p w:rsidR="00647D95" w:rsidRPr="00981E15" w:rsidRDefault="00647D95" w:rsidP="00647D95">
      <w:pPr>
        <w:pStyle w:val="SingleTxt"/>
        <w:numPr>
          <w:ilvl w:val="0"/>
          <w:numId w:val="39"/>
        </w:numPr>
        <w:tabs>
          <w:tab w:val="clear" w:pos="475"/>
          <w:tab w:val="num" w:pos="1742"/>
        </w:tabs>
        <w:ind w:left="1267"/>
      </w:pPr>
      <w:r w:rsidRPr="00981E15">
        <w:t xml:space="preserve">De acuerdo con los informes del Ministerio de Economía se registra que los créditos a través de la modalidad de Bancos Comunales en cualquiera de las instituciones que se dedican a esta actividad mantienen una cartera muy pequeña con relación al total de los créditos concedidos, registrándose en los Bancos un 3.05% en los bancos del sistema, 0.24% en cooperativas federadas, 11.09% en cooperativas no federadas y un 21.10% en Organizaciones Privadas de Desarrollo Financiero. </w:t>
      </w:r>
    </w:p>
    <w:p w:rsidR="00647D95" w:rsidRPr="00981E15" w:rsidRDefault="00647D95" w:rsidP="00647D95">
      <w:pPr>
        <w:pStyle w:val="SingleTxt"/>
        <w:numPr>
          <w:ilvl w:val="0"/>
          <w:numId w:val="39"/>
        </w:numPr>
        <w:tabs>
          <w:tab w:val="clear" w:pos="475"/>
          <w:tab w:val="num" w:pos="1742"/>
        </w:tabs>
        <w:ind w:left="1267"/>
      </w:pPr>
      <w:r w:rsidRPr="00981E15">
        <w:t xml:space="preserve">La SOSEP en el 2007 ha firmado un convenio con el Grammen Bank y el Banco de Desarrollo Rural (BANRURAL) para otorgar microcréditos a mujeres del área rural principalmente. La SOSEP facilitará través de sus diferentes programas en el interior del país el apoyo necesario para que grupos organizados de mujeres (mínimo cinco mujeres) puedan cumplir con las condiciones y requisitos necesarios para ser sujetas de crédito. </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Otros programas de fortalecimiento</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 xml:space="preserve">El Ministerio de Ambiente y Recursos Naturales, a través del Programa de Desarrollo Comunitario, en el 2006 ejecutó 90 proyectos que beneficiaron a 3.462 mujeres y se distribuyeron Q 68.865,00 como capital semilla y con la ejecución de proyectos productivos, tales como crianza de animales de corral, huertos familiares, invernaderos y reforestación, corte y confección, elaboración de alimentos, panaderías, embutidos. </w:t>
      </w:r>
    </w:p>
    <w:p w:rsidR="00647D95" w:rsidRPr="00981E15" w:rsidRDefault="00647D95" w:rsidP="00647D95">
      <w:pPr>
        <w:pStyle w:val="SingleTxt"/>
        <w:numPr>
          <w:ilvl w:val="0"/>
          <w:numId w:val="39"/>
        </w:numPr>
        <w:tabs>
          <w:tab w:val="clear" w:pos="475"/>
          <w:tab w:val="num" w:pos="1742"/>
        </w:tabs>
        <w:ind w:left="1267"/>
      </w:pPr>
      <w:r w:rsidRPr="00981E15">
        <w:t xml:space="preserve">El Ministerio de Trabajo con la cooperación de la ONG Trickle Up, han financiado en el 2005 un total de 405 empresas en los departamentos de Quiché (167), Alta Verapaz (157) y Guatemala (8). Principalmente se ha beneficiado a mujeres jefas de familia en situación de extrema pobreza, víctimas del conflicto armado y en su totalidad indígenas, y en el departamento de Guatemala a portadoras del VIH. </w:t>
      </w: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Secretaría de Obras Sociales de la Esposa del Presidente (SOSEP)</w:t>
      </w: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Por medio del eje de Fortalecimiento de la Autogestión Comunitaria se promueve la participación de la mujer como promotora de cambio, por medio de proyectos productivos generadores de ingresos adicionales al presupuesto familiar.</w:t>
      </w:r>
      <w:r w:rsidR="005E7D65" w:rsidRPr="00981E15">
        <w:t xml:space="preserve"> </w:t>
      </w:r>
      <w:r w:rsidRPr="00981E15">
        <w:t>En este marco se ejecutan los siguientes programas:</w:t>
      </w:r>
    </w:p>
    <w:p w:rsidR="00647D95" w:rsidRPr="00981E15" w:rsidRDefault="00647D95" w:rsidP="00647D95">
      <w:pPr>
        <w:pStyle w:val="SingleTxt"/>
        <w:numPr>
          <w:ilvl w:val="0"/>
          <w:numId w:val="39"/>
        </w:numPr>
        <w:tabs>
          <w:tab w:val="clear" w:pos="475"/>
          <w:tab w:val="num" w:pos="1742"/>
        </w:tabs>
        <w:ind w:left="1267"/>
      </w:pPr>
      <w:r w:rsidRPr="00981E15">
        <w:rPr>
          <w:b/>
        </w:rPr>
        <w:t>Programa Desarrollo Comunitario</w:t>
      </w:r>
      <w:r w:rsidRPr="00981E15">
        <w:t xml:space="preserve"> funciona desde el 2005. Su objetivo principal es promover el desarrollo de las comunidades en situación de pobreza, en el área urbana y rural del país por medio de la participación de las mujeres, en actividades productivas. El programa atiende a 164 grupos a nivel nacional beneficiando a 6.980 mujeres.</w:t>
      </w:r>
    </w:p>
    <w:p w:rsidR="00647D95" w:rsidRPr="00981E15" w:rsidRDefault="00647D95" w:rsidP="00647D95">
      <w:pPr>
        <w:pStyle w:val="SingleTxt"/>
        <w:numPr>
          <w:ilvl w:val="0"/>
          <w:numId w:val="39"/>
        </w:numPr>
        <w:tabs>
          <w:tab w:val="clear" w:pos="475"/>
          <w:tab w:val="num" w:pos="1742"/>
        </w:tabs>
        <w:ind w:left="1267"/>
      </w:pPr>
      <w:r w:rsidRPr="00981E15">
        <w:t>El Programa de Desarrollo Comunitario dota a las promotoras rurales de metodologías de extensión y transferencia de tecnología a través de capacitaciones impartidas por el Instituto de Gobernanza en temas específicos como organización, Trilogía de Leyes de Descentralización, sistemas de producción y mercadeo, administración/Superintendencia de Administración Tributaria (SAT). Trabaja con los grupos de mujeres para la identificación de sus destrezas, habilidades y potencialidades y con ello establecer aquella actividad productiva, ya sea un bien o un servicio que garantice el éxito y su sostenibilidad, a través de una organización comunitaria fortalecida (participación en los COMUDES y en los COCODES).</w:t>
      </w:r>
    </w:p>
    <w:p w:rsidR="00647D95" w:rsidRPr="00981E15" w:rsidRDefault="00647D95" w:rsidP="00647D95">
      <w:pPr>
        <w:pStyle w:val="SingleTxt"/>
        <w:numPr>
          <w:ilvl w:val="0"/>
          <w:numId w:val="39"/>
        </w:numPr>
        <w:tabs>
          <w:tab w:val="clear" w:pos="475"/>
          <w:tab w:val="num" w:pos="1742"/>
        </w:tabs>
        <w:ind w:left="1267"/>
      </w:pPr>
      <w:r w:rsidRPr="00981E15">
        <w:t>De los 164 grupos de mujeres 106 ya iniciaron actividades productivas: 1) En su mayoría productos comerciales para la venta en mercados locales, actividades como viveros de árboles para reforestar la cuenca del río Chixoy. En octubre de 2006 vendieron las primeras 13.000 plantas al Ministerio de Agricultura, Ganadería y Alimentación (MAGA) y firmaron convenio con dicho Ministerio para producir 56 mil árboles para el primer semestre del año 2007. 2) Realización de una alianza con la empresa Kiej de los Bosques, que produce y vende en mercados locales e internacionales manualidades, bisutería y bolsas de empaque, cerdos de engorde, producción de embutidos.</w:t>
      </w:r>
    </w:p>
    <w:p w:rsidR="00647D95" w:rsidRPr="00981E15" w:rsidRDefault="00647D95" w:rsidP="00647D95">
      <w:pPr>
        <w:pStyle w:val="SingleTxt"/>
        <w:numPr>
          <w:ilvl w:val="0"/>
          <w:numId w:val="39"/>
        </w:numPr>
        <w:tabs>
          <w:tab w:val="clear" w:pos="475"/>
          <w:tab w:val="num" w:pos="1742"/>
        </w:tabs>
        <w:ind w:left="1267"/>
      </w:pPr>
      <w:r w:rsidRPr="00981E15">
        <w:rPr>
          <w:b/>
        </w:rPr>
        <w:t>Programa Hogares Comunitarios</w:t>
      </w:r>
      <w:r w:rsidRPr="00981E15">
        <w:t xml:space="preserve"> comprende centros de cuidado diurno donde niños y niñas reciben atención personalizada mientras sus madres trabajan, con presencia en 193 municipios de los 22 departamentos del país con 1.173 hogares, atendiendo a una población de 12,524 niños y niñas. A la vez, se brinda la oportunidad a 7.500 madres beneficiadas para que realicen actividades generadoras de ingresos para apoyar la economía de sus familias y/o sostenerlas. Durante el año 2006 se abrieron 74 nuevos Centros de Atención Integral, con el fin de atender a 1.942 niños y niñas más, a nivel nacional.</w:t>
      </w:r>
    </w:p>
    <w:p w:rsidR="00647D95" w:rsidRPr="00981E15" w:rsidRDefault="00647D95" w:rsidP="00AF1CD2">
      <w:pPr>
        <w:pStyle w:val="SingleTxt"/>
        <w:suppressAutoHyphens/>
      </w:pPr>
    </w:p>
    <w:p w:rsidR="00647D95" w:rsidRPr="00981E15" w:rsidRDefault="00AF1CD2" w:rsidP="00AF1C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br w:type="page"/>
      </w:r>
      <w:r w:rsidR="00647D95" w:rsidRPr="00981E15">
        <w:tab/>
      </w:r>
      <w:r w:rsidR="00647D95" w:rsidRPr="00981E15">
        <w:tab/>
        <w:t>Ministerio de Agricultura y Ganadería (MAGA)</w:t>
      </w: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Por medio del MAGA se ejecutan procesos de capacitación y asistencia técnica para la implementación de proyectos productivos rurales para facilitar la autonomía económica:</w:t>
      </w:r>
    </w:p>
    <w:p w:rsidR="00647D95" w:rsidRPr="00981E15" w:rsidRDefault="00647D95" w:rsidP="00647D95">
      <w:pPr>
        <w:pStyle w:val="SingleTxt"/>
        <w:tabs>
          <w:tab w:val="right" w:pos="1685"/>
        </w:tabs>
        <w:suppressAutoHyphens/>
        <w:ind w:left="1742" w:hanging="475"/>
      </w:pPr>
      <w:r w:rsidRPr="00981E15">
        <w:tab/>
        <w:t>•</w:t>
      </w:r>
      <w:r w:rsidRPr="00981E15">
        <w:tab/>
        <w:t>Proyecto Zacapa-Chiquimula en su Fase II contribuye mediante el fomento de actividades de desarrollo pecuario en pequeña escala a mejorar, diversificar y racionalizar las actividades productivas de la mujer campesina.</w:t>
      </w:r>
    </w:p>
    <w:p w:rsidR="00647D95" w:rsidRPr="00981E15" w:rsidRDefault="00647D95" w:rsidP="00647D95">
      <w:pPr>
        <w:pStyle w:val="SingleTxt"/>
        <w:tabs>
          <w:tab w:val="right" w:pos="1685"/>
        </w:tabs>
        <w:suppressAutoHyphens/>
        <w:ind w:left="1742" w:hanging="475"/>
      </w:pPr>
      <w:r w:rsidRPr="00981E15">
        <w:tab/>
        <w:t>•</w:t>
      </w:r>
      <w:r w:rsidRPr="00981E15">
        <w:tab/>
        <w:t>Proyecto de Manejo Sostenible de los Recursos Naturales en la Sierra de los Cuchumatanes se ha propuesto realizar un estudio para ampliar y modificar los sistemas de producción agro ecológicos y de género en los 9 municipios del área de influencia del Proyecto. Con ello se espera que se beneficien empresas operadas por mujeres atendidas con los servicios de 3 organizaciones de productores del área de influencia.</w:t>
      </w:r>
    </w:p>
    <w:p w:rsidR="00647D95" w:rsidRPr="00981E15" w:rsidRDefault="00647D95" w:rsidP="00647D95">
      <w:pPr>
        <w:pStyle w:val="SingleTxt"/>
        <w:tabs>
          <w:tab w:val="right" w:pos="1685"/>
        </w:tabs>
        <w:suppressAutoHyphens/>
        <w:ind w:left="1742" w:hanging="475"/>
      </w:pPr>
      <w:r w:rsidRPr="00981E15">
        <w:tab/>
        <w:t>•</w:t>
      </w:r>
      <w:r w:rsidRPr="00981E15">
        <w:tab/>
        <w:t>Proyecto Promoción de Inversiones e Intercambios Comerciales, por medio de la activación de los servicios financieros y no financieros conocidos como Servicios de Desarrollo Empresarial. Reporta capacitaciones y asistencias técnicas, donde las mujeres son el 54.93% del total de participantes.</w:t>
      </w:r>
    </w:p>
    <w:p w:rsidR="00647D95" w:rsidRPr="00981E15" w:rsidRDefault="00647D95" w:rsidP="00647D95">
      <w:pPr>
        <w:pStyle w:val="SingleTxt"/>
        <w:tabs>
          <w:tab w:val="right" w:pos="1685"/>
        </w:tabs>
        <w:suppressAutoHyphens/>
        <w:ind w:left="1742" w:hanging="475"/>
      </w:pPr>
      <w:r w:rsidRPr="00981E15">
        <w:tab/>
        <w:t>•</w:t>
      </w:r>
      <w:r w:rsidRPr="00981E15">
        <w:tab/>
        <w:t>Proyecto de Protección de Bosques en Petén -PROBOPETEN- incluye como actividad para el desarrollo de la mujer rural, el acceso de grupos organizados de amas de casa a fondos sociales, que propician la autogestión familiar con iniciativas como los bancos comunales.</w:t>
      </w: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Fondo Nacional de Desarrollo (FONADES)</w:t>
      </w: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 xml:space="preserve">El acuerdo gubernativo 448-2006, da vida al Fondo Nacional de Desarrollo (FONADES) para ejecutar las obras que quedaron pendientes debido al cierre del Fondo de Inversión Social (FIS). </w:t>
      </w:r>
    </w:p>
    <w:p w:rsidR="00647D95" w:rsidRPr="00981E15" w:rsidRDefault="00647D95" w:rsidP="00647D95">
      <w:pPr>
        <w:pStyle w:val="SingleTxt"/>
        <w:numPr>
          <w:ilvl w:val="0"/>
          <w:numId w:val="39"/>
        </w:numPr>
        <w:tabs>
          <w:tab w:val="clear" w:pos="475"/>
          <w:tab w:val="num" w:pos="1742"/>
        </w:tabs>
        <w:ind w:left="1267"/>
      </w:pPr>
      <w:r w:rsidRPr="00981E15">
        <w:t>En el marco de los Bancos Comunales se propician acciones en materia de mujer y género. Se impulsan y fortalecen procesos organizativos dirigidos a las mujeres, exigiendo su participación en las asambleas comunitarias con derecho a voz y voto, durante procesos de identificación y priorización de proyectos.</w:t>
      </w: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Fondo de Tierras</w:t>
      </w: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 xml:space="preserve">A partir de 2004 con la Política de Equidad de Género del Fondo de Tierras se coordina la asistencia técnica para facilitar la asesoría y acompañamiento a las y los beneficiarios del Fondo de Tierras, tanto en los programas como en los proyectos productivos. Se coordinó con el área de Asistencia Técnica la contratación de Técnicas de Género para asesorar y acompañar la participación de las mujeres a nivel comunitario. Se crea la Unidad de la Mujer Campesina que se integra al Consejo Consultivo de la Secretaría Presidencial de la Mujer. </w:t>
      </w:r>
    </w:p>
    <w:p w:rsidR="00647D95" w:rsidRPr="00981E15" w:rsidRDefault="00647D95" w:rsidP="00647D95">
      <w:pPr>
        <w:pStyle w:val="SingleTxt"/>
        <w:numPr>
          <w:ilvl w:val="0"/>
          <w:numId w:val="39"/>
        </w:numPr>
        <w:tabs>
          <w:tab w:val="clear" w:pos="475"/>
          <w:tab w:val="num" w:pos="1742"/>
        </w:tabs>
        <w:ind w:left="1267"/>
      </w:pPr>
      <w:r w:rsidRPr="00981E15">
        <w:t xml:space="preserve">El Plan Operativo 2006 de la Unidad de la Mujer Campesina, “Transversalización de la Política de Equidad de Género del Fondo de Tierras” contiene 3 estrategias: </w:t>
      </w:r>
    </w:p>
    <w:p w:rsidR="00647D95" w:rsidRPr="00981E15" w:rsidRDefault="00647D95" w:rsidP="00647D95">
      <w:pPr>
        <w:pStyle w:val="SingleTxt"/>
        <w:tabs>
          <w:tab w:val="right" w:pos="1685"/>
        </w:tabs>
        <w:suppressAutoHyphens/>
        <w:ind w:left="1742" w:hanging="475"/>
      </w:pPr>
      <w:r w:rsidRPr="00981E15">
        <w:tab/>
        <w:t>•</w:t>
      </w:r>
      <w:r w:rsidRPr="00981E15">
        <w:tab/>
        <w:t>Institucionalización de la Política de Equidad de Género respecto a campesinos y campesinas en la estructura política, programática y operativa del Fondo de Tierras para garantizar el acceso, uso y tenencia de la tierra en forma equitativa, promover la propiedad y copropiedad en la mujer campesina, garantizar el desarrollo integral entre hombres y mujeres en igualdad de condiciones y oportunidades.</w:t>
      </w:r>
    </w:p>
    <w:p w:rsidR="00647D95" w:rsidRPr="00981E15" w:rsidRDefault="00647D95" w:rsidP="00647D95">
      <w:pPr>
        <w:pStyle w:val="SingleTxt"/>
        <w:tabs>
          <w:tab w:val="right" w:pos="1685"/>
        </w:tabs>
        <w:suppressAutoHyphens/>
        <w:ind w:left="1742" w:hanging="475"/>
      </w:pPr>
      <w:r w:rsidRPr="00981E15">
        <w:tab/>
        <w:t>•</w:t>
      </w:r>
      <w:r w:rsidRPr="00981E15">
        <w:tab/>
        <w:t>Promoción y participación activa de hombres y mujeres en la estructura organizativa comunitaria y agropecuaria para garantizar la posición y decisión de hombres y mujeres en la estructura organizativa de la finca en igualdad de condiciones; propiciar el desarrollo económico social y educativo en equidad de oportunidades; fortalecer el trabajo comunitario con equidad de género sin afectar la convivencia entre hombres y mujeres de todas las edades; estimular a la superación de situaciones que afectan la participación de las mujeres.</w:t>
      </w:r>
    </w:p>
    <w:p w:rsidR="00647D95" w:rsidRPr="00981E15" w:rsidRDefault="00647D95" w:rsidP="00647D95">
      <w:pPr>
        <w:pStyle w:val="SingleTxt"/>
        <w:tabs>
          <w:tab w:val="right" w:pos="1685"/>
        </w:tabs>
        <w:suppressAutoHyphens/>
        <w:ind w:left="1742" w:hanging="475"/>
      </w:pPr>
      <w:r w:rsidRPr="00981E15">
        <w:tab/>
        <w:t>•</w:t>
      </w:r>
      <w:r w:rsidRPr="00981E15">
        <w:tab/>
        <w:t>Articulación y fortalecimiento de alianzas interinstitucionales que contribuyan a llevar a la práctica la Política de Equidad de Género del Fondo de Tierras. Abordaje de equidad de género desde el marco del Fondo de Tierras, mayor incidencia en las diferentes unidades y áreas de trabajo, mayor coordinación interna y externa.</w:t>
      </w:r>
    </w:p>
    <w:p w:rsidR="00647D95" w:rsidRPr="00981E15" w:rsidRDefault="00647D95" w:rsidP="00647D95">
      <w:pPr>
        <w:pStyle w:val="SingleTxt"/>
        <w:numPr>
          <w:ilvl w:val="0"/>
          <w:numId w:val="39"/>
        </w:numPr>
        <w:tabs>
          <w:tab w:val="clear" w:pos="475"/>
          <w:tab w:val="num" w:pos="1742"/>
        </w:tabs>
        <w:ind w:left="1267"/>
      </w:pPr>
      <w:r w:rsidRPr="00981E15">
        <w:t xml:space="preserve">Por medio del Fondo de Tierras se ejecuta varios programas: el </w:t>
      </w:r>
      <w:r w:rsidRPr="00981E15">
        <w:rPr>
          <w:b/>
        </w:rPr>
        <w:t>Programa Acceso a la Tierra</w:t>
      </w:r>
      <w:r w:rsidRPr="00981E15">
        <w:t xml:space="preserve">, que otorga crédito para la compra o arrendamiento de fincas, en forma colectiva o individual a campesinas y campesinos sin tierra o con tierra insuficientes. En el período 2004-2007 se benefició directamente a 356 mujeres jefas de familia, integradas en un total de 44 grupos, quienes adquirieron 13.367,66 hectáreas, en las cuales se desarrollan diversas actividades productivas en las que participan las mujeres en carácter de copropietarias. </w:t>
      </w:r>
    </w:p>
    <w:p w:rsidR="00647D95" w:rsidRPr="00981E15" w:rsidRDefault="00647D95" w:rsidP="00647D95">
      <w:pPr>
        <w:pStyle w:val="SingleTxt"/>
        <w:numPr>
          <w:ilvl w:val="0"/>
          <w:numId w:val="39"/>
        </w:numPr>
        <w:tabs>
          <w:tab w:val="clear" w:pos="475"/>
          <w:tab w:val="num" w:pos="1742"/>
        </w:tabs>
        <w:ind w:left="1267"/>
      </w:pPr>
      <w:r w:rsidRPr="00981E15">
        <w:t xml:space="preserve">El siguiente cuadro refleja las fincas adjudicadas en el período 2004-2007, a mujeres y hombres jefes de familia. Es importante considerar que por cada jefe de familia al cónyuge se le adjudica la copropiedad de la finca. </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r>
      <w:r w:rsidRPr="00981E15">
        <w:rPr>
          <w:b w:val="0"/>
        </w:rPr>
        <w:t>Cuadro 37</w:t>
      </w:r>
      <w:r w:rsidRPr="00981E15">
        <w:br/>
        <w:t>Fincas adjudicadas por el Fondo de Tierras 2004-2007</w:t>
      </w:r>
    </w:p>
    <w:p w:rsidR="00647D95" w:rsidRPr="00981E15" w:rsidRDefault="00647D95" w:rsidP="00647D95">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647D95" w:rsidRPr="00981E15">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rPr>
                <w:i/>
                <w:kern w:val="0"/>
                <w:sz w:val="14"/>
              </w:rPr>
            </w:pPr>
            <w:r w:rsidRPr="00981E15">
              <w:rPr>
                <w:i/>
                <w:kern w:val="0"/>
                <w:sz w:val="14"/>
              </w:rPr>
              <w:t>Año</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Número de</w:t>
            </w:r>
            <w:r w:rsidRPr="00981E15">
              <w:rPr>
                <w:i/>
                <w:kern w:val="0"/>
                <w:sz w:val="14"/>
              </w:rPr>
              <w:br/>
              <w:t xml:space="preserve"> fincas</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Familias</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Jefa de familia</w:t>
            </w:r>
            <w:r w:rsidRPr="00981E15">
              <w:rPr>
                <w:i/>
                <w:kern w:val="0"/>
                <w:sz w:val="14"/>
              </w:rPr>
              <w:br/>
              <w:t>Mujer</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Jefe de familia</w:t>
            </w:r>
            <w:r w:rsidRPr="00981E15">
              <w:rPr>
                <w:i/>
                <w:kern w:val="0"/>
                <w:sz w:val="14"/>
              </w:rPr>
              <w:br/>
              <w:t xml:space="preserve"> hombre</w:t>
            </w:r>
          </w:p>
        </w:tc>
      </w:tr>
      <w:tr w:rsidR="00647D95" w:rsidRPr="00981E15">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p>
        </w:tc>
        <w:tc>
          <w:tcPr>
            <w:tcW w:w="1464"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c>
          <w:tcPr>
            <w:tcW w:w="1464" w:type="dxa"/>
            <w:tcBorders>
              <w:top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p>
        </w:tc>
      </w:tr>
      <w:tr w:rsidR="00647D95" w:rsidRPr="00981E15">
        <w:tblPrEx>
          <w:tblCellMar>
            <w:top w:w="0" w:type="dxa"/>
            <w:bottom w:w="0" w:type="dxa"/>
          </w:tblCellMar>
        </w:tblPrEx>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2004</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29</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2 103</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245</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1 358</w:t>
            </w:r>
          </w:p>
        </w:tc>
      </w:tr>
      <w:tr w:rsidR="00647D95" w:rsidRPr="00981E15">
        <w:tblPrEx>
          <w:tblCellMar>
            <w:top w:w="0" w:type="dxa"/>
            <w:bottom w:w="0" w:type="dxa"/>
          </w:tblCellMar>
        </w:tblPrEx>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2005</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12</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764</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83</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681</w:t>
            </w:r>
          </w:p>
        </w:tc>
      </w:tr>
      <w:tr w:rsidR="00647D95" w:rsidRPr="00981E15">
        <w:tblPrEx>
          <w:tblCellMar>
            <w:top w:w="0" w:type="dxa"/>
            <w:bottom w:w="0" w:type="dxa"/>
          </w:tblCellMar>
        </w:tblPrEx>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rPr>
                <w:kern w:val="0"/>
                <w:sz w:val="17"/>
              </w:rPr>
            </w:pPr>
            <w:r w:rsidRPr="00981E15">
              <w:rPr>
                <w:kern w:val="0"/>
                <w:sz w:val="17"/>
              </w:rPr>
              <w:t>2006</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247</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19</w:t>
            </w:r>
          </w:p>
        </w:tc>
        <w:tc>
          <w:tcPr>
            <w:tcW w:w="1464" w:type="dxa"/>
            <w:shd w:val="clear" w:color="auto" w:fill="auto"/>
            <w:vAlign w:val="bottom"/>
          </w:tcPr>
          <w:p w:rsidR="00647D95" w:rsidRPr="00981E15" w:rsidRDefault="00647D95" w:rsidP="00647D95">
            <w:pPr>
              <w:tabs>
                <w:tab w:val="left" w:pos="288"/>
                <w:tab w:val="left" w:pos="576"/>
                <w:tab w:val="left" w:pos="864"/>
                <w:tab w:val="left" w:pos="1152"/>
              </w:tabs>
              <w:spacing w:before="40" w:after="40" w:line="210" w:lineRule="exact"/>
              <w:ind w:right="40"/>
              <w:jc w:val="right"/>
              <w:rPr>
                <w:kern w:val="0"/>
                <w:sz w:val="17"/>
              </w:rPr>
            </w:pPr>
            <w:r w:rsidRPr="00981E15">
              <w:rPr>
                <w:kern w:val="0"/>
                <w:sz w:val="17"/>
              </w:rPr>
              <w:t>228</w:t>
            </w:r>
          </w:p>
        </w:tc>
      </w:tr>
      <w:tr w:rsidR="00647D95" w:rsidRPr="00981E15">
        <w:tblPrEx>
          <w:tblCellMar>
            <w:top w:w="0" w:type="dxa"/>
            <w:bottom w:w="0" w:type="dxa"/>
          </w:tblCellMar>
        </w:tblPrEx>
        <w:tc>
          <w:tcPr>
            <w:tcW w:w="1464"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rPr>
                <w:kern w:val="0"/>
                <w:sz w:val="17"/>
              </w:rPr>
            </w:pPr>
            <w:r w:rsidRPr="00981E15">
              <w:rPr>
                <w:kern w:val="0"/>
                <w:sz w:val="17"/>
              </w:rPr>
              <w:t>2007</w:t>
            </w:r>
          </w:p>
        </w:tc>
        <w:tc>
          <w:tcPr>
            <w:tcW w:w="1464"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1</w:t>
            </w:r>
          </w:p>
        </w:tc>
        <w:tc>
          <w:tcPr>
            <w:tcW w:w="1464"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90</w:t>
            </w:r>
          </w:p>
        </w:tc>
        <w:tc>
          <w:tcPr>
            <w:tcW w:w="1464"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9</w:t>
            </w:r>
          </w:p>
        </w:tc>
        <w:tc>
          <w:tcPr>
            <w:tcW w:w="1464" w:type="dxa"/>
            <w:tcBorders>
              <w:bottom w:val="single" w:sz="4"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40" w:after="81" w:line="210" w:lineRule="exact"/>
              <w:ind w:right="40"/>
              <w:jc w:val="right"/>
              <w:rPr>
                <w:kern w:val="0"/>
                <w:sz w:val="17"/>
              </w:rPr>
            </w:pPr>
            <w:r w:rsidRPr="00981E15">
              <w:rPr>
                <w:kern w:val="0"/>
                <w:sz w:val="17"/>
              </w:rPr>
              <w:t>81*</w:t>
            </w:r>
          </w:p>
        </w:tc>
      </w:tr>
      <w:tr w:rsidR="00647D95" w:rsidRPr="00981E15">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rPr>
                <w:b/>
                <w:kern w:val="0"/>
                <w:sz w:val="17"/>
              </w:rPr>
            </w:pPr>
            <w:r w:rsidRPr="00981E15">
              <w:rPr>
                <w:b/>
                <w:kern w:val="0"/>
                <w:sz w:val="17"/>
              </w:rPr>
              <w:tab/>
              <w:t>Totales</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44</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3 204</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356</w:t>
            </w:r>
          </w:p>
        </w:tc>
        <w:tc>
          <w:tcPr>
            <w:tcW w:w="1464" w:type="dxa"/>
            <w:tcBorders>
              <w:top w:val="single" w:sz="4" w:space="0" w:color="auto"/>
              <w:bottom w:val="single" w:sz="12" w:space="0" w:color="auto"/>
            </w:tcBorders>
            <w:shd w:val="clear" w:color="auto" w:fill="auto"/>
            <w:vAlign w:val="bottom"/>
          </w:tcPr>
          <w:p w:rsidR="00647D95" w:rsidRPr="00981E15" w:rsidRDefault="00647D95" w:rsidP="00647D95">
            <w:pPr>
              <w:tabs>
                <w:tab w:val="left" w:pos="288"/>
                <w:tab w:val="left" w:pos="576"/>
                <w:tab w:val="left" w:pos="864"/>
                <w:tab w:val="left" w:pos="1152"/>
              </w:tabs>
              <w:spacing w:before="81" w:after="81" w:line="210" w:lineRule="exact"/>
              <w:ind w:right="40"/>
              <w:jc w:val="right"/>
              <w:rPr>
                <w:b/>
                <w:kern w:val="0"/>
                <w:sz w:val="17"/>
              </w:rPr>
            </w:pPr>
            <w:r w:rsidRPr="00981E15">
              <w:rPr>
                <w:b/>
                <w:kern w:val="0"/>
                <w:sz w:val="17"/>
              </w:rPr>
              <w:t>2 848</w:t>
            </w:r>
          </w:p>
        </w:tc>
      </w:tr>
    </w:tbl>
    <w:p w:rsidR="00647D95" w:rsidRPr="00981E15" w:rsidRDefault="00647D95" w:rsidP="00647D95">
      <w:pPr>
        <w:pStyle w:val="SingleTxt"/>
        <w:spacing w:after="0" w:line="120" w:lineRule="exact"/>
        <w:rPr>
          <w:sz w:val="10"/>
        </w:rPr>
      </w:pPr>
    </w:p>
    <w:p w:rsidR="00647D95" w:rsidRPr="00981E15" w:rsidRDefault="006047E6" w:rsidP="006047E6">
      <w:pPr>
        <w:pStyle w:val="FootnoteText"/>
        <w:tabs>
          <w:tab w:val="clear" w:pos="418"/>
          <w:tab w:val="right" w:pos="1476"/>
          <w:tab w:val="left" w:pos="1548"/>
          <w:tab w:val="right" w:pos="1836"/>
          <w:tab w:val="left" w:pos="1908"/>
        </w:tabs>
        <w:ind w:left="1267" w:right="1267" w:hanging="7"/>
      </w:pPr>
      <w:r w:rsidRPr="00981E15">
        <w:tab/>
      </w:r>
      <w:r w:rsidR="00647D95" w:rsidRPr="00981E15">
        <w:tab/>
        <w:t>*</w:t>
      </w:r>
      <w:r w:rsidR="00647D95" w:rsidRPr="00981E15">
        <w:tab/>
        <w:t>Datos parciales</w:t>
      </w:r>
    </w:p>
    <w:p w:rsidR="006047E6" w:rsidRPr="00981E15" w:rsidRDefault="006047E6" w:rsidP="006047E6">
      <w:pPr>
        <w:pStyle w:val="SingleTxt"/>
        <w:suppressAutoHyphens/>
        <w:spacing w:after="0" w:line="120" w:lineRule="exact"/>
        <w:rPr>
          <w:sz w:val="10"/>
        </w:rPr>
      </w:pPr>
    </w:p>
    <w:p w:rsidR="00647D95" w:rsidRPr="00981E15" w:rsidRDefault="00647D95" w:rsidP="006047E6">
      <w:pPr>
        <w:pStyle w:val="FootnoteText"/>
        <w:tabs>
          <w:tab w:val="clear" w:pos="418"/>
          <w:tab w:val="right" w:pos="1476"/>
          <w:tab w:val="left" w:pos="1548"/>
          <w:tab w:val="right" w:pos="1836"/>
          <w:tab w:val="left" w:pos="1908"/>
        </w:tabs>
        <w:ind w:left="1267" w:right="1267" w:hanging="7"/>
      </w:pPr>
      <w:r w:rsidRPr="00981E15">
        <w:rPr>
          <w:i/>
        </w:rPr>
        <w:tab/>
      </w:r>
      <w:r w:rsidRPr="00981E15">
        <w:rPr>
          <w:i/>
        </w:rPr>
        <w:tab/>
        <w:t>Fuente</w:t>
      </w:r>
      <w:r w:rsidRPr="00981E15">
        <w:t xml:space="preserve">: Fondo de Tierras, julio </w:t>
      </w:r>
      <w:r w:rsidR="00AF1CD2" w:rsidRPr="00981E15">
        <w:t xml:space="preserve">de </w:t>
      </w:r>
      <w:r w:rsidRPr="00981E15">
        <w:t>2007.</w:t>
      </w:r>
    </w:p>
    <w:p w:rsidR="00647D95" w:rsidRPr="00981E15" w:rsidRDefault="00647D95" w:rsidP="006047E6">
      <w:pPr>
        <w:pStyle w:val="SingleTxt"/>
        <w:spacing w:after="0" w:line="120" w:lineRule="exact"/>
        <w:ind w:hanging="7"/>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rPr>
          <w:b/>
        </w:rPr>
        <w:t>Programa Regularización de la Tenencia de la Tierra</w:t>
      </w:r>
      <w:r w:rsidRPr="00981E15">
        <w:t xml:space="preserve">. El objetivo de este Programa es que cumpliendo con los requisitos legales, los beneficiarios y beneficiarias de los programas derivados de dichas leyes puedan formalizar su adjudicación y disponer en propiedad de las tierras adquiridas. El Programa de Regularización de Tierras, en el período comprendido entre los años 2004 y 2007, agilizó la adjudicación de las tierras a bajo costo y condiciones blandas de financiamiento. Brindando también servicios notariales de elaboración de escrituras (individuales y colectivas) sin costo alguno para los beneficiarios y beneficiarias. Asimismo, por medio de Convenios de Cooperación Técnica y Administrativa con entidades no gubernamentales se da un seguimiento y asesoría a las y los beneficiarios para la auto sostenibilidad de las familias y la amortización del crédito otorgado. </w:t>
      </w:r>
    </w:p>
    <w:p w:rsidR="00647D95" w:rsidRPr="00981E15" w:rsidRDefault="00647D95" w:rsidP="00647D95">
      <w:pPr>
        <w:pStyle w:val="SingleTxt"/>
        <w:numPr>
          <w:ilvl w:val="0"/>
          <w:numId w:val="39"/>
        </w:numPr>
        <w:tabs>
          <w:tab w:val="clear" w:pos="475"/>
          <w:tab w:val="num" w:pos="1742"/>
        </w:tabs>
        <w:ind w:left="1267"/>
      </w:pPr>
      <w:r w:rsidRPr="00981E15">
        <w:t>Contabilizando las regularizaciones y adquisición de tierras, en el período indicado se ha beneficiado a 10.362 mujeres, tanto en forma individual como integradas en comunidades, entregando 2,429 escrituras individuales y 168 comunitarias, correspondientes a un poco más de 206 mil hectáreas, en las cuales se desarrollaron diversas actividades productivas.</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keepNext/>
        <w:keepLines/>
        <w:tabs>
          <w:tab w:val="clear" w:pos="1742"/>
        </w:tabs>
        <w:suppressAutoHyphens/>
      </w:pPr>
      <w:r w:rsidRPr="00981E15">
        <w:t>Gráfica 10</w:t>
      </w:r>
    </w:p>
    <w:p w:rsidR="00647D95" w:rsidRPr="00981E15" w:rsidRDefault="00647D95" w:rsidP="00647D95">
      <w:pPr>
        <w:pStyle w:val="SingleTxt"/>
        <w:spacing w:after="0" w:line="120" w:lineRule="exact"/>
        <w:rPr>
          <w:sz w:val="10"/>
        </w:rPr>
      </w:pPr>
    </w:p>
    <w:p w:rsidR="00647D95" w:rsidRPr="00981E15" w:rsidRDefault="00647D95" w:rsidP="00647D95">
      <w:pPr>
        <w:pStyle w:val="SingleTxt"/>
        <w:tabs>
          <w:tab w:val="clear" w:pos="1742"/>
        </w:tabs>
        <w:suppressAutoHyphens/>
        <w:spacing w:line="240" w:lineRule="auto"/>
      </w:pPr>
      <w:r w:rsidRPr="00981E15">
        <w:rPr>
          <w:noProof/>
          <w:w w:val="100"/>
        </w:rPr>
      </w:r>
      <w:r w:rsidRPr="00981E15">
        <w:pict>
          <v:group id="_x0000_s2036" editas="canvas" style="width:312.2pt;height:192.55pt;mso-position-horizontal-relative:char;mso-position-vertical-relative:line" coordsize="6244,3851">
            <o:lock v:ext="edit" aspectratio="t"/>
            <v:shape id="_x0000_s2037" type="#_x0000_t75" style="position:absolute;width:6244;height:3851" o:preferrelative="f">
              <v:fill o:detectmouseclick="t"/>
              <v:path o:extrusionok="t" o:connecttype="none"/>
              <o:lock v:ext="edit" text="t"/>
            </v:shape>
            <v:rect id="_x0000_s2038" style="position:absolute;left:45;top:45;width:6145;height:3596" strokeweight="0"/>
            <v:rect id="_x0000_s2039" style="position:absolute;left:857;top:739;width:4431;height:2361" fillcolor="#cff" stroked="f"/>
            <v:line id="_x0000_s2040" style="position:absolute" from="857,2803" to="5288,2803" strokeweight="0"/>
            <v:line id="_x0000_s2041" style="position:absolute" from="857,2514" to="5288,2514" strokeweight="0"/>
            <v:line id="_x0000_s2042" style="position:absolute" from="857,2217" to="5288,2217" strokeweight="0"/>
            <v:line id="_x0000_s2043" style="position:absolute" from="857,1920" to="5288,1920" strokeweight="0"/>
            <v:line id="_x0000_s2044" style="position:absolute" from="857,1622" to="5288,1622" strokeweight="0"/>
            <v:line id="_x0000_s2045" style="position:absolute" from="857,1334" to="5288,1334" strokeweight="0"/>
            <v:line id="_x0000_s2046" style="position:absolute" from="857,1036" to="5288,1036" strokeweight="0"/>
            <v:line id="_x0000_s2047" style="position:absolute" from="857,739" to="5288,739" strokeweight="0"/>
            <v:rect id="_x0000_s3072" style="position:absolute;left:857;top:739;width:4431;height:2361" filled="f" strokecolor="gray" strokeweight=".45pt"/>
            <v:rect id="_x0000_s3073" style="position:absolute;left:1173;top:2929;width:424;height:171" fillcolor="#99f" strokeweight=".45pt"/>
            <v:rect id="_x0000_s3074" style="position:absolute;left:2653;top:2388;width:424;height:712" fillcolor="#99f" strokeweight=".45pt"/>
            <v:rect id="_x0000_s3075" style="position:absolute;left:4124;top:1091;width:424;height:2009" fillcolor="#99f" strokeweight=".45pt"/>
            <v:rect id="_x0000_s3076" style="position:absolute;left:1597;top:3082;width:424;height:18" fillcolor="#936" strokeweight=".45pt"/>
            <v:rect id="_x0000_s3077" style="position:absolute;left:3077;top:2487;width:415;height:613" fillcolor="#936" strokeweight=".45pt"/>
            <v:rect id="_x0000_s3078" style="position:absolute;left:4548;top:1487;width:424;height:1613" fillcolor="#936" strokeweight=".45pt"/>
            <v:line id="_x0000_s3079" style="position:absolute" from="857,739" to="857,3100" strokeweight="0"/>
            <v:line id="_x0000_s3080" style="position:absolute" from="821,3100" to="857,3100" strokeweight="0"/>
            <v:line id="_x0000_s3081" style="position:absolute" from="821,2803" to="857,2803" strokeweight="0"/>
            <v:line id="_x0000_s3082" style="position:absolute" from="821,2514" to="857,2514" strokeweight="0"/>
            <v:line id="_x0000_s3083" style="position:absolute" from="821,2217" to="857,2217" strokeweight="0"/>
            <v:line id="_x0000_s3084" style="position:absolute" from="821,1920" to="857,1920" strokeweight="0"/>
            <v:line id="_x0000_s3085" style="position:absolute" from="821,1622" to="857,1622" strokeweight="0"/>
            <v:line id="_x0000_s3086" style="position:absolute" from="821,1334" to="857,1334" strokeweight="0"/>
            <v:line id="_x0000_s3087" style="position:absolute" from="821,1036" to="857,1036" strokeweight="0"/>
            <v:line id="_x0000_s3088" style="position:absolute" from="821,739" to="857,739" strokeweight="0"/>
            <v:line id="_x0000_s3089" style="position:absolute" from="857,3100" to="5288,3100" strokeweight="0"/>
            <v:line id="_x0000_s3090" style="position:absolute;flip:y" from="857,3100" to="857,3136" strokeweight="0"/>
            <v:line id="_x0000_s3091" style="position:absolute;flip:y" from="2337,3100" to="2337,3136" strokeweight="0"/>
            <v:line id="_x0000_s3092" style="position:absolute;flip:y" from="3808,3100" to="3808,3136" strokeweight="0"/>
            <v:line id="_x0000_s3093" style="position:absolute;flip:y" from="5288,3100" to="5288,3136" strokeweight="0"/>
            <v:rect id="_x0000_s3094" style="position:absolute;left:966;top:162;width:3716;height:480;mso-wrap-style:none" filled="f" stroked="f">
              <v:textbox style="mso-fit-shape-to-text:t" inset="0,0,0,0">
                <w:txbxContent>
                  <w:p w:rsidR="00FF2C64" w:rsidRPr="008D0E7F" w:rsidRDefault="00FF2C64" w:rsidP="00647D95">
                    <w:pPr>
                      <w:ind w:left="475"/>
                    </w:pPr>
                    <w:r w:rsidRPr="008D0E7F">
                      <w:rPr>
                        <w:b/>
                        <w:bCs/>
                        <w:color w:val="000000"/>
                        <w:sz w:val="14"/>
                        <w:szCs w:val="14"/>
                      </w:rPr>
                      <w:t>B</w:t>
                    </w:r>
                    <w:r>
                      <w:rPr>
                        <w:b/>
                        <w:bCs/>
                        <w:color w:val="000000"/>
                        <w:sz w:val="14"/>
                        <w:szCs w:val="14"/>
                      </w:rPr>
                      <w:t>eneficiarias</w:t>
                    </w:r>
                    <w:r w:rsidRPr="008D0E7F">
                      <w:rPr>
                        <w:b/>
                        <w:bCs/>
                        <w:color w:val="000000"/>
                        <w:sz w:val="14"/>
                        <w:szCs w:val="14"/>
                      </w:rPr>
                      <w:t xml:space="preserve"> </w:t>
                    </w:r>
                    <w:r>
                      <w:rPr>
                        <w:b/>
                        <w:bCs/>
                        <w:color w:val="000000"/>
                        <w:sz w:val="14"/>
                        <w:szCs w:val="14"/>
                      </w:rPr>
                      <w:t>y beneficiarios de</w:t>
                    </w:r>
                    <w:r w:rsidRPr="008D0E7F">
                      <w:rPr>
                        <w:b/>
                        <w:bCs/>
                        <w:color w:val="000000"/>
                        <w:sz w:val="14"/>
                        <w:szCs w:val="14"/>
                      </w:rPr>
                      <w:t xml:space="preserve"> </w:t>
                    </w:r>
                    <w:r>
                      <w:rPr>
                        <w:b/>
                        <w:bCs/>
                        <w:color w:val="000000"/>
                        <w:sz w:val="14"/>
                        <w:szCs w:val="14"/>
                      </w:rPr>
                      <w:t>los</w:t>
                    </w:r>
                    <w:r w:rsidRPr="008D0E7F">
                      <w:rPr>
                        <w:b/>
                        <w:bCs/>
                        <w:color w:val="000000"/>
                        <w:sz w:val="14"/>
                        <w:szCs w:val="14"/>
                      </w:rPr>
                      <w:t xml:space="preserve"> </w:t>
                    </w:r>
                    <w:r>
                      <w:rPr>
                        <w:b/>
                        <w:bCs/>
                        <w:color w:val="000000"/>
                        <w:sz w:val="14"/>
                        <w:szCs w:val="14"/>
                      </w:rPr>
                      <w:t>programas del</w:t>
                    </w:r>
                    <w:r w:rsidRPr="008D0E7F">
                      <w:rPr>
                        <w:b/>
                        <w:bCs/>
                        <w:color w:val="000000"/>
                        <w:sz w:val="14"/>
                        <w:szCs w:val="14"/>
                      </w:rPr>
                      <w:t xml:space="preserve"> </w:t>
                    </w:r>
                  </w:p>
                </w:txbxContent>
              </v:textbox>
            </v:rect>
            <v:rect id="_x0000_s3095" style="position:absolute;left:1850;top:352;width:2141;height:480;mso-wrap-style:none" filled="f" stroked="f">
              <v:textbox style="mso-fit-shape-to-text:t" inset="0,0,0,0">
                <w:txbxContent>
                  <w:p w:rsidR="00FF2C64" w:rsidRPr="008D0E7F" w:rsidRDefault="00FF2C64">
                    <w:r w:rsidRPr="008D0E7F">
                      <w:rPr>
                        <w:b/>
                        <w:bCs/>
                        <w:color w:val="000000"/>
                        <w:sz w:val="14"/>
                        <w:szCs w:val="14"/>
                      </w:rPr>
                      <w:t>F</w:t>
                    </w:r>
                    <w:r>
                      <w:rPr>
                        <w:b/>
                        <w:bCs/>
                        <w:color w:val="000000"/>
                        <w:sz w:val="14"/>
                        <w:szCs w:val="14"/>
                      </w:rPr>
                      <w:t>ondo de</w:t>
                    </w:r>
                    <w:r w:rsidRPr="008D0E7F">
                      <w:rPr>
                        <w:b/>
                        <w:bCs/>
                        <w:color w:val="000000"/>
                        <w:sz w:val="14"/>
                        <w:szCs w:val="14"/>
                      </w:rPr>
                      <w:t xml:space="preserve"> T</w:t>
                    </w:r>
                    <w:r>
                      <w:rPr>
                        <w:b/>
                        <w:bCs/>
                        <w:color w:val="000000"/>
                        <w:sz w:val="14"/>
                        <w:szCs w:val="14"/>
                      </w:rPr>
                      <w:t>ierras</w:t>
                    </w:r>
                    <w:r w:rsidRPr="008D0E7F">
                      <w:rPr>
                        <w:b/>
                        <w:bCs/>
                        <w:color w:val="000000"/>
                        <w:sz w:val="14"/>
                        <w:szCs w:val="14"/>
                      </w:rPr>
                      <w:t xml:space="preserve">, </w:t>
                    </w:r>
                    <w:r>
                      <w:rPr>
                        <w:b/>
                        <w:bCs/>
                        <w:color w:val="000000"/>
                        <w:sz w:val="14"/>
                        <w:szCs w:val="14"/>
                      </w:rPr>
                      <w:t>año</w:t>
                    </w:r>
                    <w:r w:rsidRPr="008D0E7F">
                      <w:rPr>
                        <w:b/>
                        <w:bCs/>
                        <w:color w:val="000000"/>
                        <w:sz w:val="14"/>
                        <w:szCs w:val="14"/>
                      </w:rPr>
                      <w:t xml:space="preserve"> 2004-2006</w:t>
                    </w:r>
                  </w:p>
                </w:txbxContent>
              </v:textbox>
            </v:rect>
            <v:rect id="_x0000_s3096" style="position:absolute;left:1218;top:2731;width:298;height:480;mso-wrap-style:none" filled="f" stroked="f">
              <v:textbox style="mso-fit-shape-to-text:t" inset="0,0,0,0">
                <w:txbxContent>
                  <w:p w:rsidR="00FF2C64" w:rsidRPr="008D0E7F" w:rsidRDefault="00FF2C64">
                    <w:r w:rsidRPr="008D0E7F">
                      <w:rPr>
                        <w:color w:val="000000"/>
                        <w:sz w:val="12"/>
                        <w:szCs w:val="12"/>
                      </w:rPr>
                      <w:t>2</w:t>
                    </w:r>
                    <w:r>
                      <w:rPr>
                        <w:color w:val="000000"/>
                        <w:sz w:val="12"/>
                        <w:szCs w:val="12"/>
                      </w:rPr>
                      <w:t xml:space="preserve"> </w:t>
                    </w:r>
                    <w:r w:rsidRPr="008D0E7F">
                      <w:rPr>
                        <w:color w:val="000000"/>
                        <w:sz w:val="12"/>
                        <w:szCs w:val="12"/>
                      </w:rPr>
                      <w:t>848</w:t>
                    </w:r>
                  </w:p>
                </w:txbxContent>
              </v:textbox>
            </v:rect>
            <v:rect id="_x0000_s3097" style="position:absolute;left:2662;top:2190;width:364;height:480;mso-wrap-style:none" filled="f" stroked="f">
              <v:textbox style="mso-fit-shape-to-text:t" inset="0,0,0,0">
                <w:txbxContent>
                  <w:p w:rsidR="00FF2C64" w:rsidRPr="008D0E7F" w:rsidRDefault="00FF2C64">
                    <w:r>
                      <w:rPr>
                        <w:color w:val="000000"/>
                        <w:sz w:val="12"/>
                        <w:szCs w:val="12"/>
                      </w:rPr>
                      <w:t xml:space="preserve">12 </w:t>
                    </w:r>
                    <w:r w:rsidRPr="008D0E7F">
                      <w:rPr>
                        <w:color w:val="000000"/>
                        <w:sz w:val="12"/>
                        <w:szCs w:val="12"/>
                      </w:rPr>
                      <w:t>058</w:t>
                    </w:r>
                  </w:p>
                </w:txbxContent>
              </v:textbox>
            </v:rect>
            <v:rect id="_x0000_s3098" style="position:absolute;left:4133;top:892;width:364;height:480;mso-wrap-style:none" filled="f" stroked="f">
              <v:textbox style="mso-fit-shape-to-text:t" inset="0,0,0,0">
                <w:txbxContent>
                  <w:p w:rsidR="00FF2C64" w:rsidRPr="008D0E7F" w:rsidRDefault="00FF2C64">
                    <w:r>
                      <w:rPr>
                        <w:color w:val="000000"/>
                        <w:sz w:val="12"/>
                        <w:szCs w:val="12"/>
                      </w:rPr>
                      <w:t xml:space="preserve">34 </w:t>
                    </w:r>
                    <w:r w:rsidRPr="008D0E7F">
                      <w:rPr>
                        <w:color w:val="000000"/>
                        <w:sz w:val="12"/>
                        <w:szCs w:val="12"/>
                      </w:rPr>
                      <w:t>045</w:t>
                    </w:r>
                  </w:p>
                </w:txbxContent>
              </v:textbox>
            </v:rect>
            <v:rect id="_x0000_s3099" style="position:absolute;left:1696;top:2884;width:198;height:480;mso-wrap-style:none" filled="f" stroked="f">
              <v:textbox style="mso-fit-shape-to-text:t" inset="0,0,0,0">
                <w:txbxContent>
                  <w:p w:rsidR="00FF2C64" w:rsidRPr="008D0E7F" w:rsidRDefault="00FF2C64">
                    <w:r w:rsidRPr="008D0E7F">
                      <w:rPr>
                        <w:bCs/>
                        <w:color w:val="000000"/>
                        <w:sz w:val="12"/>
                        <w:szCs w:val="12"/>
                      </w:rPr>
                      <w:t>356</w:t>
                    </w:r>
                  </w:p>
                </w:txbxContent>
              </v:textbox>
            </v:rect>
            <v:rect id="_x0000_s3100" style="position:absolute;left:3086;top:2289;width:364;height:480;mso-wrap-style:none" filled="f" stroked="f">
              <v:textbox style="mso-fit-shape-to-text:t" inset="0,0,0,0">
                <w:txbxContent>
                  <w:p w:rsidR="00FF2C64" w:rsidRPr="008D0E7F" w:rsidRDefault="00FF2C64">
                    <w:r w:rsidRPr="008D0E7F">
                      <w:rPr>
                        <w:bCs/>
                        <w:color w:val="000000"/>
                        <w:sz w:val="12"/>
                        <w:szCs w:val="12"/>
                      </w:rPr>
                      <w:t>10 352</w:t>
                    </w:r>
                  </w:p>
                </w:txbxContent>
              </v:textbox>
            </v:rect>
            <v:rect id="_x0000_s3101" style="position:absolute;left:4557;top:1289;width:364;height:480;mso-wrap-style:none" filled="f" stroked="f">
              <v:textbox style="mso-fit-shape-to-text:t" inset="0,0,0,0">
                <w:txbxContent>
                  <w:p w:rsidR="00FF2C64" w:rsidRPr="008D0E7F" w:rsidRDefault="00FF2C64">
                    <w:r>
                      <w:rPr>
                        <w:bCs/>
                        <w:color w:val="000000"/>
                        <w:sz w:val="12"/>
                        <w:szCs w:val="12"/>
                      </w:rPr>
                      <w:t xml:space="preserve">27 </w:t>
                    </w:r>
                    <w:r w:rsidRPr="008D0E7F">
                      <w:rPr>
                        <w:bCs/>
                        <w:color w:val="000000"/>
                        <w:sz w:val="12"/>
                        <w:szCs w:val="12"/>
                      </w:rPr>
                      <w:t>308</w:t>
                    </w:r>
                  </w:p>
                </w:txbxContent>
              </v:textbox>
            </v:rect>
            <v:rect id="_x0000_s3102" style="position:absolute;left:695;top:3028;width:73;height:240;mso-wrap-style:none" filled="f" stroked="f">
              <v:textbox style="mso-fit-shape-to-text:t" inset="0,0,0,0">
                <w:txbxContent>
                  <w:p w:rsidR="00FF2C64" w:rsidRPr="008D0E7F" w:rsidRDefault="00FF2C64">
                    <w:r w:rsidRPr="008D0E7F">
                      <w:rPr>
                        <w:color w:val="000000"/>
                        <w:sz w:val="12"/>
                        <w:szCs w:val="12"/>
                      </w:rPr>
                      <w:t>0</w:t>
                    </w:r>
                  </w:p>
                </w:txbxContent>
              </v:textbox>
            </v:rect>
            <v:rect id="_x0000_s3103" style="position:absolute;left:442;top:2731;width:298;height:480;mso-wrap-style:none" filled="f" stroked="f">
              <v:textbox style="mso-fit-shape-to-text:t" inset="0,0,0,0">
                <w:txbxContent>
                  <w:p w:rsidR="00FF2C64" w:rsidRPr="008D0E7F" w:rsidRDefault="00FF2C64">
                    <w:r>
                      <w:rPr>
                        <w:color w:val="000000"/>
                        <w:sz w:val="12"/>
                        <w:szCs w:val="12"/>
                      </w:rPr>
                      <w:t>5 0</w:t>
                    </w:r>
                    <w:r w:rsidRPr="008D0E7F">
                      <w:rPr>
                        <w:color w:val="000000"/>
                        <w:sz w:val="12"/>
                        <w:szCs w:val="12"/>
                      </w:rPr>
                      <w:t>00</w:t>
                    </w:r>
                  </w:p>
                </w:txbxContent>
              </v:textbox>
            </v:rect>
            <v:rect id="_x0000_s3104" style="position:absolute;left:370;top:2442;width:364;height:480;mso-wrap-style:none" filled="f" stroked="f">
              <v:textbox style="mso-fit-shape-to-text:t" inset="0,0,0,0">
                <w:txbxContent>
                  <w:p w:rsidR="00FF2C64" w:rsidRPr="008D0E7F" w:rsidRDefault="00FF2C64">
                    <w:r>
                      <w:rPr>
                        <w:color w:val="000000"/>
                        <w:sz w:val="12"/>
                        <w:szCs w:val="12"/>
                      </w:rPr>
                      <w:t xml:space="preserve">10 </w:t>
                    </w:r>
                    <w:r w:rsidRPr="008D0E7F">
                      <w:rPr>
                        <w:color w:val="000000"/>
                        <w:sz w:val="12"/>
                        <w:szCs w:val="12"/>
                      </w:rPr>
                      <w:t>000</w:t>
                    </w:r>
                  </w:p>
                </w:txbxContent>
              </v:textbox>
            </v:rect>
            <v:rect id="_x0000_s3105" style="position:absolute;left:370;top:2145;width:364;height:480;mso-wrap-style:none" filled="f" stroked="f">
              <v:textbox style="mso-fit-shape-to-text:t" inset="0,0,0,0">
                <w:txbxContent>
                  <w:p w:rsidR="00FF2C64" w:rsidRPr="008D0E7F" w:rsidRDefault="00FF2C64">
                    <w:r>
                      <w:rPr>
                        <w:color w:val="000000"/>
                        <w:sz w:val="12"/>
                        <w:szCs w:val="12"/>
                      </w:rPr>
                      <w:t xml:space="preserve">15 </w:t>
                    </w:r>
                    <w:r w:rsidRPr="008D0E7F">
                      <w:rPr>
                        <w:color w:val="000000"/>
                        <w:sz w:val="12"/>
                        <w:szCs w:val="12"/>
                      </w:rPr>
                      <w:t>000</w:t>
                    </w:r>
                  </w:p>
                </w:txbxContent>
              </v:textbox>
            </v:rect>
            <v:rect id="_x0000_s3106" style="position:absolute;left:370;top:1848;width:364;height:480;mso-wrap-style:none" filled="f" stroked="f">
              <v:textbox style="mso-fit-shape-to-text:t" inset="0,0,0,0">
                <w:txbxContent>
                  <w:p w:rsidR="00FF2C64" w:rsidRPr="008D0E7F" w:rsidRDefault="00FF2C64">
                    <w:r w:rsidRPr="008D0E7F">
                      <w:rPr>
                        <w:color w:val="000000"/>
                        <w:sz w:val="12"/>
                        <w:szCs w:val="12"/>
                      </w:rPr>
                      <w:t>20</w:t>
                    </w:r>
                    <w:r>
                      <w:rPr>
                        <w:color w:val="000000"/>
                        <w:sz w:val="12"/>
                        <w:szCs w:val="12"/>
                      </w:rPr>
                      <w:t xml:space="preserve"> </w:t>
                    </w:r>
                    <w:r w:rsidRPr="008D0E7F">
                      <w:rPr>
                        <w:color w:val="000000"/>
                        <w:sz w:val="12"/>
                        <w:szCs w:val="12"/>
                      </w:rPr>
                      <w:t>000</w:t>
                    </w:r>
                  </w:p>
                </w:txbxContent>
              </v:textbox>
            </v:rect>
            <v:rect id="_x0000_s3107" style="position:absolute;left:370;top:1550;width:364;height:480;mso-wrap-style:none" filled="f" stroked="f">
              <v:textbox style="mso-fit-shape-to-text:t" inset="0,0,0,0">
                <w:txbxContent>
                  <w:p w:rsidR="00FF2C64" w:rsidRPr="008D0E7F" w:rsidRDefault="00FF2C64">
                    <w:r w:rsidRPr="008D0E7F">
                      <w:rPr>
                        <w:color w:val="000000"/>
                        <w:sz w:val="12"/>
                        <w:szCs w:val="12"/>
                      </w:rPr>
                      <w:t>25</w:t>
                    </w:r>
                    <w:r>
                      <w:rPr>
                        <w:color w:val="000000"/>
                        <w:sz w:val="12"/>
                        <w:szCs w:val="12"/>
                      </w:rPr>
                      <w:t xml:space="preserve"> </w:t>
                    </w:r>
                    <w:r w:rsidRPr="008D0E7F">
                      <w:rPr>
                        <w:color w:val="000000"/>
                        <w:sz w:val="12"/>
                        <w:szCs w:val="12"/>
                      </w:rPr>
                      <w:t>000</w:t>
                    </w:r>
                  </w:p>
                </w:txbxContent>
              </v:textbox>
            </v:rect>
            <v:rect id="_x0000_s3108" style="position:absolute;left:370;top:1262;width:364;height:480;mso-wrap-style:none" filled="f" stroked="f">
              <v:textbox style="mso-fit-shape-to-text:t" inset="0,0,0,0">
                <w:txbxContent>
                  <w:p w:rsidR="00FF2C64" w:rsidRPr="008D0E7F" w:rsidRDefault="00FF2C64">
                    <w:r>
                      <w:rPr>
                        <w:color w:val="000000"/>
                        <w:sz w:val="12"/>
                        <w:szCs w:val="12"/>
                      </w:rPr>
                      <w:t xml:space="preserve">30 </w:t>
                    </w:r>
                    <w:r w:rsidRPr="008D0E7F">
                      <w:rPr>
                        <w:color w:val="000000"/>
                        <w:sz w:val="12"/>
                        <w:szCs w:val="12"/>
                      </w:rPr>
                      <w:t>000</w:t>
                    </w:r>
                  </w:p>
                </w:txbxContent>
              </v:textbox>
            </v:rect>
            <v:rect id="_x0000_s3109" style="position:absolute;left:370;top:964;width:329;height:480;mso-wrap-style:none" filled="f" stroked="f">
              <v:textbox style="mso-fit-shape-to-text:t" inset="0,0,0,0">
                <w:txbxContent>
                  <w:p w:rsidR="00FF2C64" w:rsidRPr="008D0E7F" w:rsidRDefault="00FF2C64">
                    <w:r>
                      <w:rPr>
                        <w:color w:val="000000"/>
                        <w:sz w:val="12"/>
                        <w:szCs w:val="12"/>
                      </w:rPr>
                      <w:t>35</w:t>
                    </w:r>
                    <w:r w:rsidRPr="008D0E7F">
                      <w:rPr>
                        <w:color w:val="000000"/>
                        <w:sz w:val="12"/>
                        <w:szCs w:val="12"/>
                      </w:rPr>
                      <w:t>000</w:t>
                    </w:r>
                  </w:p>
                </w:txbxContent>
              </v:textbox>
            </v:rect>
            <v:rect id="_x0000_s3110" style="position:absolute;left:370;top:667;width:364;height:480;mso-wrap-style:none" filled="f" stroked="f">
              <v:textbox style="mso-fit-shape-to-text:t" inset="0,0,0,0">
                <w:txbxContent>
                  <w:p w:rsidR="00FF2C64" w:rsidRPr="008D0E7F" w:rsidRDefault="00FF2C64">
                    <w:r w:rsidRPr="008D0E7F">
                      <w:rPr>
                        <w:color w:val="000000"/>
                        <w:sz w:val="12"/>
                        <w:szCs w:val="12"/>
                      </w:rPr>
                      <w:t>40</w:t>
                    </w:r>
                    <w:r>
                      <w:rPr>
                        <w:color w:val="000000"/>
                        <w:sz w:val="12"/>
                        <w:szCs w:val="12"/>
                      </w:rPr>
                      <w:t xml:space="preserve"> </w:t>
                    </w:r>
                    <w:r w:rsidRPr="008D0E7F">
                      <w:rPr>
                        <w:color w:val="000000"/>
                        <w:sz w:val="12"/>
                        <w:szCs w:val="12"/>
                      </w:rPr>
                      <w:t>000</w:t>
                    </w:r>
                  </w:p>
                </w:txbxContent>
              </v:textbox>
            </v:rect>
            <v:rect id="_x0000_s3111" style="position:absolute;left:1083;top:3208;width:974;height:480;mso-wrap-style:none" filled="f" stroked="f">
              <v:textbox style="mso-fit-shape-to-text:t" inset="0,0,0,0">
                <w:txbxContent>
                  <w:p w:rsidR="00FF2C64" w:rsidRPr="008D0E7F" w:rsidRDefault="00FF2C64">
                    <w:r w:rsidRPr="008D0E7F">
                      <w:rPr>
                        <w:color w:val="000000"/>
                        <w:sz w:val="12"/>
                        <w:szCs w:val="12"/>
                      </w:rPr>
                      <w:t>Acceso a la Tierra</w:t>
                    </w:r>
                  </w:p>
                </w:txbxContent>
              </v:textbox>
            </v:rect>
            <v:rect id="_x0000_s3112" style="position:absolute;left:2662;top:3208;width:804;height:480;mso-wrap-style:none" filled="f" stroked="f">
              <v:textbox style="mso-fit-shape-to-text:t" inset="0,0,0,0">
                <w:txbxContent>
                  <w:p w:rsidR="00FF2C64" w:rsidRPr="008D0E7F" w:rsidRDefault="00FF2C64">
                    <w:r w:rsidRPr="008D0E7F">
                      <w:rPr>
                        <w:color w:val="000000"/>
                        <w:sz w:val="12"/>
                        <w:szCs w:val="12"/>
                      </w:rPr>
                      <w:t>Regularización</w:t>
                    </w:r>
                  </w:p>
                </w:txbxContent>
              </v:textbox>
            </v:rect>
            <v:rect id="_x0000_s3113" style="position:absolute;left:4042;top:3208;width:960;height:480;mso-wrap-style:none" filled="f" stroked="f">
              <v:textbox style="mso-fit-shape-to-text:t" inset="0,0,0,0">
                <w:txbxContent>
                  <w:p w:rsidR="00FF2C64" w:rsidRPr="008D0E7F" w:rsidRDefault="00FF2C64">
                    <w:r w:rsidRPr="008D0E7F">
                      <w:rPr>
                        <w:color w:val="000000"/>
                        <w:sz w:val="12"/>
                        <w:szCs w:val="12"/>
                      </w:rPr>
                      <w:t>Arrendamiento de</w:t>
                    </w:r>
                  </w:p>
                </w:txbxContent>
              </v:textbox>
            </v:rect>
            <v:rect id="_x0000_s3114" style="position:absolute;left:4331;top:3371;width:378;height:480;mso-wrap-style:none" filled="f" stroked="f">
              <v:textbox style="mso-fit-shape-to-text:t" inset="0,0,0,0">
                <w:txbxContent>
                  <w:p w:rsidR="00FF2C64" w:rsidRPr="008D0E7F" w:rsidRDefault="00FF2C64">
                    <w:r w:rsidRPr="008D0E7F">
                      <w:rPr>
                        <w:color w:val="000000"/>
                        <w:sz w:val="12"/>
                        <w:szCs w:val="12"/>
                      </w:rPr>
                      <w:t xml:space="preserve">Tierras </w:t>
                    </w:r>
                  </w:p>
                </w:txbxContent>
              </v:textbox>
            </v:rect>
            <v:rect id="_x0000_s3115" style="position:absolute;left:-388;top:1713;width:1172;height:247;rotation:270;mso-wrap-style:none" filled="f" stroked="f">
              <v:textbox style="layout-flow:vertical;mso-layout-flow-alt:bottom-to-top" inset="0,0,0,0">
                <w:txbxContent>
                  <w:p w:rsidR="00FF2C64" w:rsidRPr="008D0E7F" w:rsidRDefault="00FF2C64">
                    <w:r w:rsidRPr="008D0E7F">
                      <w:rPr>
                        <w:bCs/>
                        <w:color w:val="000000"/>
                        <w:sz w:val="12"/>
                        <w:szCs w:val="12"/>
                      </w:rPr>
                      <w:t>Personas beneficiadas</w:t>
                    </w:r>
                  </w:p>
                </w:txbxContent>
              </v:textbox>
            </v:rect>
            <v:rect id="_x0000_s3116" style="position:absolute;left:5387;top:1857;width:767;height:378" strokeweight="0"/>
            <v:rect id="_x0000_s3117" style="position:absolute;left:5432;top:1929;width:63;height:63" fillcolor="#99f" strokeweight=".45pt"/>
            <v:rect id="_x0000_s3118" style="position:absolute;left:5531;top:1800;width:481;height:480;mso-wrap-style:none" filled="f" stroked="f">
              <v:textbox style="mso-fit-shape-to-text:t" inset="0,0,0,0">
                <w:txbxContent>
                  <w:p w:rsidR="00FF2C64" w:rsidRPr="008D0E7F" w:rsidRDefault="00FF2C64">
                    <w:r>
                      <w:rPr>
                        <w:color w:val="000000"/>
                        <w:sz w:val="12"/>
                        <w:szCs w:val="12"/>
                      </w:rPr>
                      <w:t>Hombres</w:t>
                    </w:r>
                  </w:p>
                </w:txbxContent>
              </v:textbox>
            </v:rect>
            <v:rect id="_x0000_s3119" style="position:absolute;left:5432;top:2118;width:63;height:63" fillcolor="#936" strokeweight=".45pt"/>
            <v:rect id="_x0000_s3120" style="position:absolute;left:5531;top:1977;width:433;height:480;mso-wrap-style:none" filled="f" stroked="f">
              <v:textbox style="mso-fit-shape-to-text:t" inset="0,0,0,0">
                <w:txbxContent>
                  <w:p w:rsidR="00FF2C64" w:rsidRPr="008D0E7F" w:rsidRDefault="00FF2C64">
                    <w:r w:rsidRPr="008D0E7F">
                      <w:rPr>
                        <w:color w:val="000000"/>
                        <w:sz w:val="12"/>
                        <w:szCs w:val="12"/>
                      </w:rPr>
                      <w:t>M</w:t>
                    </w:r>
                    <w:r>
                      <w:rPr>
                        <w:color w:val="000000"/>
                        <w:sz w:val="12"/>
                        <w:szCs w:val="12"/>
                      </w:rPr>
                      <w:t>ujeres</w:t>
                    </w:r>
                  </w:p>
                </w:txbxContent>
              </v:textbox>
            </v:rect>
            <v:rect id="_x0000_s3121" style="position:absolute;left:45;top:45;width:6145;height:3596" filled="f" strokeweight="0"/>
            <w10:anchorlock/>
          </v:group>
        </w:pict>
      </w:r>
    </w:p>
    <w:p w:rsidR="00647D95" w:rsidRPr="00981E15" w:rsidRDefault="00647D95" w:rsidP="00647D95">
      <w:pPr>
        <w:pStyle w:val="FootnoteText"/>
        <w:tabs>
          <w:tab w:val="clear" w:pos="418"/>
          <w:tab w:val="right" w:pos="1476"/>
          <w:tab w:val="left" w:pos="1548"/>
          <w:tab w:val="right" w:pos="1836"/>
          <w:tab w:val="left" w:pos="1908"/>
        </w:tabs>
        <w:ind w:left="1267" w:right="1267" w:hanging="1267"/>
      </w:pPr>
      <w:r w:rsidRPr="00981E15">
        <w:tab/>
      </w:r>
      <w:r w:rsidRPr="00981E15">
        <w:tab/>
      </w:r>
      <w:r w:rsidRPr="00981E15">
        <w:rPr>
          <w:i/>
        </w:rPr>
        <w:t>Fuente</w:t>
      </w:r>
      <w:r w:rsidRPr="00981E15">
        <w:t>: Elaboración propia en base a datos del Fondo de Tierras.</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 xml:space="preserve">Integrado al POA institucional, se cuenta con un POA de las regionales de Cobán y Quetzaltenango para la implementación de la política de género, bajo la supervisión de la Unidad de la Mujer Campesina. </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Artículo 14</w:t>
      </w:r>
    </w:p>
    <w:p w:rsidR="00647D95" w:rsidRPr="00981E15" w:rsidRDefault="00647D95" w:rsidP="00647D95">
      <w:pPr>
        <w:pStyle w:val="SingleTxt"/>
        <w:spacing w:after="0" w:line="120" w:lineRule="exact"/>
        <w:rPr>
          <w:sz w:val="10"/>
        </w:rPr>
      </w:pP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Mujeres en el área rural</w:t>
      </w: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Recomendaciones del Comité de Expertas de la CEDAW</w:t>
      </w:r>
    </w:p>
    <w:p w:rsidR="00647D95" w:rsidRPr="00981E15" w:rsidRDefault="00647D95" w:rsidP="00647D95">
      <w:pPr>
        <w:pStyle w:val="SingleTxt"/>
        <w:spacing w:after="0" w:line="120" w:lineRule="exact"/>
        <w:rPr>
          <w:sz w:val="10"/>
        </w:rPr>
      </w:pPr>
    </w:p>
    <w:p w:rsidR="00647D95" w:rsidRPr="00981E15" w:rsidRDefault="00647D95" w:rsidP="00647D95">
      <w:pPr>
        <w:pStyle w:val="SingleTxt"/>
        <w:suppressAutoHyphens/>
        <w:rPr>
          <w:b/>
        </w:rPr>
      </w:pPr>
      <w:r w:rsidRPr="00981E15">
        <w:rPr>
          <w:b/>
        </w:rPr>
        <w:t>El Comité insta al Estado parte a que procure que todos los programas y políticas de erradicación de la pobreza incorporen una perspectiva de género y aborden explícitamente el carácter estructural y las diferentes dimensiones de la pobreza que afrontan las mujeres, en particular las que viven en el medio rural. Recomienda al Estado parte que intensifique sus esfuerzos por ejecutar programas educativos y sanitarios eficaces en todo el país, particularmente en las esferas de la alfabetización funcional, el fomento de las empresas, la capacitación y la micro financiación, como medio de atenuar la pobreza, y adopte medidas para asegurar la igualdad de acceso de las mujeres a la tierra.</w:t>
      </w:r>
    </w:p>
    <w:p w:rsidR="00647D95" w:rsidRPr="00981E15" w:rsidRDefault="00647D95" w:rsidP="00647D95">
      <w:pPr>
        <w:pStyle w:val="SingleTxt"/>
        <w:suppressAutoHyphens/>
      </w:pPr>
      <w:r w:rsidRPr="00981E15">
        <w:rPr>
          <w:b/>
        </w:rPr>
        <w:t>El Comité alienta al Estado parte a que adopte medidas concretas y específicas para acelerar el mejoramiento de las condiciones de las mujeres indígenas en todas las esferas de la vida. Pide al Estado parte que asegure el pleno acceso de las mujeres indígenas a una educación bilingüe, servicios de atención de la salud e instituciones de crédito y su plena participación en los procesos de adopción de decisiones. Pide al Estado parte que, en su próximo informe periódico, incluya información y datos sobre la situación de las mujeres indígenas y sobre el efecto de las medidas que haya adoptado para superar las múltiples formas de discriminación de que son objeto.</w:t>
      </w:r>
    </w:p>
    <w:p w:rsidR="00647D95" w:rsidRPr="00981E15" w:rsidRDefault="00647D95" w:rsidP="00647D95">
      <w:pPr>
        <w:pStyle w:val="SingleTxt"/>
        <w:numPr>
          <w:ilvl w:val="0"/>
          <w:numId w:val="39"/>
        </w:numPr>
        <w:tabs>
          <w:tab w:val="clear" w:pos="475"/>
          <w:tab w:val="num" w:pos="1742"/>
        </w:tabs>
        <w:ind w:left="1267"/>
      </w:pPr>
      <w:r w:rsidRPr="00981E15">
        <w:t>Guatemala es un país multilingüe, pluricultural y multiétnico con 22 grupos indígenas. Cuenta con un 43% de población indígena y con alta biodiversidad en un territorio relativamente pequeño (108.889 km2). Alberga aproximadamente a 12,7 millones de habitantes, de los cuales 6.5 millones son mujeres. La mayoría de la población vive en zonas rurales (cerca de 54%) y es predominantemente joven (alrededor del 66% de los habitantes son menores de 25 años)</w:t>
      </w:r>
      <w:r w:rsidRPr="00981E15">
        <w:rPr>
          <w:rStyle w:val="FootnoteReference"/>
        </w:rPr>
        <w:footnoteReference w:id="6"/>
      </w:r>
      <w:r w:rsidRPr="00981E15">
        <w:t>.</w:t>
      </w:r>
    </w:p>
    <w:p w:rsidR="00647D95" w:rsidRPr="00981E15" w:rsidRDefault="00647D95" w:rsidP="00647D95">
      <w:pPr>
        <w:pStyle w:val="SingleTxt"/>
        <w:spacing w:after="0" w:line="120" w:lineRule="exact"/>
        <w:rPr>
          <w:sz w:val="10"/>
        </w:rPr>
      </w:pPr>
    </w:p>
    <w:p w:rsidR="00647D95" w:rsidRPr="00981E15" w:rsidRDefault="00647D95" w:rsidP="00647D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tab/>
      </w:r>
      <w:r w:rsidRPr="00981E15">
        <w:tab/>
        <w:t>Participación de la mujer rural en la PEA y PEI</w:t>
      </w:r>
    </w:p>
    <w:p w:rsidR="00647D95" w:rsidRPr="00981E15" w:rsidRDefault="00647D95" w:rsidP="00647D95">
      <w:pPr>
        <w:pStyle w:val="SingleTxt"/>
        <w:spacing w:after="0" w:line="120" w:lineRule="exact"/>
        <w:rPr>
          <w:sz w:val="10"/>
        </w:rPr>
      </w:pPr>
    </w:p>
    <w:p w:rsidR="00647D95" w:rsidRPr="00981E15" w:rsidRDefault="00647D95" w:rsidP="00647D95">
      <w:pPr>
        <w:pStyle w:val="SingleTxt"/>
        <w:numPr>
          <w:ilvl w:val="0"/>
          <w:numId w:val="39"/>
        </w:numPr>
        <w:tabs>
          <w:tab w:val="clear" w:pos="475"/>
          <w:tab w:val="num" w:pos="1742"/>
        </w:tabs>
        <w:ind w:left="1267"/>
      </w:pPr>
      <w:r w:rsidRPr="00981E15">
        <w:t>De acuerdo con la información de la Encuesta Nacional de Condiciones de Vida (ENCOVI) 2006, la población económicamente activa (PEA) se compone de 61,7% hombres y 38,3 % mujeres, de la PEA total 52,1% son del área urbana y 47,9% del área rural. La población económicamente inactiva (PEI) se compone de 25,3% hombres y 74,7% mujeres, del total de la PEI 49% es urbana y 51% rural.</w:t>
      </w:r>
    </w:p>
    <w:p w:rsidR="00B35454" w:rsidRPr="00981E15" w:rsidRDefault="00B35454" w:rsidP="00B35454">
      <w:pPr>
        <w:pStyle w:val="SingleTxt"/>
        <w:suppressAutoHyphens/>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rPr>
          <w:b w:val="0"/>
        </w:rPr>
        <w:tab/>
      </w:r>
      <w:r w:rsidRPr="00981E15">
        <w:rPr>
          <w:b w:val="0"/>
        </w:rPr>
        <w:tab/>
        <w:t>Cuadro 38</w:t>
      </w:r>
      <w:r w:rsidRPr="00981E15">
        <w:rPr>
          <w:b w:val="0"/>
        </w:rPr>
        <w:br/>
      </w:r>
      <w:r w:rsidRPr="00981E15">
        <w:t>Participación de la Mujer Rural en la PEA y el PEI</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tbl>
      <w:tblPr>
        <w:tblW w:w="7326" w:type="dxa"/>
        <w:tblInd w:w="1254" w:type="dxa"/>
        <w:tblLayout w:type="fixed"/>
        <w:tblCellMar>
          <w:left w:w="0" w:type="dxa"/>
          <w:right w:w="0" w:type="dxa"/>
        </w:tblCellMar>
        <w:tblLook w:val="0000" w:firstRow="0" w:lastRow="0" w:firstColumn="0" w:lastColumn="0" w:noHBand="0" w:noVBand="0"/>
      </w:tblPr>
      <w:tblGrid>
        <w:gridCol w:w="1041"/>
        <w:gridCol w:w="795"/>
        <w:gridCol w:w="881"/>
        <w:gridCol w:w="949"/>
        <w:gridCol w:w="1074"/>
        <w:gridCol w:w="1107"/>
        <w:gridCol w:w="711"/>
        <w:gridCol w:w="768"/>
      </w:tblGrid>
      <w:tr w:rsidR="00B35454" w:rsidRPr="00981E15">
        <w:tblPrEx>
          <w:tblCellMar>
            <w:top w:w="0" w:type="dxa"/>
            <w:bottom w:w="0" w:type="dxa"/>
          </w:tblCellMar>
        </w:tblPrEx>
        <w:trPr>
          <w:tblHeader/>
        </w:trPr>
        <w:tc>
          <w:tcPr>
            <w:tcW w:w="1041"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rPr>
                <w:i/>
                <w:kern w:val="0"/>
                <w:sz w:val="14"/>
              </w:rPr>
            </w:pPr>
            <w:r w:rsidRPr="00981E15">
              <w:rPr>
                <w:i/>
                <w:kern w:val="0"/>
                <w:sz w:val="14"/>
              </w:rPr>
              <w:t>Características seleccionadas</w:t>
            </w:r>
          </w:p>
        </w:tc>
        <w:tc>
          <w:tcPr>
            <w:tcW w:w="795"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Población ocupada</w:t>
            </w:r>
          </w:p>
        </w:tc>
        <w:tc>
          <w:tcPr>
            <w:tcW w:w="881"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Desocupados</w:t>
            </w:r>
          </w:p>
        </w:tc>
        <w:tc>
          <w:tcPr>
            <w:tcW w:w="949"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Subempleados</w:t>
            </w:r>
            <w:r w:rsidRPr="00981E15">
              <w:rPr>
                <w:i/>
                <w:kern w:val="0"/>
                <w:sz w:val="14"/>
              </w:rPr>
              <w:br/>
              <w:t>visibles</w:t>
            </w:r>
          </w:p>
        </w:tc>
        <w:tc>
          <w:tcPr>
            <w:tcW w:w="1074"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Población económicamente activa (PEA)</w:t>
            </w:r>
          </w:p>
        </w:tc>
        <w:tc>
          <w:tcPr>
            <w:tcW w:w="1107"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Población económicamente</w:t>
            </w:r>
            <w:r w:rsidRPr="00981E15">
              <w:rPr>
                <w:i/>
                <w:kern w:val="0"/>
                <w:sz w:val="14"/>
              </w:rPr>
              <w:br/>
              <w:t>inactiva (PEI)</w:t>
            </w:r>
          </w:p>
        </w:tc>
        <w:tc>
          <w:tcPr>
            <w:tcW w:w="711"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Tasa de desempleo abierto</w:t>
            </w:r>
          </w:p>
        </w:tc>
        <w:tc>
          <w:tcPr>
            <w:tcW w:w="768"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Tasa de subempleo</w:t>
            </w:r>
            <w:r w:rsidRPr="00981E15">
              <w:rPr>
                <w:i/>
                <w:kern w:val="0"/>
                <w:sz w:val="14"/>
              </w:rPr>
              <w:br/>
              <w:t>visible</w:t>
            </w:r>
          </w:p>
        </w:tc>
      </w:tr>
      <w:tr w:rsidR="00B35454" w:rsidRPr="00981E15">
        <w:tblPrEx>
          <w:tblCellMar>
            <w:top w:w="0" w:type="dxa"/>
            <w:bottom w:w="0" w:type="dxa"/>
          </w:tblCellMar>
        </w:tblPrEx>
        <w:trPr>
          <w:trHeight w:hRule="exact" w:val="115"/>
          <w:tblHeader/>
        </w:trPr>
        <w:tc>
          <w:tcPr>
            <w:tcW w:w="1041"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p>
        </w:tc>
        <w:tc>
          <w:tcPr>
            <w:tcW w:w="795"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881"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949"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074"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107"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711"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768"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Total</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100,0</w:t>
            </w: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100,0</w:t>
            </w: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100,0</w:t>
            </w: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100,0</w:t>
            </w: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100,0</w:t>
            </w: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1,8</w:t>
            </w: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15,4</w:t>
            </w: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Sexo</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Hombre</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61,9</w:t>
            </w: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50,5</w:t>
            </w: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60,0</w:t>
            </w: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61,7</w:t>
            </w: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25,3</w:t>
            </w: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1,5</w:t>
            </w: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14,9</w:t>
            </w: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Mujer</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38,1</w:t>
            </w: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49,5</w:t>
            </w: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40,0</w:t>
            </w: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38,3</w:t>
            </w: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74,7</w:t>
            </w: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2,4</w:t>
            </w: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16,1</w:t>
            </w: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Área</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Urbana</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51,7</w:t>
            </w: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75,3</w:t>
            </w: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53,6</w:t>
            </w: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52,1</w:t>
            </w: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49,0</w:t>
            </w: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2,6</w:t>
            </w: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15,8</w:t>
            </w: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Rural</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48,3</w:t>
            </w: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24,7</w:t>
            </w: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46,4</w:t>
            </w: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47,9</w:t>
            </w: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51,0</w:t>
            </w: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0,9</w:t>
            </w: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14,9</w:t>
            </w: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Grupo étnico</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p>
        </w:tc>
      </w:tr>
      <w:tr w:rsidR="00B35454" w:rsidRPr="00981E15">
        <w:tblPrEx>
          <w:tblCellMar>
            <w:top w:w="0" w:type="dxa"/>
            <w:bottom w:w="0" w:type="dxa"/>
          </w:tblCellMar>
        </w:tblPrEx>
        <w:tc>
          <w:tcPr>
            <w:tcW w:w="104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Indígena</w:t>
            </w:r>
          </w:p>
        </w:tc>
        <w:tc>
          <w:tcPr>
            <w:tcW w:w="795"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39,3</w:t>
            </w:r>
          </w:p>
        </w:tc>
        <w:tc>
          <w:tcPr>
            <w:tcW w:w="88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17,3</w:t>
            </w:r>
          </w:p>
        </w:tc>
        <w:tc>
          <w:tcPr>
            <w:tcW w:w="94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30,8</w:t>
            </w:r>
          </w:p>
        </w:tc>
        <w:tc>
          <w:tcPr>
            <w:tcW w:w="107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38,9</w:t>
            </w:r>
          </w:p>
        </w:tc>
        <w:tc>
          <w:tcPr>
            <w:tcW w:w="1107"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34,6</w:t>
            </w: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0,8</w:t>
            </w:r>
          </w:p>
        </w:tc>
        <w:tc>
          <w:tcPr>
            <w:tcW w:w="76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szCs w:val="17"/>
              </w:rPr>
            </w:pPr>
            <w:r w:rsidRPr="00981E15">
              <w:rPr>
                <w:kern w:val="0"/>
                <w:sz w:val="17"/>
                <w:szCs w:val="17"/>
              </w:rPr>
              <w:t>12,2</w:t>
            </w:r>
          </w:p>
        </w:tc>
      </w:tr>
      <w:tr w:rsidR="00B35454" w:rsidRPr="00981E15">
        <w:tblPrEx>
          <w:tblCellMar>
            <w:top w:w="0" w:type="dxa"/>
            <w:bottom w:w="0" w:type="dxa"/>
          </w:tblCellMar>
        </w:tblPrEx>
        <w:tc>
          <w:tcPr>
            <w:tcW w:w="1041"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rPr>
                <w:kern w:val="0"/>
                <w:sz w:val="17"/>
              </w:rPr>
            </w:pPr>
            <w:r w:rsidRPr="00981E15">
              <w:rPr>
                <w:kern w:val="0"/>
                <w:sz w:val="17"/>
              </w:rPr>
              <w:t>No indígena</w:t>
            </w:r>
          </w:p>
        </w:tc>
        <w:tc>
          <w:tcPr>
            <w:tcW w:w="795"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jc w:val="right"/>
              <w:rPr>
                <w:kern w:val="0"/>
                <w:sz w:val="17"/>
                <w:szCs w:val="17"/>
              </w:rPr>
            </w:pPr>
            <w:r w:rsidRPr="00981E15">
              <w:rPr>
                <w:kern w:val="0"/>
                <w:sz w:val="17"/>
                <w:szCs w:val="17"/>
              </w:rPr>
              <w:t>60,7</w:t>
            </w:r>
          </w:p>
        </w:tc>
        <w:tc>
          <w:tcPr>
            <w:tcW w:w="881"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jc w:val="right"/>
              <w:rPr>
                <w:kern w:val="0"/>
                <w:sz w:val="17"/>
                <w:szCs w:val="17"/>
              </w:rPr>
            </w:pPr>
            <w:r w:rsidRPr="00981E15">
              <w:rPr>
                <w:kern w:val="0"/>
                <w:sz w:val="17"/>
                <w:szCs w:val="17"/>
              </w:rPr>
              <w:t>82,7</w:t>
            </w:r>
          </w:p>
        </w:tc>
        <w:tc>
          <w:tcPr>
            <w:tcW w:w="949"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jc w:val="right"/>
              <w:rPr>
                <w:kern w:val="0"/>
                <w:sz w:val="17"/>
                <w:szCs w:val="17"/>
              </w:rPr>
            </w:pPr>
            <w:r w:rsidRPr="00981E15">
              <w:rPr>
                <w:kern w:val="0"/>
                <w:sz w:val="17"/>
                <w:szCs w:val="17"/>
              </w:rPr>
              <w:t>69,2</w:t>
            </w:r>
          </w:p>
        </w:tc>
        <w:tc>
          <w:tcPr>
            <w:tcW w:w="1074"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jc w:val="right"/>
              <w:rPr>
                <w:kern w:val="0"/>
                <w:sz w:val="17"/>
                <w:szCs w:val="17"/>
              </w:rPr>
            </w:pPr>
            <w:r w:rsidRPr="00981E15">
              <w:rPr>
                <w:kern w:val="0"/>
                <w:sz w:val="17"/>
                <w:szCs w:val="17"/>
              </w:rPr>
              <w:t>61,1</w:t>
            </w:r>
          </w:p>
        </w:tc>
        <w:tc>
          <w:tcPr>
            <w:tcW w:w="1107"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jc w:val="right"/>
              <w:rPr>
                <w:kern w:val="0"/>
                <w:sz w:val="17"/>
                <w:szCs w:val="17"/>
              </w:rPr>
            </w:pPr>
            <w:r w:rsidRPr="00981E15">
              <w:rPr>
                <w:kern w:val="0"/>
                <w:sz w:val="17"/>
                <w:szCs w:val="17"/>
              </w:rPr>
              <w:t>65,4</w:t>
            </w:r>
          </w:p>
        </w:tc>
        <w:tc>
          <w:tcPr>
            <w:tcW w:w="711"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jc w:val="right"/>
              <w:rPr>
                <w:kern w:val="0"/>
                <w:sz w:val="17"/>
                <w:szCs w:val="17"/>
              </w:rPr>
            </w:pPr>
            <w:r w:rsidRPr="00981E15">
              <w:rPr>
                <w:kern w:val="0"/>
                <w:sz w:val="17"/>
                <w:szCs w:val="17"/>
              </w:rPr>
              <w:t>2,5</w:t>
            </w:r>
          </w:p>
        </w:tc>
        <w:tc>
          <w:tcPr>
            <w:tcW w:w="768" w:type="dxa"/>
            <w:tcBorders>
              <w:bottom w:val="single" w:sz="12" w:space="0" w:color="auto"/>
            </w:tcBorders>
            <w:shd w:val="clear" w:color="auto" w:fill="auto"/>
            <w:vAlign w:val="bottom"/>
          </w:tcPr>
          <w:p w:rsidR="00B35454" w:rsidRPr="00981E15" w:rsidRDefault="00B35454" w:rsidP="007A32B0">
            <w:pPr>
              <w:tabs>
                <w:tab w:val="left" w:pos="288"/>
                <w:tab w:val="left" w:pos="576"/>
                <w:tab w:val="left" w:pos="864"/>
                <w:tab w:val="left" w:pos="1152"/>
              </w:tabs>
              <w:spacing w:before="40" w:after="80" w:line="210" w:lineRule="exact"/>
              <w:ind w:right="43"/>
              <w:jc w:val="right"/>
              <w:rPr>
                <w:kern w:val="0"/>
                <w:sz w:val="17"/>
                <w:szCs w:val="17"/>
              </w:rPr>
            </w:pPr>
            <w:r w:rsidRPr="00981E15">
              <w:rPr>
                <w:kern w:val="0"/>
                <w:sz w:val="17"/>
                <w:szCs w:val="17"/>
              </w:rPr>
              <w:t>17,4</w:t>
            </w:r>
          </w:p>
        </w:tc>
      </w:tr>
    </w:tbl>
    <w:p w:rsidR="00B35454" w:rsidRPr="00981E15" w:rsidRDefault="00B35454" w:rsidP="00B35454">
      <w:pPr>
        <w:pStyle w:val="SingleTxt"/>
        <w:spacing w:after="0" w:line="120" w:lineRule="exact"/>
        <w:rPr>
          <w:sz w:val="10"/>
        </w:rPr>
      </w:pP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Encuesta Nacional de Condiciones de Vida (ENCOVI) 2006.</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br w:type="page"/>
      </w:r>
      <w:r w:rsidRPr="00981E15">
        <w:tab/>
      </w:r>
      <w:r w:rsidRPr="00981E15">
        <w:tab/>
        <w:t>Educación y mujer rural</w:t>
      </w:r>
    </w:p>
    <w:p w:rsidR="00B35454" w:rsidRPr="00981E15" w:rsidRDefault="00B35454" w:rsidP="00B35454">
      <w:pPr>
        <w:pStyle w:val="SingleTxt"/>
        <w:spacing w:after="0" w:line="120" w:lineRule="exact"/>
        <w:rPr>
          <w:sz w:val="10"/>
        </w:rPr>
      </w:pPr>
    </w:p>
    <w:p w:rsidR="00B35454" w:rsidRPr="00981E15" w:rsidRDefault="00B35454" w:rsidP="00B35454">
      <w:pPr>
        <w:pStyle w:val="SingleTxt"/>
        <w:numPr>
          <w:ilvl w:val="0"/>
          <w:numId w:val="39"/>
        </w:numPr>
        <w:tabs>
          <w:tab w:val="clear" w:pos="475"/>
          <w:tab w:val="num" w:pos="1742"/>
        </w:tabs>
        <w:ind w:left="1267"/>
      </w:pPr>
      <w:r w:rsidRPr="00981E15">
        <w:t xml:space="preserve">La Encuesta Nacional de Condiciones de Vida (ENCOVI) 2006, establece el nivel de instrucción de las mujeres en edad fértil, por área y grupo étnico, resultando en porcentajes que el 33.3% de las mujeres en el área rural no tienen ningún nivel de instrucción (no saben leer ni escribir), comparada con el 11.1% de las mujeres del área urbana, que el 39.8 % no han complementado la escuela primaria (6 grados) y solamente el 0.1 completo la educación superior. </w:t>
      </w: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981E15">
        <w:rPr>
          <w:b w:val="0"/>
        </w:rPr>
        <w:tab/>
      </w:r>
      <w:r w:rsidRPr="00981E15">
        <w:rPr>
          <w:b w:val="0"/>
        </w:rPr>
        <w:tab/>
        <w:t>Cuadro 39</w:t>
      </w:r>
      <w:r w:rsidRPr="00981E15">
        <w:rPr>
          <w:b w:val="0"/>
        </w:rPr>
        <w:br/>
      </w:r>
      <w:r w:rsidRPr="00981E15">
        <w:t>Nivel de instrucción de las mujeres en edad fértil por área y grupo étnico</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834"/>
        <w:gridCol w:w="819"/>
        <w:gridCol w:w="864"/>
        <w:gridCol w:w="864"/>
        <w:gridCol w:w="189"/>
        <w:gridCol w:w="758"/>
        <w:gridCol w:w="948"/>
      </w:tblGrid>
      <w:tr w:rsidR="00B35454" w:rsidRPr="00981E15">
        <w:tblPrEx>
          <w:tblCellMar>
            <w:top w:w="0" w:type="dxa"/>
            <w:bottom w:w="0" w:type="dxa"/>
          </w:tblCellMar>
        </w:tblPrEx>
        <w:trPr>
          <w:tblHeader/>
        </w:trPr>
        <w:tc>
          <w:tcPr>
            <w:tcW w:w="2880" w:type="dxa"/>
            <w:gridSpan w:val="2"/>
            <w:vMerge w:val="restart"/>
            <w:tcBorders>
              <w:top w:val="single" w:sz="4" w:space="0" w:color="auto"/>
            </w:tcBorders>
            <w:shd w:val="clear" w:color="auto" w:fill="auto"/>
            <w:vAlign w:val="bottom"/>
          </w:tcPr>
          <w:p w:rsidR="00B35454" w:rsidRPr="00981E15" w:rsidRDefault="00B35454" w:rsidP="003954E5">
            <w:pPr>
              <w:tabs>
                <w:tab w:val="left" w:pos="288"/>
                <w:tab w:val="left" w:pos="576"/>
                <w:tab w:val="left" w:pos="864"/>
                <w:tab w:val="left" w:pos="1152"/>
              </w:tabs>
              <w:spacing w:before="80" w:after="80" w:line="160" w:lineRule="exact"/>
              <w:ind w:right="43"/>
              <w:rPr>
                <w:i/>
                <w:kern w:val="0"/>
                <w:sz w:val="14"/>
              </w:rPr>
            </w:pPr>
            <w:r w:rsidRPr="00981E15">
              <w:rPr>
                <w:i/>
                <w:kern w:val="0"/>
                <w:sz w:val="14"/>
              </w:rPr>
              <w:t>Características</w:t>
            </w:r>
          </w:p>
        </w:tc>
        <w:tc>
          <w:tcPr>
            <w:tcW w:w="819" w:type="dxa"/>
            <w:vMerge w:val="restart"/>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Total</w:t>
            </w:r>
          </w:p>
        </w:tc>
        <w:tc>
          <w:tcPr>
            <w:tcW w:w="1728" w:type="dxa"/>
            <w:gridSpan w:val="2"/>
            <w:tcBorders>
              <w:top w:val="single" w:sz="4" w:space="0" w:color="auto"/>
              <w:bottom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r w:rsidRPr="00981E15">
              <w:rPr>
                <w:i/>
                <w:kern w:val="0"/>
                <w:sz w:val="14"/>
              </w:rPr>
              <w:t>Área</w:t>
            </w:r>
          </w:p>
        </w:tc>
        <w:tc>
          <w:tcPr>
            <w:tcW w:w="189"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p>
        </w:tc>
        <w:tc>
          <w:tcPr>
            <w:tcW w:w="1706" w:type="dxa"/>
            <w:gridSpan w:val="2"/>
            <w:tcBorders>
              <w:top w:val="single" w:sz="4" w:space="0" w:color="auto"/>
              <w:bottom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r w:rsidRPr="00981E15">
              <w:rPr>
                <w:i/>
                <w:kern w:val="0"/>
                <w:sz w:val="14"/>
              </w:rPr>
              <w:t>Grupo étnico</w:t>
            </w:r>
          </w:p>
        </w:tc>
      </w:tr>
      <w:tr w:rsidR="00B35454" w:rsidRPr="00981E15">
        <w:tblPrEx>
          <w:tblCellMar>
            <w:top w:w="0" w:type="dxa"/>
            <w:bottom w:w="0" w:type="dxa"/>
          </w:tblCellMar>
        </w:tblPrEx>
        <w:trPr>
          <w:tblHeader/>
        </w:trPr>
        <w:tc>
          <w:tcPr>
            <w:tcW w:w="2880" w:type="dxa"/>
            <w:gridSpan w:val="2"/>
            <w:vMerge/>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p>
        </w:tc>
        <w:tc>
          <w:tcPr>
            <w:tcW w:w="819" w:type="dxa"/>
            <w:vMerge/>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p>
        </w:tc>
        <w:tc>
          <w:tcPr>
            <w:tcW w:w="864"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Urbana</w:t>
            </w:r>
          </w:p>
        </w:tc>
        <w:tc>
          <w:tcPr>
            <w:tcW w:w="864"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Rural</w:t>
            </w:r>
          </w:p>
        </w:tc>
        <w:tc>
          <w:tcPr>
            <w:tcW w:w="947" w:type="dxa"/>
            <w:gridSpan w:val="2"/>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Indígena</w:t>
            </w:r>
          </w:p>
        </w:tc>
        <w:tc>
          <w:tcPr>
            <w:tcW w:w="948" w:type="dxa"/>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No indígena</w:t>
            </w:r>
          </w:p>
        </w:tc>
      </w:tr>
      <w:tr w:rsidR="00B35454" w:rsidRPr="00981E15">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p>
        </w:tc>
        <w:tc>
          <w:tcPr>
            <w:tcW w:w="1834"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819"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864"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864"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947" w:type="dxa"/>
            <w:gridSpan w:val="2"/>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948"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r>
      <w:tr w:rsidR="00B35454" w:rsidRPr="00981E15">
        <w:tblPrEx>
          <w:tblCellMar>
            <w:top w:w="0" w:type="dxa"/>
            <w:bottom w:w="0" w:type="dxa"/>
          </w:tblCellMar>
        </w:tblPrEx>
        <w:tc>
          <w:tcPr>
            <w:tcW w:w="2880" w:type="dxa"/>
            <w:gridSpan w:val="2"/>
            <w:shd w:val="clear" w:color="auto" w:fill="auto"/>
          </w:tcPr>
          <w:p w:rsidR="00B35454" w:rsidRPr="00981E15" w:rsidRDefault="00B35454" w:rsidP="00B35454">
            <w:pPr>
              <w:tabs>
                <w:tab w:val="left" w:pos="288"/>
                <w:tab w:val="left" w:pos="576"/>
                <w:tab w:val="left" w:pos="864"/>
                <w:tab w:val="left" w:pos="1152"/>
              </w:tabs>
              <w:spacing w:before="40" w:after="40" w:line="210" w:lineRule="exact"/>
              <w:ind w:right="43"/>
              <w:rPr>
                <w:b/>
                <w:kern w:val="0"/>
                <w:sz w:val="17"/>
                <w:szCs w:val="17"/>
              </w:rPr>
            </w:pPr>
            <w:r w:rsidRPr="00981E15">
              <w:rPr>
                <w:b/>
                <w:kern w:val="0"/>
                <w:sz w:val="17"/>
                <w:szCs w:val="17"/>
              </w:rPr>
              <w:t>Total Nacional</w:t>
            </w:r>
          </w:p>
        </w:tc>
        <w:tc>
          <w:tcPr>
            <w:tcW w:w="819"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b/>
                <w:kern w:val="0"/>
                <w:sz w:val="17"/>
                <w:szCs w:val="17"/>
              </w:rPr>
            </w:pPr>
            <w:r w:rsidRPr="00981E15">
              <w:rPr>
                <w:b/>
                <w:kern w:val="0"/>
                <w:sz w:val="17"/>
                <w:szCs w:val="17"/>
              </w:rPr>
              <w:t>100,0</w:t>
            </w:r>
          </w:p>
        </w:tc>
        <w:tc>
          <w:tcPr>
            <w:tcW w:w="86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b/>
                <w:kern w:val="0"/>
                <w:sz w:val="17"/>
                <w:szCs w:val="17"/>
              </w:rPr>
            </w:pPr>
            <w:r w:rsidRPr="00981E15">
              <w:rPr>
                <w:b/>
                <w:kern w:val="0"/>
                <w:sz w:val="17"/>
                <w:szCs w:val="17"/>
              </w:rPr>
              <w:t>100,00</w:t>
            </w:r>
          </w:p>
        </w:tc>
        <w:tc>
          <w:tcPr>
            <w:tcW w:w="86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b/>
                <w:kern w:val="0"/>
                <w:sz w:val="17"/>
                <w:szCs w:val="17"/>
              </w:rPr>
            </w:pPr>
            <w:r w:rsidRPr="00981E15">
              <w:rPr>
                <w:b/>
                <w:kern w:val="0"/>
                <w:sz w:val="17"/>
                <w:szCs w:val="17"/>
              </w:rPr>
              <w:t>100,0</w:t>
            </w:r>
          </w:p>
        </w:tc>
        <w:tc>
          <w:tcPr>
            <w:tcW w:w="947" w:type="dxa"/>
            <w:gridSpan w:val="2"/>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b/>
                <w:kern w:val="0"/>
                <w:sz w:val="17"/>
                <w:szCs w:val="17"/>
              </w:rPr>
            </w:pPr>
            <w:r w:rsidRPr="00981E15">
              <w:rPr>
                <w:b/>
                <w:kern w:val="0"/>
                <w:sz w:val="17"/>
                <w:szCs w:val="17"/>
              </w:rPr>
              <w:t>100,0</w:t>
            </w:r>
          </w:p>
        </w:tc>
        <w:tc>
          <w:tcPr>
            <w:tcW w:w="948"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b/>
                <w:kern w:val="0"/>
                <w:sz w:val="17"/>
                <w:szCs w:val="17"/>
              </w:rPr>
            </w:pPr>
            <w:r w:rsidRPr="00981E15">
              <w:rPr>
                <w:b/>
                <w:kern w:val="0"/>
                <w:sz w:val="17"/>
                <w:szCs w:val="17"/>
              </w:rPr>
              <w:t>100,0</w:t>
            </w:r>
          </w:p>
        </w:tc>
      </w:tr>
      <w:tr w:rsidR="00B35454" w:rsidRPr="00981E15">
        <w:tblPrEx>
          <w:tblCellMar>
            <w:top w:w="0" w:type="dxa"/>
            <w:bottom w:w="0" w:type="dxa"/>
          </w:tblCellMar>
        </w:tblPrEx>
        <w:tc>
          <w:tcPr>
            <w:tcW w:w="1046" w:type="dxa"/>
            <w:vMerge w:val="restart"/>
            <w:shd w:val="clear" w:color="auto" w:fill="auto"/>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Sabe leer y escribir</w:t>
            </w: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Si</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78,1</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88,9</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66,7</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62,0</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87,6</w:t>
            </w:r>
          </w:p>
        </w:tc>
      </w:tr>
      <w:tr w:rsidR="00B35454" w:rsidRPr="00981E15">
        <w:tblPrEx>
          <w:tblCellMar>
            <w:top w:w="0" w:type="dxa"/>
            <w:bottom w:w="0" w:type="dxa"/>
          </w:tblCellMar>
        </w:tblPrEx>
        <w:tc>
          <w:tcPr>
            <w:tcW w:w="1046" w:type="dxa"/>
            <w:vMerge/>
            <w:shd w:val="clear" w:color="auto" w:fill="auto"/>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No</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21,9</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11,1</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33,3</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38,0</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12,4</w:t>
            </w:r>
          </w:p>
        </w:tc>
      </w:tr>
      <w:tr w:rsidR="00B35454" w:rsidRPr="00981E15">
        <w:tblPrEx>
          <w:tblCellMar>
            <w:top w:w="0" w:type="dxa"/>
            <w:bottom w:w="0" w:type="dxa"/>
          </w:tblCellMar>
        </w:tblPrEx>
        <w:tc>
          <w:tcPr>
            <w:tcW w:w="1046" w:type="dxa"/>
            <w:vMerge w:val="restart"/>
            <w:shd w:val="clear" w:color="auto" w:fill="auto"/>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Nivel de escolaridad</w:t>
            </w: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Ninguno</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23,0</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12,3</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34,4</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38,8</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13,7</w:t>
            </w:r>
          </w:p>
        </w:tc>
      </w:tr>
      <w:tr w:rsidR="00B35454" w:rsidRPr="00981E15">
        <w:tblPrEx>
          <w:tblCellMar>
            <w:top w:w="0" w:type="dxa"/>
            <w:bottom w:w="0" w:type="dxa"/>
          </w:tblCellMar>
        </w:tblPrEx>
        <w:tc>
          <w:tcPr>
            <w:tcW w:w="1046" w:type="dxa"/>
            <w:vMerge/>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Primaria incompleta</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32,3</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25,1</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39,8</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36,3</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29,9</w:t>
            </w:r>
          </w:p>
        </w:tc>
      </w:tr>
      <w:tr w:rsidR="00B35454" w:rsidRPr="00981E15">
        <w:tblPrEx>
          <w:tblCellMar>
            <w:top w:w="0" w:type="dxa"/>
            <w:bottom w:w="0" w:type="dxa"/>
          </w:tblCellMar>
        </w:tblPrEx>
        <w:tc>
          <w:tcPr>
            <w:tcW w:w="1046" w:type="dxa"/>
            <w:vMerge/>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Primaria completa</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16,4</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18,3</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14,4</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11,3</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19,3</w:t>
            </w:r>
          </w:p>
        </w:tc>
      </w:tr>
      <w:tr w:rsidR="00B35454" w:rsidRPr="00981E15">
        <w:tblPrEx>
          <w:tblCellMar>
            <w:top w:w="0" w:type="dxa"/>
            <w:bottom w:w="0" w:type="dxa"/>
          </w:tblCellMar>
        </w:tblPrEx>
        <w:tc>
          <w:tcPr>
            <w:tcW w:w="1046" w:type="dxa"/>
            <w:vMerge/>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Secundaria incompleta</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14,3</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20,3</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8,1</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8,6</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17,7</w:t>
            </w:r>
          </w:p>
        </w:tc>
      </w:tr>
      <w:tr w:rsidR="00B35454" w:rsidRPr="00981E15">
        <w:tblPrEx>
          <w:tblCellMar>
            <w:top w:w="0" w:type="dxa"/>
            <w:bottom w:w="0" w:type="dxa"/>
          </w:tblCellMar>
        </w:tblPrEx>
        <w:tc>
          <w:tcPr>
            <w:tcW w:w="1046" w:type="dxa"/>
            <w:vMerge/>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Secundaria completa</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9,5</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15,8</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3,0</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3,7</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13,0</w:t>
            </w:r>
          </w:p>
        </w:tc>
      </w:tr>
      <w:tr w:rsidR="00B35454" w:rsidRPr="00981E15">
        <w:tblPrEx>
          <w:tblCellMar>
            <w:top w:w="0" w:type="dxa"/>
            <w:bottom w:w="0" w:type="dxa"/>
          </w:tblCellMar>
        </w:tblPrEx>
        <w:tc>
          <w:tcPr>
            <w:tcW w:w="1046" w:type="dxa"/>
            <w:vMerge/>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834"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Superior incompleta</w:t>
            </w:r>
          </w:p>
        </w:tc>
        <w:tc>
          <w:tcPr>
            <w:tcW w:w="81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2,9</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5,5</w:t>
            </w:r>
          </w:p>
        </w:tc>
        <w:tc>
          <w:tcPr>
            <w:tcW w:w="864"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0,3</w:t>
            </w:r>
          </w:p>
        </w:tc>
        <w:tc>
          <w:tcPr>
            <w:tcW w:w="947"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1,1</w:t>
            </w:r>
          </w:p>
        </w:tc>
        <w:tc>
          <w:tcPr>
            <w:tcW w:w="948"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4,0</w:t>
            </w:r>
          </w:p>
        </w:tc>
      </w:tr>
      <w:tr w:rsidR="00B35454" w:rsidRPr="00981E15">
        <w:tblPrEx>
          <w:tblCellMar>
            <w:top w:w="0" w:type="dxa"/>
            <w:bottom w:w="0" w:type="dxa"/>
          </w:tblCellMar>
        </w:tblPrEx>
        <w:tc>
          <w:tcPr>
            <w:tcW w:w="1046" w:type="dxa"/>
            <w:vMerge/>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834" w:type="dxa"/>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Superior completa</w:t>
            </w:r>
          </w:p>
        </w:tc>
        <w:tc>
          <w:tcPr>
            <w:tcW w:w="819" w:type="dxa"/>
            <w:tcBorders>
              <w:bottom w:val="single" w:sz="12" w:space="0" w:color="auto"/>
            </w:tcBorders>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1,5</w:t>
            </w:r>
          </w:p>
        </w:tc>
        <w:tc>
          <w:tcPr>
            <w:tcW w:w="864" w:type="dxa"/>
            <w:tcBorders>
              <w:bottom w:val="single" w:sz="12" w:space="0" w:color="auto"/>
            </w:tcBorders>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2,8</w:t>
            </w:r>
          </w:p>
        </w:tc>
        <w:tc>
          <w:tcPr>
            <w:tcW w:w="864" w:type="dxa"/>
            <w:tcBorders>
              <w:bottom w:val="single" w:sz="12" w:space="0" w:color="auto"/>
            </w:tcBorders>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0,1</w:t>
            </w:r>
          </w:p>
        </w:tc>
        <w:tc>
          <w:tcPr>
            <w:tcW w:w="947" w:type="dxa"/>
            <w:gridSpan w:val="2"/>
            <w:tcBorders>
              <w:bottom w:val="single" w:sz="12" w:space="0" w:color="auto"/>
            </w:tcBorders>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0,1</w:t>
            </w:r>
          </w:p>
        </w:tc>
        <w:tc>
          <w:tcPr>
            <w:tcW w:w="948" w:type="dxa"/>
            <w:tcBorders>
              <w:bottom w:val="single" w:sz="12" w:space="0" w:color="auto"/>
            </w:tcBorders>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2,3</w:t>
            </w:r>
          </w:p>
        </w:tc>
      </w:tr>
    </w:tbl>
    <w:p w:rsidR="00B35454" w:rsidRPr="00981E15" w:rsidRDefault="00B35454" w:rsidP="00B35454">
      <w:pPr>
        <w:pStyle w:val="FootnoteText"/>
        <w:tabs>
          <w:tab w:val="clear" w:pos="418"/>
          <w:tab w:val="right" w:pos="1476"/>
          <w:tab w:val="left" w:pos="1548"/>
          <w:tab w:val="right" w:pos="1836"/>
          <w:tab w:val="left" w:pos="1908"/>
        </w:tabs>
        <w:spacing w:line="120" w:lineRule="exact"/>
        <w:ind w:left="1548" w:right="1267" w:hanging="288"/>
        <w:rPr>
          <w:i/>
          <w:sz w:val="10"/>
        </w:rPr>
      </w:pP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Instituto Nacional de Estadística, INE.</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Acciones en materia de educación en el área rural</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Comité Nacional de Alfabetización (CONALFA)</w:t>
      </w:r>
    </w:p>
    <w:p w:rsidR="00B35454" w:rsidRPr="00981E15" w:rsidRDefault="00B35454" w:rsidP="00B35454">
      <w:pPr>
        <w:pStyle w:val="SingleTxt"/>
        <w:spacing w:after="0" w:line="120" w:lineRule="exact"/>
        <w:rPr>
          <w:sz w:val="10"/>
        </w:rPr>
      </w:pPr>
    </w:p>
    <w:p w:rsidR="00F455F9" w:rsidRDefault="00B35454" w:rsidP="00F455F9">
      <w:pPr>
        <w:pStyle w:val="SingleTxt"/>
        <w:numPr>
          <w:ilvl w:val="0"/>
          <w:numId w:val="4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81E15">
        <w:t>Como se indicó y desarrolló en el apartado de educación, las acciones que ejecuta CONALFA tienen cobertura nacional. Dentro de las estrategias que se implementaron para alcanzar la meta de reducción del índice de analfabetismo, CONALFA ha fortalecido las acciones descentralizadas que se realizan en cada Coordinación Departamental de Alfabetización (CODA). En estas instancias se generan y desarrollan procesos de coordinación interinstitucional para el logro de los indicadores de eficacia y eficiencia.</w:t>
      </w:r>
    </w:p>
    <w:p w:rsidR="00B35454" w:rsidRPr="00981E15" w:rsidRDefault="00B35454" w:rsidP="00F455F9">
      <w:pPr>
        <w:pStyle w:val="SingleTxt"/>
        <w:numPr>
          <w:ilvl w:val="0"/>
          <w:numId w:val="4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81E15">
        <w:t>Se cuenta con estructura organizativa a nivel departamental y municipal. Actualmente atiende un promedio de 9,450 comunidades. Se desarrolla tanto en español como en 17 idiomas mayas. La mayor cobertura de los idiomas mayas se sitúa en los mayoritarios: K</w:t>
      </w:r>
      <w:r w:rsidR="007352CD">
        <w:t>’</w:t>
      </w:r>
      <w:r w:rsidRPr="00981E15">
        <w:t>iché, Kakchiquel, Mam y Q</w:t>
      </w:r>
      <w:r w:rsidR="007352CD">
        <w:t>’</w:t>
      </w:r>
      <w:r w:rsidRPr="00981E15">
        <w:t>eqchí. Una de las acciones se encamina hacia la atención prioritaria del área rural, la gráfica que se presenta a continuación, registra la cobertura en ese ámbito.</w:t>
      </w:r>
    </w:p>
    <w:p w:rsidR="00B35454" w:rsidRPr="00981E15" w:rsidRDefault="00254E69"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br w:type="page"/>
      </w:r>
      <w:r w:rsidR="00B35454" w:rsidRPr="00981E15">
        <w:rPr>
          <w:b w:val="0"/>
        </w:rPr>
        <w:tab/>
      </w:r>
      <w:r w:rsidR="00B35454" w:rsidRPr="00981E15">
        <w:rPr>
          <w:b w:val="0"/>
        </w:rPr>
        <w:tab/>
        <w:t>Gráfica 11</w:t>
      </w:r>
      <w:r w:rsidR="00B35454" w:rsidRPr="00981E15">
        <w:rPr>
          <w:b w:val="0"/>
        </w:rPr>
        <w:br/>
      </w:r>
      <w:r w:rsidR="00B35454" w:rsidRPr="00981E15">
        <w:t xml:space="preserve">Población </w:t>
      </w:r>
      <w:r w:rsidR="00A2041A" w:rsidRPr="00981E15">
        <w:t xml:space="preserve">atendida </w:t>
      </w:r>
      <w:r w:rsidR="00B35454" w:rsidRPr="00981E15">
        <w:t xml:space="preserve">por CONALFA en el </w:t>
      </w:r>
      <w:r w:rsidR="00A2041A" w:rsidRPr="00981E15">
        <w:t>área rural</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p>
    <w:p w:rsidR="00B35454" w:rsidRPr="00981E15" w:rsidRDefault="00B35454" w:rsidP="00B35454">
      <w:pPr>
        <w:pStyle w:val="SingleTxt"/>
      </w:pPr>
      <w:r w:rsidRPr="00981E15">
        <w:rPr>
          <w:noProof/>
          <w:w w:val="100"/>
        </w:rPr>
      </w:r>
      <w:r w:rsidR="00AC0EC6" w:rsidRPr="00981E15">
        <w:pict>
          <v:group id="_x0000_s3122" editas="canvas" style="width:264.1pt;height:202.05pt;mso-position-horizontal-relative:char;mso-position-vertical-relative:line" coordsize="5282,4041">
            <o:lock v:ext="edit" aspectratio="t"/>
            <v:shape id="_x0000_s3123" type="#_x0000_t75" style="position:absolute;width:5282;height:4041" o:preferrelative="f">
              <v:fill o:detectmouseclick="t"/>
              <v:path o:extrusionok="t" o:connecttype="none"/>
              <o:lock v:ext="edit" text="t"/>
            </v:shape>
            <v:rect id="_x0000_s3124" style="position:absolute;left:43;top:43;width:5167;height:3909" strokeweight="0"/>
            <v:rect id="_x0000_s3125" style="position:absolute;left:469;top:483;width:3725;height:121" fillcolor="#cfc" stroked="f"/>
            <v:rect id="_x0000_s3126" style="position:absolute;left:469;top:604;width:3725;height:103" fillcolor="#ceffce" stroked="f"/>
            <v:rect id="_x0000_s3127" style="position:absolute;left:469;top:707;width:3725;height:69" fillcolor="#d0ffd0" stroked="f"/>
            <v:rect id="_x0000_s3128" style="position:absolute;left:469;top:776;width:3725;height:60" fillcolor="#d2ffd2" stroked="f"/>
            <v:rect id="_x0000_s3129" style="position:absolute;left:469;top:836;width:3725;height:52" fillcolor="#d4ffd4" stroked="f"/>
            <v:rect id="_x0000_s3130" style="position:absolute;left:469;top:888;width:3725;height:43" fillcolor="#d6ffd6" stroked="f"/>
            <v:rect id="_x0000_s3131" style="position:absolute;left:469;top:931;width:3725;height:43" fillcolor="#d8ffd8" stroked="f"/>
            <v:rect id="_x0000_s3132" style="position:absolute;left:469;top:974;width:3725;height:35" fillcolor="#daffda" stroked="f"/>
            <v:rect id="_x0000_s3133" style="position:absolute;left:469;top:1009;width:3725;height:52" fillcolor="#dcffdc" stroked="f"/>
            <v:rect id="_x0000_s3134" style="position:absolute;left:469;top:1061;width:3725;height:34" fillcolor="#deffde" stroked="f"/>
            <v:rect id="_x0000_s3135" style="position:absolute;left:469;top:1095;width:3725;height:35" fillcolor="#e0ffe0" stroked="f"/>
            <v:rect id="_x0000_s3136" style="position:absolute;left:469;top:1130;width:3725;height:34" fillcolor="#e2ffe2" stroked="f"/>
            <v:rect id="_x0000_s3137" style="position:absolute;left:469;top:1164;width:3725;height:35" fillcolor="#e4ffe4" stroked="f"/>
            <v:rect id="_x0000_s3138" style="position:absolute;left:469;top:1199;width:3725;height:34" fillcolor="#e6ffe6" stroked="f"/>
            <v:rect id="_x0000_s3139" style="position:absolute;left:469;top:1233;width:3725;height:35" fillcolor="#e8ffe8" stroked="f"/>
            <v:rect id="_x0000_s3140" style="position:absolute;left:469;top:1268;width:3725;height:34" fillcolor="#eaffea" stroked="f"/>
            <v:rect id="_x0000_s3141" style="position:absolute;left:469;top:1302;width:3725;height:35" fillcolor="#ecffec" stroked="f"/>
            <v:rect id="_x0000_s3142" style="position:absolute;left:469;top:1337;width:3725;height:51" fillcolor="#efe" stroked="f"/>
            <v:rect id="_x0000_s3143" style="position:absolute;left:469;top:1388;width:3725;height:35" fillcolor="#f0fff0" stroked="f"/>
            <v:rect id="_x0000_s3144" style="position:absolute;left:469;top:1423;width:3725;height:43" fillcolor="#f2fff2" stroked="f"/>
            <v:rect id="_x0000_s3145" style="position:absolute;left:469;top:1466;width:3725;height:52" fillcolor="#f4fff4" stroked="f"/>
            <v:rect id="_x0000_s3146" style="position:absolute;left:469;top:1518;width:3725;height:51" fillcolor="#f6fff6" stroked="f"/>
            <v:rect id="_x0000_s3147" style="position:absolute;left:469;top:1569;width:3725;height:69" fillcolor="#f8fff8" stroked="f"/>
            <v:rect id="_x0000_s3148" style="position:absolute;left:469;top:1638;width:3725;height:78" fillcolor="#fafffa" stroked="f"/>
            <v:rect id="_x0000_s3149" style="position:absolute;left:469;top:1716;width:3725;height:112" fillcolor="#fcfffc" stroked="f"/>
            <v:rect id="_x0000_s3150" style="position:absolute;left:469;top:1828;width:3725;height:354" fillcolor="#fefffe" stroked="f"/>
            <v:rect id="_x0000_s3151" style="position:absolute;left:469;top:2182;width:3725;height:103" fillcolor="#fcfffc" stroked="f"/>
            <v:rect id="_x0000_s3152" style="position:absolute;left:469;top:2285;width:3725;height:60" fillcolor="#fafffa" stroked="f"/>
            <v:rect id="_x0000_s3153" style="position:absolute;left:469;top:2345;width:3725;height:69" fillcolor="#f8fff8" stroked="f"/>
            <v:rect id="_x0000_s3154" style="position:absolute;left:469;top:2414;width:3725;height:44" fillcolor="#f6fff6" stroked="f"/>
            <v:rect id="_x0000_s3155" style="position:absolute;left:469;top:2458;width:3725;height:51" fillcolor="#f4fff4" stroked="f"/>
            <v:rect id="_x0000_s3156" style="position:absolute;left:469;top:2509;width:3725;height:43" fillcolor="#f2fff2" stroked="f"/>
            <v:rect id="_x0000_s3157" style="position:absolute;left:469;top:2552;width:3725;height:35" fillcolor="#f0fff0" stroked="f"/>
            <v:rect id="_x0000_s3158" style="position:absolute;left:469;top:2587;width:3725;height:34" fillcolor="#efe" stroked="f"/>
            <v:rect id="_x0000_s3159" style="position:absolute;left:469;top:2621;width:3725;height:35" fillcolor="#ecffec" stroked="f"/>
            <v:rect id="_x0000_s3160" style="position:absolute;left:469;top:2656;width:3725;height:43" fillcolor="#eaffea" stroked="f"/>
            <v:rect id="_x0000_s3161" style="position:absolute;left:469;top:2699;width:3725;height:26" fillcolor="#e8ffe8" stroked="f"/>
            <v:rect id="_x0000_s3162" style="position:absolute;left:469;top:2725;width:3725;height:52" fillcolor="#e6ffe6" stroked="f"/>
            <v:rect id="_x0000_s3163" style="position:absolute;left:469;top:2777;width:3725;height:34" fillcolor="#e4ffe4" stroked="f"/>
            <v:rect id="_x0000_s3164" style="position:absolute;left:469;top:2811;width:3725;height:35" fillcolor="#e2ffe2" stroked="f"/>
            <v:rect id="_x0000_s3165" style="position:absolute;left:469;top:2846;width:3725;height:34" fillcolor="#e0ffe0" stroked="f"/>
            <v:rect id="_x0000_s3166" style="position:absolute;left:469;top:2880;width:3725;height:35" fillcolor="#deffde" stroked="f"/>
            <v:rect id="_x0000_s3167" style="position:absolute;left:469;top:2915;width:3725;height:34" fillcolor="#dcffdc" stroked="f"/>
            <v:rect id="_x0000_s3168" style="position:absolute;left:469;top:2949;width:3725;height:43" fillcolor="#daffda" stroked="f"/>
            <v:rect id="_x0000_s3169" style="position:absolute;left:469;top:2992;width:3725;height:52" fillcolor="#d8ffd8" stroked="f"/>
            <v:rect id="_x0000_s3170" style="position:absolute;left:469;top:3044;width:3725;height:43" fillcolor="#d6ffd6" stroked="f"/>
            <v:rect id="_x0000_s3171" style="position:absolute;left:469;top:3087;width:3725;height:60" fillcolor="#d4ffd4" stroked="f"/>
            <v:rect id="_x0000_s3172" style="position:absolute;left:469;top:3147;width:3725;height:61" fillcolor="#d2ffd2" stroked="f"/>
            <v:rect id="_x0000_s3173" style="position:absolute;left:469;top:3208;width:3725;height:77" fillcolor="#d0ffd0" stroked="f"/>
            <v:rect id="_x0000_s3174" style="position:absolute;left:469;top:3285;width:3725;height:130" fillcolor="#ceffce" stroked="f"/>
            <v:rect id="_x0000_s3175" style="position:absolute;left:469;top:3415;width:3725;height:51" fillcolor="#cfc" stroked="f"/>
            <v:rect id="_x0000_s3176" style="position:absolute;left:469;top:483;width:3725;height:2983" filled="f" stroked="f"/>
            <v:line id="_x0000_s3177" style="position:absolute" from="1211,483" to="1211,3466" strokecolor="white" strokeweight="0"/>
            <v:line id="_x0000_s3178" style="position:absolute" from="1961,483" to="1961,3466" strokecolor="white" strokeweight="0"/>
            <v:line id="_x0000_s3179" style="position:absolute" from="2702,483" to="2702,3466" strokecolor="white" strokeweight="0"/>
            <v:line id="_x0000_s3180" style="position:absolute" from="3453,483" to="3453,3466" strokecolor="white" strokeweight="0"/>
            <v:line id="_x0000_s3181" style="position:absolute" from="4194,483" to="4194,3466" strokecolor="white" strokeweight="0"/>
            <v:rect id="_x0000_s3182" style="position:absolute;left:469;top:483;width:3725;height:2983" filled="f" strokecolor="gray" strokeweight=".45pt"/>
            <v:shape id="_x0000_s3183" type="#_x0000_t75" style="position:absolute;left:469;top:3078;width:1586;height:225">
              <v:imagedata r:id="rId55" o:title=""/>
            </v:shape>
            <v:rect id="_x0000_s3184" style="position:absolute;left:469;top:3078;width:1586;height:225" filled="f" strokeweight=".45pt"/>
            <v:shape id="_x0000_s3185" type="#_x0000_t75" style="position:absolute;left:469;top:2087;width:1415;height:224">
              <v:imagedata r:id="rId56" o:title=""/>
            </v:shape>
            <v:rect id="_x0000_s3186" style="position:absolute;left:469;top:2087;width:1415;height:224" filled="f" strokeweight=".45pt"/>
            <v:shape id="_x0000_s3187" type="#_x0000_t75" style="position:absolute;left:469;top:1087;width:1347;height:224">
              <v:imagedata r:id="rId57" o:title=""/>
            </v:shape>
            <v:rect id="_x0000_s3188" style="position:absolute;left:469;top:1087;width:1347;height:224" filled="f" strokeweight=".45pt"/>
            <v:shape id="_x0000_s3189" type="#_x0000_t75" style="position:absolute;left:469;top:2863;width:1620;height:215">
              <v:imagedata r:id="rId58" o:title=""/>
            </v:shape>
            <v:rect id="_x0000_s3190" style="position:absolute;left:469;top:2863;width:1620;height:215" filled="f" strokeweight=".45pt"/>
            <v:shape id="_x0000_s3191" type="#_x0000_t75" style="position:absolute;left:469;top:1863;width:1551;height:224">
              <v:imagedata r:id="rId59" o:title=""/>
            </v:shape>
            <v:rect id="_x0000_s3192" style="position:absolute;left:469;top:1863;width:1551;height:224" filled="f" strokeweight=".45pt"/>
            <v:shape id="_x0000_s3193" type="#_x0000_t75" style="position:absolute;left:469;top:871;width:1500;height:216">
              <v:imagedata r:id="rId60" o:title=""/>
            </v:shape>
            <v:rect id="_x0000_s3194" style="position:absolute;left:469;top:871;width:1500;height:216" filled="f" strokeweight=".45pt"/>
            <v:shape id="_x0000_s3195" type="#_x0000_t75" style="position:absolute;left:469;top:2639;width:2643;height:224">
              <v:imagedata r:id="rId61" o:title=""/>
            </v:shape>
            <v:rect id="_x0000_s3196" style="position:absolute;left:469;top:2639;width:2643;height:224" filled="f" strokeweight=".45pt"/>
            <v:shape id="_x0000_s3197" type="#_x0000_t75" style="position:absolute;left:469;top:1638;width:2770;height:225">
              <v:imagedata r:id="rId62" o:title=""/>
            </v:shape>
            <v:rect id="_x0000_s3198" style="position:absolute;left:469;top:1638;width:2770;height:225" filled="f" strokeweight=".45pt"/>
            <v:shape id="_x0000_s3199" type="#_x0000_t75" style="position:absolute;left:469;top:647;width:3018;height:224">
              <v:imagedata r:id="rId63" o:title=""/>
            </v:shape>
            <v:rect id="_x0000_s3200" style="position:absolute;left:469;top:647;width:3018;height:224" filled="f" strokeweight=".45pt"/>
            <v:line id="_x0000_s3201" style="position:absolute" from="469,3466" to="4194,3466" strokeweight="0"/>
            <v:line id="_x0000_s3202" style="position:absolute;flip:y" from="469,3466" to="469,3501" strokeweight="0"/>
            <v:line id="_x0000_s3203" style="position:absolute;flip:y" from="1211,3466" to="1211,3501" strokeweight="0"/>
            <v:line id="_x0000_s3204" style="position:absolute;flip:y" from="1961,3466" to="1961,3501" strokeweight="0"/>
            <v:line id="_x0000_s3205" style="position:absolute;flip:y" from="2702,3466" to="2702,3501" strokeweight="0"/>
            <v:line id="_x0000_s3206" style="position:absolute;flip:y" from="3453,3466" to="3453,3501" strokeweight="0"/>
            <v:line id="_x0000_s3207" style="position:absolute;flip:y" from="4194,3466" to="4194,3501" strokeweight="0"/>
            <v:line id="_x0000_s3208" style="position:absolute" from="469,483" to="469,3466" strokeweight="0"/>
            <v:line id="_x0000_s3209" style="position:absolute" from="435,3466" to="469,3466" strokeweight="0"/>
            <v:line id="_x0000_s3210" style="position:absolute" from="435,2475" to="469,2475" strokeweight="0"/>
            <v:line id="_x0000_s3211" style="position:absolute" from="435,1475" to="469,1475" strokeweight="0"/>
            <v:line id="_x0000_s3212" style="position:absolute" from="435,483" to="469,483" strokeweight="0"/>
            <v:rect id="_x0000_s3213" style="position:absolute;left:1338;top:147;width:2879;height:480;mso-wrap-style:none" filled="f" stroked="f">
              <v:textbox style="mso-fit-shape-to-text:t" inset="0,0,0,0">
                <w:txbxContent>
                  <w:p w:rsidR="00FF2C64" w:rsidRDefault="00FF2C64">
                    <w:r>
                      <w:rPr>
                        <w:rFonts w:ascii="Futura Lt BT" w:hAnsi="Futura Lt BT" w:cs="Futura Lt BT"/>
                        <w:b/>
                        <w:bCs/>
                        <w:color w:val="000000"/>
                        <w:sz w:val="12"/>
                        <w:szCs w:val="12"/>
                      </w:rPr>
                      <w:t xml:space="preserve">POBLACIÓN ATENDIDA SEGÚN ÁREA RURAL </w:t>
                    </w:r>
                  </w:p>
                </w:txbxContent>
              </v:textbox>
            </v:rect>
            <v:rect id="_x0000_s3214" style="position:absolute;left:1995;top:293;width:1264;height:480;mso-wrap-style:none" filled="f" stroked="f">
              <v:textbox style="mso-fit-shape-to-text:t" inset="0,0,0,0">
                <w:txbxContent>
                  <w:p w:rsidR="00FF2C64" w:rsidRDefault="00FF2C64">
                    <w:r>
                      <w:rPr>
                        <w:rFonts w:ascii="Futura Lt BT" w:hAnsi="Futura Lt BT" w:cs="Futura Lt BT"/>
                        <w:b/>
                        <w:bCs/>
                        <w:color w:val="000000"/>
                        <w:sz w:val="12"/>
                        <w:szCs w:val="12"/>
                      </w:rPr>
                      <w:t>PERIODO 2004-2006</w:t>
                    </w:r>
                  </w:p>
                </w:txbxContent>
              </v:textbox>
            </v:rect>
            <v:rect id="_x0000_s3215" style="position:absolute;left:1850;top:1130;width:402;height:480;mso-wrap-style:none" filled="f" stroked="f">
              <v:textbox style="mso-fit-shape-to-text:t" inset="0,0,0,0">
                <w:txbxContent>
                  <w:p w:rsidR="00FF2C64" w:rsidRDefault="00FF2C64">
                    <w:r>
                      <w:rPr>
                        <w:rFonts w:ascii="Futura Lt BT" w:hAnsi="Futura Lt BT" w:cs="Futura Lt BT"/>
                        <w:color w:val="000000"/>
                        <w:sz w:val="12"/>
                        <w:szCs w:val="12"/>
                      </w:rPr>
                      <w:t>90,386</w:t>
                    </w:r>
                  </w:p>
                </w:txbxContent>
              </v:textbox>
            </v:rect>
            <v:rect id="_x0000_s3216" style="position:absolute;left:2003;top:905;width:475;height:480;mso-wrap-style:none" filled="f" stroked="f">
              <v:textbox style="mso-fit-shape-to-text:t" inset="0,0,0,0">
                <w:txbxContent>
                  <w:p w:rsidR="00FF2C64" w:rsidRDefault="00FF2C64">
                    <w:r>
                      <w:rPr>
                        <w:rFonts w:ascii="Futura Lt BT" w:hAnsi="Futura Lt BT" w:cs="Futura Lt BT"/>
                        <w:color w:val="000000"/>
                        <w:sz w:val="12"/>
                        <w:szCs w:val="12"/>
                      </w:rPr>
                      <w:t>100,445</w:t>
                    </w:r>
                  </w:p>
                </w:txbxContent>
              </v:textbox>
            </v:rect>
            <v:rect id="_x0000_s3217" style="position:absolute;left:3521;top:690;width:475;height:480;mso-wrap-style:none" filled="f" stroked="f">
              <v:textbox style="mso-fit-shape-to-text:t" inset="0,0,0,0">
                <w:txbxContent>
                  <w:p w:rsidR="00FF2C64" w:rsidRDefault="00FF2C64">
                    <w:r>
                      <w:rPr>
                        <w:rFonts w:ascii="Futura Lt BT" w:hAnsi="Futura Lt BT" w:cs="Futura Lt BT"/>
                        <w:color w:val="000000"/>
                        <w:sz w:val="12"/>
                        <w:szCs w:val="12"/>
                      </w:rPr>
                      <w:t>202,757</w:t>
                    </w:r>
                  </w:p>
                </w:txbxContent>
              </v:textbox>
            </v:rect>
            <v:rect id="_x0000_s3218" style="position:absolute;left:1961;top:2130;width:402;height:480;mso-wrap-style:none" filled="f" stroked="f">
              <v:textbox style="mso-fit-shape-to-text:t" inset="0,0,0,0">
                <w:txbxContent>
                  <w:p w:rsidR="00FF2C64" w:rsidRDefault="00FF2C64">
                    <w:r>
                      <w:rPr>
                        <w:rFonts w:ascii="Futura Lt BT" w:hAnsi="Futura Lt BT" w:cs="Futura Lt BT"/>
                        <w:color w:val="000000"/>
                        <w:sz w:val="12"/>
                        <w:szCs w:val="12"/>
                      </w:rPr>
                      <w:t>94,909</w:t>
                    </w:r>
                  </w:p>
                </w:txbxContent>
              </v:textbox>
            </v:rect>
            <v:rect id="_x0000_s3219" style="position:absolute;left:2148;top:3122;width:475;height:480;mso-wrap-style:none" filled="f" stroked="f">
              <v:textbox style="mso-fit-shape-to-text:t" inset="0,0,0,0">
                <w:txbxContent>
                  <w:p w:rsidR="00FF2C64" w:rsidRDefault="00FF2C64">
                    <w:r>
                      <w:rPr>
                        <w:rFonts w:ascii="Futura Lt BT" w:hAnsi="Futura Lt BT" w:cs="Futura Lt BT"/>
                        <w:color w:val="000000"/>
                        <w:sz w:val="12"/>
                        <w:szCs w:val="12"/>
                      </w:rPr>
                      <w:t>106,505</w:t>
                    </w:r>
                  </w:p>
                </w:txbxContent>
              </v:textbox>
            </v:rect>
            <v:rect id="_x0000_s3220" style="position:absolute;left:2114;top:1906;width:475;height:480;mso-wrap-style:none" filled="f" stroked="f">
              <v:textbox style="mso-fit-shape-to-text:t" inset="0,0,0,0">
                <w:txbxContent>
                  <w:p w:rsidR="00FF2C64" w:rsidRDefault="00FF2C64">
                    <w:r>
                      <w:rPr>
                        <w:rFonts w:ascii="Futura Lt BT" w:hAnsi="Futura Lt BT" w:cs="Futura Lt BT"/>
                        <w:color w:val="000000"/>
                        <w:sz w:val="12"/>
                        <w:szCs w:val="12"/>
                      </w:rPr>
                      <w:t>104,004</w:t>
                    </w:r>
                  </w:p>
                </w:txbxContent>
              </v:textbox>
            </v:rect>
            <v:rect id="_x0000_s3221" style="position:absolute;left:2182;top:2880;width:475;height:480;mso-wrap-style:none" filled="f" stroked="f">
              <v:textbox style="mso-fit-shape-to-text:t" inset="0,0,0,0">
                <w:txbxContent>
                  <w:p w:rsidR="00FF2C64" w:rsidRDefault="00FF2C64">
                    <w:r>
                      <w:rPr>
                        <w:rFonts w:ascii="Futura Lt BT" w:hAnsi="Futura Lt BT" w:cs="Futura Lt BT"/>
                        <w:color w:val="000000"/>
                        <w:sz w:val="12"/>
                        <w:szCs w:val="12"/>
                      </w:rPr>
                      <w:t>108,604</w:t>
                    </w:r>
                  </w:p>
                </w:txbxContent>
              </v:textbox>
            </v:rect>
            <v:rect id="_x0000_s3222" style="position:absolute;left:3154;top:2673;width:475;height:480;mso-wrap-style:none" filled="f" stroked="f">
              <v:textbox style="mso-fit-shape-to-text:t" inset="0,0,0,0">
                <w:txbxContent>
                  <w:p w:rsidR="00FF2C64" w:rsidRDefault="00FF2C64">
                    <w:r>
                      <w:rPr>
                        <w:rFonts w:ascii="Futura Lt BT" w:hAnsi="Futura Lt BT" w:cs="Futura Lt BT"/>
                        <w:color w:val="000000"/>
                        <w:sz w:val="12"/>
                        <w:szCs w:val="12"/>
                      </w:rPr>
                      <w:t>177,624</w:t>
                    </w:r>
                  </w:p>
                </w:txbxContent>
              </v:textbox>
            </v:rect>
            <v:rect id="_x0000_s3223" style="position:absolute;left:3316;top:1664;width:475;height:480;mso-wrap-style:none" filled="f" stroked="f">
              <v:textbox style="mso-fit-shape-to-text:t" inset="0,0,0,0">
                <w:txbxContent>
                  <w:p w:rsidR="00FF2C64" w:rsidRDefault="00FF2C64">
                    <w:r>
                      <w:rPr>
                        <w:rFonts w:ascii="Futura Lt BT" w:hAnsi="Futura Lt BT" w:cs="Futura Lt BT"/>
                        <w:color w:val="000000"/>
                        <w:sz w:val="12"/>
                        <w:szCs w:val="12"/>
                      </w:rPr>
                      <w:t>186,086</w:t>
                    </w:r>
                  </w:p>
                </w:txbxContent>
              </v:textbox>
            </v:rect>
            <v:rect id="_x0000_s3224" style="position:absolute;left:443;top:3561;width:73;height:240;mso-wrap-style:none" filled="f" stroked="f">
              <v:textbox style="mso-fit-shape-to-text:t" inset="0,0,0,0">
                <w:txbxContent>
                  <w:p w:rsidR="00FF2C64" w:rsidRDefault="00FF2C64">
                    <w:r>
                      <w:rPr>
                        <w:rFonts w:ascii="Futura Lt BT" w:hAnsi="Futura Lt BT" w:cs="Futura Lt BT"/>
                        <w:color w:val="000000"/>
                        <w:sz w:val="12"/>
                        <w:szCs w:val="12"/>
                      </w:rPr>
                      <w:t>0</w:t>
                    </w:r>
                  </w:p>
                </w:txbxContent>
              </v:textbox>
            </v:rect>
            <v:rect id="_x0000_s3225" style="position:absolute;left:1049;top:3561;width:402;height:480;mso-wrap-style:none" filled="f" stroked="f">
              <v:textbox style="mso-fit-shape-to-text:t" inset="0,0,0,0">
                <w:txbxContent>
                  <w:p w:rsidR="00FF2C64" w:rsidRDefault="00FF2C64">
                    <w:r>
                      <w:rPr>
                        <w:rFonts w:ascii="Futura Lt BT" w:hAnsi="Futura Lt BT" w:cs="Futura Lt BT"/>
                        <w:color w:val="000000"/>
                        <w:sz w:val="12"/>
                        <w:szCs w:val="12"/>
                      </w:rPr>
                      <w:t>50,000</w:t>
                    </w:r>
                  </w:p>
                </w:txbxContent>
              </v:textbox>
            </v:rect>
            <v:rect id="_x0000_s3226" style="position:absolute;left:1765;top:3561;width:475;height:480;mso-wrap-style:none" filled="f" stroked="f">
              <v:textbox style="mso-fit-shape-to-text:t" inset="0,0,0,0">
                <w:txbxContent>
                  <w:p w:rsidR="00FF2C64" w:rsidRDefault="00FF2C64">
                    <w:r>
                      <w:rPr>
                        <w:rFonts w:ascii="Futura Lt BT" w:hAnsi="Futura Lt BT" w:cs="Futura Lt BT"/>
                        <w:color w:val="000000"/>
                        <w:sz w:val="12"/>
                        <w:szCs w:val="12"/>
                      </w:rPr>
                      <w:t>100,000</w:t>
                    </w:r>
                  </w:p>
                </w:txbxContent>
              </v:textbox>
            </v:rect>
            <v:rect id="_x0000_s3227" style="position:absolute;left:2506;top:3561;width:475;height:480;mso-wrap-style:none" filled="f" stroked="f">
              <v:textbox style="mso-fit-shape-to-text:t" inset="0,0,0,0">
                <w:txbxContent>
                  <w:p w:rsidR="00FF2C64" w:rsidRDefault="00FF2C64">
                    <w:r>
                      <w:rPr>
                        <w:rFonts w:ascii="Futura Lt BT" w:hAnsi="Futura Lt BT" w:cs="Futura Lt BT"/>
                        <w:color w:val="000000"/>
                        <w:sz w:val="12"/>
                        <w:szCs w:val="12"/>
                      </w:rPr>
                      <w:t>150,000</w:t>
                    </w:r>
                  </w:p>
                </w:txbxContent>
              </v:textbox>
            </v:rect>
            <v:rect id="_x0000_s3228" style="position:absolute;left:3257;top:3561;width:475;height:480;mso-wrap-style:none" filled="f" stroked="f">
              <v:textbox style="mso-fit-shape-to-text:t" inset="0,0,0,0">
                <w:txbxContent>
                  <w:p w:rsidR="00FF2C64" w:rsidRDefault="00FF2C64">
                    <w:r>
                      <w:rPr>
                        <w:rFonts w:ascii="Futura Lt BT" w:hAnsi="Futura Lt BT" w:cs="Futura Lt BT"/>
                        <w:color w:val="000000"/>
                        <w:sz w:val="12"/>
                        <w:szCs w:val="12"/>
                      </w:rPr>
                      <w:t>200,000</w:t>
                    </w:r>
                  </w:p>
                </w:txbxContent>
              </v:textbox>
            </v:rect>
            <v:rect id="_x0000_s3229" style="position:absolute;left:3998;top:3561;width:475;height:480;mso-wrap-style:none" filled="f" stroked="f">
              <v:textbox style="mso-fit-shape-to-text:t" inset="0,0,0,0">
                <w:txbxContent>
                  <w:p w:rsidR="00FF2C64" w:rsidRDefault="00FF2C64">
                    <w:r>
                      <w:rPr>
                        <w:rFonts w:ascii="Futura Lt BT" w:hAnsi="Futura Lt BT" w:cs="Futura Lt BT"/>
                        <w:color w:val="000000"/>
                        <w:sz w:val="12"/>
                        <w:szCs w:val="12"/>
                      </w:rPr>
                      <w:t>250,000</w:t>
                    </w:r>
                  </w:p>
                </w:txbxContent>
              </v:textbox>
            </v:rect>
            <v:rect id="_x0000_s3230" style="position:absolute;left:145;top:2897;width:291;height:480;mso-wrap-style:none" filled="f" stroked="f">
              <v:textbox style="mso-fit-shape-to-text:t" inset="0,0,0,0">
                <w:txbxContent>
                  <w:p w:rsidR="00FF2C64" w:rsidRDefault="00FF2C64">
                    <w:r>
                      <w:rPr>
                        <w:rFonts w:ascii="Futura Lt BT" w:hAnsi="Futura Lt BT" w:cs="Futura Lt BT"/>
                        <w:color w:val="000000"/>
                        <w:sz w:val="12"/>
                        <w:szCs w:val="12"/>
                      </w:rPr>
                      <w:t>2006</w:t>
                    </w:r>
                  </w:p>
                </w:txbxContent>
              </v:textbox>
            </v:rect>
            <v:rect id="_x0000_s3231" style="position:absolute;left:145;top:1906;width:291;height:480;mso-wrap-style:none" filled="f" stroked="f">
              <v:textbox style="mso-fit-shape-to-text:t" inset="0,0,0,0">
                <w:txbxContent>
                  <w:p w:rsidR="00FF2C64" w:rsidRDefault="00FF2C64">
                    <w:r>
                      <w:rPr>
                        <w:rFonts w:ascii="Futura Lt BT" w:hAnsi="Futura Lt BT" w:cs="Futura Lt BT"/>
                        <w:color w:val="000000"/>
                        <w:sz w:val="12"/>
                        <w:szCs w:val="12"/>
                      </w:rPr>
                      <w:t>2005</w:t>
                    </w:r>
                  </w:p>
                </w:txbxContent>
              </v:textbox>
            </v:rect>
            <v:rect id="_x0000_s3232" style="position:absolute;left:145;top:914;width:291;height:480;mso-wrap-style:none" filled="f" stroked="f">
              <v:textbox style="mso-fit-shape-to-text:t" inset="0,0,0,0">
                <w:txbxContent>
                  <w:p w:rsidR="00FF2C64" w:rsidRDefault="00FF2C64">
                    <w:r>
                      <w:rPr>
                        <w:rFonts w:ascii="Futura Lt BT" w:hAnsi="Futura Lt BT" w:cs="Futura Lt BT"/>
                        <w:color w:val="000000"/>
                        <w:sz w:val="12"/>
                        <w:szCs w:val="12"/>
                      </w:rPr>
                      <w:t>2004</w:t>
                    </w:r>
                  </w:p>
                </w:txbxContent>
              </v:textbox>
            </v:rect>
            <v:rect id="_x0000_s3233" style="position:absolute;left:4297;top:1552;width:859;height:701" strokeweight="0"/>
            <v:shape id="_x0000_s3234" type="#_x0000_t75" style="position:absolute;left:4339;top:1621;width:60;height:61">
              <v:imagedata r:id="rId46" o:title=""/>
            </v:shape>
            <v:rect id="_x0000_s3235" style="position:absolute;left:4339;top:1621;width:60;height:61" filled="f" strokeweight=".45pt"/>
            <v:rect id="_x0000_s3236" style="position:absolute;left:4433;top:1578;width:497;height:480;mso-wrap-style:none" filled="f" stroked="f">
              <v:textbox style="mso-fit-shape-to-text:t" inset="0,0,0,0">
                <w:txbxContent>
                  <w:p w:rsidR="00FF2C64" w:rsidRDefault="00FF2C64">
                    <w:r>
                      <w:rPr>
                        <w:rFonts w:ascii="Futura Lt BT" w:hAnsi="Futura Lt BT" w:cs="Futura Lt BT"/>
                        <w:color w:val="000000"/>
                        <w:sz w:val="12"/>
                        <w:szCs w:val="12"/>
                      </w:rPr>
                      <w:t>Inscritos</w:t>
                    </w:r>
                  </w:p>
                </w:txbxContent>
              </v:textbox>
            </v:rect>
            <v:shape id="_x0000_s3237" type="#_x0000_t75" style="position:absolute;left:4339;top:1802;width:60;height:61">
              <v:imagedata r:id="rId47" o:title=""/>
            </v:shape>
            <v:rect id="_x0000_s3238" style="position:absolute;left:4339;top:1802;width:60;height:61" filled="f" strokeweight=".45pt"/>
            <v:rect id="_x0000_s3239" style="position:absolute;left:4433;top:1759;width:614;height:480;mso-wrap-style:none" filled="f" stroked="f">
              <v:textbox style="mso-fit-shape-to-text:t" inset="0,0,0,0">
                <w:txbxContent>
                  <w:p w:rsidR="00FF2C64" w:rsidRDefault="00FF2C64">
                    <w:r>
                      <w:rPr>
                        <w:rFonts w:ascii="Futura Lt BT" w:hAnsi="Futura Lt BT" w:cs="Futura Lt BT"/>
                        <w:color w:val="000000"/>
                        <w:sz w:val="12"/>
                        <w:szCs w:val="12"/>
                      </w:rPr>
                      <w:t>Evaluados</w:t>
                    </w:r>
                  </w:p>
                </w:txbxContent>
              </v:textbox>
            </v:rect>
            <v:shape id="_x0000_s3240" type="#_x0000_t75" style="position:absolute;left:4339;top:1983;width:60;height:61">
              <v:imagedata r:id="rId64" o:title=""/>
            </v:shape>
            <v:rect id="_x0000_s3241" style="position:absolute;left:4339;top:1983;width:60;height:61" filled="f" strokeweight=".45pt"/>
            <v:rect id="_x0000_s3242" style="position:absolute;left:4433;top:1940;width:693;height:480;mso-wrap-style:none" filled="f" stroked="f">
              <v:textbox style="mso-fit-shape-to-text:t" inset="0,0,0,0">
                <w:txbxContent>
                  <w:p w:rsidR="00FF2C64" w:rsidRDefault="00FF2C64">
                    <w:r>
                      <w:rPr>
                        <w:rFonts w:ascii="Futura Lt BT" w:hAnsi="Futura Lt BT" w:cs="Futura Lt BT"/>
                        <w:color w:val="000000"/>
                        <w:sz w:val="12"/>
                        <w:szCs w:val="12"/>
                      </w:rPr>
                      <w:t>Promovidos</w:t>
                    </w:r>
                  </w:p>
                </w:txbxContent>
              </v:textbox>
            </v:rect>
            <w10:anchorlock/>
          </v:group>
        </w:pict>
      </w: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Centro de Cómputo -CONALFA-2007</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En el período que se reporta, cada CODA ha producido una meta de población neoalfabeta (Promoción Anual) con la que han contribuido para que del 27.49 % que se reportara como índice de analfabetismo en el 2003, a la fecha se registre en el 23.97%. La cobertura para atender a la población maya-hablante es y sigue siendo prioridad para CONALFA. En esta línea de trabajo se han atendido las comunidades más lejanas del área rural, se implementó un sistema de supervisión permanente; se aplicó una estrategia de atención con programas que respetan las creencias, las formas de expresión cultural y religiosa. A continuación se presenta en gráficas, resultados de la atención al Programa de Alfabetización Bilingüe. </w:t>
      </w:r>
    </w:p>
    <w:p w:rsidR="00B35454" w:rsidRPr="00981E15" w:rsidRDefault="00836A09"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sidRPr="00981E15">
        <w:rPr>
          <w:b w:val="0"/>
        </w:rPr>
        <w:br w:type="page"/>
      </w:r>
      <w:r w:rsidR="00B35454" w:rsidRPr="00981E15">
        <w:rPr>
          <w:b w:val="0"/>
        </w:rPr>
        <w:tab/>
      </w:r>
      <w:r w:rsidR="00B35454" w:rsidRPr="00981E15">
        <w:rPr>
          <w:b w:val="0"/>
        </w:rPr>
        <w:tab/>
        <w:t>Gráfica 12</w:t>
      </w:r>
    </w:p>
    <w:p w:rsidR="00B35454" w:rsidRPr="00981E15" w:rsidRDefault="00B35454" w:rsidP="00B35454">
      <w:pPr>
        <w:pStyle w:val="SingleTxt"/>
        <w:spacing w:after="0" w:line="120" w:lineRule="exact"/>
        <w:rPr>
          <w:sz w:val="10"/>
        </w:rPr>
      </w:pPr>
    </w:p>
    <w:p w:rsidR="00B35454" w:rsidRPr="00981E15" w:rsidRDefault="00B35454" w:rsidP="00836A09">
      <w:pPr>
        <w:pStyle w:val="SingleTxt"/>
        <w:spacing w:line="240" w:lineRule="auto"/>
      </w:pPr>
      <w:r w:rsidRPr="00981E15">
        <w:rPr>
          <w:noProof/>
          <w:w w:val="100"/>
        </w:rPr>
      </w:r>
      <w:r w:rsidR="00836A09" w:rsidRPr="00981E15">
        <w:pict>
          <v:group id="_x0000_s3244" editas="canvas" style="width:324.15pt;height:237.3pt;mso-position-horizontal-relative:char;mso-position-vertical-relative:line" coordsize="6483,4746">
            <o:lock v:ext="edit" aspectratio="t"/>
            <v:shape id="_x0000_s3245" type="#_x0000_t75" style="position:absolute;width:6483;height:4746" o:preferrelative="f">
              <v:fill o:detectmouseclick="t"/>
              <v:path o:extrusionok="t" o:connecttype="none"/>
              <o:lock v:ext="edit" text="t"/>
            </v:shape>
            <v:rect id="_x0000_s3247" style="position:absolute;left:683;top:692;width:4666;height:145" fillcolor="#cfc" stroked="f"/>
            <v:rect id="_x0000_s3248" style="position:absolute;left:683;top:837;width:4666;height:124" fillcolor="#ceffce" stroked="f"/>
            <v:rect id="_x0000_s3249" style="position:absolute;left:683;top:961;width:4666;height:72" fillcolor="#d0ffd0" stroked="f"/>
            <v:rect id="_x0000_s3250" style="position:absolute;left:683;top:1033;width:4666;height:72" fillcolor="#d2ffd2" stroked="f"/>
            <v:rect id="_x0000_s3251" style="position:absolute;left:683;top:1105;width:4666;height:52" fillcolor="#d4ffd4" stroked="f"/>
            <v:rect id="_x0000_s3252" style="position:absolute;left:683;top:1157;width:4666;height:51" fillcolor="#d6ffd6" stroked="f"/>
            <v:rect id="_x0000_s3253" style="position:absolute;left:683;top:1208;width:4666;height:62" fillcolor="#d8ffd8" stroked="f"/>
            <v:rect id="_x0000_s3254" style="position:absolute;left:683;top:1270;width:4666;height:42" fillcolor="#daffda" stroked="f"/>
            <v:rect id="_x0000_s3255" style="position:absolute;left:683;top:1312;width:4666;height:51" fillcolor="#dcffdc" stroked="f"/>
            <v:rect id="_x0000_s3256" style="position:absolute;left:683;top:1363;width:4666;height:42" fillcolor="#deffde" stroked="f"/>
            <v:rect id="_x0000_s3257" style="position:absolute;left:683;top:1405;width:4666;height:41" fillcolor="#e0ffe0" stroked="f"/>
            <v:rect id="_x0000_s3258" style="position:absolute;left:683;top:1446;width:4666;height:41" fillcolor="#e2ffe2" stroked="f"/>
            <v:rect id="_x0000_s3259" style="position:absolute;left:683;top:1487;width:4666;height:31" fillcolor="#e4ffe4" stroked="f"/>
            <v:rect id="_x0000_s3260" style="position:absolute;left:683;top:1518;width:4666;height:42" fillcolor="#e6ffe6" stroked="f"/>
            <v:rect id="_x0000_s3261" style="position:absolute;left:683;top:1560;width:4666;height:41" fillcolor="#e8ffe8" stroked="f"/>
            <v:rect id="_x0000_s3262" style="position:absolute;left:683;top:1601;width:4666;height:41" fillcolor="#eaffea" stroked="f"/>
            <v:rect id="_x0000_s3263" style="position:absolute;left:683;top:1642;width:4666;height:42" fillcolor="#ecffec" stroked="f"/>
            <v:rect id="_x0000_s3264" style="position:absolute;left:683;top:1684;width:4666;height:51" fillcolor="#efe" stroked="f"/>
            <v:rect id="_x0000_s3265" style="position:absolute;left:683;top:1735;width:4666;height:42" fillcolor="#f0fff0" stroked="f"/>
            <v:rect id="_x0000_s3266" style="position:absolute;left:683;top:1777;width:4666;height:61" fillcolor="#f2fff2" stroked="f"/>
            <v:rect id="_x0000_s3267" style="position:absolute;left:683;top:1838;width:4666;height:52" fillcolor="#f4fff4" stroked="f"/>
            <v:rect id="_x0000_s3268" style="position:absolute;left:683;top:1890;width:4666;height:62" fillcolor="#f6fff6" stroked="f"/>
            <v:rect id="_x0000_s3269" style="position:absolute;left:683;top:1952;width:4666;height:83" fillcolor="#f8fff8" stroked="f"/>
            <v:rect id="_x0000_s3270" style="position:absolute;left:683;top:2035;width:4666;height:82" fillcolor="#fafffa" stroked="f"/>
            <v:rect id="_x0000_s3271" style="position:absolute;left:683;top:2117;width:4666;height:135" fillcolor="#fcfffc" stroked="f"/>
            <v:rect id="_x0000_s3272" style="position:absolute;left:683;top:2252;width:4666;height:402" fillcolor="#fefffe" stroked="f"/>
            <v:rect id="_x0000_s3273" style="position:absolute;left:683;top:2654;width:4666;height:124" fillcolor="#fcfffc" stroked="f"/>
            <v:rect id="_x0000_s3274" style="position:absolute;left:683;top:2778;width:4666;height:73" fillcolor="#fafffa" stroked="f"/>
            <v:rect id="_x0000_s3275" style="position:absolute;left:683;top:2851;width:4666;height:82" fillcolor="#f8fff8" stroked="f"/>
            <v:rect id="_x0000_s3276" style="position:absolute;left:683;top:2933;width:4666;height:52" fillcolor="#f6fff6" stroked="f"/>
            <v:rect id="_x0000_s3277" style="position:absolute;left:683;top:2985;width:4666;height:52" fillcolor="#f4fff4" stroked="f"/>
            <v:rect id="_x0000_s3278" style="position:absolute;left:683;top:3037;width:4666;height:51" fillcolor="#f2fff2" stroked="f"/>
            <v:rect id="_x0000_s3279" style="position:absolute;left:683;top:3088;width:4666;height:42" fillcolor="#f0fff0" stroked="f"/>
            <v:rect id="_x0000_s3280" style="position:absolute;left:683;top:3130;width:4666;height:41" fillcolor="#efe" stroked="f"/>
            <v:rect id="_x0000_s3281" style="position:absolute;left:683;top:3171;width:4666;height:41" fillcolor="#ecffec" stroked="f"/>
            <v:rect id="_x0000_s3282" style="position:absolute;left:683;top:3212;width:4666;height:52" fillcolor="#eaffea" stroked="f"/>
            <v:rect id="_x0000_s3283" style="position:absolute;left:683;top:3264;width:4666;height:31" fillcolor="#e8ffe8" stroked="f"/>
            <v:rect id="_x0000_s3284" style="position:absolute;left:683;top:3295;width:4666;height:51" fillcolor="#e6ffe6" stroked="f"/>
            <v:rect id="_x0000_s3285" style="position:absolute;left:683;top:3346;width:4666;height:42" fillcolor="#e4ffe4" stroked="f"/>
            <v:rect id="_x0000_s3286" style="position:absolute;left:683;top:3388;width:4666;height:41" fillcolor="#e2ffe2" stroked="f"/>
            <v:rect id="_x0000_s3287" style="position:absolute;left:683;top:3429;width:4666;height:41" fillcolor="#e0ffe0" stroked="f"/>
            <v:rect id="_x0000_s3288" style="position:absolute;left:683;top:3470;width:4666;height:42" fillcolor="#deffde" stroked="f"/>
            <v:rect id="_x0000_s3289" style="position:absolute;left:683;top:3512;width:4666;height:41" fillcolor="#dcffdc" stroked="f"/>
            <v:rect id="_x0000_s3290" style="position:absolute;left:683;top:3553;width:4666;height:52" fillcolor="#daffda" stroked="f"/>
            <v:rect id="_x0000_s3291" style="position:absolute;left:683;top:3605;width:4666;height:51" fillcolor="#d8ffd8" stroked="f"/>
            <v:rect id="_x0000_s3292" style="position:absolute;left:683;top:3656;width:4666;height:52" fillcolor="#d6ffd6" stroked="f"/>
            <v:rect id="_x0000_s3293" style="position:absolute;left:683;top:3708;width:4666;height:72" fillcolor="#d4ffd4" stroked="f"/>
            <v:rect id="_x0000_s3294" style="position:absolute;left:683;top:3780;width:4666;height:73" fillcolor="#d2ffd2" stroked="f"/>
            <v:rect id="_x0000_s3295" style="position:absolute;left:683;top:3853;width:4666;height:92" fillcolor="#d0ffd0" stroked="f"/>
            <v:rect id="_x0000_s3296" style="position:absolute;left:683;top:3945;width:4666;height:145" fillcolor="#ceffce" stroked="f"/>
            <v:rect id="_x0000_s3297" style="position:absolute;left:683;top:4090;width:4666;height:62" fillcolor="#cfc" stroked="f"/>
            <v:rect id="_x0000_s3298" style="position:absolute;left:683;top:692;width:4666;height:3460" filled="f" stroked="f"/>
            <v:line id="_x0000_s3299" style="position:absolute" from="683,3770" to="5349,3770" strokecolor="white" strokeweight="0"/>
            <v:line id="_x0000_s3300" style="position:absolute" from="683,3388" to="5349,3388" strokecolor="white" strokeweight="0"/>
            <v:line id="_x0000_s3301" style="position:absolute" from="683,2995" to="5349,2995" strokecolor="white" strokeweight="0"/>
            <v:line id="_x0000_s3302" style="position:absolute" from="683,2613" to="5349,2613" strokecolor="white" strokeweight="0"/>
            <v:line id="_x0000_s3303" style="position:absolute" from="683,2231" to="5349,2231" strokecolor="white" strokeweight="0"/>
            <v:line id="_x0000_s3304" style="position:absolute" from="683,1849" to="5349,1849" strokecolor="white" strokeweight="0"/>
            <v:line id="_x0000_s3305" style="position:absolute" from="683,1456" to="5349,1456" strokecolor="white" strokeweight="0"/>
            <v:line id="_x0000_s3306" style="position:absolute" from="683,1074" to="5349,1074" strokecolor="white" strokeweight="0"/>
            <v:line id="_x0000_s3307" style="position:absolute" from="683,692" to="5349,692" strokecolor="white" strokeweight="0"/>
            <v:rect id="_x0000_s3308" style="position:absolute;left:683;top:692;width:4666;height:3460" filled="f" strokecolor="gray" strokeweight=".5pt"/>
            <v:shape id="_x0000_s3309" type="#_x0000_t75" style="position:absolute;left:942;top:1219;width:341;height:2933">
              <v:imagedata r:id="rId37" o:title=""/>
            </v:shape>
            <v:rect id="_x0000_s3310" style="position:absolute;left:942;top:1219;width:341;height:2933" filled="f" strokeweight=".5pt"/>
            <v:shape id="_x0000_s3311" type="#_x0000_t75" style="position:absolute;left:2493;top:1694;width:352;height:2458">
              <v:imagedata r:id="rId38" o:title=""/>
            </v:shape>
            <v:rect id="_x0000_s3312" style="position:absolute;left:2493;top:1694;width:352;height:2458" filled="f" strokeweight=".5pt"/>
            <v:shape id="_x0000_s3313" type="#_x0000_t75" style="position:absolute;left:4056;top:1807;width:341;height:2345">
              <v:imagedata r:id="rId39" o:title=""/>
            </v:shape>
            <v:rect id="_x0000_s3314" style="position:absolute;left:4056;top:1807;width:341;height:2345" filled="f" strokeweight=".5pt"/>
            <v:shape id="_x0000_s3315" type="#_x0000_t75" style="position:absolute;left:1283;top:2654;width:352;height:1498">
              <v:imagedata r:id="rId40" o:title=""/>
            </v:shape>
            <v:rect id="_x0000_s3316" style="position:absolute;left:1283;top:2654;width:352;height:1498" filled="f" strokeweight=".5pt"/>
            <v:shape id="_x0000_s3317" type="#_x0000_t75" style="position:absolute;left:2845;top:2799;width:342;height:1353">
              <v:imagedata r:id="rId41" o:title=""/>
            </v:shape>
            <v:rect id="_x0000_s3318" style="position:absolute;left:2845;top:2799;width:342;height:1353" filled="f" strokeweight=".5pt"/>
            <v:shape id="_x0000_s3319" type="#_x0000_t75" style="position:absolute;left:4397;top:2758;width:352;height:1394">
              <v:imagedata r:id="rId42" o:title=""/>
            </v:shape>
            <v:rect id="_x0000_s3320" style="position:absolute;left:4397;top:2758;width:352;height:1394" filled="f" strokeweight=".5pt"/>
            <v:shape id="_x0000_s3321" type="#_x0000_t75" style="position:absolute;left:1635;top:2799;width:341;height:1353">
              <v:imagedata r:id="rId43" o:title=""/>
            </v:shape>
            <v:rect id="_x0000_s3322" style="position:absolute;left:1635;top:2799;width:341;height:1353" filled="f" strokeweight=".5pt"/>
            <v:shape id="_x0000_s3323" type="#_x0000_t75" style="position:absolute;left:3187;top:2892;width:351;height:1260">
              <v:imagedata r:id="rId44" o:title=""/>
            </v:shape>
            <v:rect id="_x0000_s3324" style="position:absolute;left:3187;top:2892;width:351;height:1260" filled="f" strokeweight=".5pt"/>
            <v:shape id="_x0000_s3325" type="#_x0000_t75" style="position:absolute;left:4749;top:2768;width:341;height:1384">
              <v:imagedata r:id="rId45" o:title=""/>
            </v:shape>
            <v:rect id="_x0000_s3326" style="position:absolute;left:4749;top:2768;width:341;height:1384" filled="f" strokeweight=".5pt"/>
            <v:line id="_x0000_s3327" style="position:absolute" from="683,692" to="683,4152" strokeweight="0"/>
            <v:line id="_x0000_s3328" style="position:absolute" from="641,4152" to="683,4152" strokeweight="0"/>
            <v:line id="_x0000_s3329" style="position:absolute" from="641,3770" to="683,3770" strokeweight="0"/>
            <v:line id="_x0000_s3330" style="position:absolute" from="641,3388" to="683,3388" strokeweight="0"/>
            <v:line id="_x0000_s3331" style="position:absolute" from="641,2995" to="683,2995" strokeweight="0"/>
            <v:line id="_x0000_s3332" style="position:absolute" from="641,2613" to="683,2613" strokeweight="0"/>
            <v:line id="_x0000_s3333" style="position:absolute" from="641,2231" to="683,2231" strokeweight="0"/>
            <v:line id="_x0000_s3334" style="position:absolute" from="641,1849" to="683,1849" strokeweight="0"/>
            <v:line id="_x0000_s3335" style="position:absolute" from="641,1456" to="683,1456" strokeweight="0"/>
            <v:line id="_x0000_s3336" style="position:absolute" from="641,1074" to="683,1074" strokeweight="0"/>
            <v:line id="_x0000_s3337" style="position:absolute" from="641,692" to="683,692" strokeweight="0"/>
            <v:line id="_x0000_s3338" style="position:absolute" from="683,4152" to="5349,4152" strokeweight="0"/>
            <v:line id="_x0000_s3339" style="position:absolute;flip:y" from="683,4152" to="683,4193" strokeweight="0"/>
            <v:line id="_x0000_s3340" style="position:absolute;flip:y" from="2235,4152" to="2235,4193" strokeweight="0"/>
            <v:line id="_x0000_s3341" style="position:absolute;flip:y" from="3797,4152" to="3797,4193" strokeweight="0"/>
            <v:line id="_x0000_s3342" style="position:absolute;flip:y" from="5349,4152" to="5349,4193" strokeweight="0"/>
            <v:rect id="_x0000_s3343" style="position:absolute;left:1283;top:176;width:3970;height:480;mso-wrap-style:none" filled="f" stroked="f">
              <v:textbox style="mso-fit-shape-to-text:t" inset="0,0,0,0">
                <w:txbxContent>
                  <w:p w:rsidR="00FF2C64" w:rsidRDefault="00FF2C64">
                    <w:r>
                      <w:rPr>
                        <w:rFonts w:ascii="Futura Lt BT" w:hAnsi="Futura Lt BT" w:cs="Futura Lt BT"/>
                        <w:b/>
                        <w:bCs/>
                        <w:color w:val="000000"/>
                        <w:sz w:val="14"/>
                        <w:szCs w:val="14"/>
                      </w:rPr>
                      <w:t xml:space="preserve">POBLACIÓN ATENDIDA SEGÚN PROGRAMA BILINGÜE </w:t>
                    </w:r>
                  </w:p>
                </w:txbxContent>
              </v:textbox>
            </v:rect>
            <v:rect id="_x0000_s3344" style="position:absolute;left:2421;top:351;width:1463;height:480;mso-wrap-style:none" filled="f" stroked="f">
              <v:textbox style="mso-fit-shape-to-text:t" inset="0,0,0,0">
                <w:txbxContent>
                  <w:p w:rsidR="00FF2C64" w:rsidRDefault="00FF2C64">
                    <w:r>
                      <w:rPr>
                        <w:rFonts w:ascii="Futura Lt BT" w:hAnsi="Futura Lt BT" w:cs="Futura Lt BT"/>
                        <w:b/>
                        <w:bCs/>
                        <w:color w:val="000000"/>
                        <w:sz w:val="14"/>
                        <w:szCs w:val="14"/>
                      </w:rPr>
                      <w:t>PERIODO 2004-2006</w:t>
                    </w:r>
                  </w:p>
                </w:txbxContent>
              </v:textbox>
            </v:rect>
            <v:rect id="_x0000_s3345" style="position:absolute;left:1012;top:1384;width:480;height:455;rotation:270;mso-wrap-style:none" filled="f" stroked="f">
              <v:textbox style="mso-fit-shape-to-text:t" inset="0,0,0,0">
                <w:txbxContent>
                  <w:p w:rsidR="00FF2C64" w:rsidRDefault="00FF2C64">
                    <w:r>
                      <w:rPr>
                        <w:rFonts w:ascii="Futura Lt BT" w:hAnsi="Futura Lt BT" w:cs="Futura Lt BT"/>
                        <w:color w:val="000000"/>
                        <w:sz w:val="14"/>
                        <w:szCs w:val="14"/>
                      </w:rPr>
                      <w:t>76,411</w:t>
                    </w:r>
                  </w:p>
                </w:txbxContent>
              </v:textbox>
            </v:rect>
            <v:rect id="_x0000_s3346" style="position:absolute;left:2590;top:1831;width:480;height:465;rotation:270;mso-wrap-style:none" filled="f" stroked="f">
              <v:textbox style="mso-fit-shape-to-text:t" inset="0,0,0,0">
                <w:txbxContent>
                  <w:p w:rsidR="00FF2C64" w:rsidRDefault="00FF2C64">
                    <w:r>
                      <w:rPr>
                        <w:rFonts w:ascii="Futura Lt BT" w:hAnsi="Futura Lt BT" w:cs="Futura Lt BT"/>
                        <w:color w:val="000000"/>
                        <w:sz w:val="14"/>
                        <w:szCs w:val="14"/>
                      </w:rPr>
                      <w:t>63,851</w:t>
                    </w:r>
                  </w:p>
                </w:txbxContent>
              </v:textbox>
            </v:rect>
            <v:rect id="_x0000_s3347" style="position:absolute;left:4142;top:1945;width:480;height:465;rotation:270;mso-wrap-style:none" filled="f" stroked="f">
              <v:textbox style="mso-fit-shape-to-text:t" inset="0,0,0,0">
                <w:txbxContent>
                  <w:p w:rsidR="00FF2C64" w:rsidRDefault="00FF2C64">
                    <w:r>
                      <w:rPr>
                        <w:rFonts w:ascii="Futura Lt BT" w:hAnsi="Futura Lt BT" w:cs="Futura Lt BT"/>
                        <w:color w:val="000000"/>
                        <w:sz w:val="14"/>
                        <w:szCs w:val="14"/>
                      </w:rPr>
                      <w:t>61,100</w:t>
                    </w:r>
                  </w:p>
                </w:txbxContent>
              </v:textbox>
            </v:rect>
            <v:rect id="_x0000_s3348" style="position:absolute;left:1379;top:2741;width:480;height:465;rotation:270;mso-wrap-style:none" filled="f" stroked="f">
              <v:textbox style="mso-fit-shape-to-text:t" inset="0,0,0,0">
                <w:txbxContent>
                  <w:p w:rsidR="00FF2C64" w:rsidRDefault="00FF2C64">
                    <w:r>
                      <w:rPr>
                        <w:rFonts w:ascii="Futura Lt BT" w:hAnsi="Futura Lt BT" w:cs="Futura Lt BT"/>
                        <w:color w:val="000000"/>
                        <w:sz w:val="14"/>
                        <w:szCs w:val="14"/>
                      </w:rPr>
                      <w:t>38,893</w:t>
                    </w:r>
                  </w:p>
                </w:txbxContent>
              </v:textbox>
            </v:rect>
            <v:rect id="_x0000_s3349" style="position:absolute;left:2931;top:2885;width:480;height:465;rotation:270;mso-wrap-style:none" filled="f" stroked="f">
              <v:textbox style="mso-fit-shape-to-text:t" inset="0,0,0,0">
                <w:txbxContent>
                  <w:p w:rsidR="00FF2C64" w:rsidRDefault="00FF2C64">
                    <w:r>
                      <w:rPr>
                        <w:rFonts w:ascii="Futura Lt BT" w:hAnsi="Futura Lt BT" w:cs="Futura Lt BT"/>
                        <w:color w:val="000000"/>
                        <w:sz w:val="14"/>
                        <w:szCs w:val="14"/>
                      </w:rPr>
                      <w:t>35,233</w:t>
                    </w:r>
                  </w:p>
                </w:txbxContent>
              </v:textbox>
            </v:rect>
            <v:rect id="_x0000_s3350" style="position:absolute;left:4483;top:2813;width:480;height:465;rotation:270;mso-wrap-style:none" filled="f" stroked="f">
              <v:textbox style="mso-fit-shape-to-text:t" inset="0,0,0,0">
                <w:txbxContent>
                  <w:p w:rsidR="00FF2C64" w:rsidRDefault="00FF2C64">
                    <w:r>
                      <w:rPr>
                        <w:rFonts w:ascii="Futura Lt BT" w:hAnsi="Futura Lt BT" w:cs="Futura Lt BT"/>
                        <w:color w:val="000000"/>
                        <w:sz w:val="14"/>
                        <w:szCs w:val="14"/>
                      </w:rPr>
                      <w:t>36,282</w:t>
                    </w:r>
                  </w:p>
                </w:txbxContent>
              </v:textbox>
            </v:rect>
            <v:rect id="_x0000_s3351" style="position:absolute;left:3283;top:2967;width:480;height:465;rotation:270;mso-wrap-style:none" filled="f" stroked="f">
              <v:textbox style="mso-fit-shape-to-text:t" inset="0,0,0,0">
                <w:txbxContent>
                  <w:p w:rsidR="00FF2C64" w:rsidRDefault="00FF2C64">
                    <w:r>
                      <w:rPr>
                        <w:rFonts w:ascii="Futura Lt BT" w:hAnsi="Futura Lt BT" w:cs="Futura Lt BT"/>
                        <w:color w:val="000000"/>
                        <w:sz w:val="14"/>
                        <w:szCs w:val="14"/>
                      </w:rPr>
                      <w:t>32,904</w:t>
                    </w:r>
                  </w:p>
                </w:txbxContent>
              </v:textbox>
            </v:rect>
            <v:rect id="_x0000_s3352" style="position:absolute;left:1721;top:2855;width:480;height:465;rotation:270;mso-wrap-style:none" filled="f" stroked="f">
              <v:textbox style="mso-fit-shape-to-text:t" inset="0,0,0,0">
                <w:txbxContent>
                  <w:p w:rsidR="00FF2C64" w:rsidRDefault="00FF2C64">
                    <w:r>
                      <w:rPr>
                        <w:rFonts w:ascii="Futura Lt BT" w:hAnsi="Futura Lt BT" w:cs="Futura Lt BT"/>
                        <w:color w:val="000000"/>
                        <w:sz w:val="14"/>
                        <w:szCs w:val="14"/>
                      </w:rPr>
                      <w:t>35,197</w:t>
                    </w:r>
                  </w:p>
                </w:txbxContent>
              </v:textbox>
            </v:rect>
            <v:rect id="_x0000_s3353" style="position:absolute;left:4835;top:2854;width:480;height:465;rotation:270;mso-wrap-style:none" filled="f" stroked="f">
              <v:textbox style="mso-fit-shape-to-text:t" inset="0,0,0,0">
                <w:txbxContent>
                  <w:p w:rsidR="00FF2C64" w:rsidRDefault="00FF2C64">
                    <w:r>
                      <w:rPr>
                        <w:rFonts w:ascii="Futura Lt BT" w:hAnsi="Futura Lt BT" w:cs="Futura Lt BT"/>
                        <w:color w:val="000000"/>
                        <w:sz w:val="14"/>
                        <w:szCs w:val="14"/>
                      </w:rPr>
                      <w:t>35,935</w:t>
                    </w:r>
                  </w:p>
                </w:txbxContent>
              </v:textbox>
            </v:rect>
            <v:rect id="_x0000_s3354" style="position:absolute;left:507;top:4069;width:85;height:240;mso-wrap-style:none" filled="f" stroked="f">
              <v:textbox style="mso-fit-shape-to-text:t" inset="0,0,0,0">
                <w:txbxContent>
                  <w:p w:rsidR="00FF2C64" w:rsidRDefault="00FF2C64">
                    <w:r>
                      <w:rPr>
                        <w:rFonts w:ascii="Futura Lt BT" w:hAnsi="Futura Lt BT" w:cs="Futura Lt BT"/>
                        <w:color w:val="000000"/>
                        <w:sz w:val="14"/>
                        <w:szCs w:val="14"/>
                      </w:rPr>
                      <w:t>0</w:t>
                    </w:r>
                  </w:p>
                </w:txbxContent>
              </v:textbox>
            </v:rect>
            <v:rect id="_x0000_s3355" style="position:absolute;left:176;top:3687;width:465;height:480;mso-wrap-style:none" filled="f" stroked="f">
              <v:textbox style="mso-fit-shape-to-text:t" inset="0,0,0,0">
                <w:txbxContent>
                  <w:p w:rsidR="00FF2C64" w:rsidRDefault="00FF2C64">
                    <w:r>
                      <w:rPr>
                        <w:rFonts w:ascii="Futura Lt BT" w:hAnsi="Futura Lt BT" w:cs="Futura Lt BT"/>
                        <w:color w:val="000000"/>
                        <w:sz w:val="14"/>
                        <w:szCs w:val="14"/>
                      </w:rPr>
                      <w:t>10,000</w:t>
                    </w:r>
                  </w:p>
                </w:txbxContent>
              </v:textbox>
            </v:rect>
            <v:rect id="_x0000_s3356" style="position:absolute;left:176;top:3305;width:465;height:480;mso-wrap-style:none" filled="f" stroked="f">
              <v:textbox style="mso-fit-shape-to-text:t" inset="0,0,0,0">
                <w:txbxContent>
                  <w:p w:rsidR="00FF2C64" w:rsidRDefault="00FF2C64">
                    <w:r>
                      <w:rPr>
                        <w:rFonts w:ascii="Futura Lt BT" w:hAnsi="Futura Lt BT" w:cs="Futura Lt BT"/>
                        <w:color w:val="000000"/>
                        <w:sz w:val="14"/>
                        <w:szCs w:val="14"/>
                      </w:rPr>
                      <w:t>20,000</w:t>
                    </w:r>
                  </w:p>
                </w:txbxContent>
              </v:textbox>
            </v:rect>
            <v:rect id="_x0000_s3357" style="position:absolute;left:176;top:2913;width:465;height:480;mso-wrap-style:none" filled="f" stroked="f">
              <v:textbox style="mso-fit-shape-to-text:t" inset="0,0,0,0">
                <w:txbxContent>
                  <w:p w:rsidR="00FF2C64" w:rsidRDefault="00FF2C64">
                    <w:r>
                      <w:rPr>
                        <w:rFonts w:ascii="Futura Lt BT" w:hAnsi="Futura Lt BT" w:cs="Futura Lt BT"/>
                        <w:color w:val="000000"/>
                        <w:sz w:val="14"/>
                        <w:szCs w:val="14"/>
                      </w:rPr>
                      <w:t>30,000</w:t>
                    </w:r>
                  </w:p>
                </w:txbxContent>
              </v:textbox>
            </v:rect>
            <v:rect id="_x0000_s3358" style="position:absolute;left:176;top:2530;width:465;height:480;mso-wrap-style:none" filled="f" stroked="f">
              <v:textbox style="mso-fit-shape-to-text:t" inset="0,0,0,0">
                <w:txbxContent>
                  <w:p w:rsidR="00FF2C64" w:rsidRDefault="00FF2C64">
                    <w:r>
                      <w:rPr>
                        <w:rFonts w:ascii="Futura Lt BT" w:hAnsi="Futura Lt BT" w:cs="Futura Lt BT"/>
                        <w:color w:val="000000"/>
                        <w:sz w:val="14"/>
                        <w:szCs w:val="14"/>
                      </w:rPr>
                      <w:t>40,000</w:t>
                    </w:r>
                  </w:p>
                </w:txbxContent>
              </v:textbox>
            </v:rect>
            <v:rect id="_x0000_s3359" style="position:absolute;left:176;top:2148;width:465;height:480;mso-wrap-style:none" filled="f" stroked="f">
              <v:textbox style="mso-fit-shape-to-text:t" inset="0,0,0,0">
                <w:txbxContent>
                  <w:p w:rsidR="00FF2C64" w:rsidRDefault="00FF2C64">
                    <w:r>
                      <w:rPr>
                        <w:rFonts w:ascii="Futura Lt BT" w:hAnsi="Futura Lt BT" w:cs="Futura Lt BT"/>
                        <w:color w:val="000000"/>
                        <w:sz w:val="14"/>
                        <w:szCs w:val="14"/>
                      </w:rPr>
                      <w:t>50,000</w:t>
                    </w:r>
                  </w:p>
                </w:txbxContent>
              </v:textbox>
            </v:rect>
            <v:rect id="_x0000_s3360" style="position:absolute;left:176;top:1766;width:465;height:480;mso-wrap-style:none" filled="f" stroked="f">
              <v:textbox style="mso-fit-shape-to-text:t" inset="0,0,0,0">
                <w:txbxContent>
                  <w:p w:rsidR="00FF2C64" w:rsidRDefault="00FF2C64">
                    <w:r>
                      <w:rPr>
                        <w:rFonts w:ascii="Futura Lt BT" w:hAnsi="Futura Lt BT" w:cs="Futura Lt BT"/>
                        <w:color w:val="000000"/>
                        <w:sz w:val="14"/>
                        <w:szCs w:val="14"/>
                      </w:rPr>
                      <w:t>60,000</w:t>
                    </w:r>
                  </w:p>
                </w:txbxContent>
              </v:textbox>
            </v:rect>
            <v:rect id="_x0000_s3361" style="position:absolute;left:176;top:1374;width:465;height:480;mso-wrap-style:none" filled="f" stroked="f">
              <v:textbox style="mso-fit-shape-to-text:t" inset="0,0,0,0">
                <w:txbxContent>
                  <w:p w:rsidR="00FF2C64" w:rsidRDefault="00FF2C64">
                    <w:r>
                      <w:rPr>
                        <w:rFonts w:ascii="Futura Lt BT" w:hAnsi="Futura Lt BT" w:cs="Futura Lt BT"/>
                        <w:color w:val="000000"/>
                        <w:sz w:val="14"/>
                        <w:szCs w:val="14"/>
                      </w:rPr>
                      <w:t>70,000</w:t>
                    </w:r>
                  </w:p>
                </w:txbxContent>
              </v:textbox>
            </v:rect>
            <v:rect id="_x0000_s3362" style="position:absolute;left:176;top:992;width:465;height:480;mso-wrap-style:none" filled="f" stroked="f">
              <v:textbox style="mso-fit-shape-to-text:t" inset="0,0,0,0">
                <w:txbxContent>
                  <w:p w:rsidR="00FF2C64" w:rsidRDefault="00FF2C64">
                    <w:r>
                      <w:rPr>
                        <w:rFonts w:ascii="Futura Lt BT" w:hAnsi="Futura Lt BT" w:cs="Futura Lt BT"/>
                        <w:color w:val="000000"/>
                        <w:sz w:val="14"/>
                        <w:szCs w:val="14"/>
                      </w:rPr>
                      <w:t>80,000</w:t>
                    </w:r>
                  </w:p>
                </w:txbxContent>
              </v:textbox>
            </v:rect>
            <v:rect id="_x0000_s3363" style="position:absolute;left:176;top:609;width:465;height:480;mso-wrap-style:none" filled="f" stroked="f">
              <v:textbox style="mso-fit-shape-to-text:t" inset="0,0,0,0">
                <w:txbxContent>
                  <w:p w:rsidR="00FF2C64" w:rsidRDefault="00FF2C64">
                    <w:r>
                      <w:rPr>
                        <w:rFonts w:ascii="Futura Lt BT" w:hAnsi="Futura Lt BT" w:cs="Futura Lt BT"/>
                        <w:color w:val="000000"/>
                        <w:sz w:val="14"/>
                        <w:szCs w:val="14"/>
                      </w:rPr>
                      <w:t>90,000</w:t>
                    </w:r>
                  </w:p>
                </w:txbxContent>
              </v:textbox>
            </v:rect>
            <v:rect id="_x0000_s3364" style="position:absolute;left:1314;top:4266;width:337;height:480;mso-wrap-style:none" filled="f" stroked="f">
              <v:textbox style="mso-fit-shape-to-text:t" inset="0,0,0,0">
                <w:txbxContent>
                  <w:p w:rsidR="00FF2C64" w:rsidRDefault="00FF2C64">
                    <w:r>
                      <w:rPr>
                        <w:rFonts w:ascii="Futura Lt BT" w:hAnsi="Futura Lt BT" w:cs="Futura Lt BT"/>
                        <w:color w:val="000000"/>
                        <w:sz w:val="14"/>
                        <w:szCs w:val="14"/>
                      </w:rPr>
                      <w:t>2004</w:t>
                    </w:r>
                  </w:p>
                </w:txbxContent>
              </v:textbox>
            </v:rect>
            <v:rect id="_x0000_s3365" style="position:absolute;left:2876;top:4266;width:337;height:480;mso-wrap-style:none" filled="f" stroked="f">
              <v:textbox style="mso-fit-shape-to-text:t" inset="0,0,0,0">
                <w:txbxContent>
                  <w:p w:rsidR="00FF2C64" w:rsidRDefault="00FF2C64">
                    <w:r>
                      <w:rPr>
                        <w:rFonts w:ascii="Futura Lt BT" w:hAnsi="Futura Lt BT" w:cs="Futura Lt BT"/>
                        <w:color w:val="000000"/>
                        <w:sz w:val="14"/>
                        <w:szCs w:val="14"/>
                      </w:rPr>
                      <w:t>2005</w:t>
                    </w:r>
                  </w:p>
                </w:txbxContent>
              </v:textbox>
            </v:rect>
            <v:rect id="_x0000_s3366" style="position:absolute;left:4428;top:4266;width:337;height:480;mso-wrap-style:none" filled="f" stroked="f">
              <v:textbox style="mso-fit-shape-to-text:t" inset="0,0,0,0">
                <w:txbxContent>
                  <w:p w:rsidR="00FF2C64" w:rsidRDefault="00FF2C64">
                    <w:r>
                      <w:rPr>
                        <w:rFonts w:ascii="Futura Lt BT" w:hAnsi="Futura Lt BT" w:cs="Futura Lt BT"/>
                        <w:color w:val="000000"/>
                        <w:sz w:val="14"/>
                        <w:szCs w:val="14"/>
                      </w:rPr>
                      <w:t>2006</w:t>
                    </w:r>
                  </w:p>
                </w:txbxContent>
              </v:textbox>
            </v:rect>
            <v:rect id="_x0000_s3367" style="position:absolute;left:5214;top:950;width:1004;height:792" strokeweight="0"/>
            <v:shape id="_x0000_s3368" type="#_x0000_t75" style="position:absolute;left:5266;top:1033;width:73;height:72">
              <v:imagedata r:id="rId46" o:title=""/>
            </v:shape>
            <v:rect id="_x0000_s3369" style="position:absolute;left:5266;top:1033;width:73;height:72" filled="f" strokeweight=".5pt"/>
            <v:rect id="_x0000_s3370" style="position:absolute;left:5380;top:981;width:573;height:480;mso-wrap-style:none" filled="f" stroked="f">
              <v:textbox style="mso-fit-shape-to-text:t" inset="0,0,0,0">
                <w:txbxContent>
                  <w:p w:rsidR="00FF2C64" w:rsidRDefault="00FF2C64">
                    <w:r>
                      <w:rPr>
                        <w:rFonts w:ascii="Futura Lt BT" w:hAnsi="Futura Lt BT" w:cs="Futura Lt BT"/>
                        <w:color w:val="000000"/>
                        <w:sz w:val="14"/>
                        <w:szCs w:val="14"/>
                      </w:rPr>
                      <w:t>Inscritos</w:t>
                    </w:r>
                  </w:p>
                </w:txbxContent>
              </v:textbox>
            </v:rect>
            <v:shape id="_x0000_s3371" type="#_x0000_t75" style="position:absolute;left:5266;top:1250;width:73;height:72">
              <v:imagedata r:id="rId47" o:title=""/>
            </v:shape>
            <v:rect id="_x0000_s3372" style="position:absolute;left:5266;top:1250;width:73;height:72" filled="f" strokeweight=".5pt"/>
            <v:rect id="_x0000_s3373" style="position:absolute;left:5380;top:1198;width:710;height:480;mso-wrap-style:none" filled="f" stroked="f">
              <v:textbox style="mso-fit-shape-to-text:t" inset="0,0,0,0">
                <w:txbxContent>
                  <w:p w:rsidR="00FF2C64" w:rsidRDefault="00FF2C64">
                    <w:r>
                      <w:rPr>
                        <w:rFonts w:ascii="Futura Lt BT" w:hAnsi="Futura Lt BT" w:cs="Futura Lt BT"/>
                        <w:color w:val="000000"/>
                        <w:sz w:val="14"/>
                        <w:szCs w:val="14"/>
                      </w:rPr>
                      <w:t>Evaluados</w:t>
                    </w:r>
                  </w:p>
                </w:txbxContent>
              </v:textbox>
            </v:rect>
            <v:shape id="_x0000_s3374" type="#_x0000_t75" style="position:absolute;left:5266;top:1467;width:73;height:72">
              <v:imagedata r:id="rId48" o:title=""/>
            </v:shape>
            <v:rect id="_x0000_s3375" style="position:absolute;left:5266;top:1467;width:73;height:72" filled="f" strokeweight=".5pt"/>
            <v:rect id="_x0000_s3376" style="position:absolute;left:5380;top:1415;width:802;height:480;mso-wrap-style:none" filled="f" stroked="f">
              <v:textbox style="mso-fit-shape-to-text:t" inset="0,0,0,0">
                <w:txbxContent>
                  <w:p w:rsidR="00FF2C64" w:rsidRDefault="00FF2C64">
                    <w:r>
                      <w:rPr>
                        <w:rFonts w:ascii="Futura Lt BT" w:hAnsi="Futura Lt BT" w:cs="Futura Lt BT"/>
                        <w:color w:val="000000"/>
                        <w:sz w:val="14"/>
                        <w:szCs w:val="14"/>
                      </w:rPr>
                      <w:t>Promovidos</w:t>
                    </w:r>
                  </w:p>
                </w:txbxContent>
              </v:textbox>
            </v:rect>
            <v:rect id="_x0000_s3377" style="position:absolute;left:52;top:52;width:6268;height:4592" filled="f" strokeweight="0"/>
            <w10:anchorlock/>
          </v:group>
        </w:pict>
      </w: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Centro de Cómputo -CONALFA- 2007</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Programa de Becas de la Niña Rural del Ministerio de Educación</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El Ministerio de Educación a través del Programa Becas para la Niña Rural, especialmente indígenas, tiene como objetivo incrementar la inscripción escolar de niñas de zonas rurales, con énfasis en las poblaciones y comunidades que presentan menor índice de cobertura educativa y mayores índices de deserción en el nivel primario. La población meta son niñas entre 7 y 12 años, inscritas en los primeros cuatro grados de educación primaria. Se otorga una asistencia económica de Q. 300.00 anuales a las familias rurales que inscriben a sus hijas en los establecimientos oficiales de la localidad. Las becas para la niña rural se pagan en 18 de los 22 departamentos del país, y principalmente en cinco departamentos con mayor población indígena.</w:t>
      </w:r>
    </w:p>
    <w:p w:rsidR="00B35454" w:rsidRPr="00981E15" w:rsidRDefault="00B35454" w:rsidP="00F455F9">
      <w:pPr>
        <w:pStyle w:val="SingleTxt"/>
        <w:numPr>
          <w:ilvl w:val="0"/>
          <w:numId w:val="42"/>
        </w:numPr>
        <w:tabs>
          <w:tab w:val="clear" w:pos="475"/>
          <w:tab w:val="num" w:pos="1742"/>
        </w:tabs>
        <w:suppressAutoHyphens/>
        <w:ind w:left="1267"/>
      </w:pPr>
      <w:r w:rsidRPr="00981E15">
        <w:t>En el período de tiempo que tiene el programa se ha logrado reducir la brecha de inscripción entre niños y niñas. En el año 1994, cuando la cobertura educativa era del 69% de la población en edad escolar, las inscripciones de niños representaban el 63% contra el 37% de niñas. Al año 2005 la cobertura educativa es del 93.5% y la inscripción de niñas representa el 48.5 del total de inscritos.</w:t>
      </w:r>
    </w:p>
    <w:p w:rsidR="00B35454" w:rsidRPr="00981E15" w:rsidRDefault="00B35454" w:rsidP="00B35454">
      <w:pPr>
        <w:pStyle w:val="SingleTxt"/>
        <w:tabs>
          <w:tab w:val="clear" w:pos="1742"/>
        </w:tabs>
        <w:suppressAutoHyphens/>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rPr>
          <w:b w:val="0"/>
        </w:rPr>
        <w:tab/>
      </w:r>
      <w:r w:rsidRPr="00981E15">
        <w:rPr>
          <w:b w:val="0"/>
        </w:rPr>
        <w:tab/>
        <w:t>Cuadro 40</w:t>
      </w:r>
      <w:r w:rsidRPr="00981E15">
        <w:rPr>
          <w:b w:val="0"/>
        </w:rPr>
        <w:br/>
      </w:r>
      <w:r w:rsidRPr="00981E15">
        <w:t>Becas otorgadas por el Programa “Becas de la Niña Rural”</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B35454" w:rsidRPr="00981E15">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rPr>
                <w:i/>
                <w:kern w:val="0"/>
                <w:sz w:val="14"/>
              </w:rPr>
            </w:pPr>
            <w:r w:rsidRPr="00981E15">
              <w:rPr>
                <w:i/>
                <w:kern w:val="0"/>
                <w:sz w:val="14"/>
              </w:rPr>
              <w:t xml:space="preserve">Departamento </w:t>
            </w:r>
          </w:p>
        </w:tc>
        <w:tc>
          <w:tcPr>
            <w:tcW w:w="122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Población (7–12 años</w:t>
            </w:r>
          </w:p>
        </w:tc>
        <w:tc>
          <w:tcPr>
            <w:tcW w:w="122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Inscriptos (7–12 años)</w:t>
            </w:r>
          </w:p>
        </w:tc>
        <w:tc>
          <w:tcPr>
            <w:tcW w:w="122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Tasa neta de cobertura</w:t>
            </w:r>
          </w:p>
        </w:tc>
        <w:tc>
          <w:tcPr>
            <w:tcW w:w="122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 xml:space="preserve">Beca de primaria otorgadas </w:t>
            </w:r>
          </w:p>
        </w:tc>
        <w:tc>
          <w:tcPr>
            <w:tcW w:w="122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Beca de la niña rural</w:t>
            </w:r>
          </w:p>
        </w:tc>
      </w:tr>
      <w:tr w:rsidR="00B35454" w:rsidRPr="00981E15">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p>
        </w:tc>
        <w:tc>
          <w:tcPr>
            <w:tcW w:w="122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22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r>
      <w:tr w:rsidR="00B35454" w:rsidRPr="00981E15">
        <w:tblPrEx>
          <w:tblCellMar>
            <w:top w:w="0" w:type="dxa"/>
            <w:bottom w:w="0" w:type="dxa"/>
          </w:tblCellMar>
        </w:tblPrEx>
        <w:tc>
          <w:tcPr>
            <w:tcW w:w="122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Alta Verapaz</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166.284</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125.944</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75.74%</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17.616</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11.119</w:t>
            </w:r>
          </w:p>
        </w:tc>
      </w:tr>
      <w:tr w:rsidR="00B35454" w:rsidRPr="00981E15">
        <w:tblPrEx>
          <w:tblCellMar>
            <w:top w:w="0" w:type="dxa"/>
            <w:bottom w:w="0" w:type="dxa"/>
          </w:tblCellMar>
        </w:tblPrEx>
        <w:tc>
          <w:tcPr>
            <w:tcW w:w="122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Huehuetenango</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173 320</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150 992</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87,12%</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20 456</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9 084</w:t>
            </w:r>
          </w:p>
        </w:tc>
      </w:tr>
      <w:tr w:rsidR="00B35454" w:rsidRPr="00981E15">
        <w:tblPrEx>
          <w:tblCellMar>
            <w:top w:w="0" w:type="dxa"/>
            <w:bottom w:w="0" w:type="dxa"/>
          </w:tblCellMar>
        </w:tblPrEx>
        <w:tc>
          <w:tcPr>
            <w:tcW w:w="122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Quiché</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142 578</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125 125</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87,76%</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26 322</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11 284</w:t>
            </w:r>
          </w:p>
        </w:tc>
      </w:tr>
      <w:tr w:rsidR="00B35454" w:rsidRPr="00981E15">
        <w:tblPrEx>
          <w:tblCellMar>
            <w:top w:w="0" w:type="dxa"/>
            <w:bottom w:w="0" w:type="dxa"/>
          </w:tblCellMar>
        </w:tblPrEx>
        <w:tc>
          <w:tcPr>
            <w:tcW w:w="122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Petén</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83 696</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78 406</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93,68%</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12 568</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8 041</w:t>
            </w:r>
          </w:p>
        </w:tc>
      </w:tr>
      <w:tr w:rsidR="00B35454" w:rsidRPr="00981E15">
        <w:tblPrEx>
          <w:tblCellMar>
            <w:top w:w="0" w:type="dxa"/>
            <w:bottom w:w="0" w:type="dxa"/>
          </w:tblCellMar>
        </w:tblPrEx>
        <w:tc>
          <w:tcPr>
            <w:tcW w:w="122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San Marcos</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156 518</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153 079</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97,80%</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19 290</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8 789</w:t>
            </w:r>
          </w:p>
        </w:tc>
      </w:tr>
      <w:tr w:rsidR="00B35454" w:rsidRPr="00981E15">
        <w:tblPrEx>
          <w:tblCellMar>
            <w:top w:w="0" w:type="dxa"/>
            <w:bottom w:w="0" w:type="dxa"/>
          </w:tblCellMar>
        </w:tblPrEx>
        <w:tc>
          <w:tcPr>
            <w:tcW w:w="122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Suman</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p>
        </w:tc>
        <w:tc>
          <w:tcPr>
            <w:tcW w:w="1220" w:type="dxa"/>
            <w:shd w:val="clear" w:color="auto" w:fill="auto"/>
            <w:vAlign w:val="bottom"/>
          </w:tcPr>
          <w:p w:rsidR="00B35454" w:rsidRPr="00981E15" w:rsidRDefault="00B35454" w:rsidP="00B35454">
            <w:pPr>
              <w:spacing w:before="40" w:after="40" w:line="210" w:lineRule="exact"/>
              <w:ind w:right="43"/>
              <w:jc w:val="right"/>
              <w:rPr>
                <w:b/>
                <w:bCs/>
                <w:sz w:val="17"/>
                <w:szCs w:val="17"/>
              </w:rPr>
            </w:pPr>
            <w:r w:rsidRPr="00981E15">
              <w:rPr>
                <w:b/>
                <w:bCs/>
                <w:sz w:val="17"/>
                <w:szCs w:val="17"/>
              </w:rPr>
              <w:t>96 252</w:t>
            </w:r>
          </w:p>
        </w:tc>
        <w:tc>
          <w:tcPr>
            <w:tcW w:w="1220" w:type="dxa"/>
            <w:shd w:val="clear" w:color="auto" w:fill="auto"/>
            <w:vAlign w:val="bottom"/>
          </w:tcPr>
          <w:p w:rsidR="00B35454" w:rsidRPr="00981E15" w:rsidRDefault="00B35454" w:rsidP="00B35454">
            <w:pPr>
              <w:spacing w:before="40" w:after="40" w:line="210" w:lineRule="exact"/>
              <w:ind w:right="43"/>
              <w:jc w:val="right"/>
              <w:rPr>
                <w:b/>
                <w:bCs/>
                <w:sz w:val="17"/>
                <w:szCs w:val="17"/>
              </w:rPr>
            </w:pPr>
            <w:r w:rsidRPr="00981E15">
              <w:rPr>
                <w:b/>
                <w:bCs/>
                <w:sz w:val="17"/>
                <w:szCs w:val="17"/>
              </w:rPr>
              <w:t>48 317</w:t>
            </w:r>
          </w:p>
        </w:tc>
      </w:tr>
      <w:tr w:rsidR="00B35454" w:rsidRPr="00981E15">
        <w:tblPrEx>
          <w:tblCellMar>
            <w:top w:w="0" w:type="dxa"/>
            <w:bottom w:w="0" w:type="dxa"/>
          </w:tblCellMar>
        </w:tblPrEx>
        <w:tc>
          <w:tcPr>
            <w:tcW w:w="122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Total de becas</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139 999</w:t>
            </w:r>
          </w:p>
        </w:tc>
        <w:tc>
          <w:tcPr>
            <w:tcW w:w="1220" w:type="dxa"/>
            <w:shd w:val="clear" w:color="auto" w:fill="auto"/>
            <w:vAlign w:val="bottom"/>
          </w:tcPr>
          <w:p w:rsidR="00B35454" w:rsidRPr="00981E15" w:rsidRDefault="00B35454" w:rsidP="00B35454">
            <w:pPr>
              <w:spacing w:before="40" w:after="40" w:line="210" w:lineRule="exact"/>
              <w:ind w:right="43"/>
              <w:jc w:val="right"/>
              <w:rPr>
                <w:sz w:val="17"/>
                <w:szCs w:val="17"/>
              </w:rPr>
            </w:pPr>
            <w:r w:rsidRPr="00981E15">
              <w:rPr>
                <w:sz w:val="17"/>
                <w:szCs w:val="17"/>
              </w:rPr>
              <w:t>73 333</w:t>
            </w:r>
          </w:p>
        </w:tc>
      </w:tr>
      <w:tr w:rsidR="00B35454" w:rsidRPr="00981E15">
        <w:tblPrEx>
          <w:tblCellMar>
            <w:top w:w="0" w:type="dxa"/>
            <w:bottom w:w="0" w:type="dxa"/>
          </w:tblCellMar>
        </w:tblPrEx>
        <w:tc>
          <w:tcPr>
            <w:tcW w:w="2440" w:type="dxa"/>
            <w:gridSpan w:val="2"/>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 de estos departamentos</w:t>
            </w:r>
          </w:p>
        </w:tc>
        <w:tc>
          <w:tcPr>
            <w:tcW w:w="1220" w:type="dxa"/>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kern w:val="0"/>
                <w:sz w:val="17"/>
              </w:rPr>
            </w:pPr>
          </w:p>
        </w:tc>
        <w:tc>
          <w:tcPr>
            <w:tcW w:w="1220" w:type="dxa"/>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kern w:val="0"/>
                <w:sz w:val="17"/>
              </w:rPr>
            </w:pPr>
          </w:p>
        </w:tc>
        <w:tc>
          <w:tcPr>
            <w:tcW w:w="1220" w:type="dxa"/>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kern w:val="0"/>
                <w:sz w:val="17"/>
              </w:rPr>
            </w:pPr>
            <w:r w:rsidRPr="00981E15">
              <w:rPr>
                <w:kern w:val="0"/>
                <w:sz w:val="17"/>
              </w:rPr>
              <w:t>68,75%</w:t>
            </w:r>
          </w:p>
        </w:tc>
        <w:tc>
          <w:tcPr>
            <w:tcW w:w="1220" w:type="dxa"/>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jc w:val="right"/>
              <w:rPr>
                <w:kern w:val="0"/>
                <w:sz w:val="17"/>
              </w:rPr>
            </w:pPr>
            <w:r w:rsidRPr="00981E15">
              <w:rPr>
                <w:kern w:val="0"/>
                <w:sz w:val="17"/>
              </w:rPr>
              <w:t>65,89%</w:t>
            </w:r>
          </w:p>
        </w:tc>
      </w:tr>
    </w:tbl>
    <w:p w:rsidR="00B35454" w:rsidRPr="00981E15" w:rsidRDefault="00B35454" w:rsidP="00B35454">
      <w:pPr>
        <w:pStyle w:val="FootnoteText"/>
        <w:tabs>
          <w:tab w:val="clear" w:pos="418"/>
          <w:tab w:val="right" w:pos="1476"/>
          <w:tab w:val="left" w:pos="1548"/>
          <w:tab w:val="right" w:pos="1836"/>
          <w:tab w:val="left" w:pos="1908"/>
        </w:tabs>
        <w:spacing w:line="120" w:lineRule="exact"/>
        <w:ind w:left="1548" w:right="1267" w:hanging="288"/>
        <w:rPr>
          <w:sz w:val="10"/>
        </w:rPr>
      </w:pP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MINEDUC. Agosto 2007.</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Programa Nacional de Autogestión para el Desarrollo Educativo (PRONADE)</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Tanto los Acuerdos de Paz como los planteamientos de la Reforma Educativa indican la necesidad de crear mecanismos que faciliten el acceso de las comunidades en el área rural a la educación, la promoción de modalidades que faciliten dicho acceso, la descentralización y la participación protagónica de las comunidades. El Programa Nacional de Autogestión para el Desarrollo Educativo (PRONADE) se inició en 1996 por medio del Acuerdo Gubernativo 457-96 y presta atención a comunidades rurales, en su mayoría de difícil acceso. En la actualidad PRONADE atiende más de 3,400 escuelas en todo el país. PRONADE opera en las poblaciones a través de Comités Educativos locales (COEDUCAs) que se organizan legalmente para administrar la Escuela de Autogestión Comunitaria (EAC) en forma descentralizada y con financiamiento del Ministerio de Educación (MINEDUC). </w:t>
      </w:r>
    </w:p>
    <w:p w:rsidR="00B35454" w:rsidRPr="00981E15" w:rsidRDefault="00B35454" w:rsidP="00F455F9">
      <w:pPr>
        <w:pStyle w:val="SingleTxt"/>
        <w:numPr>
          <w:ilvl w:val="0"/>
          <w:numId w:val="42"/>
        </w:numPr>
        <w:tabs>
          <w:tab w:val="clear" w:pos="475"/>
          <w:tab w:val="num" w:pos="1742"/>
        </w:tabs>
        <w:suppressAutoHyphens/>
        <w:ind w:left="1267"/>
      </w:pPr>
      <w:r w:rsidRPr="00981E15">
        <w:t>Este programa tiene como objetivo promover la participación de padres y madres de familia como responsables de la educación de sus hijos e hijas; fortalecer la organización local, para lograr el desarrollo de las comunidades; descentralizar el servicio educativo y distribuir las funciones y compartir responsabilidades con los COEDUCAS y otras dependencias del MINEDUC. El Programa se sustenta en los principios de solidaridad, participación ciudadana, eficiencia administrativa y fortalecimiento de la democracia.</w:t>
      </w:r>
    </w:p>
    <w:p w:rsidR="00B35454" w:rsidRPr="00981E15" w:rsidRDefault="00B35454" w:rsidP="00F455F9">
      <w:pPr>
        <w:pStyle w:val="SingleTxt"/>
        <w:numPr>
          <w:ilvl w:val="0"/>
          <w:numId w:val="42"/>
        </w:numPr>
        <w:tabs>
          <w:tab w:val="clear" w:pos="475"/>
          <w:tab w:val="num" w:pos="1742"/>
        </w:tabs>
        <w:suppressAutoHyphens/>
        <w:ind w:left="1267"/>
      </w:pPr>
      <w:r w:rsidRPr="00981E15">
        <w:t>A través de PRONADE, se han obtenido los siguientes logros: 1) El empoderamiento de 3,433 comités a nivel nacional; 2) El aumento de la cobertura a casi la totalidad de los departamentos del país, 21 de los 22 departamentos; 3) El incremento del éxito escolar y la permanencia de los niños y de las niñas en la escuela. 4) El cumplimiento de las metas de cobertura, un año antes. 5) El incremento de horas efectivas de clase. 6) El incremento días de clase al año; 7) La asignación de maestros que hablan el mismo idioma que sus alumnos y alumnas.</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Servicios de salud</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Los resultados de la Encuesta Nacional de Condiciones de Vida (ENCOVI) 2006, muestran el lugar de atención y la demanda de servicios básicos de salud de todas las personas del hogar, por área, sexo y grupo étnico:</w:t>
      </w:r>
    </w:p>
    <w:p w:rsidR="00B35454" w:rsidRPr="00981E15" w:rsidRDefault="00A305DE"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rPr>
          <w:b w:val="0"/>
        </w:rPr>
        <w:br w:type="page"/>
      </w:r>
      <w:r w:rsidR="00B35454" w:rsidRPr="00981E15">
        <w:rPr>
          <w:b w:val="0"/>
        </w:rPr>
        <w:tab/>
      </w:r>
      <w:r w:rsidR="00B35454" w:rsidRPr="00981E15">
        <w:rPr>
          <w:b w:val="0"/>
        </w:rPr>
        <w:tab/>
        <w:t>Cuadro 41</w:t>
      </w:r>
      <w:r w:rsidR="00B35454" w:rsidRPr="00981E15">
        <w:rPr>
          <w:b w:val="0"/>
        </w:rPr>
        <w:br/>
      </w:r>
      <w:r w:rsidR="00B35454" w:rsidRPr="00981E15">
        <w:t>Demanda y acceso a los servicios de salud</w:t>
      </w:r>
    </w:p>
    <w:p w:rsidR="00A305DE" w:rsidRPr="00981E15" w:rsidRDefault="00A305DE" w:rsidP="00A305DE">
      <w:pPr>
        <w:pStyle w:val="SingleTxt"/>
        <w:spacing w:after="0" w:line="120" w:lineRule="exact"/>
        <w:rPr>
          <w:sz w:val="10"/>
        </w:rPr>
      </w:pPr>
    </w:p>
    <w:p w:rsidR="00B35454" w:rsidRPr="00981E15" w:rsidRDefault="00B35454" w:rsidP="00B3545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3"/>
        <w:gridCol w:w="226"/>
        <w:gridCol w:w="1463"/>
        <w:gridCol w:w="627"/>
        <w:gridCol w:w="627"/>
        <w:gridCol w:w="699"/>
        <w:gridCol w:w="117"/>
        <w:gridCol w:w="594"/>
        <w:gridCol w:w="711"/>
        <w:gridCol w:w="108"/>
        <w:gridCol w:w="612"/>
        <w:gridCol w:w="720"/>
      </w:tblGrid>
      <w:tr w:rsidR="00B35454" w:rsidRPr="00981E15">
        <w:tblPrEx>
          <w:tblCellMar>
            <w:top w:w="0" w:type="dxa"/>
            <w:bottom w:w="0" w:type="dxa"/>
          </w:tblCellMar>
        </w:tblPrEx>
        <w:trPr>
          <w:tblHeader/>
        </w:trPr>
        <w:tc>
          <w:tcPr>
            <w:tcW w:w="2502" w:type="dxa"/>
            <w:gridSpan w:val="3"/>
            <w:vMerge w:val="restart"/>
            <w:tcBorders>
              <w:top w:val="single" w:sz="4" w:space="0" w:color="auto"/>
            </w:tcBorders>
            <w:shd w:val="clear" w:color="auto" w:fill="auto"/>
            <w:vAlign w:val="bottom"/>
          </w:tcPr>
          <w:p w:rsidR="00B35454" w:rsidRPr="00981E15" w:rsidRDefault="00B35454" w:rsidP="00264B09">
            <w:pPr>
              <w:tabs>
                <w:tab w:val="left" w:pos="288"/>
                <w:tab w:val="left" w:pos="576"/>
                <w:tab w:val="left" w:pos="864"/>
                <w:tab w:val="left" w:pos="1152"/>
              </w:tabs>
              <w:spacing w:before="80" w:after="80" w:line="160" w:lineRule="exact"/>
              <w:ind w:right="43"/>
              <w:rPr>
                <w:i/>
                <w:kern w:val="0"/>
                <w:sz w:val="14"/>
              </w:rPr>
            </w:pPr>
            <w:r w:rsidRPr="00981E15">
              <w:rPr>
                <w:i/>
                <w:kern w:val="0"/>
                <w:sz w:val="14"/>
              </w:rPr>
              <w:t>Características</w:t>
            </w:r>
          </w:p>
        </w:tc>
        <w:tc>
          <w:tcPr>
            <w:tcW w:w="627" w:type="dxa"/>
            <w:vMerge w:val="restart"/>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Total</w:t>
            </w:r>
          </w:p>
        </w:tc>
        <w:tc>
          <w:tcPr>
            <w:tcW w:w="1326" w:type="dxa"/>
            <w:gridSpan w:val="2"/>
            <w:tcBorders>
              <w:top w:val="single" w:sz="4" w:space="0" w:color="auto"/>
              <w:bottom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r w:rsidRPr="00981E15">
              <w:rPr>
                <w:i/>
                <w:kern w:val="0"/>
                <w:sz w:val="14"/>
              </w:rPr>
              <w:t>Área</w:t>
            </w:r>
          </w:p>
        </w:tc>
        <w:tc>
          <w:tcPr>
            <w:tcW w:w="117"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p>
        </w:tc>
        <w:tc>
          <w:tcPr>
            <w:tcW w:w="1305" w:type="dxa"/>
            <w:gridSpan w:val="2"/>
            <w:tcBorders>
              <w:top w:val="single" w:sz="4" w:space="0" w:color="auto"/>
              <w:bottom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r w:rsidRPr="00981E15">
              <w:rPr>
                <w:i/>
                <w:kern w:val="0"/>
                <w:sz w:val="14"/>
              </w:rPr>
              <w:t>Sexo</w:t>
            </w:r>
          </w:p>
        </w:tc>
        <w:tc>
          <w:tcPr>
            <w:tcW w:w="108"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p>
        </w:tc>
        <w:tc>
          <w:tcPr>
            <w:tcW w:w="1332" w:type="dxa"/>
            <w:gridSpan w:val="2"/>
            <w:tcBorders>
              <w:top w:val="single" w:sz="4" w:space="0" w:color="auto"/>
              <w:bottom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r w:rsidRPr="00981E15">
              <w:rPr>
                <w:i/>
                <w:kern w:val="0"/>
                <w:sz w:val="14"/>
              </w:rPr>
              <w:t>Grupo étnico</w:t>
            </w:r>
          </w:p>
        </w:tc>
      </w:tr>
      <w:tr w:rsidR="00B35454" w:rsidRPr="00981E15">
        <w:tblPrEx>
          <w:tblCellMar>
            <w:top w:w="0" w:type="dxa"/>
            <w:bottom w:w="0" w:type="dxa"/>
          </w:tblCellMar>
        </w:tblPrEx>
        <w:trPr>
          <w:tblHeader/>
        </w:trPr>
        <w:tc>
          <w:tcPr>
            <w:tcW w:w="2502" w:type="dxa"/>
            <w:gridSpan w:val="3"/>
            <w:vMerge/>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p>
        </w:tc>
        <w:tc>
          <w:tcPr>
            <w:tcW w:w="627" w:type="dxa"/>
            <w:vMerge/>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center"/>
              <w:rPr>
                <w:i/>
                <w:kern w:val="0"/>
                <w:sz w:val="14"/>
              </w:rPr>
            </w:pPr>
          </w:p>
        </w:tc>
        <w:tc>
          <w:tcPr>
            <w:tcW w:w="627"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Urbana</w:t>
            </w:r>
          </w:p>
        </w:tc>
        <w:tc>
          <w:tcPr>
            <w:tcW w:w="699"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Rural</w:t>
            </w:r>
          </w:p>
        </w:tc>
        <w:tc>
          <w:tcPr>
            <w:tcW w:w="711" w:type="dxa"/>
            <w:gridSpan w:val="2"/>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Hombre</w:t>
            </w:r>
          </w:p>
        </w:tc>
        <w:tc>
          <w:tcPr>
            <w:tcW w:w="711" w:type="dxa"/>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Mujer</w:t>
            </w:r>
          </w:p>
        </w:tc>
        <w:tc>
          <w:tcPr>
            <w:tcW w:w="720" w:type="dxa"/>
            <w:gridSpan w:val="2"/>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Indígena</w:t>
            </w:r>
          </w:p>
        </w:tc>
        <w:tc>
          <w:tcPr>
            <w:tcW w:w="720" w:type="dxa"/>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3"/>
              <w:jc w:val="right"/>
              <w:rPr>
                <w:i/>
                <w:kern w:val="0"/>
                <w:sz w:val="14"/>
              </w:rPr>
            </w:pPr>
            <w:r w:rsidRPr="00981E15">
              <w:rPr>
                <w:i/>
                <w:kern w:val="0"/>
                <w:sz w:val="14"/>
              </w:rPr>
              <w:t>No indígena</w:t>
            </w:r>
          </w:p>
        </w:tc>
      </w:tr>
      <w:tr w:rsidR="00B35454" w:rsidRPr="00981E15">
        <w:tblPrEx>
          <w:tblCellMar>
            <w:top w:w="0" w:type="dxa"/>
            <w:bottom w:w="0" w:type="dxa"/>
          </w:tblCellMar>
        </w:tblPrEx>
        <w:trPr>
          <w:trHeight w:hRule="exact" w:val="115"/>
          <w:tblHeader/>
        </w:trPr>
        <w:tc>
          <w:tcPr>
            <w:tcW w:w="813"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p>
        </w:tc>
        <w:tc>
          <w:tcPr>
            <w:tcW w:w="1689" w:type="dxa"/>
            <w:gridSpan w:val="2"/>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627"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627"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699"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711" w:type="dxa"/>
            <w:gridSpan w:val="2"/>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711"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720" w:type="dxa"/>
            <w:gridSpan w:val="2"/>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72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r>
      <w:tr w:rsidR="00B35454" w:rsidRPr="00981E15">
        <w:tblPrEx>
          <w:tblCellMar>
            <w:top w:w="0" w:type="dxa"/>
            <w:bottom w:w="0" w:type="dxa"/>
          </w:tblCellMar>
        </w:tblPrEx>
        <w:tc>
          <w:tcPr>
            <w:tcW w:w="2502" w:type="dxa"/>
            <w:gridSpan w:val="3"/>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b/>
                <w:kern w:val="0"/>
                <w:sz w:val="17"/>
              </w:rPr>
            </w:pPr>
            <w:r w:rsidRPr="00981E15">
              <w:rPr>
                <w:b/>
                <w:kern w:val="0"/>
                <w:sz w:val="17"/>
              </w:rPr>
              <w:t>Total Nacional</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b/>
                <w:sz w:val="17"/>
                <w:szCs w:val="17"/>
              </w:rPr>
            </w:pPr>
            <w:r w:rsidRPr="00981E15">
              <w:rPr>
                <w:b/>
                <w:sz w:val="17"/>
                <w:szCs w:val="17"/>
              </w:rPr>
              <w:t>100,0</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b/>
                <w:sz w:val="17"/>
                <w:szCs w:val="17"/>
              </w:rPr>
            </w:pPr>
            <w:r w:rsidRPr="00981E15">
              <w:rPr>
                <w:b/>
                <w:sz w:val="17"/>
                <w:szCs w:val="17"/>
              </w:rPr>
              <w:t>100,00</w:t>
            </w:r>
          </w:p>
        </w:tc>
        <w:tc>
          <w:tcPr>
            <w:tcW w:w="699" w:type="dxa"/>
            <w:shd w:val="clear" w:color="auto" w:fill="auto"/>
            <w:vAlign w:val="bottom"/>
          </w:tcPr>
          <w:p w:rsidR="00B35454" w:rsidRPr="00981E15" w:rsidRDefault="00B35454" w:rsidP="00B35454">
            <w:pPr>
              <w:tabs>
                <w:tab w:val="left" w:pos="0"/>
              </w:tabs>
              <w:spacing w:before="40" w:after="40" w:line="210" w:lineRule="exact"/>
              <w:ind w:right="43"/>
              <w:jc w:val="right"/>
              <w:rPr>
                <w:b/>
                <w:sz w:val="17"/>
                <w:szCs w:val="17"/>
              </w:rPr>
            </w:pPr>
            <w:r w:rsidRPr="00981E15">
              <w:rPr>
                <w:b/>
                <w:sz w:val="17"/>
                <w:szCs w:val="17"/>
              </w:rPr>
              <w:t>100,0</w:t>
            </w:r>
          </w:p>
        </w:tc>
        <w:tc>
          <w:tcPr>
            <w:tcW w:w="711"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b/>
                <w:sz w:val="17"/>
                <w:szCs w:val="17"/>
              </w:rPr>
            </w:pPr>
            <w:r w:rsidRPr="00981E15">
              <w:rPr>
                <w:b/>
                <w:sz w:val="17"/>
                <w:szCs w:val="17"/>
              </w:rPr>
              <w:t>100,0</w:t>
            </w:r>
          </w:p>
        </w:tc>
        <w:tc>
          <w:tcPr>
            <w:tcW w:w="711" w:type="dxa"/>
            <w:shd w:val="clear" w:color="auto" w:fill="auto"/>
            <w:vAlign w:val="bottom"/>
          </w:tcPr>
          <w:p w:rsidR="00B35454" w:rsidRPr="00981E15" w:rsidRDefault="00B35454" w:rsidP="00B35454">
            <w:pPr>
              <w:tabs>
                <w:tab w:val="left" w:pos="0"/>
              </w:tabs>
              <w:spacing w:before="40" w:after="40" w:line="210" w:lineRule="exact"/>
              <w:ind w:right="43"/>
              <w:jc w:val="right"/>
              <w:rPr>
                <w:b/>
                <w:sz w:val="17"/>
                <w:szCs w:val="17"/>
              </w:rPr>
            </w:pPr>
            <w:r w:rsidRPr="00981E15">
              <w:rPr>
                <w:b/>
                <w:sz w:val="17"/>
                <w:szCs w:val="17"/>
              </w:rPr>
              <w:t>100,0</w:t>
            </w:r>
          </w:p>
        </w:tc>
        <w:tc>
          <w:tcPr>
            <w:tcW w:w="720"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b/>
                <w:sz w:val="17"/>
                <w:szCs w:val="17"/>
              </w:rPr>
            </w:pPr>
            <w:r w:rsidRPr="00981E15">
              <w:rPr>
                <w:b/>
                <w:sz w:val="17"/>
                <w:szCs w:val="17"/>
              </w:rPr>
              <w:t>100,0</w:t>
            </w:r>
          </w:p>
        </w:tc>
        <w:tc>
          <w:tcPr>
            <w:tcW w:w="720" w:type="dxa"/>
            <w:shd w:val="clear" w:color="auto" w:fill="auto"/>
            <w:vAlign w:val="bottom"/>
          </w:tcPr>
          <w:p w:rsidR="00B35454" w:rsidRPr="00981E15" w:rsidRDefault="00B35454" w:rsidP="00B35454">
            <w:pPr>
              <w:tabs>
                <w:tab w:val="left" w:pos="0"/>
              </w:tabs>
              <w:spacing w:before="40" w:after="40" w:line="210" w:lineRule="exact"/>
              <w:ind w:right="43"/>
              <w:jc w:val="right"/>
              <w:rPr>
                <w:b/>
                <w:sz w:val="17"/>
                <w:szCs w:val="17"/>
              </w:rPr>
            </w:pPr>
            <w:r w:rsidRPr="00981E15">
              <w:rPr>
                <w:b/>
                <w:sz w:val="17"/>
                <w:szCs w:val="17"/>
              </w:rPr>
              <w:t>100,0</w:t>
            </w:r>
          </w:p>
        </w:tc>
      </w:tr>
      <w:tr w:rsidR="00B35454" w:rsidRPr="00981E15">
        <w:tblPrEx>
          <w:tblCellMar>
            <w:top w:w="0" w:type="dxa"/>
            <w:bottom w:w="0" w:type="dxa"/>
          </w:tblCellMar>
        </w:tblPrEx>
        <w:tc>
          <w:tcPr>
            <w:tcW w:w="1039" w:type="dxa"/>
            <w:gridSpan w:val="2"/>
            <w:vMerge w:val="restart"/>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Demanda de servicios de salud</w:t>
            </w:r>
          </w:p>
        </w:tc>
        <w:tc>
          <w:tcPr>
            <w:tcW w:w="1463"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Demandaron</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51,0</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57,5</w:t>
            </w:r>
          </w:p>
        </w:tc>
        <w:tc>
          <w:tcPr>
            <w:tcW w:w="69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44,1</w:t>
            </w:r>
          </w:p>
        </w:tc>
        <w:tc>
          <w:tcPr>
            <w:tcW w:w="711"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49,1</w:t>
            </w:r>
          </w:p>
        </w:tc>
        <w:tc>
          <w:tcPr>
            <w:tcW w:w="711"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52,3</w:t>
            </w:r>
          </w:p>
        </w:tc>
        <w:tc>
          <w:tcPr>
            <w:tcW w:w="720"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42,5</w:t>
            </w:r>
          </w:p>
        </w:tc>
        <w:tc>
          <w:tcPr>
            <w:tcW w:w="720"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55,4</w:t>
            </w:r>
          </w:p>
        </w:tc>
      </w:tr>
      <w:tr w:rsidR="00B35454" w:rsidRPr="00981E15">
        <w:tblPrEx>
          <w:tblCellMar>
            <w:top w:w="0" w:type="dxa"/>
            <w:bottom w:w="0" w:type="dxa"/>
          </w:tblCellMar>
        </w:tblPrEx>
        <w:tc>
          <w:tcPr>
            <w:tcW w:w="1039" w:type="dxa"/>
            <w:gridSpan w:val="2"/>
            <w:vMerge/>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463"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No demandaron</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49,0</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42,5</w:t>
            </w:r>
          </w:p>
        </w:tc>
        <w:tc>
          <w:tcPr>
            <w:tcW w:w="69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55,9</w:t>
            </w:r>
          </w:p>
        </w:tc>
        <w:tc>
          <w:tcPr>
            <w:tcW w:w="711"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50,1</w:t>
            </w:r>
          </w:p>
        </w:tc>
        <w:tc>
          <w:tcPr>
            <w:tcW w:w="711"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47,7</w:t>
            </w:r>
          </w:p>
        </w:tc>
        <w:tc>
          <w:tcPr>
            <w:tcW w:w="720"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57,5</w:t>
            </w:r>
          </w:p>
        </w:tc>
        <w:tc>
          <w:tcPr>
            <w:tcW w:w="720"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44,6</w:t>
            </w:r>
          </w:p>
        </w:tc>
      </w:tr>
      <w:tr w:rsidR="00B35454" w:rsidRPr="00981E15">
        <w:tblPrEx>
          <w:tblCellMar>
            <w:top w:w="0" w:type="dxa"/>
            <w:bottom w:w="0" w:type="dxa"/>
          </w:tblCellMar>
        </w:tblPrEx>
        <w:tc>
          <w:tcPr>
            <w:tcW w:w="1039" w:type="dxa"/>
            <w:gridSpan w:val="2"/>
            <w:vMerge w:val="restart"/>
            <w:shd w:val="clear" w:color="auto" w:fill="auto"/>
            <w:vAlign w:val="bottom"/>
          </w:tcPr>
          <w:p w:rsidR="00B35454" w:rsidRPr="00981E15" w:rsidRDefault="00B35454" w:rsidP="00264B09">
            <w:pPr>
              <w:tabs>
                <w:tab w:val="left" w:pos="288"/>
                <w:tab w:val="left" w:pos="576"/>
                <w:tab w:val="left" w:pos="864"/>
                <w:tab w:val="left" w:pos="1152"/>
              </w:tabs>
              <w:spacing w:before="40" w:after="80" w:line="210" w:lineRule="exact"/>
              <w:ind w:right="43"/>
              <w:rPr>
                <w:kern w:val="0"/>
                <w:sz w:val="17"/>
              </w:rPr>
            </w:pPr>
            <w:r w:rsidRPr="00981E15">
              <w:rPr>
                <w:kern w:val="0"/>
                <w:sz w:val="17"/>
              </w:rPr>
              <w:t>Lugar de atención</w:t>
            </w:r>
          </w:p>
        </w:tc>
        <w:tc>
          <w:tcPr>
            <w:tcW w:w="1463"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Público</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43,2</w:t>
            </w:r>
          </w:p>
        </w:tc>
        <w:tc>
          <w:tcPr>
            <w:tcW w:w="627"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36,0</w:t>
            </w:r>
          </w:p>
        </w:tc>
        <w:tc>
          <w:tcPr>
            <w:tcW w:w="699"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53,0</w:t>
            </w:r>
          </w:p>
        </w:tc>
        <w:tc>
          <w:tcPr>
            <w:tcW w:w="711"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43,6</w:t>
            </w:r>
          </w:p>
        </w:tc>
        <w:tc>
          <w:tcPr>
            <w:tcW w:w="711"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42,9</w:t>
            </w:r>
          </w:p>
        </w:tc>
        <w:tc>
          <w:tcPr>
            <w:tcW w:w="720" w:type="dxa"/>
            <w:gridSpan w:val="2"/>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49,6</w:t>
            </w:r>
          </w:p>
        </w:tc>
        <w:tc>
          <w:tcPr>
            <w:tcW w:w="720" w:type="dxa"/>
            <w:shd w:val="clear" w:color="auto" w:fill="auto"/>
            <w:vAlign w:val="bottom"/>
          </w:tcPr>
          <w:p w:rsidR="00B35454" w:rsidRPr="00981E15" w:rsidRDefault="00B35454" w:rsidP="00B35454">
            <w:pPr>
              <w:tabs>
                <w:tab w:val="left" w:pos="0"/>
              </w:tabs>
              <w:spacing w:before="40" w:after="40" w:line="210" w:lineRule="exact"/>
              <w:ind w:right="43"/>
              <w:jc w:val="right"/>
              <w:rPr>
                <w:sz w:val="17"/>
                <w:szCs w:val="17"/>
              </w:rPr>
            </w:pPr>
            <w:r w:rsidRPr="00981E15">
              <w:rPr>
                <w:sz w:val="17"/>
                <w:szCs w:val="17"/>
              </w:rPr>
              <w:t>40,7</w:t>
            </w:r>
          </w:p>
        </w:tc>
      </w:tr>
      <w:tr w:rsidR="00B35454" w:rsidRPr="00981E15">
        <w:tblPrEx>
          <w:tblCellMar>
            <w:top w:w="0" w:type="dxa"/>
            <w:bottom w:w="0" w:type="dxa"/>
          </w:tblCellMar>
        </w:tblPrEx>
        <w:tc>
          <w:tcPr>
            <w:tcW w:w="1039" w:type="dxa"/>
            <w:gridSpan w:val="2"/>
            <w:vMerge/>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p>
        </w:tc>
        <w:tc>
          <w:tcPr>
            <w:tcW w:w="1463" w:type="dxa"/>
            <w:tcBorders>
              <w:bottom w:val="single" w:sz="12" w:space="0" w:color="auto"/>
            </w:tcBorders>
            <w:shd w:val="clear" w:color="auto" w:fill="auto"/>
            <w:vAlign w:val="bottom"/>
          </w:tcPr>
          <w:p w:rsidR="00B35454" w:rsidRPr="00981E15" w:rsidRDefault="00B35454" w:rsidP="00264B09">
            <w:pPr>
              <w:tabs>
                <w:tab w:val="left" w:pos="288"/>
                <w:tab w:val="left" w:pos="576"/>
                <w:tab w:val="left" w:pos="864"/>
                <w:tab w:val="left" w:pos="1152"/>
              </w:tabs>
              <w:spacing w:before="40" w:after="80" w:line="210" w:lineRule="exact"/>
              <w:ind w:right="43"/>
              <w:rPr>
                <w:kern w:val="0"/>
                <w:sz w:val="17"/>
              </w:rPr>
            </w:pPr>
            <w:r w:rsidRPr="00981E15">
              <w:rPr>
                <w:kern w:val="0"/>
                <w:sz w:val="17"/>
              </w:rPr>
              <w:t>Privado</w:t>
            </w:r>
          </w:p>
        </w:tc>
        <w:tc>
          <w:tcPr>
            <w:tcW w:w="627" w:type="dxa"/>
            <w:tcBorders>
              <w:bottom w:val="single" w:sz="12" w:space="0" w:color="auto"/>
            </w:tcBorders>
            <w:shd w:val="clear" w:color="auto" w:fill="auto"/>
            <w:vAlign w:val="bottom"/>
          </w:tcPr>
          <w:p w:rsidR="00B35454" w:rsidRPr="00981E15" w:rsidRDefault="00B35454" w:rsidP="00264B09">
            <w:pPr>
              <w:tabs>
                <w:tab w:val="left" w:pos="0"/>
              </w:tabs>
              <w:spacing w:before="40" w:after="80" w:line="210" w:lineRule="exact"/>
              <w:ind w:right="43"/>
              <w:jc w:val="right"/>
              <w:rPr>
                <w:sz w:val="17"/>
                <w:szCs w:val="17"/>
              </w:rPr>
            </w:pPr>
            <w:r w:rsidRPr="00981E15">
              <w:rPr>
                <w:sz w:val="17"/>
                <w:szCs w:val="17"/>
              </w:rPr>
              <w:t>56,8</w:t>
            </w:r>
          </w:p>
        </w:tc>
        <w:tc>
          <w:tcPr>
            <w:tcW w:w="627" w:type="dxa"/>
            <w:tcBorders>
              <w:bottom w:val="single" w:sz="12" w:space="0" w:color="auto"/>
            </w:tcBorders>
            <w:shd w:val="clear" w:color="auto" w:fill="auto"/>
            <w:vAlign w:val="bottom"/>
          </w:tcPr>
          <w:p w:rsidR="00B35454" w:rsidRPr="00981E15" w:rsidRDefault="00B35454" w:rsidP="00264B09">
            <w:pPr>
              <w:tabs>
                <w:tab w:val="left" w:pos="0"/>
              </w:tabs>
              <w:spacing w:before="40" w:after="80" w:line="210" w:lineRule="exact"/>
              <w:ind w:right="43"/>
              <w:jc w:val="right"/>
              <w:rPr>
                <w:sz w:val="17"/>
                <w:szCs w:val="17"/>
              </w:rPr>
            </w:pPr>
            <w:r w:rsidRPr="00981E15">
              <w:rPr>
                <w:sz w:val="17"/>
                <w:szCs w:val="17"/>
              </w:rPr>
              <w:t>64,0</w:t>
            </w:r>
          </w:p>
        </w:tc>
        <w:tc>
          <w:tcPr>
            <w:tcW w:w="699" w:type="dxa"/>
            <w:tcBorders>
              <w:bottom w:val="single" w:sz="12" w:space="0" w:color="auto"/>
            </w:tcBorders>
            <w:shd w:val="clear" w:color="auto" w:fill="auto"/>
            <w:vAlign w:val="bottom"/>
          </w:tcPr>
          <w:p w:rsidR="00B35454" w:rsidRPr="00981E15" w:rsidRDefault="00B35454" w:rsidP="00264B09">
            <w:pPr>
              <w:tabs>
                <w:tab w:val="left" w:pos="0"/>
              </w:tabs>
              <w:spacing w:before="40" w:after="80" w:line="210" w:lineRule="exact"/>
              <w:ind w:right="43"/>
              <w:jc w:val="right"/>
              <w:rPr>
                <w:sz w:val="17"/>
                <w:szCs w:val="17"/>
              </w:rPr>
            </w:pPr>
            <w:r w:rsidRPr="00981E15">
              <w:rPr>
                <w:sz w:val="17"/>
                <w:szCs w:val="17"/>
              </w:rPr>
              <w:t>47,0</w:t>
            </w:r>
          </w:p>
        </w:tc>
        <w:tc>
          <w:tcPr>
            <w:tcW w:w="711" w:type="dxa"/>
            <w:gridSpan w:val="2"/>
            <w:tcBorders>
              <w:bottom w:val="single" w:sz="12" w:space="0" w:color="auto"/>
            </w:tcBorders>
            <w:shd w:val="clear" w:color="auto" w:fill="auto"/>
            <w:vAlign w:val="bottom"/>
          </w:tcPr>
          <w:p w:rsidR="00B35454" w:rsidRPr="00981E15" w:rsidRDefault="00B35454" w:rsidP="00264B09">
            <w:pPr>
              <w:tabs>
                <w:tab w:val="left" w:pos="0"/>
              </w:tabs>
              <w:spacing w:before="40" w:after="80" w:line="210" w:lineRule="exact"/>
              <w:ind w:right="43"/>
              <w:jc w:val="right"/>
              <w:rPr>
                <w:sz w:val="17"/>
                <w:szCs w:val="17"/>
              </w:rPr>
            </w:pPr>
            <w:r w:rsidRPr="00981E15">
              <w:rPr>
                <w:sz w:val="17"/>
                <w:szCs w:val="17"/>
              </w:rPr>
              <w:t>56,4</w:t>
            </w:r>
          </w:p>
        </w:tc>
        <w:tc>
          <w:tcPr>
            <w:tcW w:w="711" w:type="dxa"/>
            <w:tcBorders>
              <w:bottom w:val="single" w:sz="12" w:space="0" w:color="auto"/>
            </w:tcBorders>
            <w:shd w:val="clear" w:color="auto" w:fill="auto"/>
            <w:vAlign w:val="bottom"/>
          </w:tcPr>
          <w:p w:rsidR="00B35454" w:rsidRPr="00981E15" w:rsidRDefault="00B35454" w:rsidP="00264B09">
            <w:pPr>
              <w:tabs>
                <w:tab w:val="left" w:pos="0"/>
              </w:tabs>
              <w:spacing w:before="40" w:after="80" w:line="210" w:lineRule="exact"/>
              <w:ind w:right="43"/>
              <w:jc w:val="right"/>
              <w:rPr>
                <w:sz w:val="17"/>
                <w:szCs w:val="17"/>
              </w:rPr>
            </w:pPr>
            <w:r w:rsidRPr="00981E15">
              <w:rPr>
                <w:sz w:val="17"/>
                <w:szCs w:val="17"/>
              </w:rPr>
              <w:t>57,1</w:t>
            </w:r>
          </w:p>
        </w:tc>
        <w:tc>
          <w:tcPr>
            <w:tcW w:w="720" w:type="dxa"/>
            <w:gridSpan w:val="2"/>
            <w:tcBorders>
              <w:bottom w:val="single" w:sz="12" w:space="0" w:color="auto"/>
            </w:tcBorders>
            <w:shd w:val="clear" w:color="auto" w:fill="auto"/>
            <w:vAlign w:val="bottom"/>
          </w:tcPr>
          <w:p w:rsidR="00B35454" w:rsidRPr="00981E15" w:rsidRDefault="00B35454" w:rsidP="00264B09">
            <w:pPr>
              <w:tabs>
                <w:tab w:val="left" w:pos="0"/>
              </w:tabs>
              <w:spacing w:before="40" w:after="80" w:line="210" w:lineRule="exact"/>
              <w:ind w:right="43"/>
              <w:jc w:val="right"/>
              <w:rPr>
                <w:sz w:val="17"/>
                <w:szCs w:val="17"/>
              </w:rPr>
            </w:pPr>
            <w:r w:rsidRPr="00981E15">
              <w:rPr>
                <w:sz w:val="17"/>
                <w:szCs w:val="17"/>
              </w:rPr>
              <w:t>50,4</w:t>
            </w:r>
          </w:p>
        </w:tc>
        <w:tc>
          <w:tcPr>
            <w:tcW w:w="720" w:type="dxa"/>
            <w:tcBorders>
              <w:bottom w:val="single" w:sz="12" w:space="0" w:color="auto"/>
            </w:tcBorders>
            <w:shd w:val="clear" w:color="auto" w:fill="auto"/>
            <w:vAlign w:val="bottom"/>
          </w:tcPr>
          <w:p w:rsidR="00B35454" w:rsidRPr="00981E15" w:rsidRDefault="00B35454" w:rsidP="00264B09">
            <w:pPr>
              <w:tabs>
                <w:tab w:val="left" w:pos="0"/>
              </w:tabs>
              <w:spacing w:before="40" w:after="80" w:line="210" w:lineRule="exact"/>
              <w:ind w:right="43"/>
              <w:jc w:val="right"/>
              <w:rPr>
                <w:sz w:val="17"/>
                <w:szCs w:val="17"/>
              </w:rPr>
            </w:pPr>
            <w:r w:rsidRPr="00981E15">
              <w:rPr>
                <w:sz w:val="17"/>
                <w:szCs w:val="17"/>
              </w:rPr>
              <w:t>59,3</w:t>
            </w:r>
          </w:p>
        </w:tc>
      </w:tr>
    </w:tbl>
    <w:p w:rsidR="00B35454" w:rsidRPr="00981E15" w:rsidRDefault="00B35454" w:rsidP="00B35454">
      <w:pPr>
        <w:pStyle w:val="FootnoteText"/>
        <w:tabs>
          <w:tab w:val="clear" w:pos="418"/>
          <w:tab w:val="right" w:pos="1476"/>
          <w:tab w:val="left" w:pos="1548"/>
          <w:tab w:val="right" w:pos="1836"/>
          <w:tab w:val="left" w:pos="1908"/>
        </w:tabs>
        <w:spacing w:line="120" w:lineRule="exact"/>
        <w:ind w:left="1548" w:right="1267" w:hanging="288"/>
        <w:rPr>
          <w:sz w:val="10"/>
        </w:rPr>
      </w:pP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Instituto Nacional de Estadísticas, INE. ENCOVI 2006</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Los servicios de salud a la población son prestados, principalmente, de tres formas, por medio del Ministerio de Salud y Asistencia Social (MSPAS), el Instituto Guatemalteco de Seguridad Social (IGSS) y el sector privado. El primero cubre al 70 por ciento de la población del país y el segundo, al 8.2 por ciento.</w:t>
      </w:r>
    </w:p>
    <w:p w:rsidR="00B35454" w:rsidRPr="00981E15" w:rsidRDefault="00B35454" w:rsidP="00F455F9">
      <w:pPr>
        <w:pStyle w:val="SingleTxt"/>
        <w:numPr>
          <w:ilvl w:val="0"/>
          <w:numId w:val="42"/>
        </w:numPr>
        <w:tabs>
          <w:tab w:val="clear" w:pos="475"/>
          <w:tab w:val="num" w:pos="1742"/>
        </w:tabs>
        <w:suppressAutoHyphens/>
        <w:ind w:left="1267"/>
      </w:pPr>
      <w:r w:rsidRPr="00981E15">
        <w:t>La provisión de servicios del Ministerio de Salud Pública y Asistencia Social (MSPAS) contempla tres niveles de atención de acuerdo a la complejidad de los servicios, y entrelazados a través del sistema de referencia-respuesta:</w:t>
      </w:r>
    </w:p>
    <w:p w:rsidR="00B35454" w:rsidRPr="00981E15" w:rsidRDefault="00B35454" w:rsidP="00B35454">
      <w:pPr>
        <w:pStyle w:val="SingleTxt"/>
        <w:tabs>
          <w:tab w:val="right" w:pos="1685"/>
        </w:tabs>
        <w:ind w:left="1742" w:hanging="475"/>
      </w:pPr>
      <w:r w:rsidRPr="00981E15">
        <w:tab/>
        <w:t>•</w:t>
      </w:r>
      <w:r w:rsidRPr="00981E15">
        <w:tab/>
      </w:r>
      <w:r w:rsidRPr="00981E15">
        <w:rPr>
          <w:i/>
        </w:rPr>
        <w:t xml:space="preserve">El primer nivel </w:t>
      </w:r>
      <w:r w:rsidRPr="00981E15">
        <w:t xml:space="preserve">está integrado por servicios institucionales (Puestos de Salud y Centros de Atención Primaria), así como la prestación por medio de la contratación de administradoras y prestadoras de servicios no gubernamentales. Esto ha permitido la extensión de cobertura a la población identificada como mayormente postergada. Los servicios prestados en el primer nivel están definidos como canasta básica que cuenta con 26 servicios: </w:t>
      </w:r>
    </w:p>
    <w:p w:rsidR="00B35454" w:rsidRPr="00981E15" w:rsidRDefault="00B35454" w:rsidP="00B354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rsidRPr="00981E15">
        <w:tab/>
        <w:t>–</w:t>
      </w:r>
      <w:r w:rsidRPr="00981E15">
        <w:tab/>
        <w:t>Ocho dirigidos a la atención de la mujer</w:t>
      </w:r>
    </w:p>
    <w:p w:rsidR="00B35454" w:rsidRPr="00981E15" w:rsidRDefault="00B35454" w:rsidP="00B354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rsidRPr="00981E15">
        <w:tab/>
        <w:t>–</w:t>
      </w:r>
      <w:r w:rsidRPr="00981E15">
        <w:tab/>
        <w:t>Ocho a niños y niñas</w:t>
      </w:r>
    </w:p>
    <w:p w:rsidR="00B35454" w:rsidRPr="00981E15" w:rsidRDefault="00B35454" w:rsidP="00B354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rsidRPr="00981E15">
        <w:tab/>
        <w:t>–</w:t>
      </w:r>
      <w:r w:rsidRPr="00981E15">
        <w:tab/>
        <w:t>Seis a urgencias y enfermedades prevalentes</w:t>
      </w:r>
    </w:p>
    <w:p w:rsidR="00B35454" w:rsidRPr="00981E15" w:rsidRDefault="00B35454" w:rsidP="00B354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rsidRPr="00981E15">
        <w:tab/>
        <w:t>–</w:t>
      </w:r>
      <w:r w:rsidRPr="00981E15">
        <w:tab/>
        <w:t>Cuatro al medio ambiente.</w:t>
      </w:r>
    </w:p>
    <w:p w:rsidR="00B35454" w:rsidRPr="00981E15" w:rsidRDefault="00B35454" w:rsidP="00B35454">
      <w:pPr>
        <w:pStyle w:val="SingleTxt"/>
        <w:tabs>
          <w:tab w:val="right" w:pos="1685"/>
        </w:tabs>
        <w:ind w:left="1742" w:hanging="475"/>
      </w:pPr>
      <w:r w:rsidRPr="00981E15">
        <w:tab/>
        <w:t>•</w:t>
      </w:r>
      <w:r w:rsidRPr="00981E15">
        <w:tab/>
        <w:t xml:space="preserve"> </w:t>
      </w:r>
      <w:r w:rsidRPr="00981E15">
        <w:rPr>
          <w:i/>
        </w:rPr>
        <w:t>Los servicios del segundo nivel de atención</w:t>
      </w:r>
      <w:r w:rsidRPr="00981E15">
        <w:t xml:space="preserve"> son proporcionados de forma institucional por Centros de Salud y Centros de Atención Integral Materno-Infantil (CAIMI). </w:t>
      </w:r>
    </w:p>
    <w:p w:rsidR="00B35454" w:rsidRPr="00981E15" w:rsidRDefault="00B35454" w:rsidP="00B35454">
      <w:pPr>
        <w:pStyle w:val="SingleTxt"/>
        <w:tabs>
          <w:tab w:val="right" w:pos="1685"/>
        </w:tabs>
        <w:ind w:left="1742" w:hanging="475"/>
      </w:pPr>
      <w:r w:rsidRPr="00981E15">
        <w:tab/>
        <w:t>•</w:t>
      </w:r>
      <w:r w:rsidRPr="00981E15">
        <w:tab/>
      </w:r>
      <w:r w:rsidRPr="00981E15">
        <w:rPr>
          <w:i/>
        </w:rPr>
        <w:t>El tercer nivel</w:t>
      </w:r>
      <w:r w:rsidRPr="00981E15">
        <w:t xml:space="preserve"> lo constituyen los servicios prestados por los centros hospitalarios distritales, departamentales, regionales y de referencia nacional. </w:t>
      </w:r>
    </w:p>
    <w:p w:rsidR="00B35454" w:rsidRPr="00981E15" w:rsidRDefault="00B35454" w:rsidP="00F455F9">
      <w:pPr>
        <w:pStyle w:val="SingleTxt"/>
        <w:numPr>
          <w:ilvl w:val="0"/>
          <w:numId w:val="42"/>
        </w:numPr>
        <w:tabs>
          <w:tab w:val="clear" w:pos="475"/>
          <w:tab w:val="num" w:pos="1742"/>
        </w:tabs>
        <w:suppressAutoHyphens/>
        <w:ind w:left="1267"/>
      </w:pPr>
      <w:r w:rsidRPr="00981E15">
        <w:t>De acuerdo al informe de la Situación de la Salud y su Financiamiento 2005, el MSPAS cuenta en el primer nivel de atención 1244 centros de convergencia, 926 puestos de salud, 300 unidades mínimas ubicadas en áreas rurales. En el segundo nivel de atención hay 3 centros de atención integral materno infantil (CAIMI), 32 centros de salud tipo A, 249 tipo B, 16 maternidades cantorales, 3 clínicas periféricas y 32 centros integrados. El tercer nivel lo constituyen 43 hospitales, de los cuales 2 son de referencia nacional, 7 considerados especializados, 8 hospitales regionales, 16 departamentales, 5 distritales y 5 de contingencia. En total se cuenta con 6,030 camas hospitalarias de los hospitales del Ministerio de Salud.</w:t>
      </w:r>
    </w:p>
    <w:p w:rsidR="00B35454" w:rsidRPr="00981E15" w:rsidRDefault="00B35454" w:rsidP="00F455F9">
      <w:pPr>
        <w:pStyle w:val="SingleTxt"/>
        <w:numPr>
          <w:ilvl w:val="0"/>
          <w:numId w:val="42"/>
        </w:numPr>
        <w:tabs>
          <w:tab w:val="clear" w:pos="475"/>
          <w:tab w:val="num" w:pos="1742"/>
        </w:tabs>
        <w:suppressAutoHyphens/>
        <w:ind w:left="1267"/>
      </w:pPr>
      <w:r w:rsidRPr="00981E15">
        <w:t>Para dar seguimiento a las Políticas de Salud 2004-2008 del MSPAS de 1) Satisfacción de las necesidades de salud de la población guatemalteca mediante la entrega de servicios de salud con calidad, calidez, equidad y con enfoque intercultural y de género en los diferentes niveles de atención. Y 2) Fortalecimiento del proceso de desconcentración y descentralización de las competencias, responsabilidades, recursos y poder de decisión a las áreas de salud y hospitales. El Ministerio de Salud Pública y Asistencia Social realizó las siguientes acciones:</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Para el fortalecimiento del proceso de modernización, desconcentración y descentralización de los servicios de salud, se suscribieron convenios con la Secretaría de Coordinación Ejecutiva de la Presidencia (SCEP) y la Asociación Nacional de Municipalidades (ANAM) para incorporar esta política de desconcentración y descentralización. Como producto, se puso en marcha un plan piloto en conjunto con la municipalidad de Santa Catarina Pinula, para el traslado de competencias en materia de salud. </w:t>
      </w:r>
    </w:p>
    <w:p w:rsidR="00B35454" w:rsidRPr="00981E15" w:rsidRDefault="00B35454" w:rsidP="00F455F9">
      <w:pPr>
        <w:pStyle w:val="SingleTxt"/>
        <w:numPr>
          <w:ilvl w:val="0"/>
          <w:numId w:val="42"/>
        </w:numPr>
        <w:tabs>
          <w:tab w:val="clear" w:pos="475"/>
          <w:tab w:val="num" w:pos="1742"/>
        </w:tabs>
        <w:suppressAutoHyphens/>
        <w:ind w:left="1267"/>
      </w:pPr>
      <w:r w:rsidRPr="00981E15">
        <w:t>Se elaboró el proyecto “Comunidades y Escuelas Saludables” presentado al Banco Interamericano de Desarrollo (BID) habiéndose obtenido financiamiento por $150,000 a ejecutarse a través de la mancomunidad Chortí. Se firmaron convenios para descentralizar el primer nivel de atención mediante el proyecto el medico en tu casa, en las municipalidades de Santa Catarina Pinula, Chinautla y Villa Nueva.</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Se destaca en el mismo orden la implementación en el 2005 de un nuevo concepto de servicio para atender la demanda de atención médica materno infantil en áreas geográficas con altas tasas de mortalidad materna, neonatal e infantil, para lo cual se han implementado los Centros de Atención Materno Infantil (CAIMI) que son centros ubicados en lugares de difícil acceso, desarrollando acciones de atención ambulatoria extramuros vinculados con los hogares maternos. </w:t>
      </w:r>
    </w:p>
    <w:p w:rsidR="00B35454" w:rsidRPr="00981E15" w:rsidRDefault="00B35454" w:rsidP="00F455F9">
      <w:pPr>
        <w:pStyle w:val="SingleTxt"/>
        <w:numPr>
          <w:ilvl w:val="0"/>
          <w:numId w:val="42"/>
        </w:numPr>
        <w:tabs>
          <w:tab w:val="clear" w:pos="475"/>
          <w:tab w:val="num" w:pos="1742"/>
        </w:tabs>
        <w:suppressAutoHyphens/>
        <w:ind w:left="1267"/>
      </w:pPr>
      <w:r w:rsidRPr="00981E15">
        <w:t>Durante el 2005 se trabajó en la implementación de los siguientes Centros de Atención Integral Materno Infantil (CAIMIS):</w:t>
      </w:r>
    </w:p>
    <w:p w:rsidR="00B35454" w:rsidRPr="00981E15" w:rsidRDefault="00B35454" w:rsidP="00B35454">
      <w:pPr>
        <w:pStyle w:val="SingleTxt"/>
        <w:tabs>
          <w:tab w:val="right" w:pos="1685"/>
        </w:tabs>
        <w:ind w:left="1742" w:hanging="475"/>
      </w:pPr>
      <w:r w:rsidRPr="00981E15">
        <w:tab/>
        <w:t>•</w:t>
      </w:r>
      <w:r w:rsidRPr="00981E15">
        <w:tab/>
        <w:t>Cuilco, Huehuetenango. Este CAIMI cuenta con resolución quirúrgica.</w:t>
      </w:r>
    </w:p>
    <w:p w:rsidR="00B35454" w:rsidRPr="00981E15" w:rsidRDefault="00B35454" w:rsidP="00B35454">
      <w:pPr>
        <w:pStyle w:val="SingleTxt"/>
        <w:tabs>
          <w:tab w:val="right" w:pos="1685"/>
        </w:tabs>
        <w:ind w:left="1742" w:hanging="475"/>
      </w:pPr>
      <w:r w:rsidRPr="00981E15">
        <w:tab/>
        <w:t>•</w:t>
      </w:r>
      <w:r w:rsidRPr="00981E15">
        <w:tab/>
        <w:t>El Estor, Izabal.</w:t>
      </w:r>
    </w:p>
    <w:p w:rsidR="00B35454" w:rsidRPr="00981E15" w:rsidRDefault="00B35454" w:rsidP="00B35454">
      <w:pPr>
        <w:pStyle w:val="SingleTxt"/>
        <w:tabs>
          <w:tab w:val="right" w:pos="1685"/>
        </w:tabs>
        <w:ind w:left="1742" w:hanging="475"/>
      </w:pPr>
      <w:r w:rsidRPr="00981E15">
        <w:tab/>
        <w:t>•</w:t>
      </w:r>
      <w:r w:rsidRPr="00981E15">
        <w:tab/>
        <w:t>Ixichiguán, San Marcos.</w:t>
      </w:r>
    </w:p>
    <w:p w:rsidR="00B35454" w:rsidRPr="00981E15" w:rsidRDefault="00B35454" w:rsidP="00F455F9">
      <w:pPr>
        <w:pStyle w:val="SingleTxt"/>
        <w:numPr>
          <w:ilvl w:val="0"/>
          <w:numId w:val="42"/>
        </w:numPr>
        <w:tabs>
          <w:tab w:val="clear" w:pos="475"/>
          <w:tab w:val="num" w:pos="1742"/>
        </w:tabs>
        <w:suppressAutoHyphens/>
        <w:ind w:left="1267"/>
      </w:pPr>
      <w:r w:rsidRPr="00981E15">
        <w:t>Así también se implementaron los Centros de Salud de 24 horas con Atención Materno Infantil en los municipios de Tacaná y San Pedro Sacatepéquez, ambos del departamento de San Marcos. Se validaron dos planes de emergencia comunitaria, para evitar la muerte materna y tener parto seguro en casa, beneficiando a la población de Huehuetenango y Totonicapán.</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Se vacunó a 659,411 (2005), 960,806 (2006) mujeres en edad reproductiva de toxoide diftérico (Td). Esta asistencia se proporcionó por medio de los puestos de salud formal y ambulante de los 332 municipios del país, con especial atención a los municipios priorizados por Guate Solidaria, que presentan altos índices de desnutrición. Estas acciones fueron difundidas en idioma Español, Mayas, Garífuna y Xinka. </w:t>
      </w:r>
    </w:p>
    <w:p w:rsidR="00B35454" w:rsidRPr="00981E15" w:rsidRDefault="00B35454" w:rsidP="00F455F9">
      <w:pPr>
        <w:pStyle w:val="SingleTxt"/>
        <w:numPr>
          <w:ilvl w:val="0"/>
          <w:numId w:val="42"/>
        </w:numPr>
        <w:tabs>
          <w:tab w:val="clear" w:pos="475"/>
          <w:tab w:val="num" w:pos="1742"/>
        </w:tabs>
        <w:suppressAutoHyphens/>
        <w:ind w:left="1267"/>
      </w:pPr>
      <w:r w:rsidRPr="00981E15">
        <w:t>Se realizó la revisión y reproducción de 1,000 ejemplares de las Normas de Promoción de Lactancia Materna en los servicios hospitalarios, con beneficio para 201 personas que se encuentran en 23 hospitales y cinco maternidades cantonales. Se participó en el proyecto Reducción de mortalidad materna, con apoyo financiero de Cooperación Española, en el departamento de Sololá, beneficiando a una población de 600 mil habitantes.</w:t>
      </w:r>
    </w:p>
    <w:p w:rsidR="00B35454" w:rsidRPr="00981E15" w:rsidRDefault="00B35454" w:rsidP="00F455F9">
      <w:pPr>
        <w:pStyle w:val="SingleTxt"/>
        <w:numPr>
          <w:ilvl w:val="0"/>
          <w:numId w:val="42"/>
        </w:numPr>
        <w:tabs>
          <w:tab w:val="clear" w:pos="475"/>
          <w:tab w:val="num" w:pos="1742"/>
        </w:tabs>
        <w:suppressAutoHyphens/>
        <w:ind w:left="1267"/>
      </w:pPr>
      <w:r w:rsidRPr="00981E15">
        <w:t>Se realizaron capacitaciones en Guías de manejo de la atención prenatal, parto, posparto y emergencias obstétricas, beneficiando a 102 proveedores de centros de atención de parto en las de áreas de salud de los departamentos de Jutiapa, Santa Rosa y Petén. Se formaron, en coordinación con la Escuela de Educación Continua y Proyecto Calidad en Salud/AID, 54 auxiliares de Enfermería calificada en atención materno neonatal en cada jurisdicción, beneficiando a 540 mil habitantes en Alta Verapaz, Sololá, Quiché, Totonicapán, Chimaltenango, Sacatepéquez y Huehuetenango.</w:t>
      </w:r>
    </w:p>
    <w:p w:rsidR="00B35454" w:rsidRPr="00981E15" w:rsidRDefault="00B35454" w:rsidP="00F455F9">
      <w:pPr>
        <w:pStyle w:val="SingleTxt"/>
        <w:numPr>
          <w:ilvl w:val="0"/>
          <w:numId w:val="42"/>
        </w:numPr>
        <w:tabs>
          <w:tab w:val="clear" w:pos="475"/>
          <w:tab w:val="num" w:pos="1742"/>
        </w:tabs>
        <w:suppressAutoHyphens/>
        <w:ind w:left="1267"/>
      </w:pPr>
      <w:r w:rsidRPr="00981E15">
        <w:t>Se suministró ácido fólico, vitamina A y hierro a 211,395 niños y niñas menores de un año de edad. También se suministró ácido fólico, vitamina A y hierro a 84,686 niños y niñas de 6 a 59 meses y a 86,735 mujeres de 15 a 19 años, embarazadas y de 6 meses postparto. Se validaron dos planes de emergencia comunitaria, para evitar la muerte materna y tener parto seguro en casa, beneficiando a la población de los departamentos de Huehuetenango y Totonicapán.</w:t>
      </w:r>
    </w:p>
    <w:p w:rsidR="00B35454" w:rsidRPr="00981E15" w:rsidRDefault="00B35454" w:rsidP="00F455F9">
      <w:pPr>
        <w:pStyle w:val="SingleTxt"/>
        <w:numPr>
          <w:ilvl w:val="0"/>
          <w:numId w:val="42"/>
        </w:numPr>
        <w:tabs>
          <w:tab w:val="clear" w:pos="475"/>
          <w:tab w:val="num" w:pos="1742"/>
        </w:tabs>
        <w:suppressAutoHyphens/>
        <w:ind w:left="1267"/>
      </w:pPr>
      <w:r w:rsidRPr="00981E15">
        <w:t>Se divulgó la Ley de Acceso Universal y Equitativo de Servicios de Planificación Familiar en todas las áreas de salud. Dentro de las dificultades que tienen las mujeres para acceder a este servicio se tienen: las distancias, y falta de dinero para pagar el transporte; existen obstáculos como las prácticas culturales; idioma, son monolingües y la mayoría son analfabetas; no tienen poder en la toma de decisión sobre sus propios cuerpos y, que los ancianos, maridos o suegras deciden sobre la salud de las mujeres y su asistencia a los servicios de salud. Algunos de estos obstáculos se han logrado solventar por medio de los procesos de capacitación y sensibilización que se presentan en el artículo 12 del presente informe.</w:t>
      </w:r>
    </w:p>
    <w:p w:rsidR="00B35454" w:rsidRPr="00981E15" w:rsidRDefault="00B35454" w:rsidP="00F455F9">
      <w:pPr>
        <w:pStyle w:val="SingleTxt"/>
        <w:numPr>
          <w:ilvl w:val="0"/>
          <w:numId w:val="42"/>
        </w:numPr>
        <w:tabs>
          <w:tab w:val="clear" w:pos="475"/>
          <w:tab w:val="num" w:pos="1742"/>
        </w:tabs>
        <w:suppressAutoHyphens/>
        <w:ind w:left="1267"/>
      </w:pPr>
      <w:r w:rsidRPr="00981E15">
        <w:t>Derivado de los desastres ocasionados por la Tormenta Stan en 2005, el Ministerio de Salud Pública y Asistencia Social elaboró el plan de acción para la emergencia y la reconstrucción de la infraestructura afectada por la tormenta. Ello con el objetivo de reducir la morbi-mortalidad por medio de acciones preventivas, curativas y rehabilitación a la población afectada, según requerimientos en cada lugar desde el inicio de la emergencia.</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Elaboración y ejecución del Proyecto “Vigilancia Alimentaria Nutricional de Población Guatemalteca Afectada por la Tormenta Tropical Stan con Énfasis en la Mujer y Niñez para la Prevención de la Desnutrición y Desarrollo de Acciones para su Atención” y proyecto de “Atención a la Salud de la Mujer”, en albergues y servicios institucionales, en respuesta a la emergencia sanitaria ocasionada. </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En el marco de seguimiento ayuda por la Tormenta Stan, las acciones realizadas en salud mental por parte del MSPAS, fueron 1) Evaluación del daño, 2) Plan de acción, 3) Contratación por 6 meses de 21 personas, a partir del 12 de diciembre, (psicólogos, psiquiatras y trabajadora social) para las áreas de salud de Sololá, San Marcos, Huehuetenango, Suchitepéquez, Retalhuleu, Escuintla y Quetzaltenango. </w:t>
      </w:r>
    </w:p>
    <w:p w:rsidR="00B35454" w:rsidRPr="00981E15" w:rsidRDefault="00B35454" w:rsidP="00F455F9">
      <w:pPr>
        <w:pStyle w:val="SingleTxt"/>
        <w:numPr>
          <w:ilvl w:val="0"/>
          <w:numId w:val="42"/>
        </w:numPr>
        <w:tabs>
          <w:tab w:val="clear" w:pos="475"/>
          <w:tab w:val="num" w:pos="1742"/>
        </w:tabs>
        <w:suppressAutoHyphens/>
        <w:ind w:left="1267"/>
      </w:pPr>
      <w:r w:rsidRPr="00981E15">
        <w:t>En salud de la mujer se obtuvo cooperación por valor de USD 200,000 de UNFPA para las áreas de San Marcos, Sololá, Escuintla y cooperación con valor de USD 70,000 por OPS para las áreas de salud de Suchitepéquez y Retalhuleu. Se coordinó el tema de violencia sexual con el Programa de Prevención de la Violencia Intrafamiliar (PROPEVI) y la Secretaría Presidencial de la Mujer (SEPREM). Con OPS se desarrolla los temas de Información, Educación y Capacitación (IEC).</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Seguridad social </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Los programas de seguridad social de accidentes, enfermedad, maternidad e invalidez, vejez y sobrevivencia en Guatemala son proporcionados por el Instituto Guatemalteco de Seguridad Social (IGSS). Según la Encuesta Nacional de Empleo e Ingresos (ENEI) 2003, el 85% de las mujeres ocupadas en el área rural no se encuentran aseguradas por el IGSS y dentro de los hombres ocupados el 80%. Prácticamente el área rural de Guatemala se encuentra desatendida por la seguridad social, como consecuencia de que la mayoría de trabajadoras laboran por cuenta propia y ejercen labores familiares no remuneradas, por lo que no se encuentran afiliadas y cubiertas por el Instituto Guatemalteco de Seguridad Social (IGSS).</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Acceso a la tierra</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La Política de Equidad de Género del Fondo de Tierras, con enfoque étnico promueve y garantiza la igualdad de oportunidades a campesinas y campesinos en el acceso, uso y tenencia de la tierra. Además, genera las condiciones para que las campesinas y campesinos obtengan la propiedad y/o copropiedad de la tierra. Los programas que desarrolla el Fondo de Tierras, se enumeran en el artículo 13 de este informe en el marco del desarrollo económico y social. </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Secretaría de Obras Sociales de la Esposa del Presidente (SOSEP)</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En el marco del programa de reactivación económica y social del Gobierno, la SOSEP realiza acciones en áreas de protección social, educación y generación de capacidades, en el fomento de la gestión productiva en el área rural y el impulso a la participación social. La SOSEP ha implementado y beneficiado a través de los siguientes Programas:</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El Programa Creciendo Bien</w:t>
      </w:r>
      <w:r w:rsidRPr="00981E15">
        <w:t xml:space="preserve"> es un modelo de autogestión comunitaria que promueve la seguridad alimentaria nutricional de los más pequeños, partiendo del hecho que la mujer en edad reproductiva puede ser un agente de cambio y un actor fundamental cuando es capacitada para incidir en el mejoramiento de la salud y el estado nutricional de sus hijos, en especial a los menores de cinco años. Creciendo Bien capacita a las madres para propiciar mejores condiciones en el logro de la seguridad alimentaria nutricional y el desarrollo humano sostenible, mediante el fortalecimiento de la autogestión individual, familiar y comunitaria. El Programa Creciendo Bien, fue ganador del premio Nacional de Gerencia Social 2005 auspiciado por el INDES/BID en Guatemala.</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El Programa Hogares Comunitarios</w:t>
      </w:r>
      <w:r w:rsidRPr="00981E15">
        <w:t>, promueve el desarrollo integral del niño y la niña en situación de extrema pobreza, desde su concepción hasta los 6 años de edad, a través del cuidado y atención diurna personalizada, alimentación y nutrición, educación inicial, salud preventiva, formación de valores y hábitos. Hogares Comunitarios cuenta con dos modalidades de atención: 1) Hogares simples, que funcionan en viviendas particulares con madres que cuidan y atienden a 10 o 12 menores, y 2) los Centros de Atención Integral (CAI), que mantienen la modalidad anterior, pero involucrando directamente a la comunidad y a las autoridades locales. Se atienden de 20 a 80 niños, a razón de una madre por cada 10 niños.</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El Programa Amigos de la Escuela</w:t>
      </w:r>
      <w:r w:rsidRPr="00981E15">
        <w:t xml:space="preserve"> surge en el 2004, para la promoción del desarrollo integral de la escuela y la comunidad, con el fin de lograr ambientes educativos seguros, saludables e inclusivos, que ofrezcan a las niñas y niños mejores condiciones de aprendizaje y de salud. Las escuelas identificadas y priorizadas en el censo se concentran principalmente en el nivel de pre-primaria y primaria. Se ubican principalmente en áreas rurales o urbano-marginales, entre ellas Escuelas Oficiales y aquellas de Autogestión Comunitaria del PRONADE.</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El Programa Desarrollo Comunitario</w:t>
      </w:r>
      <w:r w:rsidRPr="00981E15">
        <w:t xml:space="preserve"> inició sus labores en enero de 2005, para impulsar la participación ciudadana, socioeconómica y sociopolítica de las mujeres del área rural y urbana a través de procesos de formación integral. Con este plan se ha incentivado la inscripción en los registros municipales de población femenina que no solía ser inscrita, se organizan diversos proyectos de trabajo que puedan generar un ingreso decente fomentando la formación de bancos comunales. La idea es que las mujeres no sólo mejoren su calidad de vida y la de su familia, sino que desarrollen una habilidad empresarial.</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El Programa de Becas</w:t>
      </w:r>
      <w:r w:rsidRPr="00981E15">
        <w:t xml:space="preserve"> contribuye a elevar la calidad de vida de la mujer rural en situación de pobreza y pobreza extrema. A través de la promoción, inclusión, revalorización y la equidad de género, con miras a crear oportunidades de participación social, económica y política. Una parte importante del programa ha sido la sensibilización en torno al grave problema de la falta de educación en la niña guatemalteca, especialmente en el área rural. Es por ello que el programa persigue el acceso a becas educativas para niñas y adolescentes.</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Seguridad Alimentaria</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Programa de Reducción de la Desnutrición Crónica (PRDC)</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En el 2005 se aprueba la Ley del Sistema Nacional de Seguridad Alimentaria y Nutricional, Decreto Ley 32-2005, que regula la Secretaría de Seguridad Alimentaria y Nutricional (SESAN). En esta Ley se prohíbe la discriminación en el acceso a los alimentos y al disfrute o ejercicio del derecho a la seguridad alimentaria y nutricional, por motivos entre otros de sexo.</w:t>
      </w:r>
    </w:p>
    <w:p w:rsidR="00B35454" w:rsidRPr="00981E15" w:rsidRDefault="00B35454" w:rsidP="00F455F9">
      <w:pPr>
        <w:pStyle w:val="SingleTxt"/>
        <w:numPr>
          <w:ilvl w:val="0"/>
          <w:numId w:val="42"/>
        </w:numPr>
        <w:tabs>
          <w:tab w:val="clear" w:pos="475"/>
          <w:tab w:val="num" w:pos="1742"/>
        </w:tabs>
        <w:suppressAutoHyphens/>
        <w:ind w:left="1267"/>
      </w:pPr>
      <w:r w:rsidRPr="00981E15">
        <w:t>La SESAN por medio del PRDC atiende niños y niñas menores de 3 años, mujeres embarazadas y en lactancia hasta seis meses. Este programa inició su ejecución en 508 comunidades de 18 municipios ubicados en el área rural donde se espera beneficiar a más de 42 mil personas. Por medio del Programa Creciendo Bien, dirige su atención a la capacitación de mujeres de diversas edades en las comunidades priorizadas, principalmente en temas de nutrición, preparación de alimentos y huertos familiares. Entre los principales avances que se pueden mencionar en materia de seguridad alimentaria se tiene:</w:t>
      </w:r>
    </w:p>
    <w:p w:rsidR="00B35454" w:rsidRPr="00981E15" w:rsidRDefault="00B35454" w:rsidP="00B35454">
      <w:pPr>
        <w:pStyle w:val="SingleTxt"/>
        <w:tabs>
          <w:tab w:val="right" w:pos="1685"/>
        </w:tabs>
        <w:ind w:left="1742" w:hanging="475"/>
      </w:pPr>
      <w:r w:rsidRPr="00981E15">
        <w:tab/>
        <w:t>•</w:t>
      </w:r>
      <w:r w:rsidRPr="00981E15">
        <w:tab/>
        <w:t>Integración de 81 comisiones municipales de seguridad alimentaria y nutricional (COMUSAN) y 17 comisiones departamentales (CODESAN), estas últimas fueron objeto de fortalecimiento institucional.</w:t>
      </w:r>
    </w:p>
    <w:p w:rsidR="00B35454" w:rsidRPr="00981E15" w:rsidRDefault="00B35454" w:rsidP="00B35454">
      <w:pPr>
        <w:pStyle w:val="SingleTxt"/>
        <w:tabs>
          <w:tab w:val="right" w:pos="1685"/>
        </w:tabs>
        <w:ind w:left="1742" w:hanging="475"/>
      </w:pPr>
      <w:r w:rsidRPr="00981E15">
        <w:tab/>
        <w:t>•</w:t>
      </w:r>
      <w:r w:rsidRPr="00981E15">
        <w:tab/>
        <w:t>La determinación de la fórmula a utilizar como alimento complementario (vitacereal) apropiado para las necesidades nutricionales de los grupos meta.</w:t>
      </w:r>
    </w:p>
    <w:p w:rsidR="00B35454" w:rsidRPr="00981E15" w:rsidRDefault="00B35454" w:rsidP="00B35454">
      <w:pPr>
        <w:pStyle w:val="SingleTxt"/>
        <w:tabs>
          <w:tab w:val="right" w:pos="1685"/>
        </w:tabs>
        <w:ind w:left="1742" w:hanging="475"/>
      </w:pPr>
      <w:r w:rsidRPr="00981E15">
        <w:tab/>
        <w:t>•</w:t>
      </w:r>
      <w:r w:rsidRPr="00981E15">
        <w:tab/>
        <w:t>El inicio en agosto de 2004 de la Mesa Interinstitucional en Información, Educación y Comunicación (IEC), cuyo propósito es estandarizar los contenidos de mensajes divulgados por diferentes instituciones sobre el tema de seguridad alimentaria.</w:t>
      </w:r>
    </w:p>
    <w:p w:rsidR="00B35454" w:rsidRPr="00981E15" w:rsidRDefault="00B35454" w:rsidP="00B35454">
      <w:pPr>
        <w:pStyle w:val="SingleTxt"/>
        <w:tabs>
          <w:tab w:val="right" w:pos="1685"/>
        </w:tabs>
        <w:ind w:left="1742" w:hanging="475"/>
      </w:pPr>
      <w:r w:rsidRPr="00981E15">
        <w:tab/>
        <w:t>•</w:t>
      </w:r>
      <w:r w:rsidRPr="00981E15">
        <w:tab/>
        <w:t>El inicio de un diplomado a distancia sobre seguridad alimentaria para fortalecer las capacidades del personal operativo del primero y segundo nivel de atención en salud.</w:t>
      </w:r>
    </w:p>
    <w:p w:rsidR="00B35454" w:rsidRPr="00981E15" w:rsidRDefault="00B35454" w:rsidP="00B35454">
      <w:pPr>
        <w:pStyle w:val="SingleTxt"/>
        <w:tabs>
          <w:tab w:val="right" w:pos="1685"/>
        </w:tabs>
        <w:ind w:left="1742" w:hanging="475"/>
      </w:pPr>
      <w:r w:rsidRPr="00981E15">
        <w:tab/>
        <w:t>•</w:t>
      </w:r>
      <w:r w:rsidRPr="00981E15">
        <w:tab/>
        <w:t>La formulación de la Estrategia de Atención a Familias en Riesgo de Inseguridad Alimentaria y Nutricional (EAR).</w:t>
      </w:r>
    </w:p>
    <w:p w:rsidR="00B35454" w:rsidRPr="00981E15" w:rsidRDefault="00B35454" w:rsidP="00B35454">
      <w:pPr>
        <w:pStyle w:val="SingleTxt"/>
        <w:tabs>
          <w:tab w:val="right" w:pos="1685"/>
        </w:tabs>
        <w:ind w:left="1742" w:hanging="475"/>
      </w:pPr>
      <w:r w:rsidRPr="00981E15">
        <w:tab/>
        <w:t>•</w:t>
      </w:r>
      <w:r w:rsidRPr="00981E15">
        <w:tab/>
        <w:t>La unificación de indicadores de monitoreo y alerta temprana a nivel comunitario consensuados entre el gobierno y la cooperación internacional que trabajan el tema.</w:t>
      </w:r>
    </w:p>
    <w:p w:rsidR="00B35454" w:rsidRPr="00981E15" w:rsidRDefault="00B35454" w:rsidP="00B35454">
      <w:pPr>
        <w:pStyle w:val="SingleTxt"/>
        <w:tabs>
          <w:tab w:val="right" w:pos="1685"/>
        </w:tabs>
        <w:ind w:left="1742" w:hanging="475"/>
      </w:pPr>
      <w:r w:rsidRPr="00981E15">
        <w:tab/>
        <w:t>•</w:t>
      </w:r>
      <w:r w:rsidRPr="00981E15">
        <w:tab/>
        <w:t>La implementación del Programa de Distribución de Asistencia Alimentaria, a personas en riesgo por la inseguridad alimentaria y nutricional, por medio de donaciones alimentarias, con la participación del MAGA, MINEDUC, FONAPAZ, la SOSEP.</w:t>
      </w:r>
    </w:p>
    <w:p w:rsidR="00B35454" w:rsidRPr="00981E15" w:rsidRDefault="00B35454" w:rsidP="00B35454">
      <w:pPr>
        <w:pStyle w:val="SingleTxt"/>
        <w:tabs>
          <w:tab w:val="right" w:pos="1685"/>
        </w:tabs>
        <w:ind w:left="1742" w:hanging="475"/>
      </w:pPr>
      <w:r w:rsidRPr="00981E15">
        <w:tab/>
        <w:t>•</w:t>
      </w:r>
      <w:r w:rsidRPr="00981E15">
        <w:tab/>
        <w:t>Asistencia alimentaria de emergencia en respuesta a la catástrofe causada por el Huracán Stan.</w:t>
      </w:r>
    </w:p>
    <w:p w:rsidR="00B35454" w:rsidRPr="00981E15" w:rsidRDefault="00B35454" w:rsidP="00B35454">
      <w:pPr>
        <w:pStyle w:val="SingleTxt"/>
        <w:tabs>
          <w:tab w:val="right" w:pos="1685"/>
        </w:tabs>
        <w:ind w:left="1742" w:hanging="475"/>
      </w:pPr>
      <w:r w:rsidRPr="00981E15">
        <w:tab/>
        <w:t>•</w:t>
      </w:r>
      <w:r w:rsidRPr="00981E15">
        <w:tab/>
        <w:t>Realización de la Conferencia Latinoamericana sobre Hambre Crónica en el marco de las Metas del Milenio, realizada en septiembre de 2005, en la cual se presentó la iniciativa de una “Latinoamérica sin Hambre” que pretende reducir a un nivel que no sobrepase el cinco por ciento la subnutrición en la región, para el año 2025, a través de políticas públicas de los países de la región que promuevan la erradicación del hambre.</w:t>
      </w:r>
    </w:p>
    <w:p w:rsidR="00B35454" w:rsidRPr="00981E15" w:rsidRDefault="00B35454" w:rsidP="00B35454">
      <w:pPr>
        <w:pStyle w:val="SingleTxt"/>
        <w:tabs>
          <w:tab w:val="right" w:pos="1685"/>
        </w:tabs>
        <w:ind w:left="1742" w:hanging="475"/>
      </w:pPr>
      <w:r w:rsidRPr="00981E15">
        <w:tab/>
        <w:t>•</w:t>
      </w:r>
      <w:r w:rsidRPr="00981E15">
        <w:tab/>
        <w:t>Cuenta con un Plan Estratégico.</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Red Nacional de Mujeres Agricultoras</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El Ministerio de Agricultura, Ganadería y Alimentación (MAGA) en su Política Agropecuaria y Sectorial 2004-2007 “Cimentando el Desarrollo de la Agricultura y del Área Rural”, sustenta los principios de subsidiaridad, equidad, descentralización, sostenibilidad y corresponsabilidad, en el área prioritaria de fortalecimiento de la institucionalidad pública y privada del sector agrícola. </w:t>
      </w:r>
    </w:p>
    <w:p w:rsidR="00B35454" w:rsidRPr="00981E15" w:rsidRDefault="00B35454" w:rsidP="00F455F9">
      <w:pPr>
        <w:pStyle w:val="SingleTxt"/>
        <w:numPr>
          <w:ilvl w:val="0"/>
          <w:numId w:val="42"/>
        </w:numPr>
        <w:tabs>
          <w:tab w:val="clear" w:pos="475"/>
          <w:tab w:val="num" w:pos="1742"/>
        </w:tabs>
        <w:suppressAutoHyphens/>
        <w:ind w:left="1267"/>
      </w:pPr>
      <w:r w:rsidRPr="00981E15">
        <w:t>La Política Agropecuaria desarrolla la acción estratégica de fortalecer la interacción entre el MAGA y las organizaciones del sector agrícola no gubernamental. Incluye dentro del Marco Legal e institucional del Consejo Nacional de Desarrollo Agropecuario –CONADEA- a los Comités Institucionales Bilaterales, donde el Comité Institucional Bilateral MAGA-Mujeres Rurales –CIBMMUR- el cual tuvo vigencia mediante el Acuerdo Gubernativo No.650-94 del 30 de septiembre de 1994.</w:t>
      </w:r>
    </w:p>
    <w:p w:rsidR="00B35454" w:rsidRPr="00981E15" w:rsidRDefault="00B35454" w:rsidP="00F455F9">
      <w:pPr>
        <w:pStyle w:val="SingleTxt"/>
        <w:numPr>
          <w:ilvl w:val="0"/>
          <w:numId w:val="42"/>
        </w:numPr>
        <w:tabs>
          <w:tab w:val="clear" w:pos="475"/>
          <w:tab w:val="num" w:pos="1742"/>
        </w:tabs>
        <w:suppressAutoHyphens/>
        <w:ind w:left="1267"/>
      </w:pPr>
      <w:r w:rsidRPr="00981E15">
        <w:t>Con el propósito de integrar a las mujeres de las diferentes áreas del país, que se dedican a actividades en toda las cadenas agro productivo-comerciales, se consolida la RED NACIONAL DE AGRICULTORAS, para crear un canal de interlocución con el MAGA, que permita abrir un espacio de intercambio de experiencias, el compartir lecciones aprendidas, metodologías de éxito, entre otras que contribuyan efectivamente a abrir las posibilidades de representación y valoración social, económica, cultural y política del 53.2% de mujeres rurales del país, que en su mayoría se dedican a actividades relacionadas con la agricultura.</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Uno de los principales objetivos de la Red es potenciar las capacidades de los grupos de mujeres agricultoras desde su territorio y empoderarlas mediante la vinculación efectiva de los grupos entre sí y con fuentes de cooperación técnica y financiera para lograr un mejoramiento de las condiciones económicas, sociales, culturales y políticas de las mujeres. Se ha logrado identificar 667 organizaciones de mujeres que se dedican a diferentes actividades agrícolas. Actualmente 305 organizaciones de mujeres participan en el proceso de constitución de la Red Nacional de Mujeres Agricultoras haciendo un total de 66,046 integrantes, y un grupo de 40 delegadas a nivel nacional, que representan a los 22 departamentos del país, quienes posteriormente conformarán la junta directiva. Se cuenta con una base de datos de las 305 organizaciones y su ficha de caracterización. </w:t>
      </w: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Fondo de Desarrollo Indígena Guatemalteco (FODIGUA)</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FODIGUA cuenta con proyectos de ayuda a las comunidades indígenas con escasos recursos y se dividen en los siguientes programas:</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Programa: Kemb´al Tz´ib´</w:t>
      </w:r>
      <w:r w:rsidRPr="00981E15">
        <w:t xml:space="preserve">. Dentro de este programa se facilita el acceso de los niños, niñas y jóvenes de las comunidades rurales indígenas, al conocimiento y uso de programas de informática, fortaleciendo su identidad mediante el aprendizaje de simbología, terminología y contenidos propios de su cultura ancestral. </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Este programa financia, apoya y desarrollan laboratorios de informática en las comunidades indígenas, en coordinación con centros educativos públicos y organizaciones civiles, a efecto que se genere un impacto sostenible en la identidad étnico cultural, en las nuevas generaciones, capaces de recrear la cultura sobre la base de lo ancestral y lo moderno. </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Programa Ri Chak Winaq</w:t>
      </w:r>
      <w:r w:rsidRPr="00981E15">
        <w:t>, el trabajo de la gente. Dentro de este programa se brinda apoyo técnico y financiero al trabajo de la gente, expresado en grupos de mujeres y hombres que se dedican a las actividades productivas en el sector agropecuario y artesanal. Implica el uso de fondos revolventes, capital semilla y micro créditos encaminados a ser fuente de ingresos sostenibles y el apalancamiento de actividades comerciales locales, regionales y extra regionales. En el largo plazo, implica desarrollar acciones estratégicas productivas que permitan elevar el nivel de vida de personas de escasos recursos del área rural indígena mediante la innovación y el impulso de iniciativas novedosas que generen riqueza.</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Programa Utzilal Winaq</w:t>
      </w:r>
      <w:r w:rsidRPr="00981E15">
        <w:t>, bienestar de la Gente. Se conforma de proyectos que contribuyen a lograr que las condiciones de salud preventiva y curativa se traduzcan en un estado de bienestar físico, mental y social, facilitando el uso alternativo de los sistemas preventivos y curativos tradicionales y modernos. En este programa se propone revalorar el papel de las comadronas, que además de asistir a la madre en el parto, constituyen fuente de conocimientos ancestrales y portadoras de una autoridad moral en la consejería de la familia y la maternidad. El programa se propone elevar el perfil de las comadronas mediante capacitaciones técnicas de buena calidad y el reforzamiento e investigación de formas tradicionales de tratamiento a los problemas de salud.</w:t>
      </w:r>
    </w:p>
    <w:p w:rsidR="00B35454" w:rsidRPr="00981E15" w:rsidRDefault="00B35454" w:rsidP="00F455F9">
      <w:pPr>
        <w:pStyle w:val="SingleTxt"/>
        <w:numPr>
          <w:ilvl w:val="0"/>
          <w:numId w:val="42"/>
        </w:numPr>
        <w:tabs>
          <w:tab w:val="clear" w:pos="475"/>
          <w:tab w:val="num" w:pos="1742"/>
        </w:tabs>
        <w:suppressAutoHyphens/>
        <w:ind w:left="1267"/>
      </w:pPr>
      <w:r w:rsidRPr="00981E15">
        <w:rPr>
          <w:b/>
        </w:rPr>
        <w:t>Programa Uchuq</w:t>
      </w:r>
      <w:r w:rsidR="007352CD">
        <w:rPr>
          <w:b/>
        </w:rPr>
        <w:t>’</w:t>
      </w:r>
      <w:r w:rsidRPr="00981E15">
        <w:rPr>
          <w:b/>
        </w:rPr>
        <w:t>ab</w:t>
      </w:r>
      <w:r w:rsidR="007352CD">
        <w:rPr>
          <w:b/>
        </w:rPr>
        <w:t>’</w:t>
      </w:r>
      <w:r w:rsidRPr="00981E15">
        <w:rPr>
          <w:b/>
        </w:rPr>
        <w:t xml:space="preserve"> Tinamit</w:t>
      </w:r>
      <w:r w:rsidRPr="00981E15">
        <w:t>. El Poder del Pueblo. Este programa consiste en impulsar acciones tendientes a fortalecer espacios estratégicos de los pueblos indígenas. Estos espacios pueden encontrarse en la sociedad civil o dentro de la institucionalidad del Estado, mediante la formación de recurso humano y social. El programa incluye la capacitación política del personal vinculados a los proyectos financiados por el Fondo para estar al día con los avances del movimiento indígena nacional e internacional y fortalecer sus prácticas culturales, como el idioma, el uso del calendario maya, el vestuario, su cotidianidad y la espiritualidad.</w:t>
      </w:r>
    </w:p>
    <w:p w:rsidR="00B35454" w:rsidRPr="00981E15" w:rsidRDefault="00B35454" w:rsidP="00B35454">
      <w:pPr>
        <w:pStyle w:val="SingleTxt"/>
        <w:tabs>
          <w:tab w:val="clear" w:pos="1742"/>
        </w:tabs>
        <w:suppressAutoHyphens/>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rPr>
          <w:b w:val="0"/>
        </w:rPr>
        <w:tab/>
      </w:r>
      <w:r w:rsidRPr="00981E15">
        <w:rPr>
          <w:b w:val="0"/>
        </w:rPr>
        <w:tab/>
        <w:t>Cuadro 42</w:t>
      </w:r>
      <w:r w:rsidRPr="00981E15">
        <w:rPr>
          <w:b w:val="0"/>
        </w:rPr>
        <w:br/>
      </w:r>
      <w:r w:rsidRPr="00981E15">
        <w:t>FODIGUA</w:t>
      </w:r>
      <w:r w:rsidRPr="00981E15">
        <w:br/>
        <w:t>Beneficiarios por programa en 2006</w:t>
      </w:r>
    </w:p>
    <w:p w:rsidR="00B35454" w:rsidRPr="00981E15" w:rsidRDefault="00B35454" w:rsidP="00B3545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B35454" w:rsidRPr="00981E15">
        <w:tblPrEx>
          <w:tblCellMar>
            <w:top w:w="0" w:type="dxa"/>
            <w:bottom w:w="0" w:type="dxa"/>
          </w:tblCellMar>
        </w:tblPrEx>
        <w:trPr>
          <w:trHeight w:val="163"/>
          <w:tblHeader/>
        </w:trPr>
        <w:tc>
          <w:tcPr>
            <w:tcW w:w="1830" w:type="dxa"/>
            <w:vMerge w:val="restart"/>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rPr>
                <w:i/>
                <w:kern w:val="0"/>
                <w:sz w:val="14"/>
              </w:rPr>
            </w:pPr>
            <w:r w:rsidRPr="00981E15">
              <w:rPr>
                <w:i/>
                <w:kern w:val="0"/>
                <w:sz w:val="14"/>
              </w:rPr>
              <w:t>Programa</w:t>
            </w:r>
          </w:p>
        </w:tc>
        <w:tc>
          <w:tcPr>
            <w:tcW w:w="3660" w:type="dxa"/>
            <w:gridSpan w:val="2"/>
            <w:tcBorders>
              <w:top w:val="single" w:sz="4" w:space="0" w:color="auto"/>
              <w:bottom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center"/>
              <w:rPr>
                <w:i/>
                <w:kern w:val="0"/>
                <w:sz w:val="14"/>
              </w:rPr>
            </w:pPr>
            <w:r w:rsidRPr="00981E15">
              <w:rPr>
                <w:i/>
                <w:kern w:val="0"/>
                <w:sz w:val="14"/>
              </w:rPr>
              <w:t>Beneficiarios</w:t>
            </w:r>
          </w:p>
        </w:tc>
        <w:tc>
          <w:tcPr>
            <w:tcW w:w="1830" w:type="dxa"/>
            <w:vMerge w:val="restart"/>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Total</w:t>
            </w:r>
          </w:p>
        </w:tc>
      </w:tr>
      <w:tr w:rsidR="00B35454" w:rsidRPr="00981E15">
        <w:tblPrEx>
          <w:tblCellMar>
            <w:top w:w="0" w:type="dxa"/>
            <w:bottom w:w="0" w:type="dxa"/>
          </w:tblCellMar>
        </w:tblPrEx>
        <w:trPr>
          <w:trHeight w:val="163"/>
          <w:tblHeader/>
        </w:trPr>
        <w:tc>
          <w:tcPr>
            <w:tcW w:w="1830" w:type="dxa"/>
            <w:vMerge/>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rPr>
                <w:i/>
                <w:kern w:val="0"/>
                <w:sz w:val="14"/>
              </w:rPr>
            </w:pPr>
          </w:p>
        </w:tc>
        <w:tc>
          <w:tcPr>
            <w:tcW w:w="183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Hombres</w:t>
            </w:r>
          </w:p>
        </w:tc>
        <w:tc>
          <w:tcPr>
            <w:tcW w:w="183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Mujeres</w:t>
            </w:r>
          </w:p>
        </w:tc>
        <w:tc>
          <w:tcPr>
            <w:tcW w:w="1830" w:type="dxa"/>
            <w:vMerge/>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p>
        </w:tc>
      </w:tr>
      <w:tr w:rsidR="00B35454" w:rsidRPr="00981E15">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p>
        </w:tc>
        <w:tc>
          <w:tcPr>
            <w:tcW w:w="183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183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r>
      <w:tr w:rsidR="00B35454" w:rsidRPr="00981E15">
        <w:tblPrEx>
          <w:tblCellMar>
            <w:top w:w="0" w:type="dxa"/>
            <w:bottom w:w="0" w:type="dxa"/>
          </w:tblCellMar>
        </w:tblPrEx>
        <w:tc>
          <w:tcPr>
            <w:tcW w:w="183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Utzilal Winaq</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1 078</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1 078</w:t>
            </w:r>
          </w:p>
        </w:tc>
      </w:tr>
      <w:tr w:rsidR="00B35454" w:rsidRPr="00981E15">
        <w:tblPrEx>
          <w:tblCellMar>
            <w:top w:w="0" w:type="dxa"/>
            <w:bottom w:w="0" w:type="dxa"/>
          </w:tblCellMar>
        </w:tblPrEx>
        <w:tc>
          <w:tcPr>
            <w:tcW w:w="183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Ri Chak Winaq</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959</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701</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1 660</w:t>
            </w:r>
          </w:p>
        </w:tc>
      </w:tr>
      <w:tr w:rsidR="00B35454" w:rsidRPr="00981E15">
        <w:tblPrEx>
          <w:tblCellMar>
            <w:top w:w="0" w:type="dxa"/>
            <w:bottom w:w="0" w:type="dxa"/>
          </w:tblCellMar>
        </w:tblPrEx>
        <w:tc>
          <w:tcPr>
            <w:tcW w:w="183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Kemb</w:t>
            </w:r>
            <w:r w:rsidR="007352CD">
              <w:rPr>
                <w:kern w:val="0"/>
                <w:sz w:val="17"/>
              </w:rPr>
              <w:t>’</w:t>
            </w:r>
            <w:r w:rsidRPr="00981E15">
              <w:rPr>
                <w:kern w:val="0"/>
                <w:sz w:val="17"/>
              </w:rPr>
              <w:t>al Tz</w:t>
            </w:r>
            <w:r w:rsidR="007352CD">
              <w:rPr>
                <w:kern w:val="0"/>
                <w:sz w:val="17"/>
              </w:rPr>
              <w:t>’</w:t>
            </w:r>
            <w:r w:rsidRPr="00981E15">
              <w:rPr>
                <w:kern w:val="0"/>
                <w:sz w:val="17"/>
              </w:rPr>
              <w:t>ib</w:t>
            </w:r>
            <w:r w:rsidR="007352CD">
              <w:rPr>
                <w:kern w:val="0"/>
                <w:sz w:val="17"/>
              </w:rPr>
              <w:t>’</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2 292</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2 281</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4 573</w:t>
            </w:r>
          </w:p>
        </w:tc>
      </w:tr>
      <w:tr w:rsidR="00B35454" w:rsidRPr="00981E15">
        <w:tblPrEx>
          <w:tblCellMar>
            <w:top w:w="0" w:type="dxa"/>
            <w:bottom w:w="0" w:type="dxa"/>
          </w:tblCellMar>
        </w:tblPrEx>
        <w:tc>
          <w:tcPr>
            <w:tcW w:w="183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r w:rsidRPr="00981E15">
              <w:rPr>
                <w:kern w:val="0"/>
                <w:sz w:val="17"/>
              </w:rPr>
              <w:t>Ri Uchuq</w:t>
            </w:r>
            <w:r w:rsidR="007352CD">
              <w:rPr>
                <w:kern w:val="0"/>
                <w:sz w:val="17"/>
              </w:rPr>
              <w:t>’</w:t>
            </w:r>
            <w:r w:rsidRPr="00981E15">
              <w:rPr>
                <w:kern w:val="0"/>
                <w:sz w:val="17"/>
              </w:rPr>
              <w:t>ab</w:t>
            </w:r>
            <w:r w:rsidR="007352CD">
              <w:rPr>
                <w:kern w:val="0"/>
                <w:sz w:val="17"/>
              </w:rPr>
              <w:t>’</w:t>
            </w:r>
            <w:r w:rsidRPr="00981E15">
              <w:rPr>
                <w:kern w:val="0"/>
                <w:sz w:val="17"/>
              </w:rPr>
              <w:t xml:space="preserve"> Winaq</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300</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440</w:t>
            </w:r>
          </w:p>
        </w:tc>
        <w:tc>
          <w:tcPr>
            <w:tcW w:w="1830" w:type="dxa"/>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740</w:t>
            </w:r>
          </w:p>
        </w:tc>
      </w:tr>
      <w:tr w:rsidR="00B35454" w:rsidRPr="00981E15">
        <w:tblPrEx>
          <w:tblCellMar>
            <w:top w:w="0" w:type="dxa"/>
            <w:bottom w:w="0" w:type="dxa"/>
          </w:tblCellMar>
        </w:tblPrEx>
        <w:tc>
          <w:tcPr>
            <w:tcW w:w="1830" w:type="dxa"/>
            <w:tcBorders>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p>
        </w:tc>
        <w:tc>
          <w:tcPr>
            <w:tcW w:w="1830" w:type="dxa"/>
            <w:tcBorders>
              <w:bottom w:val="single" w:sz="12" w:space="0" w:color="auto"/>
            </w:tcBorders>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3 351</w:t>
            </w:r>
          </w:p>
        </w:tc>
        <w:tc>
          <w:tcPr>
            <w:tcW w:w="1830" w:type="dxa"/>
            <w:tcBorders>
              <w:bottom w:val="single" w:sz="12" w:space="0" w:color="auto"/>
            </w:tcBorders>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4 500</w:t>
            </w:r>
          </w:p>
        </w:tc>
        <w:tc>
          <w:tcPr>
            <w:tcW w:w="1830" w:type="dxa"/>
            <w:tcBorders>
              <w:bottom w:val="single" w:sz="12" w:space="0" w:color="auto"/>
            </w:tcBorders>
            <w:shd w:val="clear" w:color="auto" w:fill="auto"/>
            <w:vAlign w:val="bottom"/>
          </w:tcPr>
          <w:p w:rsidR="00B35454" w:rsidRPr="00981E15" w:rsidRDefault="00B35454" w:rsidP="00B35454">
            <w:pPr>
              <w:spacing w:before="40" w:after="40" w:line="210" w:lineRule="exact"/>
              <w:jc w:val="right"/>
              <w:rPr>
                <w:sz w:val="17"/>
                <w:szCs w:val="17"/>
              </w:rPr>
            </w:pPr>
            <w:r w:rsidRPr="00981E15">
              <w:rPr>
                <w:sz w:val="17"/>
                <w:szCs w:val="17"/>
              </w:rPr>
              <w:t xml:space="preserve"> 8 051</w:t>
            </w:r>
          </w:p>
        </w:tc>
      </w:tr>
    </w:tbl>
    <w:p w:rsidR="00B35454" w:rsidRPr="00981E15" w:rsidRDefault="00B35454" w:rsidP="00B35454">
      <w:pPr>
        <w:pStyle w:val="FootnoteText"/>
        <w:tabs>
          <w:tab w:val="clear" w:pos="418"/>
          <w:tab w:val="right" w:pos="1476"/>
          <w:tab w:val="left" w:pos="1548"/>
          <w:tab w:val="right" w:pos="1836"/>
          <w:tab w:val="left" w:pos="1908"/>
        </w:tabs>
        <w:spacing w:line="120" w:lineRule="exact"/>
        <w:ind w:left="1548" w:right="1267" w:hanging="288"/>
        <w:rPr>
          <w:sz w:val="10"/>
        </w:rPr>
      </w:pP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FODIGUA, octubre 2007.</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rPr>
          <w:b w:val="0"/>
        </w:rPr>
        <w:tab/>
      </w:r>
      <w:r w:rsidRPr="00981E15">
        <w:rPr>
          <w:b w:val="0"/>
        </w:rPr>
        <w:tab/>
        <w:t>Cuadro 43</w:t>
      </w:r>
      <w:r w:rsidRPr="00981E15">
        <w:rPr>
          <w:b w:val="0"/>
        </w:rPr>
        <w:br/>
      </w:r>
      <w:r w:rsidRPr="00981E15">
        <w:t>FODIGUA</w:t>
      </w:r>
      <w:r w:rsidRPr="00981E15">
        <w:br/>
        <w:t>Beneficiarios por programa en 2007</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2762"/>
        <w:gridCol w:w="418"/>
        <w:gridCol w:w="1155"/>
        <w:gridCol w:w="1156"/>
      </w:tblGrid>
      <w:tr w:rsidR="00B35454" w:rsidRPr="00981E15">
        <w:tblPrEx>
          <w:tblCellMar>
            <w:top w:w="0" w:type="dxa"/>
            <w:bottom w:w="0" w:type="dxa"/>
          </w:tblCellMar>
        </w:tblPrEx>
        <w:trPr>
          <w:trHeight w:val="308"/>
          <w:tblHeader/>
        </w:trPr>
        <w:tc>
          <w:tcPr>
            <w:tcW w:w="1830" w:type="dxa"/>
            <w:vMerge w:val="restart"/>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rPr>
                <w:i/>
                <w:kern w:val="0"/>
                <w:sz w:val="14"/>
              </w:rPr>
            </w:pPr>
            <w:r w:rsidRPr="00981E15">
              <w:rPr>
                <w:i/>
                <w:kern w:val="0"/>
                <w:sz w:val="14"/>
              </w:rPr>
              <w:t>Programa</w:t>
            </w:r>
          </w:p>
        </w:tc>
        <w:tc>
          <w:tcPr>
            <w:tcW w:w="3180" w:type="dxa"/>
            <w:gridSpan w:val="2"/>
            <w:vMerge w:val="restart"/>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Número de proyectos</w:t>
            </w:r>
          </w:p>
        </w:tc>
        <w:tc>
          <w:tcPr>
            <w:tcW w:w="2311" w:type="dxa"/>
            <w:gridSpan w:val="2"/>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center"/>
              <w:rPr>
                <w:i/>
                <w:kern w:val="0"/>
                <w:sz w:val="14"/>
              </w:rPr>
            </w:pPr>
            <w:r w:rsidRPr="00981E15">
              <w:rPr>
                <w:i/>
                <w:kern w:val="0"/>
                <w:sz w:val="14"/>
              </w:rPr>
              <w:t>Beneficiarios</w:t>
            </w:r>
          </w:p>
        </w:tc>
      </w:tr>
      <w:tr w:rsidR="00B35454" w:rsidRPr="00981E15">
        <w:tblPrEx>
          <w:tblCellMar>
            <w:top w:w="0" w:type="dxa"/>
            <w:bottom w:w="0" w:type="dxa"/>
          </w:tblCellMar>
        </w:tblPrEx>
        <w:trPr>
          <w:trHeight w:val="308"/>
          <w:tblHeader/>
        </w:trPr>
        <w:tc>
          <w:tcPr>
            <w:tcW w:w="1830" w:type="dxa"/>
            <w:vMerge/>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rPr>
                <w:i/>
                <w:kern w:val="0"/>
                <w:sz w:val="14"/>
              </w:rPr>
            </w:pPr>
          </w:p>
        </w:tc>
        <w:tc>
          <w:tcPr>
            <w:tcW w:w="3180" w:type="dxa"/>
            <w:gridSpan w:val="2"/>
            <w:vMerge/>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p>
        </w:tc>
        <w:tc>
          <w:tcPr>
            <w:tcW w:w="1155"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Hombres</w:t>
            </w:r>
          </w:p>
        </w:tc>
        <w:tc>
          <w:tcPr>
            <w:tcW w:w="1156" w:type="dxa"/>
            <w:tcBorders>
              <w:top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0" w:after="80" w:line="160" w:lineRule="exact"/>
              <w:ind w:right="40"/>
              <w:jc w:val="right"/>
              <w:rPr>
                <w:i/>
                <w:kern w:val="0"/>
                <w:sz w:val="14"/>
              </w:rPr>
            </w:pPr>
            <w:r w:rsidRPr="00981E15">
              <w:rPr>
                <w:i/>
                <w:kern w:val="0"/>
                <w:sz w:val="14"/>
              </w:rPr>
              <w:t>Mujeres</w:t>
            </w:r>
          </w:p>
        </w:tc>
      </w:tr>
      <w:tr w:rsidR="00B35454" w:rsidRPr="00981E15">
        <w:tblPrEx>
          <w:tblCellMar>
            <w:top w:w="0" w:type="dxa"/>
            <w:bottom w:w="0" w:type="dxa"/>
          </w:tblCellMar>
        </w:tblPrEx>
        <w:trPr>
          <w:trHeight w:hRule="exact" w:val="106"/>
          <w:tblHeader/>
        </w:trPr>
        <w:tc>
          <w:tcPr>
            <w:tcW w:w="1830"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rPr>
                <w:kern w:val="0"/>
                <w:sz w:val="17"/>
              </w:rPr>
            </w:pPr>
          </w:p>
        </w:tc>
        <w:tc>
          <w:tcPr>
            <w:tcW w:w="2762"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418" w:type="dxa"/>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c>
          <w:tcPr>
            <w:tcW w:w="2311" w:type="dxa"/>
            <w:gridSpan w:val="2"/>
            <w:tcBorders>
              <w:top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0"/>
              <w:jc w:val="right"/>
              <w:rPr>
                <w:kern w:val="0"/>
                <w:sz w:val="17"/>
              </w:rPr>
            </w:pPr>
          </w:p>
        </w:tc>
      </w:tr>
      <w:tr w:rsidR="00B35454" w:rsidRPr="00981E15">
        <w:tblPrEx>
          <w:tblCellMar>
            <w:top w:w="0" w:type="dxa"/>
            <w:bottom w:w="0" w:type="dxa"/>
          </w:tblCellMar>
        </w:tblPrEx>
        <w:trPr>
          <w:trHeight w:val="264"/>
        </w:trPr>
        <w:tc>
          <w:tcPr>
            <w:tcW w:w="183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Uchuq</w:t>
            </w:r>
            <w:r w:rsidR="007352CD">
              <w:rPr>
                <w:kern w:val="0"/>
                <w:sz w:val="17"/>
              </w:rPr>
              <w:t>’</w:t>
            </w:r>
            <w:r w:rsidRPr="00981E15">
              <w:rPr>
                <w:kern w:val="0"/>
                <w:sz w:val="17"/>
              </w:rPr>
              <w:t>ab</w:t>
            </w:r>
            <w:r w:rsidR="007352CD">
              <w:rPr>
                <w:kern w:val="0"/>
                <w:sz w:val="17"/>
              </w:rPr>
              <w:t>’</w:t>
            </w:r>
            <w:r w:rsidRPr="00981E15">
              <w:rPr>
                <w:kern w:val="0"/>
                <w:sz w:val="17"/>
              </w:rPr>
              <w:t xml:space="preserve"> Tinamit</w:t>
            </w:r>
          </w:p>
        </w:tc>
        <w:tc>
          <w:tcPr>
            <w:tcW w:w="3180" w:type="dxa"/>
            <w:gridSpan w:val="2"/>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 xml:space="preserve">8 </w:t>
            </w:r>
          </w:p>
        </w:tc>
        <w:tc>
          <w:tcPr>
            <w:tcW w:w="1155" w:type="dxa"/>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438</w:t>
            </w:r>
          </w:p>
        </w:tc>
        <w:tc>
          <w:tcPr>
            <w:tcW w:w="1156" w:type="dxa"/>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486</w:t>
            </w:r>
            <w:r w:rsidRPr="00981E15">
              <w:rPr>
                <w:b/>
                <w:kern w:val="0"/>
                <w:sz w:val="17"/>
              </w:rPr>
              <w:t xml:space="preserve"> </w:t>
            </w:r>
          </w:p>
        </w:tc>
      </w:tr>
      <w:tr w:rsidR="00B35454" w:rsidRPr="00981E15">
        <w:tblPrEx>
          <w:tblCellMar>
            <w:top w:w="0" w:type="dxa"/>
            <w:bottom w:w="0" w:type="dxa"/>
          </w:tblCellMar>
        </w:tblPrEx>
        <w:trPr>
          <w:trHeight w:val="277"/>
        </w:trPr>
        <w:tc>
          <w:tcPr>
            <w:tcW w:w="183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Utzilal Winaq</w:t>
            </w:r>
          </w:p>
        </w:tc>
        <w:tc>
          <w:tcPr>
            <w:tcW w:w="3180" w:type="dxa"/>
            <w:gridSpan w:val="2"/>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 xml:space="preserve">3 </w:t>
            </w:r>
          </w:p>
        </w:tc>
        <w:tc>
          <w:tcPr>
            <w:tcW w:w="1155" w:type="dxa"/>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 xml:space="preserve">47 </w:t>
            </w:r>
          </w:p>
        </w:tc>
        <w:tc>
          <w:tcPr>
            <w:tcW w:w="1156" w:type="dxa"/>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221</w:t>
            </w:r>
          </w:p>
        </w:tc>
      </w:tr>
      <w:tr w:rsidR="00B35454" w:rsidRPr="00981E15">
        <w:tblPrEx>
          <w:tblCellMar>
            <w:top w:w="0" w:type="dxa"/>
            <w:bottom w:w="0" w:type="dxa"/>
          </w:tblCellMar>
        </w:tblPrEx>
        <w:trPr>
          <w:trHeight w:val="264"/>
        </w:trPr>
        <w:tc>
          <w:tcPr>
            <w:tcW w:w="1830" w:type="dxa"/>
            <w:shd w:val="clear" w:color="auto" w:fill="auto"/>
            <w:vAlign w:val="bottom"/>
          </w:tcPr>
          <w:p w:rsidR="00B35454" w:rsidRPr="00981E15" w:rsidRDefault="00B35454" w:rsidP="00B35454">
            <w:pPr>
              <w:tabs>
                <w:tab w:val="left" w:pos="288"/>
                <w:tab w:val="left" w:pos="576"/>
                <w:tab w:val="left" w:pos="864"/>
                <w:tab w:val="left" w:pos="1152"/>
              </w:tabs>
              <w:spacing w:before="40" w:after="40" w:line="210" w:lineRule="exact"/>
              <w:ind w:right="43"/>
              <w:rPr>
                <w:kern w:val="0"/>
                <w:sz w:val="17"/>
              </w:rPr>
            </w:pPr>
            <w:r w:rsidRPr="00981E15">
              <w:rPr>
                <w:kern w:val="0"/>
                <w:sz w:val="17"/>
              </w:rPr>
              <w:t>Kemb</w:t>
            </w:r>
            <w:r w:rsidR="007352CD">
              <w:rPr>
                <w:kern w:val="0"/>
                <w:sz w:val="17"/>
              </w:rPr>
              <w:t>’</w:t>
            </w:r>
            <w:r w:rsidRPr="00981E15">
              <w:rPr>
                <w:kern w:val="0"/>
                <w:sz w:val="17"/>
              </w:rPr>
              <w:t>al Tz</w:t>
            </w:r>
            <w:r w:rsidR="007352CD">
              <w:rPr>
                <w:kern w:val="0"/>
                <w:sz w:val="17"/>
              </w:rPr>
              <w:t>’</w:t>
            </w:r>
            <w:r w:rsidRPr="00981E15">
              <w:rPr>
                <w:kern w:val="0"/>
                <w:sz w:val="17"/>
              </w:rPr>
              <w:t>ib</w:t>
            </w:r>
            <w:r w:rsidR="007352CD">
              <w:rPr>
                <w:kern w:val="0"/>
                <w:sz w:val="17"/>
              </w:rPr>
              <w:t>’</w:t>
            </w:r>
          </w:p>
        </w:tc>
        <w:tc>
          <w:tcPr>
            <w:tcW w:w="3180" w:type="dxa"/>
            <w:gridSpan w:val="2"/>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 xml:space="preserve">16 </w:t>
            </w:r>
          </w:p>
        </w:tc>
        <w:tc>
          <w:tcPr>
            <w:tcW w:w="1155" w:type="dxa"/>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 xml:space="preserve">2 060 </w:t>
            </w:r>
          </w:p>
        </w:tc>
        <w:tc>
          <w:tcPr>
            <w:tcW w:w="1156" w:type="dxa"/>
            <w:shd w:val="clear" w:color="auto" w:fill="auto"/>
            <w:vAlign w:val="bottom"/>
          </w:tcPr>
          <w:p w:rsidR="00B35454" w:rsidRPr="00981E15" w:rsidRDefault="00B35454" w:rsidP="00B35454">
            <w:pPr>
              <w:spacing w:before="40" w:after="40" w:line="210" w:lineRule="exact"/>
              <w:ind w:right="43"/>
              <w:jc w:val="right"/>
              <w:rPr>
                <w:kern w:val="0"/>
                <w:sz w:val="17"/>
              </w:rPr>
            </w:pPr>
            <w:r w:rsidRPr="00981E15">
              <w:rPr>
                <w:kern w:val="0"/>
                <w:sz w:val="17"/>
              </w:rPr>
              <w:t>1 981</w:t>
            </w:r>
          </w:p>
        </w:tc>
      </w:tr>
      <w:tr w:rsidR="00B35454" w:rsidRPr="00981E15">
        <w:tblPrEx>
          <w:tblCellMar>
            <w:top w:w="0" w:type="dxa"/>
            <w:bottom w:w="0" w:type="dxa"/>
          </w:tblCellMar>
        </w:tblPrEx>
        <w:tc>
          <w:tcPr>
            <w:tcW w:w="1830" w:type="dxa"/>
            <w:tcBorders>
              <w:bottom w:val="single" w:sz="4"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40" w:after="81" w:line="210" w:lineRule="exact"/>
              <w:ind w:right="43"/>
              <w:rPr>
                <w:kern w:val="0"/>
                <w:sz w:val="17"/>
              </w:rPr>
            </w:pPr>
            <w:r w:rsidRPr="00981E15">
              <w:rPr>
                <w:kern w:val="0"/>
                <w:sz w:val="17"/>
              </w:rPr>
              <w:t>Ri Chak Winaq</w:t>
            </w:r>
          </w:p>
        </w:tc>
        <w:tc>
          <w:tcPr>
            <w:tcW w:w="3180" w:type="dxa"/>
            <w:gridSpan w:val="2"/>
            <w:tcBorders>
              <w:bottom w:val="single" w:sz="4" w:space="0" w:color="auto"/>
            </w:tcBorders>
            <w:shd w:val="clear" w:color="auto" w:fill="auto"/>
            <w:vAlign w:val="bottom"/>
          </w:tcPr>
          <w:p w:rsidR="00B35454" w:rsidRPr="00981E15" w:rsidRDefault="00B35454" w:rsidP="00B35454">
            <w:pPr>
              <w:spacing w:before="40" w:after="81" w:line="210" w:lineRule="exact"/>
              <w:ind w:right="43"/>
              <w:jc w:val="right"/>
              <w:rPr>
                <w:kern w:val="0"/>
                <w:sz w:val="17"/>
              </w:rPr>
            </w:pPr>
            <w:r w:rsidRPr="00981E15">
              <w:rPr>
                <w:kern w:val="0"/>
                <w:sz w:val="17"/>
              </w:rPr>
              <w:t xml:space="preserve">21 </w:t>
            </w:r>
          </w:p>
        </w:tc>
        <w:tc>
          <w:tcPr>
            <w:tcW w:w="1155" w:type="dxa"/>
            <w:tcBorders>
              <w:bottom w:val="single" w:sz="4" w:space="0" w:color="auto"/>
            </w:tcBorders>
            <w:shd w:val="clear" w:color="auto" w:fill="auto"/>
            <w:vAlign w:val="bottom"/>
          </w:tcPr>
          <w:p w:rsidR="00B35454" w:rsidRPr="00981E15" w:rsidRDefault="00B35454" w:rsidP="00B35454">
            <w:pPr>
              <w:spacing w:before="40" w:after="81" w:line="210" w:lineRule="exact"/>
              <w:ind w:right="43"/>
              <w:jc w:val="right"/>
              <w:rPr>
                <w:kern w:val="0"/>
                <w:sz w:val="17"/>
              </w:rPr>
            </w:pPr>
            <w:r w:rsidRPr="00981E15">
              <w:rPr>
                <w:kern w:val="0"/>
                <w:sz w:val="17"/>
              </w:rPr>
              <w:t xml:space="preserve">507 </w:t>
            </w:r>
          </w:p>
        </w:tc>
        <w:tc>
          <w:tcPr>
            <w:tcW w:w="1156" w:type="dxa"/>
            <w:tcBorders>
              <w:bottom w:val="single" w:sz="4" w:space="0" w:color="auto"/>
            </w:tcBorders>
            <w:shd w:val="clear" w:color="auto" w:fill="auto"/>
            <w:vAlign w:val="bottom"/>
          </w:tcPr>
          <w:p w:rsidR="00B35454" w:rsidRPr="00981E15" w:rsidRDefault="00B35454" w:rsidP="00B35454">
            <w:pPr>
              <w:spacing w:before="40" w:after="81" w:line="210" w:lineRule="exact"/>
              <w:ind w:right="43"/>
              <w:jc w:val="right"/>
              <w:rPr>
                <w:kern w:val="0"/>
                <w:sz w:val="17"/>
              </w:rPr>
            </w:pPr>
            <w:r w:rsidRPr="00981E15">
              <w:rPr>
                <w:kern w:val="0"/>
                <w:sz w:val="17"/>
              </w:rPr>
              <w:t>910</w:t>
            </w:r>
          </w:p>
        </w:tc>
      </w:tr>
      <w:tr w:rsidR="00B35454" w:rsidRPr="00981E15">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B35454" w:rsidRPr="00981E15" w:rsidRDefault="00B35454" w:rsidP="00B35454">
            <w:pPr>
              <w:tabs>
                <w:tab w:val="left" w:pos="288"/>
                <w:tab w:val="left" w:pos="576"/>
                <w:tab w:val="left" w:pos="864"/>
                <w:tab w:val="left" w:pos="1152"/>
              </w:tabs>
              <w:spacing w:before="81" w:after="81" w:line="210" w:lineRule="exact"/>
              <w:ind w:right="43"/>
              <w:rPr>
                <w:b/>
                <w:kern w:val="0"/>
                <w:sz w:val="17"/>
              </w:rPr>
            </w:pPr>
            <w:r w:rsidRPr="00981E15">
              <w:rPr>
                <w:b/>
                <w:kern w:val="0"/>
                <w:sz w:val="17"/>
              </w:rPr>
              <w:tab/>
              <w:t>Total</w:t>
            </w:r>
          </w:p>
        </w:tc>
        <w:tc>
          <w:tcPr>
            <w:tcW w:w="3180" w:type="dxa"/>
            <w:gridSpan w:val="2"/>
            <w:tcBorders>
              <w:top w:val="single" w:sz="4" w:space="0" w:color="auto"/>
              <w:bottom w:val="single" w:sz="12" w:space="0" w:color="auto"/>
            </w:tcBorders>
            <w:shd w:val="clear" w:color="auto" w:fill="auto"/>
            <w:vAlign w:val="bottom"/>
          </w:tcPr>
          <w:p w:rsidR="00B35454" w:rsidRPr="00981E15" w:rsidRDefault="00B35454" w:rsidP="00B35454">
            <w:pPr>
              <w:spacing w:before="81" w:after="81" w:line="210" w:lineRule="exact"/>
              <w:ind w:right="43"/>
              <w:jc w:val="right"/>
              <w:rPr>
                <w:b/>
                <w:kern w:val="0"/>
                <w:sz w:val="17"/>
              </w:rPr>
            </w:pPr>
            <w:r w:rsidRPr="00981E15">
              <w:rPr>
                <w:b/>
                <w:kern w:val="0"/>
                <w:sz w:val="17"/>
              </w:rPr>
              <w:t xml:space="preserve">48 </w:t>
            </w:r>
          </w:p>
        </w:tc>
        <w:tc>
          <w:tcPr>
            <w:tcW w:w="1155" w:type="dxa"/>
            <w:tcBorders>
              <w:top w:val="single" w:sz="4" w:space="0" w:color="auto"/>
              <w:bottom w:val="single" w:sz="12" w:space="0" w:color="auto"/>
            </w:tcBorders>
            <w:shd w:val="clear" w:color="auto" w:fill="auto"/>
            <w:vAlign w:val="bottom"/>
          </w:tcPr>
          <w:p w:rsidR="00B35454" w:rsidRPr="00981E15" w:rsidRDefault="00B35454" w:rsidP="00B35454">
            <w:pPr>
              <w:spacing w:before="81" w:after="81" w:line="210" w:lineRule="exact"/>
              <w:ind w:right="43"/>
              <w:jc w:val="right"/>
              <w:rPr>
                <w:b/>
                <w:kern w:val="0"/>
                <w:sz w:val="17"/>
              </w:rPr>
            </w:pPr>
            <w:r w:rsidRPr="00981E15">
              <w:rPr>
                <w:b/>
                <w:kern w:val="0"/>
                <w:sz w:val="17"/>
              </w:rPr>
              <w:t xml:space="preserve">3 052 </w:t>
            </w:r>
          </w:p>
        </w:tc>
        <w:tc>
          <w:tcPr>
            <w:tcW w:w="1156" w:type="dxa"/>
            <w:tcBorders>
              <w:top w:val="single" w:sz="4" w:space="0" w:color="auto"/>
              <w:bottom w:val="single" w:sz="12" w:space="0" w:color="auto"/>
            </w:tcBorders>
            <w:shd w:val="clear" w:color="auto" w:fill="auto"/>
            <w:vAlign w:val="bottom"/>
          </w:tcPr>
          <w:p w:rsidR="00B35454" w:rsidRPr="00981E15" w:rsidRDefault="00B35454" w:rsidP="00B35454">
            <w:pPr>
              <w:spacing w:before="81" w:after="81" w:line="210" w:lineRule="exact"/>
              <w:ind w:right="43"/>
              <w:jc w:val="right"/>
              <w:rPr>
                <w:b/>
                <w:kern w:val="0"/>
                <w:sz w:val="17"/>
              </w:rPr>
            </w:pPr>
            <w:r w:rsidRPr="00981E15">
              <w:rPr>
                <w:b/>
                <w:kern w:val="0"/>
                <w:sz w:val="17"/>
              </w:rPr>
              <w:t>3 598</w:t>
            </w:r>
          </w:p>
        </w:tc>
      </w:tr>
    </w:tbl>
    <w:p w:rsidR="00B35454" w:rsidRPr="00981E15" w:rsidRDefault="00B35454" w:rsidP="00B35454">
      <w:pPr>
        <w:pStyle w:val="FootnoteText"/>
        <w:tabs>
          <w:tab w:val="clear" w:pos="418"/>
          <w:tab w:val="right" w:pos="1476"/>
          <w:tab w:val="left" w:pos="1548"/>
          <w:tab w:val="right" w:pos="1836"/>
          <w:tab w:val="left" w:pos="1908"/>
        </w:tabs>
        <w:spacing w:line="120" w:lineRule="exact"/>
        <w:ind w:left="1548" w:right="1267" w:hanging="288"/>
        <w:rPr>
          <w:sz w:val="10"/>
        </w:rPr>
      </w:pPr>
    </w:p>
    <w:p w:rsidR="00B35454" w:rsidRPr="00981E15" w:rsidRDefault="00B35454" w:rsidP="00B35454">
      <w:pPr>
        <w:pStyle w:val="FootnoteText"/>
        <w:tabs>
          <w:tab w:val="clear" w:pos="418"/>
          <w:tab w:val="right" w:pos="1476"/>
          <w:tab w:val="left" w:pos="1548"/>
          <w:tab w:val="right" w:pos="1836"/>
          <w:tab w:val="left" w:pos="1908"/>
        </w:tabs>
        <w:ind w:left="1548" w:right="1267" w:hanging="288"/>
      </w:pPr>
      <w:r w:rsidRPr="00981E15">
        <w:rPr>
          <w:i/>
        </w:rPr>
        <w:t>Fuente</w:t>
      </w:r>
      <w:r w:rsidRPr="00981E15">
        <w:t>: FODIGUA, octubre de 2007.</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Retos y desafíos</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La Defensoría de la Mujer Indígena (DEMI) facilitó en septiembre 2006 un Congreso Nacional de Mujeres Indígenas. Derivado de este Congreso se formuló la Agenda Articulada de las Mujeres Mayas, Garífunas y Xinkas, la cual fue un insumo importante para la actualización de la Política Nacional de Promoción y Desarrollo Integral de las Mujeres 2008-2023. El propósito fundamental es reconocer y valorar la aportación de las mujeres Mayas, Garífunas y Xinkas a la preservación de la cultura, a la construcción de la paz, la democracia y el desarrollo integral del país, por medio de la integración de los ejes temáticos que desarrolla la Agenda Articulada, dentro de las políticas públicas locales y de Estado. </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 xml:space="preserve">Artículo 15 </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Igualdad ante la Ley</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Como se ha reportado en anteriores informes, la legislación guatemalteca en materia civil y capacidad jurídica, consagra la igualdad jurídica de la mujer y del hombre que se establece en la ley suprema del país, la Constitución de la República, en el artículo 4º dispone que “todos los seres humanos son libres e iguales en dignidad y derechos”. La Ley de Dignificación y Promoción Integral de la Mujer y la Ley de Desarrollo Social reconocen formalmente la igualdad de derechos de la mujer y del hombre en el hogar, trabajo, producción, vida social y política. La legislación civil guatemalteca establece que la capacidad para el ejercicio de los derechos civiles se adquiere con la mayoría de edad. Adquiriendo así la plena capacidad para actuar y contratarse, en igualdad condiciones con el varón, teniendo los mismos derechos y obligaciones. </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Una problemática que enfrentan las mujeres en Guatemala, principalmente a nivel rural, es la falta de documentación y en Guatemala como en otras partes del mundo, sin documento de identidad no hay existencia jurídica. Las “personas”, muchas de ellas mujeres o niñas no pueden ejercer sus derechos, por ejemplo acceso a la educación, trabajo o salud. Así también, existir jurídicamente está intrínsecamente ligado con los requisitos para poder ser titular de propiedad o para poder acceder al crédito. El documento de identidad es también requisito esencial para ejercer la ciudadanía para las mujeres. </w:t>
      </w:r>
    </w:p>
    <w:p w:rsidR="00B35454" w:rsidRPr="00981E15" w:rsidRDefault="00B35454" w:rsidP="00F455F9">
      <w:pPr>
        <w:pStyle w:val="SingleTxt"/>
        <w:numPr>
          <w:ilvl w:val="0"/>
          <w:numId w:val="42"/>
        </w:numPr>
        <w:tabs>
          <w:tab w:val="clear" w:pos="475"/>
          <w:tab w:val="num" w:pos="1742"/>
        </w:tabs>
        <w:suppressAutoHyphens/>
        <w:ind w:left="1267"/>
      </w:pPr>
      <w:r w:rsidRPr="00981E15">
        <w:t>Para lograr la participación en condiciones de igualdad se han adoptado normas de carácter transitorio que contribuye a promover la igualdad entre hombres y mujeres para el ejercicio de la ciudadanía las mujeres afectadas por el conflicto armado, en el 2000 (decreto 67-2000) aprobó la primera Ley Temporal Especial para la Documentación de Personas, cuya vigencia fue de dos años. Pese a las múltiples prórrogas realizadas aún hay población desarraigada indocumentada, especialmente la población femenina y menores de edad, por lo que en abril de 2006 por medio del decreto 9-2006 se aprueba nuevamente la Ley Temporal Especial para la Documentación de Personas, con una vigencia de seis meses. Este proceso fue divulgado durante los dos primeros meses por medio de los medios de comunicación en los idiomas maya, xinka y garífuna.</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Actualmente se encuentran varias propuestas de reformas legislativas ante el Congreso de la República, para adecuar el marco normativo que responda a la igualdad jurídica, que permita a las mujeres en condiciones de igualdad su desarrollo profesional, político, económico y social, en los diversos ámbitos en que se desempeña. Derivado del proceso electoral que atraviesa el país y de las nuevas autoridades electas por voto popular que asumirán sus funciones en enero de 2008, será importante fomentar la adquisición de conocimientos jurídicos elementales para incorporar la perspectiva de género en las iniciativas de ley y recalcar la importancia de tomar como base del trabajo legislativo a todos aquellos instrumentos de derechos humanos como la CEDAW y la Convención de Belém do Pará. </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C34C22" w:rsidP="00B35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br w:type="page"/>
      </w:r>
      <w:r w:rsidR="00B35454" w:rsidRPr="00981E15">
        <w:tab/>
      </w:r>
      <w:r w:rsidR="00B35454" w:rsidRPr="00981E15">
        <w:tab/>
        <w:t>Artículo 16</w:t>
      </w:r>
    </w:p>
    <w:p w:rsidR="00B35454" w:rsidRPr="00981E15" w:rsidRDefault="00B35454" w:rsidP="00B35454">
      <w:pPr>
        <w:pStyle w:val="SingleTxt"/>
        <w:spacing w:after="0" w:line="120" w:lineRule="exact"/>
        <w:rPr>
          <w:sz w:val="10"/>
        </w:rPr>
      </w:pPr>
    </w:p>
    <w:p w:rsidR="00B35454" w:rsidRPr="00981E15" w:rsidRDefault="00B35454" w:rsidP="00B35454">
      <w:pPr>
        <w:pStyle w:val="SingleTxt"/>
        <w:spacing w:after="0" w:line="120" w:lineRule="exact"/>
        <w:rPr>
          <w:sz w:val="10"/>
        </w:rPr>
      </w:pPr>
    </w:p>
    <w:p w:rsidR="00B35454" w:rsidRPr="00981E15" w:rsidRDefault="00B35454" w:rsidP="00B35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981E15">
        <w:tab/>
      </w:r>
      <w:r w:rsidRPr="00981E15">
        <w:tab/>
        <w:t>Matrimonio y Familia</w:t>
      </w:r>
    </w:p>
    <w:p w:rsidR="00B35454" w:rsidRPr="00981E15" w:rsidRDefault="00B35454" w:rsidP="00B35454">
      <w:pPr>
        <w:pStyle w:val="SingleTxt"/>
        <w:spacing w:after="0" w:line="120" w:lineRule="exact"/>
        <w:rPr>
          <w:sz w:val="10"/>
        </w:rPr>
      </w:pP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El Estado de Guatemala cuenta con legislación interna positiva en materia de igualdad en el matrimonio y relaciones familiares, como lo es la Constitución de la República, la Ley de Desarrollo Social y la Ley de Dignificación y Promoción Integral de la Mujer. </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La Constitución de la República, por su parte, establece normas generales de no discriminación e igual protección (artículo 4º). El artículo 47 dispone que el Estado deberá proteger a la familia y deberá promover su organización sobre la base del matrimonio, la igualdad de los derechos de los cónyuges, la paternidad responsable y el derecho a decidir libremente sobre el número de hijos y el espaciamiento de los nacimientos. El artículo 52 dispone que el Estado deberá proteger la maternidad y garantizar el más estricto cumplimiento de los derechos y obligaciones que se derivan de ella. </w:t>
      </w:r>
    </w:p>
    <w:p w:rsidR="00B35454" w:rsidRPr="00981E15" w:rsidRDefault="00B35454" w:rsidP="00F455F9">
      <w:pPr>
        <w:pStyle w:val="SingleTxt"/>
        <w:numPr>
          <w:ilvl w:val="0"/>
          <w:numId w:val="42"/>
        </w:numPr>
        <w:tabs>
          <w:tab w:val="clear" w:pos="475"/>
          <w:tab w:val="num" w:pos="1742"/>
        </w:tabs>
        <w:suppressAutoHyphens/>
        <w:ind w:left="1267"/>
      </w:pPr>
      <w:r w:rsidRPr="00981E15">
        <w:t>En esta misma línea, la Ley de Desarrollo Social (2001), en sus considerandos establece que todos los seres humanos son libres e iguales en dignidad y derechos. El hombre y la mujer, cualquiera que sea su estado civil tienen iguales oportunidades y responsabilidades. Así también en el artículo 6 define “la organización de la familia es la unidad básica de la sociedad, la que considera sobre la base legal del matrimonio. Constituye también núcleo familiar con los mismos derechos, la unión de hecho, las madres y padres solteros, en atención al artículo 48 de la Constitución de la República y el artículo 173 del Código Civil.</w:t>
      </w:r>
    </w:p>
    <w:p w:rsidR="00B35454" w:rsidRPr="00981E15" w:rsidRDefault="00B35454" w:rsidP="00F455F9">
      <w:pPr>
        <w:pStyle w:val="SingleTxt"/>
        <w:numPr>
          <w:ilvl w:val="0"/>
          <w:numId w:val="42"/>
        </w:numPr>
        <w:tabs>
          <w:tab w:val="clear" w:pos="475"/>
          <w:tab w:val="num" w:pos="1742"/>
        </w:tabs>
        <w:suppressAutoHyphens/>
        <w:ind w:left="1267"/>
      </w:pPr>
      <w:r w:rsidRPr="00981E15">
        <w:t>Las condiciones que protege la legislación civil, continúan siendo las mismas presentadas en el anterior Informe presentado al Comité de Expertas de la CEDAW. A pesar de esto, en esta materia persisten ciertas disposiciones que mantienen distinciones injustificadas basadas en el género. En el Código Civil, los artículos 89 y 299 continúan creando distinciones basadas en el género que parecen estar en conflicto directo con la obligación del Estado de no discriminar y de otorgar igual protección. El artículo 89 regula la autorización para el matrimonio y establece una edad mínima, con consentimiento de los padres, de 14 años para las niñas y de 16 años para los niños. Dispone, además, que las mujeres deberán esperar 300 días después de la disolución de un matrimonio o unión para establecer otro, sin una disposición correspondiente aplicable a los hombres. El artículo 299 trata sobre la tutela de menores y dispone que se dé preferencia al abuelo paterno.</w:t>
      </w:r>
    </w:p>
    <w:p w:rsidR="00B35454" w:rsidRPr="00981E15" w:rsidRDefault="00B35454" w:rsidP="00F455F9">
      <w:pPr>
        <w:pStyle w:val="SingleTxt"/>
        <w:numPr>
          <w:ilvl w:val="0"/>
          <w:numId w:val="42"/>
        </w:numPr>
        <w:tabs>
          <w:tab w:val="clear" w:pos="475"/>
          <w:tab w:val="num" w:pos="1742"/>
        </w:tabs>
        <w:suppressAutoHyphens/>
        <w:ind w:left="1267"/>
      </w:pPr>
      <w:r w:rsidRPr="00981E15">
        <w:t>La SEPREM realizó un análisis de la legislación civil en materia de relaciones familiares y el matrimonio. Se elaboró una propuesta de reformas al Código Civil y la Ley de Tribunales. Esta propuesta fue enviada al Congreso de la República en el 2002, y no fue considerada. Posteriormente fue incluida en la agenda legislativa de los Parlamentarios en el 2004 y debido al cambio de período legislativo, y sin contar con un dictamen favorable ésta fue archivada.</w:t>
      </w:r>
    </w:p>
    <w:p w:rsidR="00B35454" w:rsidRPr="00981E15" w:rsidRDefault="00B35454" w:rsidP="00F455F9">
      <w:pPr>
        <w:pStyle w:val="SingleTxt"/>
        <w:numPr>
          <w:ilvl w:val="0"/>
          <w:numId w:val="42"/>
        </w:numPr>
        <w:tabs>
          <w:tab w:val="clear" w:pos="475"/>
          <w:tab w:val="num" w:pos="1742"/>
        </w:tabs>
        <w:suppressAutoHyphens/>
        <w:ind w:left="1267"/>
      </w:pPr>
      <w:r w:rsidRPr="00981E15">
        <w:t xml:space="preserve">Así también, CLADEM Guatemala junto con otras organizaciones de mujeres, al no encontrar respuestas sobre la modificación de artículos contenidos en el Código Civil, que son discriminatorios contra las mujeres, presentó ante la Corte de Constitucionalidad una acción de inconstitucionalidad impugnando varios artículos del cuerpo legal en mención. Esta acción se identifica con el número de expediente 541-2006, presentado el 7 de marzo de 2006. Los artículos impugnados se refieren a la edad mínima para contraer matrimonio, el ejercicio de la tutela legítima que da prioridad a los abuelos paternos dejando en último lugar a las abuelas maternas; el derecho que tiene la mujer inculpable (en caso de separación o divorcio) de percibir pensión alimenticia mientras observe “buena conducta”; el plazo que debe esperar la mujer para contraer nuevas nupcias, no teniendo el hombre esa condicionante; entre otros artículos con disposiciones subjetivas y discriminatorias. </w:t>
      </w:r>
    </w:p>
    <w:p w:rsidR="00B35454" w:rsidRPr="00981E15" w:rsidRDefault="00B35454" w:rsidP="00F455F9">
      <w:pPr>
        <w:pStyle w:val="SingleTxt"/>
        <w:numPr>
          <w:ilvl w:val="0"/>
          <w:numId w:val="42"/>
        </w:numPr>
        <w:tabs>
          <w:tab w:val="clear" w:pos="475"/>
          <w:tab w:val="num" w:pos="1742"/>
        </w:tabs>
        <w:suppressAutoHyphens/>
        <w:ind w:left="1267"/>
      </w:pPr>
      <w:r w:rsidRPr="00981E15">
        <w:t>La acción de inconstitucionalidad presentada fue aceptada para su trámite, estando pendiente que sean suspendidos provisionalmente los artículos impugnados, previo a ser emitido el fallo que declare ha lugar o no ha lugar la acción de inconstitucionalidad en definitiva por la y los Magistrados de la Corte de Constitucionalidad. A la fecha de entrega del presente Informe no se ha resuelto esta acción de inconstitucionalidad.</w:t>
      </w:r>
    </w:p>
    <w:p w:rsidR="00C34C22" w:rsidRPr="00981E15" w:rsidRDefault="00C34C22" w:rsidP="00C34C22">
      <w:pPr>
        <w:pStyle w:val="SingleTxt"/>
        <w:spacing w:after="0" w:line="120" w:lineRule="exact"/>
        <w:rPr>
          <w:sz w:val="10"/>
        </w:rPr>
      </w:pPr>
    </w:p>
    <w:p w:rsidR="00B35454" w:rsidRPr="00981E15" w:rsidRDefault="00B35454" w:rsidP="0021131C">
      <w:pPr>
        <w:pStyle w:val="FootnoteText"/>
        <w:tabs>
          <w:tab w:val="clear" w:pos="418"/>
          <w:tab w:val="right" w:pos="1476"/>
          <w:tab w:val="left" w:pos="1548"/>
          <w:tab w:val="right" w:pos="1836"/>
          <w:tab w:val="left" w:pos="1908"/>
        </w:tabs>
        <w:ind w:left="1548" w:right="1267" w:hanging="288"/>
      </w:pPr>
      <w:r w:rsidRPr="00981E15">
        <w:tab/>
        <w:t>*</w:t>
      </w:r>
      <w:r w:rsidRPr="00981E15">
        <w:tab/>
        <w:t>Nota de la Secretaría: Los anexos del informe estarán a disposición de los miembros del Comité en el idioma en que fueron presentados.</w:t>
      </w:r>
    </w:p>
    <w:p w:rsidR="00B35454" w:rsidRPr="00981E15" w:rsidRDefault="00B35454" w:rsidP="00B35454">
      <w:pPr>
        <w:pStyle w:val="SingleTxt"/>
      </w:pPr>
      <w:r w:rsidRPr="00981E15">
        <w:rPr>
          <w:noProof/>
          <w:w w:val="100"/>
        </w:rPr>
        <w:pict>
          <v:line id="_x0000_s3378" style="position:absolute;left:0;text-align:left;z-index:12" from="210.2pt,24pt" to="282.2pt,24pt" strokeweight=".25pt"/>
        </w:pict>
      </w:r>
    </w:p>
    <w:p w:rsidR="00647D95" w:rsidRPr="00981E15" w:rsidRDefault="00647D95" w:rsidP="00647D95">
      <w:pPr>
        <w:pStyle w:val="SingleTxt"/>
        <w:suppressAutoHyphens/>
      </w:pPr>
    </w:p>
    <w:sectPr w:rsidR="00647D95" w:rsidRPr="00981E15" w:rsidSect="00071CDE">
      <w:headerReference w:type="even" r:id="rId65"/>
      <w:headerReference w:type="default" r:id="rId66"/>
      <w:footerReference w:type="even" r:id="rId67"/>
      <w:footerReference w:type="default" r:id="rId68"/>
      <w:endnotePr>
        <w:numFmt w:val="decimal"/>
      </w:endnotePr>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1T12:40:00Z" w:initials="Start">
    <w:p w:rsidR="00FF2C64" w:rsidRPr="000B188E" w:rsidRDefault="00FF2C64">
      <w:pPr>
        <w:pStyle w:val="CommentText"/>
        <w:rPr>
          <w:lang w:val="en-US"/>
        </w:rPr>
      </w:pPr>
      <w:r>
        <w:fldChar w:fldCharType="begin"/>
      </w:r>
      <w:r w:rsidRPr="000B188E">
        <w:rPr>
          <w:rStyle w:val="CommentReference"/>
          <w:lang w:val="en-US"/>
        </w:rPr>
        <w:instrText xml:space="preserve"> </w:instrText>
      </w:r>
      <w:r w:rsidRPr="000B188E">
        <w:rPr>
          <w:lang w:val="en-US"/>
        </w:rPr>
        <w:instrText>PAGE \# "'Page: '#'</w:instrText>
      </w:r>
      <w:r w:rsidRPr="000B188E">
        <w:rPr>
          <w:lang w:val="en-US"/>
        </w:rPr>
        <w:br/>
        <w:instrText>'"</w:instrText>
      </w:r>
      <w:r w:rsidRPr="000B188E">
        <w:rPr>
          <w:rStyle w:val="CommentReference"/>
          <w:lang w:val="en-US"/>
        </w:rPr>
        <w:instrText xml:space="preserve"> </w:instrText>
      </w:r>
      <w:r>
        <w:fldChar w:fldCharType="end"/>
      </w:r>
      <w:r>
        <w:rPr>
          <w:rStyle w:val="CommentReference"/>
        </w:rPr>
        <w:annotationRef/>
      </w:r>
      <w:r w:rsidRPr="000B188E">
        <w:rPr>
          <w:lang w:val="en-US"/>
        </w:rPr>
        <w:t>&lt;&lt;ODS JOB NO&gt;&gt;N0820474S&lt;&lt;ODS JOB NO&gt;&gt;</w:t>
      </w:r>
    </w:p>
    <w:p w:rsidR="00FF2C64" w:rsidRPr="000B188E" w:rsidRDefault="00FF2C64">
      <w:pPr>
        <w:pStyle w:val="CommentText"/>
        <w:rPr>
          <w:lang w:val="en-US"/>
        </w:rPr>
      </w:pPr>
      <w:r w:rsidRPr="000B188E">
        <w:rPr>
          <w:lang w:val="en-US"/>
        </w:rPr>
        <w:t>&lt;&lt;ODS DOC SYMBOL1&gt;&gt;CEDAW/C/GUA/7&lt;&lt;ODS DOC SYMBOL1&gt;&gt;</w:t>
      </w:r>
    </w:p>
    <w:p w:rsidR="00FF2C64" w:rsidRPr="000B188E" w:rsidRDefault="00FF2C64">
      <w:pPr>
        <w:pStyle w:val="CommentText"/>
        <w:rPr>
          <w:lang w:val="en-US"/>
        </w:rPr>
      </w:pPr>
      <w:r w:rsidRPr="000B188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4DF" w:rsidRDefault="004724DF" w:rsidP="00C4050C">
      <w:pPr>
        <w:pStyle w:val="NormalSchedule"/>
      </w:pPr>
      <w:r>
        <w:separator/>
      </w:r>
    </w:p>
  </w:endnote>
  <w:endnote w:type="continuationSeparator" w:id="0">
    <w:p w:rsidR="004724DF" w:rsidRDefault="004724DF" w:rsidP="00C4050C">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Futura Lt BT">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2C64">
      <w:tblPrEx>
        <w:tblCellMar>
          <w:top w:w="0" w:type="dxa"/>
          <w:bottom w:w="0" w:type="dxa"/>
        </w:tblCellMar>
      </w:tblPrEx>
      <w:tc>
        <w:tcPr>
          <w:tcW w:w="5033" w:type="dxa"/>
          <w:shd w:val="clear" w:color="auto" w:fill="auto"/>
        </w:tcPr>
        <w:p w:rsidR="00FF2C64" w:rsidRPr="00C4050C" w:rsidRDefault="00FF2C64" w:rsidP="00C4050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5F9">
            <w:rPr>
              <w:b w:val="0"/>
              <w:w w:val="103"/>
              <w:sz w:val="14"/>
            </w:rPr>
            <w:t>08-20474</w:t>
          </w:r>
          <w:r>
            <w:rPr>
              <w:b w:val="0"/>
              <w:w w:val="103"/>
              <w:sz w:val="14"/>
            </w:rPr>
            <w:fldChar w:fldCharType="end"/>
          </w:r>
        </w:p>
      </w:tc>
      <w:tc>
        <w:tcPr>
          <w:tcW w:w="5033" w:type="dxa"/>
          <w:shd w:val="clear" w:color="auto" w:fill="auto"/>
        </w:tcPr>
        <w:p w:rsidR="00FF2C64" w:rsidRPr="00C4050C" w:rsidRDefault="00FF2C64" w:rsidP="00C4050C">
          <w:pPr>
            <w:pStyle w:val="Footer"/>
            <w:rPr>
              <w:w w:val="103"/>
            </w:rPr>
          </w:pPr>
          <w:r>
            <w:rPr>
              <w:w w:val="103"/>
            </w:rPr>
            <w:fldChar w:fldCharType="begin"/>
          </w:r>
          <w:r>
            <w:rPr>
              <w:w w:val="103"/>
            </w:rPr>
            <w:instrText xml:space="preserve"> PAGE  \* MERGEFORMAT </w:instrText>
          </w:r>
          <w:r>
            <w:rPr>
              <w:w w:val="103"/>
            </w:rPr>
            <w:fldChar w:fldCharType="separate"/>
          </w:r>
          <w:r w:rsidR="00BE0DF0">
            <w:rPr>
              <w:w w:val="103"/>
            </w:rPr>
            <w:t>100</w:t>
          </w:r>
          <w:r>
            <w:rPr>
              <w:w w:val="103"/>
            </w:rPr>
            <w:fldChar w:fldCharType="end"/>
          </w:r>
        </w:p>
      </w:tc>
    </w:tr>
  </w:tbl>
  <w:p w:rsidR="00FF2C64" w:rsidRPr="00C4050C" w:rsidRDefault="00FF2C64" w:rsidP="00C405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2C64">
      <w:tblPrEx>
        <w:tblCellMar>
          <w:top w:w="0" w:type="dxa"/>
          <w:bottom w:w="0" w:type="dxa"/>
        </w:tblCellMar>
      </w:tblPrEx>
      <w:tc>
        <w:tcPr>
          <w:tcW w:w="5033" w:type="dxa"/>
          <w:shd w:val="clear" w:color="auto" w:fill="auto"/>
        </w:tcPr>
        <w:p w:rsidR="00FF2C64" w:rsidRPr="00C4050C" w:rsidRDefault="00FF2C64" w:rsidP="00C4050C">
          <w:pPr>
            <w:pStyle w:val="Footer"/>
            <w:jc w:val="right"/>
            <w:rPr>
              <w:w w:val="103"/>
            </w:rPr>
          </w:pPr>
          <w:r>
            <w:rPr>
              <w:w w:val="103"/>
            </w:rPr>
            <w:fldChar w:fldCharType="begin"/>
          </w:r>
          <w:r>
            <w:rPr>
              <w:w w:val="103"/>
            </w:rPr>
            <w:instrText xml:space="preserve"> PAGE  \* MERGEFORMAT </w:instrText>
          </w:r>
          <w:r>
            <w:rPr>
              <w:w w:val="103"/>
            </w:rPr>
            <w:fldChar w:fldCharType="separate"/>
          </w:r>
          <w:r w:rsidR="00BE0DF0">
            <w:rPr>
              <w:w w:val="103"/>
            </w:rPr>
            <w:t>99</w:t>
          </w:r>
          <w:r>
            <w:rPr>
              <w:w w:val="103"/>
            </w:rPr>
            <w:fldChar w:fldCharType="end"/>
          </w:r>
        </w:p>
      </w:tc>
      <w:tc>
        <w:tcPr>
          <w:tcW w:w="5033" w:type="dxa"/>
          <w:shd w:val="clear" w:color="auto" w:fill="auto"/>
        </w:tcPr>
        <w:p w:rsidR="00FF2C64" w:rsidRPr="00C4050C" w:rsidRDefault="00FF2C64" w:rsidP="00C4050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5F9">
            <w:rPr>
              <w:b w:val="0"/>
              <w:w w:val="103"/>
              <w:sz w:val="14"/>
            </w:rPr>
            <w:t>08-20474</w:t>
          </w:r>
          <w:r>
            <w:rPr>
              <w:b w:val="0"/>
              <w:w w:val="103"/>
              <w:sz w:val="14"/>
            </w:rPr>
            <w:fldChar w:fldCharType="end"/>
          </w:r>
        </w:p>
      </w:tc>
    </w:tr>
  </w:tbl>
  <w:p w:rsidR="00FF2C64" w:rsidRPr="00C4050C" w:rsidRDefault="00FF2C64" w:rsidP="00C405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C64" w:rsidRDefault="00FF2C64" w:rsidP="00C4050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455F9">
      <w:rPr>
        <w:b w:val="0"/>
        <w:sz w:val="20"/>
      </w:rPr>
      <w:t>08-20474 (S)</w:t>
    </w:r>
    <w:r>
      <w:rPr>
        <w:b w:val="0"/>
        <w:sz w:val="20"/>
      </w:rPr>
      <w:fldChar w:fldCharType="end"/>
    </w:r>
    <w:r w:rsidR="00AC73D1">
      <w:rPr>
        <w:b w:val="0"/>
        <w:sz w:val="20"/>
      </w:rPr>
      <w:t xml:space="preserve">    </w:t>
    </w:r>
    <w:r>
      <w:rPr>
        <w:b w:val="0"/>
        <w:sz w:val="20"/>
      </w:rPr>
      <w:t>2</w:t>
    </w:r>
    <w:r w:rsidR="00AC73D1">
      <w:rPr>
        <w:b w:val="0"/>
        <w:sz w:val="20"/>
      </w:rPr>
      <w:t>801</w:t>
    </w:r>
    <w:r>
      <w:rPr>
        <w:b w:val="0"/>
        <w:sz w:val="20"/>
      </w:rPr>
      <w:t>08    1</w:t>
    </w:r>
    <w:r w:rsidR="00B20B03">
      <w:rPr>
        <w:b w:val="0"/>
        <w:sz w:val="20"/>
      </w:rPr>
      <w:t>3</w:t>
    </w:r>
    <w:r>
      <w:rPr>
        <w:b w:val="0"/>
        <w:sz w:val="20"/>
      </w:rPr>
      <w:t>0</w:t>
    </w:r>
    <w:r w:rsidR="00B20B03">
      <w:rPr>
        <w:b w:val="0"/>
        <w:sz w:val="20"/>
      </w:rPr>
      <w:t>6</w:t>
    </w:r>
    <w:r>
      <w:rPr>
        <w:b w:val="0"/>
        <w:sz w:val="20"/>
      </w:rPr>
      <w:t>08</w:t>
    </w:r>
  </w:p>
  <w:p w:rsidR="00FF2C64" w:rsidRPr="00C4050C" w:rsidRDefault="00FF2C64" w:rsidP="00C4050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455F9">
      <w:rPr>
        <w:rFonts w:ascii="Barcode 3 of 9 by request" w:hAnsi="Barcode 3 of 9 by request"/>
        <w:b w:val="0"/>
        <w:sz w:val="24"/>
      </w:rPr>
      <w:t>*0820474*</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FF2C64" w:rsidRPr="00071CDE">
      <w:trPr>
        <w:cantSplit/>
        <w:trHeight w:val="4925"/>
      </w:trPr>
      <w:tc>
        <w:tcPr>
          <w:tcW w:w="12413" w:type="dxa"/>
          <w:shd w:val="clear" w:color="auto" w:fill="auto"/>
          <w:textDirection w:val="tbRl"/>
        </w:tcPr>
        <w:p w:rsidR="00FF2C64" w:rsidRPr="00071CDE" w:rsidRDefault="00FF2C64" w:rsidP="00071CDE">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B5124B">
            <w:rPr>
              <w:w w:val="103"/>
            </w:rPr>
            <w:t>1</w:t>
          </w:r>
          <w:r>
            <w:rPr>
              <w:w w:val="103"/>
            </w:rPr>
            <w:fldChar w:fldCharType="end"/>
          </w:r>
        </w:p>
      </w:tc>
    </w:tr>
    <w:tr w:rsidR="00FF2C64" w:rsidRPr="00071CDE">
      <w:trPr>
        <w:cantSplit/>
        <w:trHeight w:val="4925"/>
      </w:trPr>
      <w:tc>
        <w:tcPr>
          <w:tcW w:w="12413" w:type="dxa"/>
          <w:shd w:val="clear" w:color="auto" w:fill="auto"/>
          <w:textDirection w:val="tbRl"/>
        </w:tcPr>
        <w:p w:rsidR="00FF2C64" w:rsidRPr="00071CDE" w:rsidRDefault="00FF2C64" w:rsidP="00071CDE">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5F9">
            <w:rPr>
              <w:b w:val="0"/>
              <w:w w:val="103"/>
              <w:sz w:val="14"/>
            </w:rPr>
            <w:t>08-20474</w:t>
          </w:r>
          <w:r>
            <w:rPr>
              <w:b w:val="0"/>
              <w:w w:val="103"/>
              <w:sz w:val="14"/>
            </w:rPr>
            <w:fldChar w:fldCharType="end"/>
          </w:r>
        </w:p>
      </w:tc>
    </w:tr>
  </w:tbl>
  <w:p w:rsidR="00FF2C64" w:rsidRPr="00071CDE" w:rsidRDefault="00FF2C64" w:rsidP="00071CD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FF2C64" w:rsidRPr="00071CDE">
      <w:trPr>
        <w:cantSplit/>
        <w:trHeight w:val="4925"/>
      </w:trPr>
      <w:tc>
        <w:tcPr>
          <w:tcW w:w="12413" w:type="dxa"/>
          <w:shd w:val="clear" w:color="auto" w:fill="auto"/>
          <w:textDirection w:val="tbRl"/>
        </w:tcPr>
        <w:p w:rsidR="00FF2C64" w:rsidRPr="00071CDE" w:rsidRDefault="00FF2C64" w:rsidP="00071CDE">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5F9">
            <w:rPr>
              <w:b w:val="0"/>
              <w:w w:val="103"/>
              <w:sz w:val="14"/>
            </w:rPr>
            <w:t>08-20474</w:t>
          </w:r>
          <w:r>
            <w:rPr>
              <w:b w:val="0"/>
              <w:w w:val="103"/>
              <w:sz w:val="14"/>
            </w:rPr>
            <w:fldChar w:fldCharType="end"/>
          </w:r>
        </w:p>
      </w:tc>
    </w:tr>
    <w:tr w:rsidR="00FF2C64" w:rsidRPr="00071CDE">
      <w:trPr>
        <w:cantSplit/>
        <w:trHeight w:val="4925"/>
      </w:trPr>
      <w:tc>
        <w:tcPr>
          <w:tcW w:w="12413" w:type="dxa"/>
          <w:shd w:val="clear" w:color="auto" w:fill="auto"/>
          <w:textDirection w:val="tbRl"/>
        </w:tcPr>
        <w:p w:rsidR="00FF2C64" w:rsidRPr="00071CDE" w:rsidRDefault="00FF2C64" w:rsidP="00071CDE">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BE0DF0">
            <w:rPr>
              <w:w w:val="103"/>
            </w:rPr>
            <w:t>101</w:t>
          </w:r>
          <w:r>
            <w:rPr>
              <w:w w:val="103"/>
            </w:rPr>
            <w:fldChar w:fldCharType="end"/>
          </w:r>
        </w:p>
      </w:tc>
    </w:tr>
  </w:tbl>
  <w:p w:rsidR="00FF2C64" w:rsidRPr="00071CDE" w:rsidRDefault="00FF2C64" w:rsidP="00071CD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2C64">
      <w:tblPrEx>
        <w:tblCellMar>
          <w:top w:w="0" w:type="dxa"/>
          <w:bottom w:w="0" w:type="dxa"/>
        </w:tblCellMar>
      </w:tblPrEx>
      <w:tc>
        <w:tcPr>
          <w:tcW w:w="5033" w:type="dxa"/>
          <w:shd w:val="clear" w:color="auto" w:fill="auto"/>
        </w:tcPr>
        <w:p w:rsidR="00FF2C64" w:rsidRPr="00B35454" w:rsidRDefault="00FF2C64" w:rsidP="00B3545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5F9">
            <w:rPr>
              <w:b w:val="0"/>
              <w:w w:val="103"/>
              <w:sz w:val="14"/>
            </w:rPr>
            <w:t>08-20474</w:t>
          </w:r>
          <w:r>
            <w:rPr>
              <w:b w:val="0"/>
              <w:w w:val="103"/>
              <w:sz w:val="14"/>
            </w:rPr>
            <w:fldChar w:fldCharType="end"/>
          </w:r>
        </w:p>
      </w:tc>
      <w:tc>
        <w:tcPr>
          <w:tcW w:w="5033" w:type="dxa"/>
          <w:shd w:val="clear" w:color="auto" w:fill="auto"/>
        </w:tcPr>
        <w:p w:rsidR="00FF2C64" w:rsidRPr="00B35454" w:rsidRDefault="00FF2C64" w:rsidP="00B35454">
          <w:pPr>
            <w:pStyle w:val="Footer"/>
            <w:rPr>
              <w:w w:val="103"/>
            </w:rPr>
          </w:pPr>
          <w:r>
            <w:rPr>
              <w:w w:val="103"/>
            </w:rPr>
            <w:fldChar w:fldCharType="begin"/>
          </w:r>
          <w:r>
            <w:rPr>
              <w:w w:val="103"/>
            </w:rPr>
            <w:instrText xml:space="preserve"> PAGE  \* MERGEFORMAT </w:instrText>
          </w:r>
          <w:r>
            <w:rPr>
              <w:w w:val="103"/>
            </w:rPr>
            <w:fldChar w:fldCharType="separate"/>
          </w:r>
          <w:r w:rsidR="00BE0DF0">
            <w:rPr>
              <w:w w:val="103"/>
            </w:rPr>
            <w:t>176</w:t>
          </w:r>
          <w:r>
            <w:rPr>
              <w:w w:val="103"/>
            </w:rPr>
            <w:fldChar w:fldCharType="end"/>
          </w:r>
        </w:p>
      </w:tc>
    </w:tr>
  </w:tbl>
  <w:p w:rsidR="00FF2C64" w:rsidRPr="00B35454" w:rsidRDefault="00FF2C64" w:rsidP="00B35454">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F2C64">
      <w:tblPrEx>
        <w:tblCellMar>
          <w:top w:w="0" w:type="dxa"/>
          <w:bottom w:w="0" w:type="dxa"/>
        </w:tblCellMar>
      </w:tblPrEx>
      <w:tc>
        <w:tcPr>
          <w:tcW w:w="5033" w:type="dxa"/>
          <w:shd w:val="clear" w:color="auto" w:fill="auto"/>
        </w:tcPr>
        <w:p w:rsidR="00FF2C64" w:rsidRPr="00B35454" w:rsidRDefault="00FF2C64" w:rsidP="00B35454">
          <w:pPr>
            <w:pStyle w:val="Footer"/>
            <w:jc w:val="right"/>
            <w:rPr>
              <w:w w:val="103"/>
            </w:rPr>
          </w:pPr>
          <w:r>
            <w:rPr>
              <w:w w:val="103"/>
            </w:rPr>
            <w:fldChar w:fldCharType="begin"/>
          </w:r>
          <w:r>
            <w:rPr>
              <w:w w:val="103"/>
            </w:rPr>
            <w:instrText xml:space="preserve"> PAGE  \* MERGEFORMAT </w:instrText>
          </w:r>
          <w:r>
            <w:rPr>
              <w:w w:val="103"/>
            </w:rPr>
            <w:fldChar w:fldCharType="separate"/>
          </w:r>
          <w:r w:rsidR="00BE0DF0">
            <w:rPr>
              <w:w w:val="103"/>
            </w:rPr>
            <w:t>177</w:t>
          </w:r>
          <w:r>
            <w:rPr>
              <w:w w:val="103"/>
            </w:rPr>
            <w:fldChar w:fldCharType="end"/>
          </w:r>
        </w:p>
      </w:tc>
      <w:tc>
        <w:tcPr>
          <w:tcW w:w="5033" w:type="dxa"/>
          <w:shd w:val="clear" w:color="auto" w:fill="auto"/>
        </w:tcPr>
        <w:p w:rsidR="00FF2C64" w:rsidRPr="00B35454" w:rsidRDefault="00FF2C64" w:rsidP="00B3545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5F9">
            <w:rPr>
              <w:b w:val="0"/>
              <w:w w:val="103"/>
              <w:sz w:val="14"/>
            </w:rPr>
            <w:t>08-20474</w:t>
          </w:r>
          <w:r>
            <w:rPr>
              <w:b w:val="0"/>
              <w:w w:val="103"/>
              <w:sz w:val="14"/>
            </w:rPr>
            <w:fldChar w:fldCharType="end"/>
          </w:r>
        </w:p>
      </w:tc>
    </w:tr>
  </w:tbl>
  <w:p w:rsidR="00FF2C64" w:rsidRPr="00B35454" w:rsidRDefault="00FF2C64" w:rsidP="00B354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4DF" w:rsidRPr="000919BE" w:rsidRDefault="004724DF" w:rsidP="000919BE">
      <w:pPr>
        <w:pStyle w:val="Footer"/>
        <w:spacing w:after="80"/>
        <w:ind w:left="792"/>
        <w:rPr>
          <w:sz w:val="16"/>
        </w:rPr>
      </w:pPr>
      <w:r w:rsidRPr="000919BE">
        <w:rPr>
          <w:sz w:val="16"/>
        </w:rPr>
        <w:t>__________________</w:t>
      </w:r>
    </w:p>
  </w:footnote>
  <w:footnote w:type="continuationSeparator" w:id="0">
    <w:p w:rsidR="004724DF" w:rsidRPr="000919BE" w:rsidRDefault="004724DF" w:rsidP="000919BE">
      <w:pPr>
        <w:pStyle w:val="Footer"/>
        <w:spacing w:after="80"/>
        <w:ind w:left="792"/>
        <w:rPr>
          <w:sz w:val="16"/>
        </w:rPr>
      </w:pPr>
      <w:r w:rsidRPr="000919BE">
        <w:rPr>
          <w:sz w:val="16"/>
        </w:rPr>
        <w:t>__________________</w:t>
      </w:r>
    </w:p>
  </w:footnote>
  <w:footnote w:id="1">
    <w:p w:rsidR="00FF2C64" w:rsidRPr="00C02FE5" w:rsidRDefault="00FF2C64" w:rsidP="000919B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C02FE5">
        <w:t>En el presupuesto se incluyen los techos presupuestarios asignados a donaciones,</w:t>
      </w:r>
      <w:r>
        <w:t xml:space="preserve"> </w:t>
      </w:r>
      <w:r w:rsidRPr="00C02FE5">
        <w:t>por ejemplo, que en el caso de CONAPREVI, es de</w:t>
      </w:r>
      <w:r>
        <w:t xml:space="preserve"> </w:t>
      </w:r>
      <w:r w:rsidRPr="00C02FE5">
        <w:t>17</w:t>
      </w:r>
      <w:r>
        <w:t>,</w:t>
      </w:r>
      <w:r w:rsidRPr="00C02FE5">
        <w:t>7%. En el caso de SEPREM a</w:t>
      </w:r>
      <w:r>
        <w:t xml:space="preserve"> </w:t>
      </w:r>
      <w:r w:rsidRPr="00C02FE5">
        <w:t>11</w:t>
      </w:r>
      <w:r>
        <w:t>,</w:t>
      </w:r>
      <w:r w:rsidRPr="00C02FE5">
        <w:t>71%. Lo que evidencia</w:t>
      </w:r>
      <w:r>
        <w:t xml:space="preserve"> </w:t>
      </w:r>
      <w:r w:rsidRPr="00C02FE5">
        <w:t>la responsabilidad creciente del Estado para institucionalizar dichos mecanismos.</w:t>
      </w:r>
    </w:p>
  </w:footnote>
  <w:footnote w:id="2">
    <w:p w:rsidR="00FF2C64" w:rsidRDefault="00FF2C64" w:rsidP="000315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INDH, 2005, “Diversidad Étnico-Cultural: la ciudadanía en un Estado Plural”.</w:t>
      </w:r>
    </w:p>
  </w:footnote>
  <w:footnote w:id="3">
    <w:p w:rsidR="00FF2C64" w:rsidRPr="00EE75EB" w:rsidRDefault="00FF2C64" w:rsidP="000315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E75EB">
        <w:t>Observatorio Mujer y Medios, a finales del año dos mil cuatro, un grupo conformado por periodistas, sociólogas, activistas feministas la mayoría, los medios impresos seleccionados fueron Al día, El Periódico, El Quezalteco, la Hora, Nuestro Diario, Prensa Libre y Siglo Veintiuno, los suplementos regionales de El Quezalteco y Nuestro Diario, así como las Revistas Mujer (Prensa Libre) y Luna Azul (el Periódico) En el caso de los televisivos se primó la acción sobre los informativos y se eligió monitorear Guate visión, Noti 7, Telecentro y Telediario. Fueron registradas en fichas electrónicas todas las informaciones publicadas que hicieran visibles a las mujeres, ya sea por que las consultaron como fuentes informativas, las mostraron como protagonistas en los hechos noticiosos o</w:t>
      </w:r>
      <w:r>
        <w:t xml:space="preserve"> simplemente las mencionaron, además porque utilizaron sus imágenes para ilustrar los textos, aunque no las mencionaron en las narrativas. Este proyecto contó con el apoyo del Real Ministerio de Asuntos Exteriores de Noruega.</w:t>
      </w:r>
    </w:p>
  </w:footnote>
  <w:footnote w:id="4">
    <w:p w:rsidR="00FF2C64" w:rsidRDefault="00FF2C64" w:rsidP="00C244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CC346E">
        <w:t>La Instancia Coordinadora de la Maquila está conformada por organizaciones de la sociedad civil: CALDH, AMES y CEADEL.</w:t>
      </w:r>
    </w:p>
  </w:footnote>
  <w:footnote w:id="5">
    <w:p w:rsidR="00FF2C64" w:rsidRPr="00464DBA" w:rsidRDefault="00FF2C64" w:rsidP="00032CF7">
      <w:pPr>
        <w:pStyle w:val="FootnoteText"/>
        <w:tabs>
          <w:tab w:val="clear" w:pos="418"/>
          <w:tab w:val="right" w:pos="1195"/>
          <w:tab w:val="left" w:pos="1267"/>
          <w:tab w:val="left" w:pos="1742"/>
          <w:tab w:val="left" w:pos="2218"/>
          <w:tab w:val="left" w:pos="2693"/>
        </w:tabs>
        <w:ind w:left="1267" w:right="1267" w:hanging="432"/>
        <w:rPr>
          <w:lang w:val="es-MX"/>
        </w:rPr>
      </w:pPr>
      <w:r>
        <w:rPr>
          <w:lang w:val="es-ES_tradnl"/>
        </w:rPr>
        <w:tab/>
      </w:r>
      <w:r>
        <w:rPr>
          <w:rStyle w:val="FootnoteReference"/>
        </w:rPr>
        <w:footnoteRef/>
      </w:r>
      <w:r>
        <w:rPr>
          <w:lang w:val="es-ES_tradnl"/>
        </w:rPr>
        <w:tab/>
      </w:r>
      <w:r w:rsidRPr="00BB6863">
        <w:rPr>
          <w:sz w:val="16"/>
          <w:szCs w:val="16"/>
          <w:lang w:val="es-ES_tradnl"/>
        </w:rPr>
        <w:t>Anteriormente se utilizaba una fórmula que asume que el 5% de la población total es igual a embarazos esperados, lo cual es un supuesto que no es real.</w:t>
      </w:r>
    </w:p>
  </w:footnote>
  <w:footnote w:id="6">
    <w:p w:rsidR="00FF2C64" w:rsidRDefault="00FF2C64" w:rsidP="00647D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INE, XI Censos de Población y VI de Habitación,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2C64">
      <w:tblPrEx>
        <w:tblCellMar>
          <w:top w:w="0" w:type="dxa"/>
          <w:bottom w:w="0" w:type="dxa"/>
        </w:tblCellMar>
      </w:tblPrEx>
      <w:trPr>
        <w:trHeight w:hRule="exact" w:val="864"/>
      </w:trPr>
      <w:tc>
        <w:tcPr>
          <w:tcW w:w="4838" w:type="dxa"/>
          <w:shd w:val="clear" w:color="auto" w:fill="auto"/>
          <w:vAlign w:val="bottom"/>
        </w:tcPr>
        <w:p w:rsidR="00FF2C64" w:rsidRPr="00C4050C" w:rsidRDefault="00FF2C64" w:rsidP="00C4050C">
          <w:pPr>
            <w:pStyle w:val="Header"/>
            <w:spacing w:after="80"/>
            <w:rPr>
              <w:b/>
            </w:rPr>
          </w:pPr>
          <w:r>
            <w:rPr>
              <w:b/>
            </w:rPr>
            <w:fldChar w:fldCharType="begin"/>
          </w:r>
          <w:r>
            <w:rPr>
              <w:b/>
            </w:rPr>
            <w:instrText xml:space="preserve"> DOCVARIABLE "sss1" \* MERGEFORMAT </w:instrText>
          </w:r>
          <w:r>
            <w:rPr>
              <w:b/>
            </w:rPr>
            <w:fldChar w:fldCharType="separate"/>
          </w:r>
          <w:r w:rsidR="00F455F9">
            <w:rPr>
              <w:b/>
            </w:rPr>
            <w:t>CEDAW/C/GUA/7</w:t>
          </w:r>
          <w:r>
            <w:rPr>
              <w:b/>
            </w:rPr>
            <w:fldChar w:fldCharType="end"/>
          </w:r>
        </w:p>
      </w:tc>
      <w:tc>
        <w:tcPr>
          <w:tcW w:w="5033" w:type="dxa"/>
          <w:shd w:val="clear" w:color="auto" w:fill="auto"/>
          <w:vAlign w:val="bottom"/>
        </w:tcPr>
        <w:p w:rsidR="00FF2C64" w:rsidRDefault="00FF2C64" w:rsidP="00C4050C">
          <w:pPr>
            <w:pStyle w:val="Header"/>
          </w:pPr>
        </w:p>
      </w:tc>
    </w:tr>
  </w:tbl>
  <w:p w:rsidR="00FF2C64" w:rsidRPr="00C4050C" w:rsidRDefault="00FF2C64" w:rsidP="00C405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2C64">
      <w:tblPrEx>
        <w:tblCellMar>
          <w:top w:w="0" w:type="dxa"/>
          <w:bottom w:w="0" w:type="dxa"/>
        </w:tblCellMar>
      </w:tblPrEx>
      <w:trPr>
        <w:trHeight w:hRule="exact" w:val="864"/>
      </w:trPr>
      <w:tc>
        <w:tcPr>
          <w:tcW w:w="4838" w:type="dxa"/>
          <w:shd w:val="clear" w:color="auto" w:fill="auto"/>
          <w:vAlign w:val="bottom"/>
        </w:tcPr>
        <w:p w:rsidR="00FF2C64" w:rsidRDefault="00FF2C64" w:rsidP="00C4050C">
          <w:pPr>
            <w:pStyle w:val="Header"/>
          </w:pPr>
        </w:p>
      </w:tc>
      <w:tc>
        <w:tcPr>
          <w:tcW w:w="5033" w:type="dxa"/>
          <w:shd w:val="clear" w:color="auto" w:fill="auto"/>
          <w:vAlign w:val="bottom"/>
        </w:tcPr>
        <w:p w:rsidR="00FF2C64" w:rsidRPr="00C4050C" w:rsidRDefault="00FF2C64" w:rsidP="00C4050C">
          <w:pPr>
            <w:pStyle w:val="Header"/>
            <w:spacing w:after="80"/>
            <w:jc w:val="right"/>
            <w:rPr>
              <w:b/>
            </w:rPr>
          </w:pPr>
          <w:r>
            <w:rPr>
              <w:b/>
            </w:rPr>
            <w:fldChar w:fldCharType="begin"/>
          </w:r>
          <w:r>
            <w:rPr>
              <w:b/>
            </w:rPr>
            <w:instrText xml:space="preserve"> DOCVARIABLE "sss1" \* MERGEFORMAT </w:instrText>
          </w:r>
          <w:r>
            <w:rPr>
              <w:b/>
            </w:rPr>
            <w:fldChar w:fldCharType="separate"/>
          </w:r>
          <w:r w:rsidR="00F455F9">
            <w:rPr>
              <w:b/>
            </w:rPr>
            <w:t>CEDAW/C/GUA/7</w:t>
          </w:r>
          <w:r>
            <w:rPr>
              <w:b/>
            </w:rPr>
            <w:fldChar w:fldCharType="end"/>
          </w:r>
        </w:p>
      </w:tc>
    </w:tr>
  </w:tbl>
  <w:p w:rsidR="00FF2C64" w:rsidRPr="00C4050C" w:rsidRDefault="00FF2C64" w:rsidP="00C405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F2C6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F2C64" w:rsidRDefault="00FF2C64" w:rsidP="00C4050C">
          <w:pPr>
            <w:pStyle w:val="Header"/>
            <w:spacing w:after="120"/>
          </w:pPr>
        </w:p>
      </w:tc>
      <w:tc>
        <w:tcPr>
          <w:tcW w:w="2059" w:type="dxa"/>
          <w:tcBorders>
            <w:bottom w:val="single" w:sz="4" w:space="0" w:color="auto"/>
          </w:tcBorders>
          <w:shd w:val="clear" w:color="auto" w:fill="auto"/>
          <w:vAlign w:val="bottom"/>
        </w:tcPr>
        <w:p w:rsidR="00FF2C64" w:rsidRPr="00C4050C" w:rsidRDefault="00FF2C64" w:rsidP="00C4050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F2C64" w:rsidRDefault="00FF2C64" w:rsidP="00C4050C">
          <w:pPr>
            <w:pStyle w:val="Header"/>
            <w:spacing w:after="120"/>
          </w:pPr>
        </w:p>
      </w:tc>
      <w:tc>
        <w:tcPr>
          <w:tcW w:w="6523" w:type="dxa"/>
          <w:gridSpan w:val="3"/>
          <w:tcBorders>
            <w:bottom w:val="single" w:sz="4" w:space="0" w:color="auto"/>
          </w:tcBorders>
          <w:shd w:val="clear" w:color="auto" w:fill="auto"/>
          <w:vAlign w:val="bottom"/>
        </w:tcPr>
        <w:p w:rsidR="00FF2C64" w:rsidRPr="00C4050C" w:rsidRDefault="00FF2C64" w:rsidP="00C4050C">
          <w:pPr>
            <w:spacing w:after="80" w:line="240" w:lineRule="auto"/>
            <w:jc w:val="right"/>
            <w:rPr>
              <w:position w:val="-4"/>
            </w:rPr>
          </w:pPr>
          <w:r>
            <w:rPr>
              <w:position w:val="-4"/>
              <w:sz w:val="40"/>
            </w:rPr>
            <w:t>CEDAW</w:t>
          </w:r>
          <w:r>
            <w:rPr>
              <w:position w:val="-4"/>
            </w:rPr>
            <w:t>/C/GUA/7</w:t>
          </w:r>
        </w:p>
      </w:tc>
    </w:tr>
    <w:tr w:rsidR="00FF2C64" w:rsidRPr="00C4050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F2C64" w:rsidRDefault="00FF2C64" w:rsidP="00C4050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56.25pt;height:46.5pt">
                <v:imagedata r:id="rId1" o:title="_unlogo"/>
              </v:shape>
            </w:pict>
          </w:r>
        </w:p>
        <w:p w:rsidR="00FF2C64" w:rsidRPr="00C4050C" w:rsidRDefault="00FF2C64" w:rsidP="00C4050C">
          <w:pPr>
            <w:pStyle w:val="Header"/>
            <w:spacing w:before="109"/>
          </w:pPr>
        </w:p>
      </w:tc>
      <w:tc>
        <w:tcPr>
          <w:tcW w:w="5227" w:type="dxa"/>
          <w:gridSpan w:val="3"/>
          <w:tcBorders>
            <w:top w:val="single" w:sz="4" w:space="0" w:color="auto"/>
            <w:bottom w:val="single" w:sz="12" w:space="0" w:color="auto"/>
          </w:tcBorders>
          <w:shd w:val="clear" w:color="auto" w:fill="auto"/>
        </w:tcPr>
        <w:p w:rsidR="00FF2C64" w:rsidRPr="00C4050C" w:rsidRDefault="00FF2C64" w:rsidP="00C4050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F2C64" w:rsidRPr="000B188E" w:rsidRDefault="00FF2C64" w:rsidP="00C4050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F2C64" w:rsidRDefault="00FF2C64" w:rsidP="00C4050C">
          <w:pPr>
            <w:spacing w:before="240"/>
          </w:pPr>
          <w:r>
            <w:t>Distr. general</w:t>
          </w:r>
        </w:p>
        <w:p w:rsidR="00FF2C64" w:rsidRDefault="00FF2C64" w:rsidP="00C4050C">
          <w:r>
            <w:t>7 de enero de 200</w:t>
          </w:r>
          <w:r w:rsidR="00BE0DF0">
            <w:t>8</w:t>
          </w:r>
        </w:p>
        <w:p w:rsidR="00FF2C64" w:rsidRDefault="00FF2C64" w:rsidP="00C4050C"/>
        <w:p w:rsidR="00FF2C64" w:rsidRPr="00C4050C" w:rsidRDefault="00FF2C64" w:rsidP="00C4050C">
          <w:r>
            <w:t>Original: español</w:t>
          </w:r>
        </w:p>
      </w:tc>
    </w:tr>
  </w:tbl>
  <w:p w:rsidR="00FF2C64" w:rsidRPr="00C4050C" w:rsidRDefault="00FF2C64" w:rsidP="00C4050C">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FF2C64" w:rsidRPr="00071CDE">
      <w:trPr>
        <w:cantSplit/>
        <w:trHeight w:val="4925"/>
      </w:trPr>
      <w:tc>
        <w:tcPr>
          <w:tcW w:w="12413" w:type="dxa"/>
          <w:shd w:val="clear" w:color="auto" w:fill="auto"/>
          <w:textDirection w:val="tbRl"/>
          <w:vAlign w:val="bottom"/>
        </w:tcPr>
        <w:p w:rsidR="00FF2C64" w:rsidRPr="00071CDE" w:rsidRDefault="00FF2C64" w:rsidP="00071CDE">
          <w:pPr>
            <w:pStyle w:val="Header"/>
            <w:spacing w:line="240" w:lineRule="auto"/>
            <w:ind w:left="14" w:right="14"/>
            <w:rPr>
              <w:b/>
              <w:w w:val="103"/>
            </w:rPr>
          </w:pPr>
          <w:r w:rsidRPr="00071CDE">
            <w:rPr>
              <w:b/>
              <w:w w:val="103"/>
            </w:rPr>
            <w:fldChar w:fldCharType="begin"/>
          </w:r>
          <w:r w:rsidRPr="00071CDE">
            <w:rPr>
              <w:b/>
              <w:w w:val="103"/>
            </w:rPr>
            <w:instrText xml:space="preserve"> DOCVARIABLE "sss1" \* MERGEFORMAT </w:instrText>
          </w:r>
          <w:r w:rsidRPr="00071CDE">
            <w:rPr>
              <w:b/>
              <w:w w:val="103"/>
            </w:rPr>
            <w:fldChar w:fldCharType="separate"/>
          </w:r>
          <w:r w:rsidR="00F455F9">
            <w:rPr>
              <w:b/>
              <w:w w:val="103"/>
            </w:rPr>
            <w:t>CEDAW/C/GUA/7</w:t>
          </w:r>
          <w:r w:rsidRPr="00071CDE">
            <w:rPr>
              <w:b/>
              <w:w w:val="103"/>
            </w:rPr>
            <w:fldChar w:fldCharType="end"/>
          </w:r>
        </w:p>
      </w:tc>
    </w:tr>
    <w:tr w:rsidR="00FF2C64" w:rsidRPr="00071CDE">
      <w:trPr>
        <w:cantSplit/>
        <w:trHeight w:val="4925"/>
      </w:trPr>
      <w:tc>
        <w:tcPr>
          <w:tcW w:w="12413" w:type="dxa"/>
          <w:shd w:val="clear" w:color="auto" w:fill="auto"/>
          <w:textDirection w:val="tbRl"/>
          <w:vAlign w:val="bottom"/>
        </w:tcPr>
        <w:p w:rsidR="00FF2C64" w:rsidRPr="00071CDE" w:rsidRDefault="00FF2C64" w:rsidP="00071CDE">
          <w:pPr>
            <w:pStyle w:val="Header"/>
            <w:spacing w:line="240" w:lineRule="auto"/>
            <w:ind w:left="14" w:right="14"/>
            <w:rPr>
              <w:w w:val="103"/>
            </w:rPr>
          </w:pPr>
        </w:p>
      </w:tc>
    </w:tr>
  </w:tbl>
  <w:p w:rsidR="00FF2C64" w:rsidRPr="00071CDE" w:rsidRDefault="00FF2C64" w:rsidP="00071CDE">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FF2C64" w:rsidRPr="00071CDE">
      <w:trPr>
        <w:trHeight w:val="4925"/>
      </w:trPr>
      <w:tc>
        <w:tcPr>
          <w:tcW w:w="12413" w:type="dxa"/>
          <w:shd w:val="clear" w:color="auto" w:fill="auto"/>
          <w:vAlign w:val="bottom"/>
        </w:tcPr>
        <w:p w:rsidR="00FF2C64" w:rsidRPr="00071CDE" w:rsidRDefault="00FF2C64" w:rsidP="00071CDE">
          <w:pPr>
            <w:pStyle w:val="Header"/>
            <w:spacing w:line="240" w:lineRule="auto"/>
            <w:ind w:left="14" w:right="14"/>
            <w:jc w:val="right"/>
            <w:rPr>
              <w:bCs/>
              <w:w w:val="103"/>
              <w:szCs w:val="26"/>
            </w:rPr>
          </w:pPr>
        </w:p>
      </w:tc>
    </w:tr>
    <w:tr w:rsidR="00FF2C64" w:rsidRPr="00071CDE">
      <w:trPr>
        <w:cantSplit/>
        <w:trHeight w:val="4925"/>
      </w:trPr>
      <w:tc>
        <w:tcPr>
          <w:tcW w:w="12413" w:type="dxa"/>
          <w:shd w:val="clear" w:color="auto" w:fill="auto"/>
          <w:textDirection w:val="tbRl"/>
          <w:vAlign w:val="bottom"/>
        </w:tcPr>
        <w:p w:rsidR="00FF2C64" w:rsidRPr="00071CDE" w:rsidRDefault="00FF2C64" w:rsidP="00071CDE">
          <w:pPr>
            <w:pStyle w:val="Header"/>
            <w:spacing w:line="240" w:lineRule="auto"/>
            <w:ind w:left="14" w:right="14"/>
            <w:jc w:val="right"/>
            <w:rPr>
              <w:b/>
              <w:bCs/>
              <w:w w:val="103"/>
              <w:szCs w:val="26"/>
            </w:rPr>
          </w:pPr>
          <w:r w:rsidRPr="00071CDE">
            <w:rPr>
              <w:b/>
              <w:bCs/>
              <w:w w:val="103"/>
              <w:szCs w:val="26"/>
            </w:rPr>
            <w:fldChar w:fldCharType="begin"/>
          </w:r>
          <w:r w:rsidRPr="00071CDE">
            <w:rPr>
              <w:b/>
              <w:bCs/>
              <w:w w:val="103"/>
              <w:szCs w:val="26"/>
            </w:rPr>
            <w:instrText xml:space="preserve"> DOCVARIABLE "sss1" \* MERGEFORMAT </w:instrText>
          </w:r>
          <w:r w:rsidRPr="00071CDE">
            <w:rPr>
              <w:b/>
              <w:bCs/>
              <w:w w:val="103"/>
              <w:szCs w:val="26"/>
            </w:rPr>
            <w:fldChar w:fldCharType="separate"/>
          </w:r>
          <w:r w:rsidR="00F455F9">
            <w:rPr>
              <w:b/>
              <w:bCs/>
              <w:w w:val="103"/>
              <w:szCs w:val="26"/>
            </w:rPr>
            <w:t>CEDAW/C/GUA/7</w:t>
          </w:r>
          <w:r w:rsidRPr="00071CDE">
            <w:rPr>
              <w:b/>
              <w:bCs/>
              <w:w w:val="103"/>
              <w:szCs w:val="26"/>
            </w:rPr>
            <w:fldChar w:fldCharType="end"/>
          </w:r>
        </w:p>
      </w:tc>
    </w:tr>
  </w:tbl>
  <w:p w:rsidR="00FF2C64" w:rsidRPr="00071CDE" w:rsidRDefault="00FF2C64" w:rsidP="00071CD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2C64">
      <w:tblPrEx>
        <w:tblCellMar>
          <w:top w:w="0" w:type="dxa"/>
          <w:bottom w:w="0" w:type="dxa"/>
        </w:tblCellMar>
      </w:tblPrEx>
      <w:trPr>
        <w:trHeight w:hRule="exact" w:val="864"/>
      </w:trPr>
      <w:tc>
        <w:tcPr>
          <w:tcW w:w="4838" w:type="dxa"/>
          <w:shd w:val="clear" w:color="auto" w:fill="auto"/>
          <w:vAlign w:val="bottom"/>
        </w:tcPr>
        <w:p w:rsidR="00FF2C64" w:rsidRPr="00B35454" w:rsidRDefault="00FF2C64" w:rsidP="00B35454">
          <w:pPr>
            <w:pStyle w:val="Header"/>
            <w:spacing w:after="80"/>
            <w:rPr>
              <w:b/>
            </w:rPr>
          </w:pPr>
          <w:r>
            <w:rPr>
              <w:b/>
            </w:rPr>
            <w:fldChar w:fldCharType="begin"/>
          </w:r>
          <w:r>
            <w:rPr>
              <w:b/>
            </w:rPr>
            <w:instrText xml:space="preserve"> DOCVARIABLE "sss1" \* MERGEFORMAT </w:instrText>
          </w:r>
          <w:r>
            <w:rPr>
              <w:b/>
            </w:rPr>
            <w:fldChar w:fldCharType="separate"/>
          </w:r>
          <w:r w:rsidR="00F455F9">
            <w:rPr>
              <w:b/>
            </w:rPr>
            <w:t>CEDAW/C/GUA/7</w:t>
          </w:r>
          <w:r>
            <w:rPr>
              <w:b/>
            </w:rPr>
            <w:fldChar w:fldCharType="end"/>
          </w:r>
        </w:p>
      </w:tc>
      <w:tc>
        <w:tcPr>
          <w:tcW w:w="5033" w:type="dxa"/>
          <w:shd w:val="clear" w:color="auto" w:fill="auto"/>
          <w:vAlign w:val="bottom"/>
        </w:tcPr>
        <w:p w:rsidR="00FF2C64" w:rsidRDefault="00FF2C64" w:rsidP="00B35454">
          <w:pPr>
            <w:pStyle w:val="Header"/>
          </w:pPr>
        </w:p>
      </w:tc>
    </w:tr>
  </w:tbl>
  <w:p w:rsidR="00FF2C64" w:rsidRPr="00B35454" w:rsidRDefault="00FF2C64" w:rsidP="00B35454">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F2C64">
      <w:tblPrEx>
        <w:tblCellMar>
          <w:top w:w="0" w:type="dxa"/>
          <w:bottom w:w="0" w:type="dxa"/>
        </w:tblCellMar>
      </w:tblPrEx>
      <w:trPr>
        <w:trHeight w:hRule="exact" w:val="864"/>
      </w:trPr>
      <w:tc>
        <w:tcPr>
          <w:tcW w:w="4838" w:type="dxa"/>
          <w:shd w:val="clear" w:color="auto" w:fill="auto"/>
          <w:vAlign w:val="bottom"/>
        </w:tcPr>
        <w:p w:rsidR="00FF2C64" w:rsidRDefault="00FF2C64" w:rsidP="00B35454">
          <w:pPr>
            <w:pStyle w:val="Header"/>
          </w:pPr>
        </w:p>
      </w:tc>
      <w:tc>
        <w:tcPr>
          <w:tcW w:w="5033" w:type="dxa"/>
          <w:shd w:val="clear" w:color="auto" w:fill="auto"/>
          <w:vAlign w:val="bottom"/>
        </w:tcPr>
        <w:p w:rsidR="00FF2C64" w:rsidRPr="00B35454" w:rsidRDefault="00FF2C64" w:rsidP="00B35454">
          <w:pPr>
            <w:pStyle w:val="Header"/>
            <w:spacing w:after="80"/>
            <w:jc w:val="right"/>
            <w:rPr>
              <w:b/>
            </w:rPr>
          </w:pPr>
          <w:r>
            <w:rPr>
              <w:b/>
            </w:rPr>
            <w:fldChar w:fldCharType="begin"/>
          </w:r>
          <w:r>
            <w:rPr>
              <w:b/>
            </w:rPr>
            <w:instrText xml:space="preserve"> DOCVARIABLE "sss1" \* MERGEFORMAT </w:instrText>
          </w:r>
          <w:r>
            <w:rPr>
              <w:b/>
            </w:rPr>
            <w:fldChar w:fldCharType="separate"/>
          </w:r>
          <w:r w:rsidR="00F455F9">
            <w:rPr>
              <w:b/>
            </w:rPr>
            <w:t>CEDAW/C/GUA/7</w:t>
          </w:r>
          <w:r>
            <w:rPr>
              <w:b/>
            </w:rPr>
            <w:fldChar w:fldCharType="end"/>
          </w:r>
        </w:p>
      </w:tc>
    </w:tr>
  </w:tbl>
  <w:p w:rsidR="00FF2C64" w:rsidRPr="00B35454" w:rsidRDefault="00FF2C64" w:rsidP="00B354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214AB"/>
    <w:multiLevelType w:val="singleLevel"/>
    <w:tmpl w:val="20BE7F82"/>
    <w:lvl w:ilvl="0">
      <w:start w:val="219"/>
      <w:numFmt w:val="decimal"/>
      <w:lvlRestart w:val="0"/>
      <w:lvlText w:val="%1."/>
      <w:lvlJc w:val="left"/>
      <w:pPr>
        <w:tabs>
          <w:tab w:val="num" w:pos="475"/>
        </w:tabs>
        <w:ind w:left="0" w:firstLine="0"/>
      </w:pPr>
      <w:rPr>
        <w:rFonts w:hint="default"/>
        <w:spacing w:val="0"/>
        <w:w w:val="100"/>
      </w:rPr>
    </w:lvl>
  </w:abstractNum>
  <w:abstractNum w:abstractNumId="1">
    <w:nsid w:val="0167030F"/>
    <w:multiLevelType w:val="singleLevel"/>
    <w:tmpl w:val="D804A742"/>
    <w:lvl w:ilvl="0">
      <w:start w:val="13"/>
      <w:numFmt w:val="decimal"/>
      <w:lvlRestart w:val="0"/>
      <w:lvlText w:val="%1."/>
      <w:lvlJc w:val="left"/>
      <w:pPr>
        <w:tabs>
          <w:tab w:val="num" w:pos="475"/>
        </w:tabs>
        <w:ind w:left="0" w:firstLine="0"/>
      </w:pPr>
      <w:rPr>
        <w:rFonts w:hint="default"/>
        <w:spacing w:val="0"/>
        <w:w w:val="100"/>
      </w:rPr>
    </w:lvl>
  </w:abstractNum>
  <w:abstractNum w:abstractNumId="2">
    <w:nsid w:val="01F25B22"/>
    <w:multiLevelType w:val="singleLevel"/>
    <w:tmpl w:val="F40C1354"/>
    <w:lvl w:ilvl="0">
      <w:start w:val="349"/>
      <w:numFmt w:val="decimal"/>
      <w:lvlRestart w:val="0"/>
      <w:lvlText w:val="%1."/>
      <w:lvlJc w:val="left"/>
      <w:pPr>
        <w:tabs>
          <w:tab w:val="num" w:pos="475"/>
        </w:tabs>
        <w:ind w:left="0" w:firstLine="0"/>
      </w:pPr>
      <w:rPr>
        <w:rFonts w:hint="default"/>
        <w:spacing w:val="0"/>
        <w:w w:val="100"/>
      </w:rPr>
    </w:lvl>
  </w:abstractNum>
  <w:abstractNum w:abstractNumId="3">
    <w:nsid w:val="066909C5"/>
    <w:multiLevelType w:val="hybridMultilevel"/>
    <w:tmpl w:val="82825D3A"/>
    <w:lvl w:ilvl="0" w:tplc="0052B1B0">
      <w:start w:val="1"/>
      <w:numFmt w:val="decimal"/>
      <w:lvlText w:val="%1."/>
      <w:lvlJc w:val="left"/>
      <w:pPr>
        <w:ind w:left="2552" w:hanging="283"/>
      </w:pPr>
      <w:rPr>
        <w:rFonts w:ascii="Times New Roman" w:hAnsi="Times New Roman" w:cs="Times New Roman" w:hint="default"/>
        <w:b w:val="0"/>
        <w:color w:val="auto"/>
        <w:sz w:val="24"/>
        <w:szCs w:val="24"/>
        <w:lang w:val="es-MX"/>
      </w:rPr>
    </w:lvl>
    <w:lvl w:ilvl="1" w:tplc="0C0A0019">
      <w:start w:val="1"/>
      <w:numFmt w:val="lowerLetter"/>
      <w:lvlText w:val="%2."/>
      <w:lvlJc w:val="left"/>
      <w:pPr>
        <w:ind w:left="3567" w:hanging="360"/>
      </w:pPr>
    </w:lvl>
    <w:lvl w:ilvl="2" w:tplc="0C0A001B" w:tentative="1">
      <w:start w:val="1"/>
      <w:numFmt w:val="lowerRoman"/>
      <w:lvlText w:val="%3."/>
      <w:lvlJc w:val="right"/>
      <w:pPr>
        <w:ind w:left="4287" w:hanging="180"/>
      </w:pPr>
    </w:lvl>
    <w:lvl w:ilvl="3" w:tplc="0C0A000F">
      <w:start w:val="1"/>
      <w:numFmt w:val="decimal"/>
      <w:lvlText w:val="%4."/>
      <w:lvlJc w:val="left"/>
      <w:pPr>
        <w:tabs>
          <w:tab w:val="num" w:pos="5007"/>
        </w:tabs>
        <w:ind w:left="5007" w:hanging="360"/>
      </w:pPr>
      <w:rPr>
        <w:rFonts w:hint="default"/>
        <w:b w:val="0"/>
        <w:color w:val="auto"/>
        <w:sz w:val="22"/>
      </w:rPr>
    </w:lvl>
    <w:lvl w:ilvl="4" w:tplc="0C0A0019" w:tentative="1">
      <w:start w:val="1"/>
      <w:numFmt w:val="lowerLetter"/>
      <w:lvlText w:val="%5."/>
      <w:lvlJc w:val="left"/>
      <w:pPr>
        <w:ind w:left="5727" w:hanging="360"/>
      </w:pPr>
    </w:lvl>
    <w:lvl w:ilvl="5" w:tplc="0C0A001B" w:tentative="1">
      <w:start w:val="1"/>
      <w:numFmt w:val="lowerRoman"/>
      <w:lvlText w:val="%6."/>
      <w:lvlJc w:val="right"/>
      <w:pPr>
        <w:ind w:left="6447" w:hanging="180"/>
      </w:pPr>
    </w:lvl>
    <w:lvl w:ilvl="6" w:tplc="0C0A000F" w:tentative="1">
      <w:start w:val="1"/>
      <w:numFmt w:val="decimal"/>
      <w:lvlText w:val="%7."/>
      <w:lvlJc w:val="left"/>
      <w:pPr>
        <w:ind w:left="7167" w:hanging="360"/>
      </w:pPr>
    </w:lvl>
    <w:lvl w:ilvl="7" w:tplc="0C0A0019" w:tentative="1">
      <w:start w:val="1"/>
      <w:numFmt w:val="lowerLetter"/>
      <w:lvlText w:val="%8."/>
      <w:lvlJc w:val="left"/>
      <w:pPr>
        <w:ind w:left="7887" w:hanging="360"/>
      </w:pPr>
    </w:lvl>
    <w:lvl w:ilvl="8" w:tplc="0C0A001B" w:tentative="1">
      <w:start w:val="1"/>
      <w:numFmt w:val="lowerRoman"/>
      <w:lvlText w:val="%9."/>
      <w:lvlJc w:val="right"/>
      <w:pPr>
        <w:ind w:left="8607" w:hanging="180"/>
      </w:pPr>
    </w:lvl>
  </w:abstractNum>
  <w:abstractNum w:abstractNumId="4">
    <w:nsid w:val="0B381405"/>
    <w:multiLevelType w:val="singleLevel"/>
    <w:tmpl w:val="4AFCFF12"/>
    <w:lvl w:ilvl="0">
      <w:start w:val="127"/>
      <w:numFmt w:val="decimal"/>
      <w:lvlRestart w:val="0"/>
      <w:lvlText w:val="%1."/>
      <w:lvlJc w:val="left"/>
      <w:pPr>
        <w:tabs>
          <w:tab w:val="num" w:pos="2147"/>
        </w:tabs>
        <w:ind w:left="1672" w:firstLine="0"/>
      </w:pPr>
      <w:rPr>
        <w:rFonts w:hint="default"/>
        <w:spacing w:val="0"/>
        <w:w w:val="100"/>
        <w:sz w:val="20"/>
        <w:szCs w:val="20"/>
      </w:rPr>
    </w:lvl>
  </w:abstractNum>
  <w:abstractNum w:abstractNumId="5">
    <w:nsid w:val="136A76E6"/>
    <w:multiLevelType w:val="singleLevel"/>
    <w:tmpl w:val="4442F53E"/>
    <w:lvl w:ilvl="0">
      <w:start w:val="400"/>
      <w:numFmt w:val="decimal"/>
      <w:lvlRestart w:val="0"/>
      <w:lvlText w:val="%1."/>
      <w:lvlJc w:val="left"/>
      <w:pPr>
        <w:tabs>
          <w:tab w:val="num" w:pos="475"/>
        </w:tabs>
        <w:ind w:left="0" w:firstLine="0"/>
      </w:pPr>
      <w:rPr>
        <w:spacing w:val="0"/>
        <w:w w:val="100"/>
      </w:rPr>
    </w:lvl>
  </w:abstractNum>
  <w:abstractNum w:abstractNumId="6">
    <w:nsid w:val="158369F3"/>
    <w:multiLevelType w:val="singleLevel"/>
    <w:tmpl w:val="18280376"/>
    <w:lvl w:ilvl="0">
      <w:start w:val="315"/>
      <w:numFmt w:val="decimal"/>
      <w:lvlRestart w:val="0"/>
      <w:lvlText w:val="%1."/>
      <w:lvlJc w:val="left"/>
      <w:pPr>
        <w:tabs>
          <w:tab w:val="num" w:pos="475"/>
        </w:tabs>
        <w:ind w:left="0" w:firstLine="0"/>
      </w:pPr>
      <w:rPr>
        <w:rFonts w:hint="default"/>
        <w:b w:val="0"/>
        <w:i w:val="0"/>
        <w:spacing w:val="0"/>
        <w:w w:val="100"/>
      </w:rPr>
    </w:lvl>
  </w:abstractNum>
  <w:abstractNum w:abstractNumId="7">
    <w:nsid w:val="159F1ECE"/>
    <w:multiLevelType w:val="singleLevel"/>
    <w:tmpl w:val="018C959C"/>
    <w:lvl w:ilvl="0">
      <w:start w:val="124"/>
      <w:numFmt w:val="decimal"/>
      <w:lvlRestart w:val="0"/>
      <w:lvlText w:val="%1."/>
      <w:lvlJc w:val="left"/>
      <w:pPr>
        <w:tabs>
          <w:tab w:val="num" w:pos="475"/>
        </w:tabs>
        <w:ind w:left="0" w:firstLine="0"/>
      </w:pPr>
      <w:rPr>
        <w:rFonts w:hint="default"/>
        <w:b w:val="0"/>
        <w:i w:val="0"/>
        <w:spacing w:val="0"/>
        <w:w w:val="100"/>
      </w:rPr>
    </w:lvl>
  </w:abstractNum>
  <w:abstractNum w:abstractNumId="8">
    <w:nsid w:val="16061309"/>
    <w:multiLevelType w:val="singleLevel"/>
    <w:tmpl w:val="504CD5C2"/>
    <w:lvl w:ilvl="0">
      <w:start w:val="569"/>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9">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0">
    <w:nsid w:val="183A2C11"/>
    <w:multiLevelType w:val="singleLevel"/>
    <w:tmpl w:val="790090F6"/>
    <w:lvl w:ilvl="0">
      <w:start w:val="40"/>
      <w:numFmt w:val="decimal"/>
      <w:lvlRestart w:val="0"/>
      <w:lvlText w:val="%1."/>
      <w:lvlJc w:val="left"/>
      <w:pPr>
        <w:tabs>
          <w:tab w:val="num" w:pos="475"/>
        </w:tabs>
        <w:ind w:left="0" w:firstLine="0"/>
      </w:pPr>
      <w:rPr>
        <w:spacing w:val="0"/>
        <w:w w:val="100"/>
      </w:rPr>
    </w:lvl>
  </w:abstractNum>
  <w:abstractNum w:abstractNumId="1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2">
    <w:nsid w:val="1A6A11E5"/>
    <w:multiLevelType w:val="hybridMultilevel"/>
    <w:tmpl w:val="CE704D40"/>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21305DA8"/>
    <w:multiLevelType w:val="hybridMultilevel"/>
    <w:tmpl w:val="C4D25458"/>
    <w:lvl w:ilvl="0" w:tplc="04090001">
      <w:start w:val="1"/>
      <w:numFmt w:val="bullet"/>
      <w:lvlText w:val=""/>
      <w:lvlJc w:val="left"/>
      <w:pPr>
        <w:tabs>
          <w:tab w:val="num" w:pos="1987"/>
        </w:tabs>
        <w:ind w:left="1987" w:hanging="360"/>
      </w:pPr>
      <w:rPr>
        <w:rFonts w:ascii="Symbol" w:hAnsi="Symbol" w:hint="default"/>
      </w:rPr>
    </w:lvl>
    <w:lvl w:ilvl="1" w:tplc="6E12031C">
      <w:start w:val="386"/>
      <w:numFmt w:val="decimal"/>
      <w:lvlRestart w:val="0"/>
      <w:lvlText w:val="%2."/>
      <w:lvlJc w:val="left"/>
      <w:pPr>
        <w:tabs>
          <w:tab w:val="num" w:pos="475"/>
        </w:tabs>
        <w:ind w:left="0" w:firstLine="0"/>
      </w:pPr>
      <w:rPr>
        <w:rFonts w:hint="default"/>
        <w:spacing w:val="0"/>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
    <w:nsid w:val="271B7C32"/>
    <w:multiLevelType w:val="singleLevel"/>
    <w:tmpl w:val="10501DE0"/>
    <w:lvl w:ilvl="0">
      <w:start w:val="227"/>
      <w:numFmt w:val="decimal"/>
      <w:lvlRestart w:val="0"/>
      <w:lvlText w:val="%1."/>
      <w:lvlJc w:val="left"/>
      <w:pPr>
        <w:tabs>
          <w:tab w:val="num" w:pos="1729"/>
        </w:tabs>
        <w:ind w:left="1254" w:firstLine="0"/>
      </w:pPr>
      <w:rPr>
        <w:rFonts w:hint="default"/>
        <w:b w:val="0"/>
        <w:i w:val="0"/>
        <w:spacing w:val="0"/>
        <w:w w:val="100"/>
      </w:rPr>
    </w:lvl>
  </w:abstractNum>
  <w:abstractNum w:abstractNumId="15">
    <w:nsid w:val="2B896EBB"/>
    <w:multiLevelType w:val="singleLevel"/>
    <w:tmpl w:val="2C40E49C"/>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16">
    <w:nsid w:val="2EB20E56"/>
    <w:multiLevelType w:val="singleLevel"/>
    <w:tmpl w:val="7598C3CE"/>
    <w:lvl w:ilvl="0">
      <w:start w:val="294"/>
      <w:numFmt w:val="decimal"/>
      <w:lvlRestart w:val="0"/>
      <w:lvlText w:val="%1."/>
      <w:lvlJc w:val="left"/>
      <w:pPr>
        <w:tabs>
          <w:tab w:val="num" w:pos="475"/>
        </w:tabs>
        <w:ind w:left="0" w:firstLine="0"/>
      </w:pPr>
      <w:rPr>
        <w:spacing w:val="0"/>
        <w:w w:val="100"/>
      </w:rPr>
    </w:lvl>
  </w:abstractNum>
  <w:abstractNum w:abstractNumId="17">
    <w:nsid w:val="34DF1B0D"/>
    <w:multiLevelType w:val="singleLevel"/>
    <w:tmpl w:val="0382E0EC"/>
    <w:lvl w:ilvl="0">
      <w:start w:val="487"/>
      <w:numFmt w:val="decimal"/>
      <w:lvlRestart w:val="0"/>
      <w:lvlText w:val="%1."/>
      <w:lvlJc w:val="left"/>
      <w:pPr>
        <w:tabs>
          <w:tab w:val="num" w:pos="475"/>
        </w:tabs>
        <w:ind w:left="0" w:firstLine="0"/>
      </w:pPr>
      <w:rPr>
        <w:rFonts w:hint="default"/>
        <w:b w:val="0"/>
        <w:i w:val="0"/>
        <w:spacing w:val="0"/>
        <w:w w:val="100"/>
      </w:rPr>
    </w:lvl>
  </w:abstractNum>
  <w:abstractNum w:abstractNumId="18">
    <w:nsid w:val="366D28A7"/>
    <w:multiLevelType w:val="hybridMultilevel"/>
    <w:tmpl w:val="65224A0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87E71C6"/>
    <w:multiLevelType w:val="singleLevel"/>
    <w:tmpl w:val="9AE860EA"/>
    <w:lvl w:ilvl="0">
      <w:start w:val="13"/>
      <w:numFmt w:val="decimal"/>
      <w:lvlRestart w:val="0"/>
      <w:lvlText w:val="%1."/>
      <w:lvlJc w:val="left"/>
      <w:pPr>
        <w:tabs>
          <w:tab w:val="num" w:pos="475"/>
        </w:tabs>
        <w:ind w:left="0" w:firstLine="0"/>
      </w:pPr>
      <w:rPr>
        <w:rFonts w:hint="default"/>
        <w:b w:val="0"/>
        <w:i w:val="0"/>
        <w:spacing w:val="0"/>
        <w:w w:val="100"/>
      </w:rPr>
    </w:lvl>
  </w:abstractNum>
  <w:abstractNum w:abstractNumId="20">
    <w:nsid w:val="388747CD"/>
    <w:multiLevelType w:val="singleLevel"/>
    <w:tmpl w:val="4A3C5620"/>
    <w:lvl w:ilvl="0">
      <w:start w:val="423"/>
      <w:numFmt w:val="decimal"/>
      <w:lvlRestart w:val="0"/>
      <w:lvlText w:val="%1."/>
      <w:lvlJc w:val="left"/>
      <w:pPr>
        <w:tabs>
          <w:tab w:val="num" w:pos="475"/>
        </w:tabs>
        <w:ind w:left="0" w:firstLine="0"/>
      </w:pPr>
      <w:rPr>
        <w:spacing w:val="0"/>
        <w:w w:val="100"/>
      </w:rPr>
    </w:lvl>
  </w:abstractNum>
  <w:abstractNum w:abstractNumId="21">
    <w:nsid w:val="38E907FF"/>
    <w:multiLevelType w:val="singleLevel"/>
    <w:tmpl w:val="94308B9C"/>
    <w:lvl w:ilvl="0">
      <w:start w:val="432"/>
      <w:numFmt w:val="decimal"/>
      <w:lvlRestart w:val="0"/>
      <w:lvlText w:val="%1."/>
      <w:lvlJc w:val="left"/>
      <w:pPr>
        <w:tabs>
          <w:tab w:val="num" w:pos="475"/>
        </w:tabs>
        <w:ind w:left="0" w:firstLine="0"/>
      </w:pPr>
      <w:rPr>
        <w:spacing w:val="0"/>
        <w:w w:val="100"/>
      </w:rPr>
    </w:lvl>
  </w:abstractNum>
  <w:abstractNum w:abstractNumId="22">
    <w:nsid w:val="3E284D48"/>
    <w:multiLevelType w:val="singleLevel"/>
    <w:tmpl w:val="F462E364"/>
    <w:lvl w:ilvl="0">
      <w:start w:val="354"/>
      <w:numFmt w:val="decimal"/>
      <w:lvlRestart w:val="0"/>
      <w:lvlText w:val="%1."/>
      <w:lvlJc w:val="left"/>
      <w:pPr>
        <w:tabs>
          <w:tab w:val="num" w:pos="475"/>
        </w:tabs>
        <w:ind w:left="0" w:firstLine="0"/>
      </w:pPr>
      <w:rPr>
        <w:rFonts w:hint="default"/>
        <w:b w:val="0"/>
        <w:spacing w:val="0"/>
        <w:w w:val="100"/>
      </w:rPr>
    </w:lvl>
  </w:abstractNum>
  <w:abstractNum w:abstractNumId="23">
    <w:nsid w:val="3EE1713F"/>
    <w:multiLevelType w:val="singleLevel"/>
    <w:tmpl w:val="FABA748E"/>
    <w:lvl w:ilvl="0">
      <w:start w:val="532"/>
      <w:numFmt w:val="decimal"/>
      <w:lvlRestart w:val="0"/>
      <w:lvlText w:val="%1."/>
      <w:lvlJc w:val="left"/>
      <w:pPr>
        <w:tabs>
          <w:tab w:val="num" w:pos="475"/>
        </w:tabs>
        <w:ind w:left="0" w:firstLine="0"/>
      </w:pPr>
      <w:rPr>
        <w:rFonts w:hint="default"/>
        <w:b w:val="0"/>
        <w:i w:val="0"/>
        <w:spacing w:val="0"/>
        <w:w w:val="100"/>
      </w:rPr>
    </w:lvl>
  </w:abstractNum>
  <w:abstractNum w:abstractNumId="24">
    <w:nsid w:val="43166DFD"/>
    <w:multiLevelType w:val="multilevel"/>
    <w:tmpl w:val="CE0058D2"/>
    <w:name w:val="TOC"/>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nsid w:val="4F912157"/>
    <w:multiLevelType w:val="singleLevel"/>
    <w:tmpl w:val="9AD0A17C"/>
    <w:lvl w:ilvl="0">
      <w:start w:val="294"/>
      <w:numFmt w:val="decimal"/>
      <w:lvlRestart w:val="0"/>
      <w:lvlText w:val="%1."/>
      <w:lvlJc w:val="left"/>
      <w:pPr>
        <w:tabs>
          <w:tab w:val="num" w:pos="475"/>
        </w:tabs>
        <w:ind w:left="0" w:firstLine="0"/>
      </w:pPr>
      <w:rPr>
        <w:rFonts w:hint="default"/>
        <w:b w:val="0"/>
        <w:i w:val="0"/>
        <w:spacing w:val="0"/>
        <w:w w:val="100"/>
      </w:rPr>
    </w:lvl>
  </w:abstractNum>
  <w:abstractNum w:abstractNumId="27">
    <w:nsid w:val="550A2F9C"/>
    <w:multiLevelType w:val="singleLevel"/>
    <w:tmpl w:val="7C6819F8"/>
    <w:lvl w:ilvl="0">
      <w:start w:val="435"/>
      <w:numFmt w:val="decimal"/>
      <w:lvlRestart w:val="0"/>
      <w:lvlText w:val="%1."/>
      <w:lvlJc w:val="left"/>
      <w:pPr>
        <w:tabs>
          <w:tab w:val="num" w:pos="475"/>
        </w:tabs>
        <w:ind w:left="0" w:firstLine="0"/>
      </w:pPr>
      <w:rPr>
        <w:rFonts w:hint="default"/>
        <w:b w:val="0"/>
        <w:i w:val="0"/>
        <w:spacing w:val="0"/>
        <w:w w:val="100"/>
      </w:rPr>
    </w:lvl>
  </w:abstractNum>
  <w:abstractNum w:abstractNumId="28">
    <w:nsid w:val="561935C0"/>
    <w:multiLevelType w:val="singleLevel"/>
    <w:tmpl w:val="18D0413A"/>
    <w:lvl w:ilvl="0">
      <w:start w:val="568"/>
      <w:numFmt w:val="decimal"/>
      <w:lvlRestart w:val="0"/>
      <w:lvlText w:val="%1."/>
      <w:lvlJc w:val="left"/>
      <w:pPr>
        <w:tabs>
          <w:tab w:val="num" w:pos="475"/>
        </w:tabs>
        <w:ind w:left="0" w:firstLine="0"/>
      </w:pPr>
      <w:rPr>
        <w:rFonts w:hint="default"/>
        <w:spacing w:val="0"/>
        <w:w w:val="100"/>
      </w:rPr>
    </w:lvl>
  </w:abstractNum>
  <w:abstractNum w:abstractNumId="29">
    <w:nsid w:val="5E6F194F"/>
    <w:multiLevelType w:val="singleLevel"/>
    <w:tmpl w:val="6E12031C"/>
    <w:lvl w:ilvl="0">
      <w:start w:val="386"/>
      <w:numFmt w:val="decimal"/>
      <w:lvlRestart w:val="0"/>
      <w:lvlText w:val="%1."/>
      <w:lvlJc w:val="left"/>
      <w:pPr>
        <w:tabs>
          <w:tab w:val="num" w:pos="475"/>
        </w:tabs>
        <w:ind w:left="0" w:firstLine="0"/>
      </w:pPr>
      <w:rPr>
        <w:rFonts w:hint="default"/>
        <w:spacing w:val="0"/>
        <w:w w:val="100"/>
      </w:rPr>
    </w:lvl>
  </w:abstractNum>
  <w:abstractNum w:abstractNumId="30">
    <w:nsid w:val="644A492B"/>
    <w:multiLevelType w:val="singleLevel"/>
    <w:tmpl w:val="63B44E6A"/>
    <w:lvl w:ilvl="0">
      <w:start w:val="404"/>
      <w:numFmt w:val="decimal"/>
      <w:lvlRestart w:val="0"/>
      <w:lvlText w:val="%1."/>
      <w:lvlJc w:val="left"/>
      <w:pPr>
        <w:tabs>
          <w:tab w:val="num" w:pos="475"/>
        </w:tabs>
        <w:ind w:left="0" w:firstLine="0"/>
      </w:pPr>
      <w:rPr>
        <w:spacing w:val="0"/>
        <w:w w:val="100"/>
      </w:rPr>
    </w:lvl>
  </w:abstractNum>
  <w:abstractNum w:abstractNumId="31">
    <w:nsid w:val="69D97F3F"/>
    <w:multiLevelType w:val="hybridMultilevel"/>
    <w:tmpl w:val="EA1CBE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nsid w:val="69E54477"/>
    <w:multiLevelType w:val="singleLevel"/>
    <w:tmpl w:val="A3D235E4"/>
    <w:lvl w:ilvl="0">
      <w:start w:val="92"/>
      <w:numFmt w:val="decimal"/>
      <w:lvlRestart w:val="0"/>
      <w:lvlText w:val="%1."/>
      <w:lvlJc w:val="left"/>
      <w:pPr>
        <w:tabs>
          <w:tab w:val="num" w:pos="475"/>
        </w:tabs>
        <w:ind w:left="0" w:firstLine="0"/>
      </w:pPr>
      <w:rPr>
        <w:spacing w:val="0"/>
        <w:w w:val="100"/>
      </w:rPr>
    </w:lvl>
  </w:abstractNum>
  <w:abstractNum w:abstractNumId="33">
    <w:nsid w:val="6BC5340E"/>
    <w:multiLevelType w:val="hybridMultilevel"/>
    <w:tmpl w:val="98E87EF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4">
    <w:nsid w:val="6D133AEA"/>
    <w:multiLevelType w:val="singleLevel"/>
    <w:tmpl w:val="408EF1E8"/>
    <w:lvl w:ilvl="0">
      <w:start w:val="354"/>
      <w:numFmt w:val="decimal"/>
      <w:lvlRestart w:val="0"/>
      <w:lvlText w:val="%1."/>
      <w:lvlJc w:val="left"/>
      <w:pPr>
        <w:tabs>
          <w:tab w:val="num" w:pos="475"/>
        </w:tabs>
        <w:ind w:left="0" w:firstLine="0"/>
      </w:pPr>
      <w:rPr>
        <w:rFonts w:hint="default"/>
        <w:b w:val="0"/>
        <w:i w:val="0"/>
        <w:spacing w:val="0"/>
        <w:w w:val="100"/>
      </w:rPr>
    </w:lvl>
  </w:abstractNum>
  <w:abstractNum w:abstractNumId="35">
    <w:nsid w:val="6F736EEC"/>
    <w:multiLevelType w:val="singleLevel"/>
    <w:tmpl w:val="388CB802"/>
    <w:lvl w:ilvl="0">
      <w:start w:val="326"/>
      <w:numFmt w:val="decimal"/>
      <w:lvlRestart w:val="0"/>
      <w:lvlText w:val="%1."/>
      <w:lvlJc w:val="left"/>
      <w:pPr>
        <w:tabs>
          <w:tab w:val="num" w:pos="475"/>
        </w:tabs>
        <w:ind w:left="0" w:firstLine="0"/>
      </w:pPr>
      <w:rPr>
        <w:rFonts w:hint="default"/>
        <w:spacing w:val="0"/>
        <w:w w:val="100"/>
      </w:rPr>
    </w:lvl>
  </w:abstractNum>
  <w:abstractNum w:abstractNumId="36">
    <w:nsid w:val="74484835"/>
    <w:multiLevelType w:val="singleLevel"/>
    <w:tmpl w:val="52C6E21A"/>
    <w:lvl w:ilvl="0">
      <w:start w:val="168"/>
      <w:numFmt w:val="decimal"/>
      <w:lvlRestart w:val="0"/>
      <w:lvlText w:val="%1."/>
      <w:lvlJc w:val="left"/>
      <w:pPr>
        <w:tabs>
          <w:tab w:val="num" w:pos="475"/>
        </w:tabs>
        <w:ind w:left="0" w:firstLine="0"/>
      </w:pPr>
      <w:rPr>
        <w:rFonts w:hint="default"/>
        <w:spacing w:val="0"/>
        <w:w w:val="100"/>
      </w:rPr>
    </w:lvl>
  </w:abstractNum>
  <w:abstractNum w:abstractNumId="37">
    <w:nsid w:val="7C577748"/>
    <w:multiLevelType w:val="singleLevel"/>
    <w:tmpl w:val="92820FA0"/>
    <w:lvl w:ilvl="0">
      <w:start w:val="1"/>
      <w:numFmt w:val="decimal"/>
      <w:lvlRestart w:val="0"/>
      <w:lvlText w:val="%1."/>
      <w:lvlJc w:val="left"/>
      <w:pPr>
        <w:tabs>
          <w:tab w:val="num" w:pos="475"/>
        </w:tabs>
        <w:ind w:left="0" w:firstLine="0"/>
      </w:pPr>
      <w:rPr>
        <w:spacing w:val="0"/>
        <w:w w:val="100"/>
      </w:rPr>
    </w:lvl>
  </w:abstractNum>
  <w:abstractNum w:abstractNumId="38">
    <w:nsid w:val="7E4912BD"/>
    <w:multiLevelType w:val="singleLevel"/>
    <w:tmpl w:val="512A3A72"/>
    <w:lvl w:ilvl="0">
      <w:start w:val="438"/>
      <w:numFmt w:val="decimal"/>
      <w:lvlRestart w:val="0"/>
      <w:lvlText w:val="%1."/>
      <w:lvlJc w:val="left"/>
      <w:pPr>
        <w:tabs>
          <w:tab w:val="num" w:pos="475"/>
        </w:tabs>
        <w:ind w:left="0" w:firstLine="0"/>
      </w:pPr>
      <w:rPr>
        <w:b w:val="0"/>
        <w:spacing w:val="0"/>
        <w:w w:val="100"/>
      </w:rPr>
    </w:lvl>
  </w:abstractNum>
  <w:num w:numId="1">
    <w:abstractNumId w:val="9"/>
  </w:num>
  <w:num w:numId="2">
    <w:abstractNumId w:val="11"/>
  </w:num>
  <w:num w:numId="3">
    <w:abstractNumId w:val="25"/>
  </w:num>
  <w:num w:numId="4">
    <w:abstractNumId w:val="33"/>
  </w:num>
  <w:num w:numId="5">
    <w:abstractNumId w:val="3"/>
  </w:num>
  <w:num w:numId="6">
    <w:abstractNumId w:val="18"/>
  </w:num>
  <w:num w:numId="7">
    <w:abstractNumId w:val="31"/>
  </w:num>
  <w:num w:numId="8">
    <w:abstractNumId w:val="37"/>
  </w:num>
  <w:num w:numId="9">
    <w:abstractNumId w:val="24"/>
  </w:num>
  <w:num w:numId="10">
    <w:abstractNumId w:val="1"/>
  </w:num>
  <w:num w:numId="11">
    <w:abstractNumId w:val="15"/>
  </w:num>
  <w:num w:numId="12">
    <w:abstractNumId w:val="19"/>
  </w:num>
  <w:num w:numId="13">
    <w:abstractNumId w:val="10"/>
  </w:num>
  <w:num w:numId="14">
    <w:abstractNumId w:val="32"/>
  </w:num>
  <w:num w:numId="15">
    <w:abstractNumId w:val="4"/>
  </w:num>
  <w:num w:numId="16">
    <w:abstractNumId w:val="7"/>
  </w:num>
  <w:num w:numId="17">
    <w:abstractNumId w:val="7"/>
    <w:lvlOverride w:ilvl="0">
      <w:lvl w:ilvl="0">
        <w:start w:val="124"/>
        <w:numFmt w:val="decimal"/>
        <w:lvlRestart w:val="0"/>
        <w:lvlText w:val="%1."/>
        <w:lvlJc w:val="left"/>
        <w:pPr>
          <w:tabs>
            <w:tab w:val="num" w:pos="475"/>
          </w:tabs>
          <w:ind w:left="0" w:firstLine="0"/>
        </w:pPr>
        <w:rPr>
          <w:rFonts w:hint="default"/>
          <w:b w:val="0"/>
          <w:i w:val="0"/>
          <w:spacing w:val="0"/>
          <w:w w:val="100"/>
        </w:rPr>
      </w:lvl>
    </w:lvlOverride>
  </w:num>
  <w:num w:numId="18">
    <w:abstractNumId w:val="7"/>
    <w:lvlOverride w:ilvl="0">
      <w:lvl w:ilvl="0">
        <w:start w:val="124"/>
        <w:numFmt w:val="decimal"/>
        <w:lvlRestart w:val="0"/>
        <w:lvlText w:val="%1."/>
        <w:lvlJc w:val="left"/>
        <w:pPr>
          <w:tabs>
            <w:tab w:val="num" w:pos="475"/>
          </w:tabs>
          <w:ind w:left="0" w:firstLine="0"/>
        </w:pPr>
        <w:rPr>
          <w:rFonts w:hint="default"/>
          <w:b w:val="0"/>
          <w:i w:val="0"/>
          <w:spacing w:val="0"/>
          <w:w w:val="100"/>
        </w:rPr>
      </w:lvl>
    </w:lvlOverride>
  </w:num>
  <w:num w:numId="19">
    <w:abstractNumId w:val="36"/>
  </w:num>
  <w:num w:numId="20">
    <w:abstractNumId w:val="0"/>
  </w:num>
  <w:num w:numId="21">
    <w:abstractNumId w:val="14"/>
  </w:num>
  <w:num w:numId="22">
    <w:abstractNumId w:val="16"/>
  </w:num>
  <w:num w:numId="23">
    <w:abstractNumId w:val="26"/>
  </w:num>
  <w:num w:numId="24">
    <w:abstractNumId w:val="6"/>
  </w:num>
  <w:num w:numId="25">
    <w:abstractNumId w:val="35"/>
  </w:num>
  <w:num w:numId="26">
    <w:abstractNumId w:val="12"/>
  </w:num>
  <w:num w:numId="27">
    <w:abstractNumId w:val="2"/>
  </w:num>
  <w:num w:numId="28">
    <w:abstractNumId w:val="22"/>
  </w:num>
  <w:num w:numId="29">
    <w:abstractNumId w:val="29"/>
  </w:num>
  <w:num w:numId="30">
    <w:abstractNumId w:val="13"/>
  </w:num>
  <w:num w:numId="31">
    <w:abstractNumId w:val="34"/>
  </w:num>
  <w:num w:numId="32">
    <w:abstractNumId w:val="34"/>
    <w:lvlOverride w:ilvl="0">
      <w:lvl w:ilvl="0">
        <w:start w:val="354"/>
        <w:numFmt w:val="decimal"/>
        <w:lvlRestart w:val="0"/>
        <w:lvlText w:val="%1."/>
        <w:lvlJc w:val="left"/>
        <w:pPr>
          <w:tabs>
            <w:tab w:val="num" w:pos="475"/>
          </w:tabs>
          <w:ind w:left="0" w:firstLine="0"/>
        </w:pPr>
        <w:rPr>
          <w:rFonts w:hint="default"/>
          <w:b w:val="0"/>
          <w:i w:val="0"/>
          <w:spacing w:val="0"/>
          <w:w w:val="100"/>
        </w:rPr>
      </w:lvl>
    </w:lvlOverride>
  </w:num>
  <w:num w:numId="33">
    <w:abstractNumId w:val="5"/>
  </w:num>
  <w:num w:numId="34">
    <w:abstractNumId w:val="30"/>
  </w:num>
  <w:num w:numId="35">
    <w:abstractNumId w:val="20"/>
  </w:num>
  <w:num w:numId="36">
    <w:abstractNumId w:val="21"/>
  </w:num>
  <w:num w:numId="37">
    <w:abstractNumId w:val="27"/>
  </w:num>
  <w:num w:numId="38">
    <w:abstractNumId w:val="38"/>
  </w:num>
  <w:num w:numId="39">
    <w:abstractNumId w:val="17"/>
  </w:num>
  <w:num w:numId="40">
    <w:abstractNumId w:val="23"/>
  </w:num>
  <w:num w:numId="41">
    <w:abstractNumId w:val="28"/>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4098"/>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0474*"/>
    <w:docVar w:name="CreationDt" w:val="11/02/2008 12:40:38"/>
    <w:docVar w:name="DocCategory" w:val="Doc"/>
    <w:docVar w:name="DocType" w:val="Final"/>
    <w:docVar w:name="FooterJN" w:val="08-20474"/>
    <w:docVar w:name="jobn" w:val="08-20474 (S)"/>
    <w:docVar w:name="jobnDT" w:val="08-20474 (S)   110208"/>
    <w:docVar w:name="jobnDTDT" w:val="08-20474 (S)   110208   110208"/>
    <w:docVar w:name="JobNo" w:val="0820474S"/>
    <w:docVar w:name="OandT" w:val="Rox"/>
    <w:docVar w:name="sss1" w:val="CEDAW/C/GUA/7"/>
    <w:docVar w:name="sss2" w:val="-"/>
    <w:docVar w:name="Symbol1" w:val="CEDAW/C/GUA/7"/>
    <w:docVar w:name="Symbol2" w:val="-"/>
  </w:docVars>
  <w:rsids>
    <w:rsidRoot w:val="00111B48"/>
    <w:rsid w:val="000168B2"/>
    <w:rsid w:val="00016D14"/>
    <w:rsid w:val="00016EA7"/>
    <w:rsid w:val="0003157B"/>
    <w:rsid w:val="0003221F"/>
    <w:rsid w:val="00032CF7"/>
    <w:rsid w:val="00035CD3"/>
    <w:rsid w:val="00037512"/>
    <w:rsid w:val="00044517"/>
    <w:rsid w:val="000500F8"/>
    <w:rsid w:val="00051A7D"/>
    <w:rsid w:val="0005541D"/>
    <w:rsid w:val="00061177"/>
    <w:rsid w:val="00067D9C"/>
    <w:rsid w:val="00071CDE"/>
    <w:rsid w:val="000806AC"/>
    <w:rsid w:val="00085D6D"/>
    <w:rsid w:val="000871C1"/>
    <w:rsid w:val="000919BE"/>
    <w:rsid w:val="00094359"/>
    <w:rsid w:val="000A1971"/>
    <w:rsid w:val="000B188E"/>
    <w:rsid w:val="000B278F"/>
    <w:rsid w:val="000B2A4E"/>
    <w:rsid w:val="000C1009"/>
    <w:rsid w:val="000C1835"/>
    <w:rsid w:val="000C4DCC"/>
    <w:rsid w:val="000D21E6"/>
    <w:rsid w:val="000D4B09"/>
    <w:rsid w:val="000D711B"/>
    <w:rsid w:val="000D7889"/>
    <w:rsid w:val="000E2967"/>
    <w:rsid w:val="000E4F02"/>
    <w:rsid w:val="000F7881"/>
    <w:rsid w:val="000F78FE"/>
    <w:rsid w:val="00102135"/>
    <w:rsid w:val="001066FF"/>
    <w:rsid w:val="001109AD"/>
    <w:rsid w:val="001109E8"/>
    <w:rsid w:val="00111B48"/>
    <w:rsid w:val="00121148"/>
    <w:rsid w:val="00143B7C"/>
    <w:rsid w:val="00152E53"/>
    <w:rsid w:val="00166B08"/>
    <w:rsid w:val="00170784"/>
    <w:rsid w:val="0017177B"/>
    <w:rsid w:val="001736D5"/>
    <w:rsid w:val="001822A6"/>
    <w:rsid w:val="001826EA"/>
    <w:rsid w:val="00185446"/>
    <w:rsid w:val="00191C24"/>
    <w:rsid w:val="00192501"/>
    <w:rsid w:val="001A2E38"/>
    <w:rsid w:val="001A2FAC"/>
    <w:rsid w:val="001A3537"/>
    <w:rsid w:val="001A5BEE"/>
    <w:rsid w:val="001A72EA"/>
    <w:rsid w:val="001C3260"/>
    <w:rsid w:val="001D0DED"/>
    <w:rsid w:val="001D3649"/>
    <w:rsid w:val="001F48A0"/>
    <w:rsid w:val="001F74B0"/>
    <w:rsid w:val="001F7BA9"/>
    <w:rsid w:val="00200A61"/>
    <w:rsid w:val="002078DB"/>
    <w:rsid w:val="0021131C"/>
    <w:rsid w:val="002126B9"/>
    <w:rsid w:val="00214EAE"/>
    <w:rsid w:val="0022060C"/>
    <w:rsid w:val="002233AB"/>
    <w:rsid w:val="002265E3"/>
    <w:rsid w:val="00235F55"/>
    <w:rsid w:val="00237AC1"/>
    <w:rsid w:val="00242903"/>
    <w:rsid w:val="002458D0"/>
    <w:rsid w:val="00247A60"/>
    <w:rsid w:val="00252B8D"/>
    <w:rsid w:val="00254E69"/>
    <w:rsid w:val="0025615B"/>
    <w:rsid w:val="00264B09"/>
    <w:rsid w:val="00266F6B"/>
    <w:rsid w:val="00272452"/>
    <w:rsid w:val="002778D2"/>
    <w:rsid w:val="00284084"/>
    <w:rsid w:val="00290BEF"/>
    <w:rsid w:val="00297ED1"/>
    <w:rsid w:val="002B4F4E"/>
    <w:rsid w:val="002B7407"/>
    <w:rsid w:val="002C345B"/>
    <w:rsid w:val="002C3B92"/>
    <w:rsid w:val="002C3E79"/>
    <w:rsid w:val="002D05DD"/>
    <w:rsid w:val="002D1B60"/>
    <w:rsid w:val="002E0352"/>
    <w:rsid w:val="002E1262"/>
    <w:rsid w:val="002E3535"/>
    <w:rsid w:val="002F0A5D"/>
    <w:rsid w:val="002F538C"/>
    <w:rsid w:val="003228EA"/>
    <w:rsid w:val="00322980"/>
    <w:rsid w:val="0032303B"/>
    <w:rsid w:val="00325943"/>
    <w:rsid w:val="003265A5"/>
    <w:rsid w:val="00326B88"/>
    <w:rsid w:val="00327AC5"/>
    <w:rsid w:val="00330C96"/>
    <w:rsid w:val="003313A7"/>
    <w:rsid w:val="00334AB4"/>
    <w:rsid w:val="003359DE"/>
    <w:rsid w:val="00340CC2"/>
    <w:rsid w:val="00345058"/>
    <w:rsid w:val="003452B8"/>
    <w:rsid w:val="00364D96"/>
    <w:rsid w:val="00365F85"/>
    <w:rsid w:val="00372D04"/>
    <w:rsid w:val="0037429E"/>
    <w:rsid w:val="00375801"/>
    <w:rsid w:val="00382CAF"/>
    <w:rsid w:val="003954E5"/>
    <w:rsid w:val="003A2B2D"/>
    <w:rsid w:val="003A3FDD"/>
    <w:rsid w:val="003A54CD"/>
    <w:rsid w:val="003A5CE7"/>
    <w:rsid w:val="003B3F14"/>
    <w:rsid w:val="003B613E"/>
    <w:rsid w:val="003C12C7"/>
    <w:rsid w:val="003C473B"/>
    <w:rsid w:val="003C4CAC"/>
    <w:rsid w:val="003C5008"/>
    <w:rsid w:val="003C67B3"/>
    <w:rsid w:val="003C6CDA"/>
    <w:rsid w:val="003D1B72"/>
    <w:rsid w:val="003D2D4A"/>
    <w:rsid w:val="003D5609"/>
    <w:rsid w:val="003D68FA"/>
    <w:rsid w:val="003D702F"/>
    <w:rsid w:val="003E6D7F"/>
    <w:rsid w:val="003E7C58"/>
    <w:rsid w:val="003F2814"/>
    <w:rsid w:val="003F3C3C"/>
    <w:rsid w:val="003F3D25"/>
    <w:rsid w:val="003F6F7E"/>
    <w:rsid w:val="003F7EC0"/>
    <w:rsid w:val="00400307"/>
    <w:rsid w:val="0040579E"/>
    <w:rsid w:val="00406BB1"/>
    <w:rsid w:val="00407656"/>
    <w:rsid w:val="00421D8E"/>
    <w:rsid w:val="00423D15"/>
    <w:rsid w:val="004256DD"/>
    <w:rsid w:val="00431501"/>
    <w:rsid w:val="004452B0"/>
    <w:rsid w:val="00445C91"/>
    <w:rsid w:val="004503F1"/>
    <w:rsid w:val="0045641F"/>
    <w:rsid w:val="0047112B"/>
    <w:rsid w:val="004713D8"/>
    <w:rsid w:val="004724DF"/>
    <w:rsid w:val="0048010F"/>
    <w:rsid w:val="00481408"/>
    <w:rsid w:val="004814FF"/>
    <w:rsid w:val="00481E60"/>
    <w:rsid w:val="004843EE"/>
    <w:rsid w:val="004863F7"/>
    <w:rsid w:val="00490108"/>
    <w:rsid w:val="0049207E"/>
    <w:rsid w:val="004A1EB5"/>
    <w:rsid w:val="004A2840"/>
    <w:rsid w:val="004A39DD"/>
    <w:rsid w:val="004A67B7"/>
    <w:rsid w:val="004A7C6C"/>
    <w:rsid w:val="004B2A6C"/>
    <w:rsid w:val="004B3579"/>
    <w:rsid w:val="004C0BB2"/>
    <w:rsid w:val="004C1C77"/>
    <w:rsid w:val="004C5F48"/>
    <w:rsid w:val="004D0B49"/>
    <w:rsid w:val="004D0B54"/>
    <w:rsid w:val="004D6407"/>
    <w:rsid w:val="004D779E"/>
    <w:rsid w:val="004F2C19"/>
    <w:rsid w:val="004F345B"/>
    <w:rsid w:val="004F53BB"/>
    <w:rsid w:val="0050150A"/>
    <w:rsid w:val="00507265"/>
    <w:rsid w:val="00523076"/>
    <w:rsid w:val="00524C14"/>
    <w:rsid w:val="00525692"/>
    <w:rsid w:val="0053365C"/>
    <w:rsid w:val="00534D37"/>
    <w:rsid w:val="00540AE0"/>
    <w:rsid w:val="00542A52"/>
    <w:rsid w:val="005434BC"/>
    <w:rsid w:val="00543A32"/>
    <w:rsid w:val="00545AB4"/>
    <w:rsid w:val="00547A98"/>
    <w:rsid w:val="00550700"/>
    <w:rsid w:val="00566862"/>
    <w:rsid w:val="00580CE0"/>
    <w:rsid w:val="00595DE1"/>
    <w:rsid w:val="005A1C47"/>
    <w:rsid w:val="005B7B28"/>
    <w:rsid w:val="005C099E"/>
    <w:rsid w:val="005D016F"/>
    <w:rsid w:val="005D453A"/>
    <w:rsid w:val="005D4B29"/>
    <w:rsid w:val="005E0758"/>
    <w:rsid w:val="005E7D65"/>
    <w:rsid w:val="005F2B0E"/>
    <w:rsid w:val="00600DF3"/>
    <w:rsid w:val="006024C4"/>
    <w:rsid w:val="006047E6"/>
    <w:rsid w:val="00604C56"/>
    <w:rsid w:val="00612DA1"/>
    <w:rsid w:val="00613756"/>
    <w:rsid w:val="006169F5"/>
    <w:rsid w:val="00620953"/>
    <w:rsid w:val="00630CE1"/>
    <w:rsid w:val="0063201F"/>
    <w:rsid w:val="00635C66"/>
    <w:rsid w:val="00636DA1"/>
    <w:rsid w:val="00637AB0"/>
    <w:rsid w:val="00641867"/>
    <w:rsid w:val="00645DF2"/>
    <w:rsid w:val="006463C7"/>
    <w:rsid w:val="00647C67"/>
    <w:rsid w:val="00647D95"/>
    <w:rsid w:val="006524C0"/>
    <w:rsid w:val="00660934"/>
    <w:rsid w:val="00663722"/>
    <w:rsid w:val="00664183"/>
    <w:rsid w:val="0067457F"/>
    <w:rsid w:val="006800A0"/>
    <w:rsid w:val="00696921"/>
    <w:rsid w:val="00697D59"/>
    <w:rsid w:val="006A757E"/>
    <w:rsid w:val="006B24D7"/>
    <w:rsid w:val="006B3CEF"/>
    <w:rsid w:val="006B62A0"/>
    <w:rsid w:val="006B7E68"/>
    <w:rsid w:val="006C6173"/>
    <w:rsid w:val="006C7AE8"/>
    <w:rsid w:val="006D3321"/>
    <w:rsid w:val="006E05AA"/>
    <w:rsid w:val="006E0E95"/>
    <w:rsid w:val="006E477B"/>
    <w:rsid w:val="006E7A34"/>
    <w:rsid w:val="006F7392"/>
    <w:rsid w:val="007016DA"/>
    <w:rsid w:val="00704683"/>
    <w:rsid w:val="0070602F"/>
    <w:rsid w:val="00707FC5"/>
    <w:rsid w:val="00712CD4"/>
    <w:rsid w:val="0071692C"/>
    <w:rsid w:val="0072349E"/>
    <w:rsid w:val="00726357"/>
    <w:rsid w:val="00732008"/>
    <w:rsid w:val="007352CD"/>
    <w:rsid w:val="0074000F"/>
    <w:rsid w:val="00744346"/>
    <w:rsid w:val="00755F61"/>
    <w:rsid w:val="007603D8"/>
    <w:rsid w:val="00771181"/>
    <w:rsid w:val="00781DFE"/>
    <w:rsid w:val="00786451"/>
    <w:rsid w:val="007A06D3"/>
    <w:rsid w:val="007A1356"/>
    <w:rsid w:val="007A173E"/>
    <w:rsid w:val="007A32B0"/>
    <w:rsid w:val="007B04E8"/>
    <w:rsid w:val="007B31D5"/>
    <w:rsid w:val="007B388A"/>
    <w:rsid w:val="007C2C70"/>
    <w:rsid w:val="007C566A"/>
    <w:rsid w:val="007D0893"/>
    <w:rsid w:val="007D59F4"/>
    <w:rsid w:val="007E322D"/>
    <w:rsid w:val="007F09C0"/>
    <w:rsid w:val="007F4461"/>
    <w:rsid w:val="007F5AF9"/>
    <w:rsid w:val="00803B29"/>
    <w:rsid w:val="00810A2B"/>
    <w:rsid w:val="008112DC"/>
    <w:rsid w:val="00813690"/>
    <w:rsid w:val="00813C40"/>
    <w:rsid w:val="00815EA8"/>
    <w:rsid w:val="00821E34"/>
    <w:rsid w:val="00832856"/>
    <w:rsid w:val="0083457C"/>
    <w:rsid w:val="00836A09"/>
    <w:rsid w:val="0085576C"/>
    <w:rsid w:val="00856717"/>
    <w:rsid w:val="00856F29"/>
    <w:rsid w:val="008727E6"/>
    <w:rsid w:val="00887638"/>
    <w:rsid w:val="0089094F"/>
    <w:rsid w:val="0089435F"/>
    <w:rsid w:val="00894D15"/>
    <w:rsid w:val="008B4E56"/>
    <w:rsid w:val="008B5FC3"/>
    <w:rsid w:val="008C5363"/>
    <w:rsid w:val="008C6844"/>
    <w:rsid w:val="008C6F50"/>
    <w:rsid w:val="008D17EE"/>
    <w:rsid w:val="008D24F0"/>
    <w:rsid w:val="008E2B2E"/>
    <w:rsid w:val="008F2F2C"/>
    <w:rsid w:val="00902D41"/>
    <w:rsid w:val="00913197"/>
    <w:rsid w:val="009131B9"/>
    <w:rsid w:val="0091591F"/>
    <w:rsid w:val="00916265"/>
    <w:rsid w:val="009212D8"/>
    <w:rsid w:val="0092197C"/>
    <w:rsid w:val="009260E1"/>
    <w:rsid w:val="00935AD9"/>
    <w:rsid w:val="009433D0"/>
    <w:rsid w:val="00943532"/>
    <w:rsid w:val="009446BB"/>
    <w:rsid w:val="00945545"/>
    <w:rsid w:val="00951271"/>
    <w:rsid w:val="009540A8"/>
    <w:rsid w:val="00954204"/>
    <w:rsid w:val="00957B22"/>
    <w:rsid w:val="0097016D"/>
    <w:rsid w:val="00981E15"/>
    <w:rsid w:val="009934AE"/>
    <w:rsid w:val="009A2E75"/>
    <w:rsid w:val="009A5F99"/>
    <w:rsid w:val="009B1C06"/>
    <w:rsid w:val="009B34B7"/>
    <w:rsid w:val="009B6140"/>
    <w:rsid w:val="009C3306"/>
    <w:rsid w:val="009C33BB"/>
    <w:rsid w:val="009C7FE8"/>
    <w:rsid w:val="009D23C4"/>
    <w:rsid w:val="009D64E2"/>
    <w:rsid w:val="009E15BE"/>
    <w:rsid w:val="009E1C79"/>
    <w:rsid w:val="009E5765"/>
    <w:rsid w:val="009F0ED5"/>
    <w:rsid w:val="009F3A5B"/>
    <w:rsid w:val="009F3FA5"/>
    <w:rsid w:val="009F6D65"/>
    <w:rsid w:val="009F701F"/>
    <w:rsid w:val="00A0166A"/>
    <w:rsid w:val="00A02FF4"/>
    <w:rsid w:val="00A052D8"/>
    <w:rsid w:val="00A058FF"/>
    <w:rsid w:val="00A10FDF"/>
    <w:rsid w:val="00A16706"/>
    <w:rsid w:val="00A2041A"/>
    <w:rsid w:val="00A25DDA"/>
    <w:rsid w:val="00A305DE"/>
    <w:rsid w:val="00A317B5"/>
    <w:rsid w:val="00A45E7E"/>
    <w:rsid w:val="00A5353F"/>
    <w:rsid w:val="00A5388B"/>
    <w:rsid w:val="00A603C1"/>
    <w:rsid w:val="00A61AED"/>
    <w:rsid w:val="00A67EA1"/>
    <w:rsid w:val="00A706BB"/>
    <w:rsid w:val="00A714BC"/>
    <w:rsid w:val="00A772D4"/>
    <w:rsid w:val="00A827EA"/>
    <w:rsid w:val="00A84E51"/>
    <w:rsid w:val="00A84FC6"/>
    <w:rsid w:val="00A86FEA"/>
    <w:rsid w:val="00A90A13"/>
    <w:rsid w:val="00AA30CC"/>
    <w:rsid w:val="00AB691E"/>
    <w:rsid w:val="00AB7836"/>
    <w:rsid w:val="00AC06BE"/>
    <w:rsid w:val="00AC0EC6"/>
    <w:rsid w:val="00AC1C5F"/>
    <w:rsid w:val="00AC73D1"/>
    <w:rsid w:val="00AF1CD2"/>
    <w:rsid w:val="00AF24F4"/>
    <w:rsid w:val="00B023C1"/>
    <w:rsid w:val="00B07222"/>
    <w:rsid w:val="00B10CC2"/>
    <w:rsid w:val="00B151F5"/>
    <w:rsid w:val="00B16A73"/>
    <w:rsid w:val="00B1799C"/>
    <w:rsid w:val="00B208C5"/>
    <w:rsid w:val="00B20B03"/>
    <w:rsid w:val="00B27CED"/>
    <w:rsid w:val="00B32973"/>
    <w:rsid w:val="00B34BCE"/>
    <w:rsid w:val="00B35454"/>
    <w:rsid w:val="00B41761"/>
    <w:rsid w:val="00B432CB"/>
    <w:rsid w:val="00B43CA6"/>
    <w:rsid w:val="00B43E26"/>
    <w:rsid w:val="00B47117"/>
    <w:rsid w:val="00B50323"/>
    <w:rsid w:val="00B5124B"/>
    <w:rsid w:val="00B518F0"/>
    <w:rsid w:val="00B5663C"/>
    <w:rsid w:val="00B62CB4"/>
    <w:rsid w:val="00B62F38"/>
    <w:rsid w:val="00B65B4A"/>
    <w:rsid w:val="00B67E48"/>
    <w:rsid w:val="00B764B5"/>
    <w:rsid w:val="00BB6807"/>
    <w:rsid w:val="00BB75E8"/>
    <w:rsid w:val="00BC5568"/>
    <w:rsid w:val="00BC7B5B"/>
    <w:rsid w:val="00BD0269"/>
    <w:rsid w:val="00BE0DF0"/>
    <w:rsid w:val="00BE2BF9"/>
    <w:rsid w:val="00BF29C8"/>
    <w:rsid w:val="00BF3AE7"/>
    <w:rsid w:val="00C02367"/>
    <w:rsid w:val="00C10AA8"/>
    <w:rsid w:val="00C13D38"/>
    <w:rsid w:val="00C17A90"/>
    <w:rsid w:val="00C2339F"/>
    <w:rsid w:val="00C23CEA"/>
    <w:rsid w:val="00C244C2"/>
    <w:rsid w:val="00C34C22"/>
    <w:rsid w:val="00C4050C"/>
    <w:rsid w:val="00C43CD5"/>
    <w:rsid w:val="00C5036E"/>
    <w:rsid w:val="00C65431"/>
    <w:rsid w:val="00C73E10"/>
    <w:rsid w:val="00C847F0"/>
    <w:rsid w:val="00C859E1"/>
    <w:rsid w:val="00C91CE9"/>
    <w:rsid w:val="00CA3F53"/>
    <w:rsid w:val="00CA6AA5"/>
    <w:rsid w:val="00CD4760"/>
    <w:rsid w:val="00CD57FF"/>
    <w:rsid w:val="00CD6E37"/>
    <w:rsid w:val="00CE1381"/>
    <w:rsid w:val="00CE2D8C"/>
    <w:rsid w:val="00CE66AA"/>
    <w:rsid w:val="00CE67AF"/>
    <w:rsid w:val="00CE7BFE"/>
    <w:rsid w:val="00D2287E"/>
    <w:rsid w:val="00D22EC6"/>
    <w:rsid w:val="00D2412C"/>
    <w:rsid w:val="00D26BF5"/>
    <w:rsid w:val="00D32BC1"/>
    <w:rsid w:val="00D470C1"/>
    <w:rsid w:val="00D60BF4"/>
    <w:rsid w:val="00D64677"/>
    <w:rsid w:val="00D66AAC"/>
    <w:rsid w:val="00D77ECB"/>
    <w:rsid w:val="00D80796"/>
    <w:rsid w:val="00D8121D"/>
    <w:rsid w:val="00D826B6"/>
    <w:rsid w:val="00D8307B"/>
    <w:rsid w:val="00D865F0"/>
    <w:rsid w:val="00D91C68"/>
    <w:rsid w:val="00DA7DFA"/>
    <w:rsid w:val="00DC2338"/>
    <w:rsid w:val="00DC514E"/>
    <w:rsid w:val="00DE45C9"/>
    <w:rsid w:val="00DE6027"/>
    <w:rsid w:val="00E054C0"/>
    <w:rsid w:val="00E20496"/>
    <w:rsid w:val="00E241A1"/>
    <w:rsid w:val="00E31D49"/>
    <w:rsid w:val="00E35D5F"/>
    <w:rsid w:val="00E42B3B"/>
    <w:rsid w:val="00E50390"/>
    <w:rsid w:val="00E51BC9"/>
    <w:rsid w:val="00E563B3"/>
    <w:rsid w:val="00E5712D"/>
    <w:rsid w:val="00E600D2"/>
    <w:rsid w:val="00E617D5"/>
    <w:rsid w:val="00E65BE8"/>
    <w:rsid w:val="00E6615B"/>
    <w:rsid w:val="00E84B10"/>
    <w:rsid w:val="00E875CB"/>
    <w:rsid w:val="00E91F01"/>
    <w:rsid w:val="00E932A5"/>
    <w:rsid w:val="00E9496B"/>
    <w:rsid w:val="00EA1E3A"/>
    <w:rsid w:val="00EA2DA6"/>
    <w:rsid w:val="00EB17DC"/>
    <w:rsid w:val="00EB4848"/>
    <w:rsid w:val="00EC28D9"/>
    <w:rsid w:val="00EC3D06"/>
    <w:rsid w:val="00ED2EC1"/>
    <w:rsid w:val="00EE67EC"/>
    <w:rsid w:val="00EF480E"/>
    <w:rsid w:val="00F061A0"/>
    <w:rsid w:val="00F06B9B"/>
    <w:rsid w:val="00F1520D"/>
    <w:rsid w:val="00F249E4"/>
    <w:rsid w:val="00F274AF"/>
    <w:rsid w:val="00F35B3D"/>
    <w:rsid w:val="00F36CD3"/>
    <w:rsid w:val="00F37FCE"/>
    <w:rsid w:val="00F4097C"/>
    <w:rsid w:val="00F40C64"/>
    <w:rsid w:val="00F44608"/>
    <w:rsid w:val="00F44E91"/>
    <w:rsid w:val="00F455F9"/>
    <w:rsid w:val="00F54DD0"/>
    <w:rsid w:val="00F6316B"/>
    <w:rsid w:val="00F66254"/>
    <w:rsid w:val="00F7179C"/>
    <w:rsid w:val="00F87501"/>
    <w:rsid w:val="00F920FD"/>
    <w:rsid w:val="00F92E1F"/>
    <w:rsid w:val="00FA08F1"/>
    <w:rsid w:val="00FA384C"/>
    <w:rsid w:val="00FB3066"/>
    <w:rsid w:val="00FB5325"/>
    <w:rsid w:val="00FC3182"/>
    <w:rsid w:val="00FC46E0"/>
    <w:rsid w:val="00FC4F70"/>
    <w:rsid w:val="00FC7A2F"/>
    <w:rsid w:val="00FD17C3"/>
    <w:rsid w:val="00FF2C64"/>
    <w:rsid w:val="00FF46E7"/>
    <w:rsid w:val="00FF4ADA"/>
    <w:rsid w:val="00FF7E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423D15"/>
    <w:pPr>
      <w:keepNext/>
      <w:spacing w:before="240" w:after="60"/>
      <w:outlineLvl w:val="0"/>
    </w:pPr>
    <w:rPr>
      <w:rFonts w:ascii="Arial" w:hAnsi="Arial" w:cs="Arial"/>
      <w:b/>
      <w:bCs/>
      <w:kern w:val="32"/>
      <w:sz w:val="32"/>
      <w:szCs w:val="3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C4050C"/>
  </w:style>
  <w:style w:type="paragraph" w:styleId="CommentSubject">
    <w:name w:val="annotation subject"/>
    <w:basedOn w:val="CommentText"/>
    <w:next w:val="CommentText"/>
    <w:semiHidden/>
    <w:rsid w:val="00C4050C"/>
    <w:rPr>
      <w:b/>
      <w:bCs/>
    </w:rPr>
  </w:style>
  <w:style w:type="character" w:customStyle="1" w:styleId="FootnoteTextChar">
    <w:name w:val="Footnote Text Char"/>
    <w:link w:val="FootnoteText"/>
    <w:rsid w:val="007A06D3"/>
    <w:rPr>
      <w:spacing w:val="5"/>
      <w:w w:val="104"/>
      <w:kern w:val="14"/>
      <w:sz w:val="17"/>
      <w:lang w:val="es-ES" w:eastAsia="en-US" w:bidi="ar-SA"/>
    </w:rPr>
  </w:style>
  <w:style w:type="character" w:customStyle="1" w:styleId="TTable3E">
    <w:name w:val="_TTable3(E)"/>
    <w:rsid w:val="00B023C1"/>
    <w:rPr>
      <w:rFonts w:ascii="Times New Roman" w:hAnsi="Times New Roman"/>
      <w:sz w:val="20"/>
    </w:rPr>
  </w:style>
  <w:style w:type="paragraph" w:styleId="NormalWeb">
    <w:name w:val="Normal (Web)"/>
    <w:basedOn w:val="Normal"/>
    <w:rsid w:val="0047112B"/>
    <w:pPr>
      <w:suppressAutoHyphens w:val="0"/>
      <w:spacing w:after="144" w:line="240" w:lineRule="auto"/>
    </w:pPr>
    <w:rPr>
      <w:rFonts w:ascii="Arial" w:hAnsi="Arial" w:cs="Arial"/>
      <w:spacing w:val="0"/>
      <w:w w:val="100"/>
      <w:kern w:val="0"/>
      <w:sz w:val="24"/>
      <w:szCs w:val="24"/>
      <w:lang w:val="en-US"/>
    </w:rPr>
  </w:style>
  <w:style w:type="table" w:styleId="TableGrid">
    <w:name w:val="Table Grid"/>
    <w:basedOn w:val="TableNormal"/>
    <w:rsid w:val="00071CDE"/>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0E4F0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image" Target="media/image10.gif"/><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gif"/><Relationship Id="rId50" Type="http://schemas.openxmlformats.org/officeDocument/2006/relationships/image" Target="media/image34.emf"/><Relationship Id="rId55" Type="http://schemas.openxmlformats.org/officeDocument/2006/relationships/image" Target="media/image39.png"/><Relationship Id="rId63" Type="http://schemas.openxmlformats.org/officeDocument/2006/relationships/image" Target="media/image47.png"/><Relationship Id="rId68" Type="http://schemas.openxmlformats.org/officeDocument/2006/relationships/footer" Target="footer7.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eader" Target="header4.xml"/><Relationship Id="rId29"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emf"/><Relationship Id="rId58" Type="http://schemas.openxmlformats.org/officeDocument/2006/relationships/image" Target="media/image42.png"/><Relationship Id="rId66"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7.gif"/><Relationship Id="rId28" Type="http://schemas.openxmlformats.org/officeDocument/2006/relationships/image" Target="media/image12.png"/><Relationship Id="rId36" Type="http://schemas.openxmlformats.org/officeDocument/2006/relationships/image" Target="media/image20.gif"/><Relationship Id="rId49" Type="http://schemas.openxmlformats.org/officeDocument/2006/relationships/image" Target="media/image33.emf"/><Relationship Id="rId57" Type="http://schemas.openxmlformats.org/officeDocument/2006/relationships/image" Target="media/image41.png"/><Relationship Id="rId61" Type="http://schemas.openxmlformats.org/officeDocument/2006/relationships/image" Target="media/image45.png"/><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emf"/><Relationship Id="rId60" Type="http://schemas.openxmlformats.org/officeDocument/2006/relationships/image" Target="media/image44.png"/><Relationship Id="rId65"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gif"/><Relationship Id="rId43" Type="http://schemas.openxmlformats.org/officeDocument/2006/relationships/image" Target="media/image27.png"/><Relationship Id="rId48" Type="http://schemas.openxmlformats.org/officeDocument/2006/relationships/image" Target="media/image32.gif"/><Relationship Id="rId56" Type="http://schemas.openxmlformats.org/officeDocument/2006/relationships/image" Target="media/image40.png"/><Relationship Id="rId64" Type="http://schemas.openxmlformats.org/officeDocument/2006/relationships/image" Target="media/image48.gif"/><Relationship Id="rId69"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image" Target="media/image35.emf"/><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gif"/><Relationship Id="rId59" Type="http://schemas.openxmlformats.org/officeDocument/2006/relationships/image" Target="media/image43.png"/><Relationship Id="rId67" Type="http://schemas.openxmlformats.org/officeDocument/2006/relationships/footer" Target="footer6.xml"/><Relationship Id="rId20" Type="http://schemas.openxmlformats.org/officeDocument/2006/relationships/image" Target="media/image4.wmf"/><Relationship Id="rId41" Type="http://schemas.openxmlformats.org/officeDocument/2006/relationships/image" Target="media/image25.png"/><Relationship Id="rId54" Type="http://schemas.openxmlformats.org/officeDocument/2006/relationships/image" Target="media/image38.emf"/><Relationship Id="rId62" Type="http://schemas.openxmlformats.org/officeDocument/2006/relationships/image" Target="media/image46.png"/><Relationship Id="rId70"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589</TotalTime>
  <Pages>1</Pages>
  <Words>69167</Words>
  <Characters>394252</Characters>
  <Application>Microsoft Office Word</Application>
  <DocSecurity>4</DocSecurity>
  <Lines>3285</Lines>
  <Paragraphs>924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462495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Svetskin, Roxana</dc:creator>
  <cp:keywords/>
  <dc:description/>
  <cp:lastModifiedBy>Spanish_text_proc</cp:lastModifiedBy>
  <cp:revision>545</cp:revision>
  <cp:lastPrinted>2008-06-13T17:17:00Z</cp:lastPrinted>
  <dcterms:created xsi:type="dcterms:W3CDTF">2008-06-12T07:51:00Z</dcterms:created>
  <dcterms:modified xsi:type="dcterms:W3CDTF">2008-06-17T09:16:00Z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0820474</vt:lpwstr>
  </property>
  <property fmtid="{D5CDD505-2E9C-101B-9397-08002B2CF9AE}" pid="3" name="Symbol1">
    <vt:lpwstr>CEDAW/C/GUA/7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177</vt:lpwstr>
  </property>
  <property fmtid="{D5CDD505-2E9C-101B-9397-08002B2CF9AE}" pid="8" name="Operator">
    <vt:lpwstr>Rox/Claudia</vt:lpwstr>
  </property>
</Properties>
</file>