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after="140"/>
        <w:rPr>
          <w:rFonts w:hint="eastAsia"/>
        </w:rPr>
      </w:pPr>
      <w:r>
        <w:rPr>
          <w:rFonts w:hint="eastAsia"/>
        </w:rPr>
        <w:t>消除对妇女歧视委员会</w:t>
      </w:r>
    </w:p>
    <w:p w:rsidR="00000000" w:rsidRDefault="00000000">
      <w:pPr>
        <w:pStyle w:val="H23"/>
        <w:spacing w:after="140"/>
        <w:rPr>
          <w:rFonts w:hint="eastAsia"/>
        </w:rPr>
      </w:pPr>
      <w:r>
        <w:rPr>
          <w:rFonts w:hint="eastAsia"/>
        </w:rPr>
        <w:t>第二十五届会议</w:t>
      </w:r>
    </w:p>
    <w:p w:rsidR="00000000" w:rsidRDefault="00000000">
      <w:pPr>
        <w:pStyle w:val="H23"/>
        <w:spacing w:after="140"/>
        <w:rPr>
          <w:rFonts w:hint="eastAsia"/>
        </w:rPr>
      </w:pPr>
      <w:r>
        <w:rPr>
          <w:rFonts w:hint="eastAsia"/>
        </w:rPr>
        <w:t>第515次会议简要记录</w:t>
      </w:r>
    </w:p>
    <w:p w:rsidR="00000000" w:rsidRDefault="00000000">
      <w:pPr>
        <w:spacing w:after="140"/>
        <w:rPr>
          <w:rFonts w:hint="eastAsia"/>
        </w:rPr>
      </w:pPr>
      <w:r>
        <w:rPr>
          <w:rFonts w:hint="eastAsia"/>
        </w:rPr>
        <w:t>2001年7月9日，星期一，下午3时在纽约总部举行</w:t>
      </w:r>
    </w:p>
    <w:p w:rsidR="00000000" w:rsidRDefault="00000000">
      <w:pPr>
        <w:tabs>
          <w:tab w:val="left" w:pos="1267"/>
          <w:tab w:val="right" w:leader="dot" w:pos="8568"/>
        </w:tabs>
        <w:spacing w:after="140"/>
        <w:ind w:right="1267"/>
        <w:rPr>
          <w:rFonts w:hint="eastAsia"/>
          <w:color w:val="000000"/>
          <w:sz w:val="1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ab/>
      </w:r>
      <w:r>
        <w:rPr>
          <w:rFonts w:ascii="KaiTi_GB2312" w:eastAsia="KaiTi_GB2312" w:hint="eastAsia"/>
          <w:color w:val="0000FF"/>
        </w:rPr>
        <w:t>新加坡的初次报告和第二次定期报告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rPr>
          <w:rFonts w:hint="eastAsia"/>
        </w:rPr>
      </w:pPr>
    </w:p>
    <w:p w:rsidR="00000000" w:rsidRDefault="00000000">
      <w:pPr>
        <w:pStyle w:val="SingleTxt"/>
        <w:ind w:left="0" w:right="0"/>
        <w:rPr>
          <w:rFonts w:hint="eastAsia"/>
        </w:rPr>
      </w:pPr>
    </w:p>
    <w:p w:rsidR="00000000" w:rsidRDefault="00000000">
      <w:pPr>
        <w:pStyle w:val="SingleTxt"/>
        <w:ind w:left="0" w:right="0"/>
        <w:rPr>
          <w:rFonts w:ascii="KaiTi_GB2312" w:eastAsia="KaiTi_GB2312" w:hint="eastAsia"/>
          <w:color w:val="0000FF"/>
        </w:rPr>
      </w:pPr>
      <w:r>
        <w:br w:type="page"/>
      </w:r>
      <w:r>
        <w:rPr>
          <w:rFonts w:hint="eastAsia"/>
        </w:rPr>
        <w:t xml:space="preserve">    </w:t>
      </w:r>
      <w:r>
        <w:rPr>
          <w:rFonts w:ascii="KaiTi_GB2312" w:eastAsia="KaiTi_GB2312" w:hint="eastAsia"/>
          <w:color w:val="0000FF"/>
        </w:rPr>
        <w:t>下午3时5分宣布开会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ab/>
      </w:r>
      <w:r>
        <w:rPr>
          <w:rFonts w:ascii="KaiTi_GB2312" w:eastAsia="KaiTi_GB2312" w:hint="eastAsia"/>
          <w:color w:val="0000FF"/>
        </w:rPr>
        <w:t>新加坡的初次报告和第二次定期报告</w:t>
      </w:r>
      <w:r>
        <w:rPr>
          <w:rFonts w:hint="eastAsia"/>
        </w:rPr>
        <w:t>（</w:t>
      </w:r>
      <w:r>
        <w:rPr>
          <w:rFonts w:ascii="KaiTi_GB2312" w:eastAsia="KaiTi_GB2312" w:hint="eastAsia"/>
          <w:color w:val="0000FF"/>
        </w:rPr>
        <w:t>续</w:t>
      </w:r>
      <w:r>
        <w:rPr>
          <w:rFonts w:hint="eastAsia"/>
        </w:rPr>
        <w:t>）（CEDAW/C/SGP/1和2）</w:t>
      </w:r>
    </w:p>
    <w:p w:rsidR="00000000" w:rsidRDefault="00000000">
      <w:pPr>
        <w:pStyle w:val="DualTxt"/>
        <w:rPr>
          <w:rFonts w:hint="eastAsia"/>
        </w:rPr>
      </w:pPr>
      <w:r>
        <w:rPr>
          <w:rFonts w:hint="eastAsia"/>
        </w:rPr>
        <w:t>1.</w:t>
      </w:r>
      <w:r>
        <w:rPr>
          <w:rFonts w:hint="eastAsia"/>
        </w:rPr>
        <w:tab/>
        <w:t>应主席邀请，新加坡代表团成员重新在委员会席位就座。</w:t>
      </w:r>
    </w:p>
    <w:p w:rsidR="00000000" w:rsidRDefault="00000000">
      <w:pPr>
        <w:pStyle w:val="DualTxt"/>
        <w:rPr>
          <w:rFonts w:hint="eastAsia"/>
        </w:rPr>
      </w:pPr>
      <w:r>
        <w:rPr>
          <w:rFonts w:hint="eastAsia"/>
        </w:rPr>
        <w:t>2.</w:t>
      </w:r>
      <w:r>
        <w:rPr>
          <w:rFonts w:hint="eastAsia"/>
        </w:rPr>
        <w:tab/>
      </w:r>
      <w:proofErr w:type="spellStart"/>
      <w:r>
        <w:rPr>
          <w:rFonts w:ascii="SimHei" w:eastAsia="SimHei" w:hint="eastAsia"/>
          <w:b/>
          <w:bCs/>
          <w:color w:val="FF0000"/>
        </w:rPr>
        <w:t>Aouij</w:t>
      </w:r>
      <w:proofErr w:type="spellEnd"/>
      <w:r>
        <w:rPr>
          <w:rFonts w:ascii="SimHei" w:eastAsia="SimHei" w:hint="eastAsia"/>
          <w:color w:val="FF0000"/>
        </w:rPr>
        <w:t>女士</w:t>
      </w:r>
      <w:r>
        <w:rPr>
          <w:rFonts w:hint="eastAsia"/>
        </w:rPr>
        <w:t>指出，新加坡对公约第11条的保留不再适用，因为出生时预期寿命已大大延长，妇女寿命比男子长很多。新加坡必须同时抓社会和政治发展，才能保持其值得称道的迅速经济发展。必须改变思想，才能朝此目标取得进展。必须赋予妇女作为十足的公民的适当位置。新加坡21世纪的经济不能与过时的社会并存。</w:t>
      </w:r>
    </w:p>
    <w:p w:rsidR="00000000" w:rsidRDefault="00000000">
      <w:pPr>
        <w:pStyle w:val="DualTxt"/>
        <w:spacing w:line="300" w:lineRule="exact"/>
        <w:rPr>
          <w:rFonts w:hint="eastAsia"/>
        </w:rPr>
      </w:pPr>
      <w:r>
        <w:rPr>
          <w:rFonts w:hint="eastAsia"/>
        </w:rPr>
        <w:t>3.</w:t>
      </w:r>
      <w:r>
        <w:rPr>
          <w:rFonts w:hint="eastAsia"/>
        </w:rPr>
        <w:tab/>
        <w:t>新加坡穆斯林社区实行的法律在许多方面不同于其它社区法律，从而导致佛教和穆斯林这两个社会并存的情况，反过来又导致穆斯林妇女在私人生活和公共生活中受到歧视。在此方面，她想知道穆斯林妇女是否能够在实行民法的市政当局担任登记员，是否能够在民事法庭中担任法官。此外，还想知道穆斯林妇女是否能够选择世俗社会或穆斯林。新加坡代表团应说明穆斯林妇女的组织方式，以及她们是否完全融入社会，是否有保护她们权利的单独的非政府组织。如何处理伊斯兰法与新加坡全面立法、特别是有关结婚年龄和离婚等问题的立法之间的区别？新加坡代表团中是否有穆斯林妇女？</w:t>
      </w:r>
    </w:p>
    <w:p w:rsidR="00000000" w:rsidRDefault="00000000">
      <w:pPr>
        <w:pStyle w:val="DualTxt"/>
        <w:spacing w:line="300" w:lineRule="exact"/>
        <w:rPr>
          <w:rFonts w:hint="eastAsia"/>
        </w:rPr>
      </w:pPr>
      <w:r>
        <w:rPr>
          <w:rFonts w:hint="eastAsia"/>
        </w:rPr>
        <w:t>4.</w:t>
      </w:r>
      <w:r>
        <w:rPr>
          <w:rFonts w:hint="eastAsia"/>
        </w:rPr>
        <w:tab/>
      </w:r>
      <w:proofErr w:type="spellStart"/>
      <w:r>
        <w:rPr>
          <w:rFonts w:ascii="SimHei" w:eastAsia="SimHei" w:hint="eastAsia"/>
          <w:b/>
          <w:bCs/>
          <w:color w:val="FF0000"/>
        </w:rPr>
        <w:t>Schopp</w:t>
      </w:r>
      <w:proofErr w:type="spellEnd"/>
      <w:r>
        <w:rPr>
          <w:rFonts w:ascii="SimHei" w:eastAsia="SimHei" w:hint="eastAsia"/>
          <w:b/>
          <w:bCs/>
          <w:color w:val="FF0000"/>
        </w:rPr>
        <w:t>-Schilling</w:t>
      </w:r>
      <w:r>
        <w:rPr>
          <w:rFonts w:ascii="SimHei" w:eastAsia="SimHei" w:hint="eastAsia"/>
          <w:color w:val="FF0000"/>
        </w:rPr>
        <w:t>女士</w:t>
      </w:r>
      <w:r>
        <w:rPr>
          <w:rFonts w:hint="eastAsia"/>
        </w:rPr>
        <w:t>说，新加坡育儿假法只适用于工作母亲，不适用于工作父亲，这违反了公约第5条的规定。目前是否正努力取消该法？她不理解新加坡如何能够实施呼吁男女在家庭中平等的《妇女宪章》，而同时支持养家人概念，继续对公约第9条有保留。此外，她感到关切的是家庭观念显然凌驾于法律之上。制定法律的主旨是建立客观的框架，确保全体公民待遇平等。</w:t>
      </w:r>
    </w:p>
    <w:p w:rsidR="00000000" w:rsidRDefault="00000000">
      <w:pPr>
        <w:pStyle w:val="DualTxt"/>
        <w:rPr>
          <w:rFonts w:hint="eastAsia"/>
        </w:rPr>
      </w:pPr>
      <w:r>
        <w:rPr>
          <w:rFonts w:hint="eastAsia"/>
        </w:rPr>
        <w:t>5.</w:t>
      </w:r>
      <w:r>
        <w:rPr>
          <w:rFonts w:hint="eastAsia"/>
        </w:rPr>
        <w:tab/>
      </w:r>
      <w:proofErr w:type="spellStart"/>
      <w:r>
        <w:rPr>
          <w:rFonts w:ascii="SimHei" w:eastAsia="SimHei" w:hint="eastAsia"/>
          <w:b/>
          <w:bCs/>
          <w:color w:val="FF0000"/>
        </w:rPr>
        <w:t>Ferrer</w:t>
      </w:r>
      <w:proofErr w:type="spellEnd"/>
      <w:r>
        <w:rPr>
          <w:rFonts w:ascii="SimHei" w:eastAsia="SimHei" w:hint="eastAsia"/>
          <w:b/>
          <w:bCs/>
          <w:color w:val="FF0000"/>
        </w:rPr>
        <w:t xml:space="preserve"> Gomez</w:t>
      </w:r>
      <w:r>
        <w:rPr>
          <w:rFonts w:ascii="SimHei" w:eastAsia="SimHei" w:hint="eastAsia"/>
          <w:color w:val="FF0000"/>
        </w:rPr>
        <w:t>女士</w:t>
      </w:r>
      <w:r>
        <w:rPr>
          <w:rFonts w:hint="eastAsia"/>
        </w:rPr>
        <w:t>要求提供更多的资料，说明新加坡政府如何设想男女分担责任。由于传统价值观歧视妇女，所以令人不安的是没有进行任何努力来抵消传统价值观的影响，确保真正分担责任。整个报告中再次重申了妇女操持家务这一定型观念。虽然指出委员会已就媒体应如何改变反映出妇女权利的方式提出了具体建议，但未说明这些改变，也未说明是否落实了这些改变。例如，她想知道正在采取什么措施取消广告中用妇女作为性玩物的做法。她同意家庭应是社会基础的看法，但她发现报告中未提到家庭内性别平等的问题。虽然已经举办课程，就避免随意性交和性传染疾病等问题对妇女进行教育，但尚没有为男子举办此类课程，而他们也分担计划生育的责任。她问，新加坡政府是否打算开始实行一项方案，旨在改变人民对这些问题、特别是一夫多妻制的态度。</w:t>
      </w:r>
    </w:p>
    <w:p w:rsidR="00000000" w:rsidRDefault="00000000">
      <w:pPr>
        <w:pStyle w:val="DualTxt"/>
        <w:spacing w:after="200"/>
        <w:rPr>
          <w:rFonts w:hint="eastAsia"/>
        </w:rPr>
      </w:pPr>
      <w:r>
        <w:rPr>
          <w:rFonts w:hint="eastAsia"/>
        </w:rPr>
        <w:t>6.</w:t>
      </w:r>
      <w:r>
        <w:rPr>
          <w:rFonts w:hint="eastAsia"/>
        </w:rPr>
        <w:tab/>
      </w:r>
      <w:r>
        <w:rPr>
          <w:rFonts w:ascii="SimHei" w:eastAsia="SimHei" w:hint="eastAsia"/>
          <w:b/>
          <w:bCs/>
          <w:color w:val="FF0000"/>
        </w:rPr>
        <w:t>Shin</w:t>
      </w:r>
      <w:r>
        <w:rPr>
          <w:rFonts w:ascii="SimHei" w:eastAsia="SimHei" w:hint="eastAsia"/>
          <w:color w:val="FF0000"/>
        </w:rPr>
        <w:t>女士</w:t>
      </w:r>
      <w:r>
        <w:rPr>
          <w:rFonts w:hint="eastAsia"/>
        </w:rPr>
        <w:t>要求对“强健家庭”作出定义。她认为，该概念应包括所有家庭成员－男子、妇女和儿童。她想知道目前为男女学生开设的家庭经济学和技术专题课是必修还是选修课。例如，多少男生上家政学课，如果根本不改变教科书中历来对妇女的描述，开设这些课程有何用处？还必须培训教师，改变学生中普遍存在的性别角色的陈规定型观念。此外，性教育不仅应包括与生命过程有关的问题，还应包括家庭暴力和对妇女的暴力行为及男女平等的内容。</w:t>
      </w:r>
    </w:p>
    <w:p w:rsidR="00000000" w:rsidRDefault="00000000">
      <w:pPr>
        <w:pStyle w:val="DualTxt"/>
        <w:spacing w:after="240"/>
        <w:rPr>
          <w:rFonts w:hint="eastAsia"/>
        </w:rPr>
      </w:pPr>
      <w:r>
        <w:rPr>
          <w:rFonts w:hint="eastAsia"/>
        </w:rPr>
        <w:t>7.</w:t>
      </w:r>
      <w:r>
        <w:rPr>
          <w:rFonts w:hint="eastAsia"/>
        </w:rPr>
        <w:tab/>
      </w:r>
      <w:proofErr w:type="spellStart"/>
      <w:r>
        <w:rPr>
          <w:rFonts w:ascii="SimHei" w:eastAsia="SimHei" w:hint="eastAsia"/>
          <w:b/>
          <w:bCs/>
          <w:color w:val="FF0000"/>
        </w:rPr>
        <w:t>Melander</w:t>
      </w:r>
      <w:proofErr w:type="spellEnd"/>
      <w:r>
        <w:rPr>
          <w:rFonts w:ascii="SimHei" w:eastAsia="SimHei" w:hint="eastAsia"/>
          <w:color w:val="FF0000"/>
        </w:rPr>
        <w:t>先生</w:t>
      </w:r>
      <w:r>
        <w:rPr>
          <w:rFonts w:hint="eastAsia"/>
        </w:rPr>
        <w:t>指出，关于针对妇女的性犯罪统计表明，此类罪行和定罪数目都有所下降。他问是否可对这一趋势作出解释。</w:t>
      </w:r>
    </w:p>
    <w:p w:rsidR="00000000" w:rsidRDefault="00000000">
      <w:pPr>
        <w:pStyle w:val="DualTxt"/>
        <w:rPr>
          <w:rFonts w:hint="eastAsia"/>
        </w:rPr>
      </w:pPr>
      <w:r>
        <w:rPr>
          <w:rFonts w:hint="eastAsia"/>
        </w:rPr>
        <w:t>8.</w:t>
      </w:r>
      <w:r>
        <w:rPr>
          <w:rFonts w:hint="eastAsia"/>
        </w:rPr>
        <w:tab/>
      </w:r>
      <w:proofErr w:type="spellStart"/>
      <w:r>
        <w:rPr>
          <w:rFonts w:ascii="SimHei" w:eastAsia="SimHei" w:hint="eastAsia"/>
          <w:b/>
          <w:bCs/>
          <w:color w:val="FF0000"/>
        </w:rPr>
        <w:t>Manalo</w:t>
      </w:r>
      <w:proofErr w:type="spellEnd"/>
      <w:r>
        <w:rPr>
          <w:rFonts w:ascii="SimHei" w:eastAsia="SimHei" w:hint="eastAsia"/>
          <w:color w:val="FF0000"/>
        </w:rPr>
        <w:t>女士</w:t>
      </w:r>
      <w:r>
        <w:rPr>
          <w:rFonts w:hint="eastAsia"/>
        </w:rPr>
        <w:t>说，总数超过100 000的外国工人占新加坡劳动力的30%。但移徙女佣的许多最基本人权仍被剥夺。如禁止她们与当地公民结婚，每六个月必须进行妊娠化验。此外，她们工作时间长，工资很低，而且不得不向就业安置机构支付极高的费用。她想知道，新加坡政府正在如何纠正这些侵犯人权的现象，根据《就业法》为外国移徙女工提供哪些一般性保护，如新加坡雇主必须遵守的一系列最低标准。《1998年刑法典修正案》规定进一步严惩对女佣进行性虐待和身体虐待的行为，但该修正案似乎效力不大，因为法庭搁置了大多数案件，或是费了过多的时间来解决法庭审理的少数案件。与此同时，投诉者失去工作，没有补偿，往往被迫返回本国。她问，新加坡政府如何调和为消除这些虐待行为所作的努力和对公约第11条的保留。</w:t>
      </w:r>
    </w:p>
    <w:p w:rsidR="00000000" w:rsidRDefault="00000000">
      <w:pPr>
        <w:pStyle w:val="DualTxt"/>
        <w:rPr>
          <w:rFonts w:hint="eastAsia"/>
        </w:rPr>
      </w:pPr>
      <w:r>
        <w:rPr>
          <w:rFonts w:hint="eastAsia"/>
        </w:rPr>
        <w:t>9.</w:t>
      </w:r>
      <w:r>
        <w:rPr>
          <w:rFonts w:hint="eastAsia"/>
        </w:rPr>
        <w:tab/>
        <w:t>新加坡是贩卖妇女儿童的过境国。委员会获得的可靠资料表明，新加坡经办人、特别是政府官员为谋取贿赂，通常伪造文件，对此问题是视而不见。新加坡政府是否制定了处理这些问题的综合方案？</w:t>
      </w:r>
    </w:p>
    <w:p w:rsidR="00000000" w:rsidRDefault="00000000">
      <w:pPr>
        <w:pStyle w:val="DualTxt"/>
        <w:rPr>
          <w:rFonts w:hint="eastAsia"/>
        </w:rPr>
      </w:pPr>
      <w:r>
        <w:rPr>
          <w:rFonts w:hint="eastAsia"/>
        </w:rPr>
        <w:t>10.</w:t>
      </w:r>
      <w:r>
        <w:rPr>
          <w:rFonts w:hint="eastAsia"/>
        </w:rPr>
        <w:tab/>
      </w:r>
      <w:proofErr w:type="spellStart"/>
      <w:r>
        <w:rPr>
          <w:rFonts w:ascii="SimHei" w:eastAsia="SimHei" w:hint="eastAsia"/>
          <w:b/>
          <w:bCs/>
          <w:color w:val="FF0000"/>
        </w:rPr>
        <w:t>Taya</w:t>
      </w:r>
      <w:proofErr w:type="spellEnd"/>
      <w:r>
        <w:rPr>
          <w:rFonts w:ascii="SimHei" w:eastAsia="SimHei" w:hint="eastAsia"/>
          <w:color w:val="FF0000"/>
        </w:rPr>
        <w:t>女士</w:t>
      </w:r>
      <w:r>
        <w:rPr>
          <w:rFonts w:hint="eastAsia"/>
        </w:rPr>
        <w:t>表示支持</w:t>
      </w:r>
      <w:proofErr w:type="spellStart"/>
      <w:r>
        <w:rPr>
          <w:rFonts w:hint="eastAsia"/>
        </w:rPr>
        <w:t>Manalo</w:t>
      </w:r>
      <w:proofErr w:type="spellEnd"/>
      <w:r>
        <w:rPr>
          <w:rFonts w:hint="eastAsia"/>
        </w:rPr>
        <w:t>女士的发言。她说，应扩大《就业法》的范围，纳入帮佣工人工作条件的内容，确保她们获得公平待遇。她问，投诉者为什么在对其雇主的刑事诉讼作出裁定之前被迫失业。</w:t>
      </w:r>
    </w:p>
    <w:p w:rsidR="00000000" w:rsidRDefault="00000000">
      <w:pPr>
        <w:pStyle w:val="DualTxt"/>
        <w:rPr>
          <w:rFonts w:hint="eastAsia"/>
        </w:rPr>
      </w:pPr>
      <w:r>
        <w:rPr>
          <w:rFonts w:hint="eastAsia"/>
        </w:rPr>
        <w:t>11.</w:t>
      </w:r>
      <w:r>
        <w:rPr>
          <w:rFonts w:hint="eastAsia"/>
        </w:rPr>
        <w:tab/>
      </w:r>
      <w:proofErr w:type="spellStart"/>
      <w:r>
        <w:rPr>
          <w:rFonts w:ascii="SimHei" w:eastAsia="SimHei" w:hint="eastAsia"/>
          <w:b/>
          <w:bCs/>
          <w:color w:val="FF0000"/>
        </w:rPr>
        <w:t>Livingstone</w:t>
      </w:r>
      <w:proofErr w:type="spellEnd"/>
      <w:r>
        <w:rPr>
          <w:rFonts w:ascii="SimHei" w:eastAsia="SimHei" w:hint="eastAsia"/>
          <w:b/>
          <w:bCs/>
          <w:color w:val="FF0000"/>
        </w:rPr>
        <w:t xml:space="preserve"> </w:t>
      </w:r>
      <w:proofErr w:type="spellStart"/>
      <w:r>
        <w:rPr>
          <w:rFonts w:ascii="SimHei" w:eastAsia="SimHei" w:hint="eastAsia"/>
          <w:b/>
          <w:bCs/>
          <w:color w:val="FF0000"/>
        </w:rPr>
        <w:t>Raday</w:t>
      </w:r>
      <w:proofErr w:type="spellEnd"/>
      <w:r>
        <w:rPr>
          <w:rFonts w:ascii="SimHei" w:eastAsia="SimHei" w:hint="eastAsia"/>
          <w:color w:val="FF0000"/>
        </w:rPr>
        <w:t>女士</w:t>
      </w:r>
      <w:r>
        <w:rPr>
          <w:rFonts w:hint="eastAsia"/>
        </w:rPr>
        <w:t>说，新加坡代表团应单独提供数字说明，多少妓女、拉皮条者和人口贩子已被起诉和定罪。她感谢提供贩卖人口受害者的人数，以及有关保护贩卖案件证人措施的资料。他们是否获得安全避难所或临时居留证？</w:t>
      </w:r>
    </w:p>
    <w:p w:rsidR="00000000" w:rsidRDefault="00000000">
      <w:pPr>
        <w:pStyle w:val="DualTxt"/>
        <w:rPr>
          <w:rFonts w:hint="eastAsia"/>
        </w:rPr>
      </w:pPr>
      <w:r>
        <w:rPr>
          <w:rFonts w:hint="eastAsia"/>
        </w:rPr>
        <w:t>12.</w:t>
      </w:r>
      <w:r>
        <w:rPr>
          <w:rFonts w:hint="eastAsia"/>
        </w:rPr>
        <w:tab/>
      </w:r>
      <w:r>
        <w:rPr>
          <w:rFonts w:ascii="SimHei" w:eastAsia="SimHei" w:hint="eastAsia"/>
          <w:b/>
          <w:bCs/>
          <w:color w:val="FF0000"/>
        </w:rPr>
        <w:t>Gonzalez Martinez</w:t>
      </w:r>
      <w:r>
        <w:rPr>
          <w:rFonts w:ascii="SimHei" w:eastAsia="SimHei" w:hint="eastAsia"/>
          <w:color w:val="FF0000"/>
        </w:rPr>
        <w:t>女士</w:t>
      </w:r>
      <w:r>
        <w:rPr>
          <w:rFonts w:hint="eastAsia"/>
        </w:rPr>
        <w:t>想知道，新加坡正在国家和国际二级采取哪些措施，打击为卖淫和劳工目的贩卖妇女和儿童的活动。</w:t>
      </w:r>
    </w:p>
    <w:p w:rsidR="00000000" w:rsidRDefault="00000000">
      <w:pPr>
        <w:pStyle w:val="DualTxt"/>
        <w:spacing w:after="200"/>
      </w:pPr>
      <w:r>
        <w:rPr>
          <w:rFonts w:hint="eastAsia"/>
        </w:rPr>
        <w:t>13.</w:t>
      </w:r>
      <w:r>
        <w:rPr>
          <w:rFonts w:ascii="SimHei" w:eastAsia="SimHei" w:hint="eastAsia"/>
          <w:color w:val="FF0000"/>
        </w:rPr>
        <w:tab/>
        <w:t>冯淬女士</w:t>
      </w:r>
      <w:r>
        <w:rPr>
          <w:rFonts w:hint="eastAsia"/>
        </w:rPr>
        <w:t>说，新加坡参加决策的妇女人数之低与该国经济和教育高度发展不符。新加坡政府强调指出，新加坡不歧视妇女，实行绩优服务制，但妇女只占高级职位的6％，比其它许多国家都低。该问题当然不是缺乏合格妇女所致。是否存在某种隐而不见的歧视妇女形式？她希望新加坡政府认真分析妇女参加政治和决策人数普遍偏低的原因。</w:t>
      </w:r>
    </w:p>
    <w:p w:rsidR="00000000" w:rsidRDefault="00000000">
      <w:pPr>
        <w:pStyle w:val="DualTxt"/>
        <w:spacing w:after="240"/>
        <w:rPr>
          <w:rFonts w:hint="eastAsia"/>
        </w:rPr>
      </w:pPr>
      <w:r>
        <w:rPr>
          <w:rFonts w:hint="eastAsia"/>
        </w:rPr>
        <w:t>14.</w:t>
      </w:r>
      <w:r>
        <w:rPr>
          <w:rFonts w:hint="eastAsia"/>
        </w:rPr>
        <w:tab/>
      </w:r>
      <w:proofErr w:type="spellStart"/>
      <w:r>
        <w:rPr>
          <w:rFonts w:ascii="SimHei" w:eastAsia="SimHei" w:hint="eastAsia"/>
          <w:b/>
          <w:bCs/>
          <w:color w:val="FF0000"/>
        </w:rPr>
        <w:t>Gaspard</w:t>
      </w:r>
      <w:proofErr w:type="spellEnd"/>
      <w:r>
        <w:rPr>
          <w:rFonts w:ascii="SimHei" w:eastAsia="SimHei" w:hint="eastAsia"/>
          <w:color w:val="FF0000"/>
        </w:rPr>
        <w:t>女士</w:t>
      </w:r>
      <w:r>
        <w:rPr>
          <w:rFonts w:hint="eastAsia"/>
        </w:rPr>
        <w:t>说，妇女参加拟定政府政策和参加非政府组织的人数很少，应作出说明。她想知道已采取哪些积极步骤改进这种状况。</w:t>
      </w:r>
    </w:p>
    <w:p w:rsidR="00000000" w:rsidRDefault="00000000">
      <w:pPr>
        <w:pStyle w:val="DualTxt"/>
        <w:rPr>
          <w:rFonts w:hint="eastAsia"/>
        </w:rPr>
      </w:pPr>
      <w:r>
        <w:rPr>
          <w:rFonts w:hint="eastAsia"/>
        </w:rPr>
        <w:t>15.</w:t>
      </w:r>
      <w:r>
        <w:rPr>
          <w:rFonts w:hint="eastAsia"/>
        </w:rPr>
        <w:tab/>
      </w:r>
      <w:proofErr w:type="spellStart"/>
      <w:r>
        <w:rPr>
          <w:rFonts w:ascii="SimHei" w:eastAsia="SimHei" w:hint="eastAsia"/>
          <w:b/>
          <w:bCs/>
          <w:color w:val="FF0000"/>
        </w:rPr>
        <w:t>Myakayaka-Manzini</w:t>
      </w:r>
      <w:proofErr w:type="spellEnd"/>
      <w:r>
        <w:rPr>
          <w:rFonts w:ascii="SimHei" w:eastAsia="SimHei" w:hint="eastAsia"/>
          <w:color w:val="FF0000"/>
        </w:rPr>
        <w:t>女士</w:t>
      </w:r>
      <w:r>
        <w:rPr>
          <w:rFonts w:hint="eastAsia"/>
        </w:rPr>
        <w:t>称赞新加坡代表团在国际一级增加新加坡妇女的代表人数。她建议进一步鼓励妇女，努力提拨她们担任引人注目的职务，如作为决策、民间社会和工会运动中的榜样和领导人。</w:t>
      </w:r>
    </w:p>
    <w:p w:rsidR="00000000" w:rsidRDefault="00000000">
      <w:pPr>
        <w:pStyle w:val="DualTxt"/>
        <w:rPr>
          <w:rFonts w:hint="eastAsia"/>
        </w:rPr>
      </w:pPr>
      <w:r>
        <w:rPr>
          <w:rFonts w:hint="eastAsia"/>
        </w:rPr>
        <w:t>16.</w:t>
      </w:r>
      <w:r>
        <w:rPr>
          <w:rFonts w:hint="eastAsia"/>
        </w:rPr>
        <w:tab/>
      </w:r>
      <w:proofErr w:type="spellStart"/>
      <w:r>
        <w:rPr>
          <w:rFonts w:ascii="SimHei" w:eastAsia="SimHei" w:hint="eastAsia"/>
          <w:b/>
          <w:bCs/>
          <w:color w:val="FF0000"/>
        </w:rPr>
        <w:t>Corti</w:t>
      </w:r>
      <w:proofErr w:type="spellEnd"/>
      <w:r>
        <w:rPr>
          <w:rFonts w:ascii="SimHei" w:eastAsia="SimHei" w:hint="eastAsia"/>
          <w:color w:val="FF0000"/>
        </w:rPr>
        <w:t>女士</w:t>
      </w:r>
      <w:r>
        <w:rPr>
          <w:rFonts w:hint="eastAsia"/>
        </w:rPr>
        <w:t>说，委员会感到惊讶的是新加坡对公约有关国籍的规定（第9条）有保留，她认为新加坡关于境外出生儿童国籍的法律违反了公约，因为这些法律将公民资格与父亲国籍挂钩。</w:t>
      </w:r>
    </w:p>
    <w:p w:rsidR="00000000" w:rsidRDefault="00000000">
      <w:pPr>
        <w:pStyle w:val="DualTxt"/>
        <w:rPr>
          <w:rFonts w:hint="eastAsia"/>
        </w:rPr>
      </w:pPr>
      <w:r>
        <w:rPr>
          <w:rFonts w:hint="eastAsia"/>
        </w:rPr>
        <w:t>17.</w:t>
      </w:r>
      <w:r>
        <w:rPr>
          <w:rFonts w:hint="eastAsia"/>
        </w:rPr>
        <w:tab/>
        <w:t>她在提到初次报告（CEDAW/C/SGP/1）第10.2节时表示，有兴趣进一步了解与新加坡男子结婚的外国妇女状况，以及一旦离婚监护子女的安排。</w:t>
      </w:r>
    </w:p>
    <w:p w:rsidR="00000000" w:rsidRDefault="00000000">
      <w:pPr>
        <w:pStyle w:val="DualTxt"/>
        <w:rPr>
          <w:rFonts w:hint="eastAsia"/>
        </w:rPr>
      </w:pPr>
      <w:r>
        <w:rPr>
          <w:rFonts w:hint="eastAsia"/>
        </w:rPr>
        <w:t>18.</w:t>
      </w:r>
      <w:r>
        <w:rPr>
          <w:rFonts w:hint="eastAsia"/>
        </w:rPr>
        <w:tab/>
        <w:t>她还询问，出于经济原因被吸引到新加坡的移徙工人获得居留许可和工作许可的要求。新加坡是否有难民和寻求避难者？如果有，是否有说明其原籍国的数据？另一方面，如果新加坡公民移居国外，他们有哪些公民权？处理在新加坡非法工作的外国人的程序是什么？</w:t>
      </w:r>
    </w:p>
    <w:p w:rsidR="00000000" w:rsidRDefault="00000000">
      <w:pPr>
        <w:pStyle w:val="DualTxt"/>
        <w:rPr>
          <w:rFonts w:hint="eastAsia"/>
        </w:rPr>
      </w:pPr>
      <w:r>
        <w:rPr>
          <w:rFonts w:hint="eastAsia"/>
        </w:rPr>
        <w:t>19.</w:t>
      </w:r>
      <w:r>
        <w:rPr>
          <w:rFonts w:hint="eastAsia"/>
        </w:rPr>
        <w:tab/>
      </w:r>
      <w:proofErr w:type="spellStart"/>
      <w:r>
        <w:rPr>
          <w:rFonts w:ascii="SimHei" w:eastAsia="SimHei" w:hint="eastAsia"/>
          <w:b/>
          <w:bCs/>
          <w:color w:val="FF0000"/>
        </w:rPr>
        <w:t>Goonesekere</w:t>
      </w:r>
      <w:proofErr w:type="spellEnd"/>
      <w:r>
        <w:rPr>
          <w:rFonts w:ascii="SimHei" w:eastAsia="SimHei" w:hint="eastAsia"/>
          <w:color w:val="FF0000"/>
        </w:rPr>
        <w:t>女士</w:t>
      </w:r>
      <w:r>
        <w:rPr>
          <w:rFonts w:hint="eastAsia"/>
        </w:rPr>
        <w:t>在谈到新加坡关于第9条似乎矛盾的立场时说，新加坡国籍法所固有的歧视反映出该国的殖民法律传统。虽然新加坡政府已经采取若干步骤修正其国籍法的某些方面，但在境外出生儿儿童及儿童继承公民资格方面仍正存在某些矛盾。她问国籍法是否曾受到质疑，并补充说，她还对新加坡不承认双重国籍及该政策使新加坡国民和外国人婚生子女陷入的无保障的处境。</w:t>
      </w:r>
    </w:p>
    <w:p w:rsidR="00000000" w:rsidRDefault="00000000">
      <w:pPr>
        <w:pStyle w:val="DualTxt"/>
        <w:rPr>
          <w:rFonts w:hint="eastAsia"/>
        </w:rPr>
      </w:pPr>
      <w:r>
        <w:rPr>
          <w:rFonts w:hint="eastAsia"/>
        </w:rPr>
        <w:t>20.</w:t>
      </w:r>
      <w:r>
        <w:rPr>
          <w:rFonts w:hint="eastAsia"/>
        </w:rPr>
        <w:tab/>
      </w:r>
      <w:proofErr w:type="spellStart"/>
      <w:r>
        <w:rPr>
          <w:rFonts w:ascii="SimHei" w:eastAsia="SimHei" w:hint="eastAsia"/>
          <w:b/>
          <w:bCs/>
          <w:color w:val="FF0000"/>
        </w:rPr>
        <w:t>Taya</w:t>
      </w:r>
      <w:proofErr w:type="spellEnd"/>
      <w:r>
        <w:rPr>
          <w:rFonts w:ascii="SimHei" w:eastAsia="SimHei" w:hint="eastAsia"/>
          <w:color w:val="FF0000"/>
        </w:rPr>
        <w:t>女士</w:t>
      </w:r>
      <w:r>
        <w:rPr>
          <w:rFonts w:hint="eastAsia"/>
        </w:rPr>
        <w:t>问，是否确实限制女生上医学院，如果是，出于什么理由。</w:t>
      </w:r>
    </w:p>
    <w:p w:rsidR="00000000" w:rsidRDefault="00000000">
      <w:pPr>
        <w:pStyle w:val="DualTxt"/>
        <w:rPr>
          <w:rFonts w:hint="eastAsia"/>
        </w:rPr>
      </w:pPr>
      <w:r>
        <w:rPr>
          <w:rFonts w:hint="eastAsia"/>
        </w:rPr>
        <w:t>21.</w:t>
      </w:r>
      <w:r>
        <w:rPr>
          <w:rFonts w:hint="eastAsia"/>
        </w:rPr>
        <w:tab/>
      </w:r>
      <w:proofErr w:type="spellStart"/>
      <w:r>
        <w:rPr>
          <w:rFonts w:ascii="SimHei" w:eastAsia="SimHei" w:hint="eastAsia"/>
          <w:b/>
          <w:bCs/>
          <w:color w:val="FF0000"/>
        </w:rPr>
        <w:t>Achmad</w:t>
      </w:r>
      <w:proofErr w:type="spellEnd"/>
      <w:r>
        <w:rPr>
          <w:rFonts w:ascii="SimHei" w:eastAsia="SimHei" w:hint="eastAsia"/>
          <w:color w:val="FF0000"/>
        </w:rPr>
        <w:t>女士</w:t>
      </w:r>
      <w:r>
        <w:rPr>
          <w:rFonts w:hint="eastAsia"/>
        </w:rPr>
        <w:t>在提到第二次定期报告第6.10段时说，提到的前两个类别是否符合标准课程，采取了哪些保护措施，以确保所有群体获得同等水平的教育。</w:t>
      </w:r>
    </w:p>
    <w:p w:rsidR="00000000" w:rsidRDefault="00000000">
      <w:pPr>
        <w:pStyle w:val="DualTxt"/>
        <w:rPr>
          <w:rFonts w:hint="eastAsia"/>
        </w:rPr>
      </w:pPr>
      <w:r>
        <w:rPr>
          <w:rFonts w:hint="eastAsia"/>
        </w:rPr>
        <w:t>22.</w:t>
      </w:r>
      <w:r>
        <w:rPr>
          <w:rFonts w:hint="eastAsia"/>
        </w:rPr>
        <w:tab/>
      </w:r>
      <w:proofErr w:type="spellStart"/>
      <w:r>
        <w:rPr>
          <w:rFonts w:ascii="SimHei" w:eastAsia="SimHei" w:hint="eastAsia"/>
          <w:b/>
          <w:bCs/>
          <w:color w:val="FF0000"/>
        </w:rPr>
        <w:t>Goonesekere</w:t>
      </w:r>
      <w:proofErr w:type="spellEnd"/>
      <w:r>
        <w:rPr>
          <w:rFonts w:ascii="SimHei" w:eastAsia="SimHei" w:hint="eastAsia"/>
          <w:color w:val="FF0000"/>
        </w:rPr>
        <w:t>女士</w:t>
      </w:r>
      <w:r>
        <w:rPr>
          <w:rFonts w:hint="eastAsia"/>
        </w:rPr>
        <w:t>问，关于国民兵役的政策将会对妇女受教育机会产生哪些影响。</w:t>
      </w:r>
    </w:p>
    <w:p w:rsidR="00000000" w:rsidRDefault="00000000">
      <w:pPr>
        <w:pStyle w:val="DualTxt"/>
        <w:rPr>
          <w:rFonts w:hint="eastAsia"/>
        </w:rPr>
      </w:pPr>
      <w:r>
        <w:rPr>
          <w:rFonts w:hint="eastAsia"/>
        </w:rPr>
        <w:t>23.</w:t>
      </w:r>
      <w:r>
        <w:rPr>
          <w:rFonts w:hint="eastAsia"/>
        </w:rPr>
        <w:tab/>
      </w:r>
      <w:proofErr w:type="spellStart"/>
      <w:r>
        <w:rPr>
          <w:rFonts w:ascii="SimHei" w:eastAsia="SimHei" w:hint="eastAsia"/>
          <w:b/>
          <w:bCs/>
          <w:color w:val="FF0000"/>
        </w:rPr>
        <w:t>Melander</w:t>
      </w:r>
      <w:proofErr w:type="spellEnd"/>
      <w:r>
        <w:rPr>
          <w:rFonts w:ascii="SimHei" w:eastAsia="SimHei" w:hint="eastAsia"/>
          <w:color w:val="FF0000"/>
        </w:rPr>
        <w:t>先生</w:t>
      </w:r>
      <w:r>
        <w:rPr>
          <w:rFonts w:hint="eastAsia"/>
        </w:rPr>
        <w:t>提请注意第二次报告中有关奖学金的表8。他问，为什么获得奖学金的男性比女性多。</w:t>
      </w:r>
    </w:p>
    <w:p w:rsidR="00000000" w:rsidRDefault="00000000">
      <w:pPr>
        <w:pStyle w:val="DualTxt"/>
        <w:rPr>
          <w:rFonts w:hint="eastAsia"/>
        </w:rPr>
      </w:pPr>
      <w:r>
        <w:rPr>
          <w:rFonts w:hint="eastAsia"/>
        </w:rPr>
        <w:t>24.</w:t>
      </w:r>
      <w:r>
        <w:rPr>
          <w:rFonts w:hint="eastAsia"/>
        </w:rPr>
        <w:tab/>
      </w:r>
      <w:proofErr w:type="spellStart"/>
      <w:r>
        <w:rPr>
          <w:rFonts w:ascii="SimHei" w:eastAsia="SimHei" w:hint="eastAsia"/>
          <w:b/>
          <w:bCs/>
          <w:color w:val="FF0000"/>
        </w:rPr>
        <w:t>Ferrer</w:t>
      </w:r>
      <w:proofErr w:type="spellEnd"/>
      <w:r>
        <w:rPr>
          <w:rFonts w:ascii="SimHei" w:eastAsia="SimHei" w:hint="eastAsia"/>
          <w:b/>
          <w:bCs/>
          <w:color w:val="FF0000"/>
        </w:rPr>
        <w:t xml:space="preserve"> Gomez</w:t>
      </w:r>
      <w:r>
        <w:rPr>
          <w:rFonts w:ascii="SimHei" w:eastAsia="SimHei" w:hint="eastAsia"/>
          <w:color w:val="FF0000"/>
        </w:rPr>
        <w:t>女士</w:t>
      </w:r>
      <w:r>
        <w:rPr>
          <w:rFonts w:hint="eastAsia"/>
        </w:rPr>
        <w:t>想知道非全时或全时工作的妇女所占百分比，以及在非正规经济部门工作的妇女人数。此外，她还想知道在从事出口生产企业中工作的妇女所占百分比，以及在这些工厂受雇的移徙工人有哪些权利。</w:t>
      </w:r>
    </w:p>
    <w:p w:rsidR="00000000" w:rsidRDefault="00000000">
      <w:pPr>
        <w:pStyle w:val="DualTxt"/>
        <w:rPr>
          <w:rFonts w:hint="eastAsia"/>
        </w:rPr>
      </w:pPr>
      <w:r>
        <w:rPr>
          <w:rFonts w:hint="eastAsia"/>
        </w:rPr>
        <w:t>25.</w:t>
      </w:r>
      <w:r>
        <w:rPr>
          <w:rFonts w:hint="eastAsia"/>
        </w:rPr>
        <w:tab/>
        <w:t>她注意到新加坡在国际一级承诺实行同酬原则，想知道新加坡国内法在缩小男女薪金差距方面是否有效。此外，她要求说明被列为寻工者妇女必须具备的具体资格。</w:t>
      </w:r>
    </w:p>
    <w:p w:rsidR="00000000" w:rsidRDefault="00000000">
      <w:pPr>
        <w:pStyle w:val="DualTxt"/>
        <w:rPr>
          <w:rFonts w:hint="eastAsia"/>
        </w:rPr>
      </w:pPr>
      <w:r>
        <w:rPr>
          <w:rFonts w:hint="eastAsia"/>
        </w:rPr>
        <w:t>26.</w:t>
      </w:r>
      <w:r>
        <w:rPr>
          <w:rFonts w:hint="eastAsia"/>
        </w:rPr>
        <w:tab/>
      </w:r>
      <w:proofErr w:type="spellStart"/>
      <w:r>
        <w:rPr>
          <w:rFonts w:ascii="SimHei" w:eastAsia="SimHei" w:hint="eastAsia"/>
          <w:b/>
          <w:bCs/>
          <w:color w:val="FF0000"/>
        </w:rPr>
        <w:t>Livingstone</w:t>
      </w:r>
      <w:proofErr w:type="spellEnd"/>
      <w:r>
        <w:rPr>
          <w:rFonts w:ascii="SimHei" w:eastAsia="SimHei" w:hint="eastAsia"/>
          <w:b/>
          <w:bCs/>
          <w:color w:val="FF0000"/>
        </w:rPr>
        <w:t xml:space="preserve"> </w:t>
      </w:r>
      <w:proofErr w:type="spellStart"/>
      <w:r>
        <w:rPr>
          <w:rFonts w:ascii="SimHei" w:eastAsia="SimHei" w:hint="eastAsia"/>
          <w:b/>
          <w:bCs/>
          <w:color w:val="FF0000"/>
        </w:rPr>
        <w:t>Raday</w:t>
      </w:r>
      <w:proofErr w:type="spellEnd"/>
      <w:r>
        <w:rPr>
          <w:rFonts w:ascii="SimHei" w:eastAsia="SimHei" w:hint="eastAsia"/>
          <w:color w:val="FF0000"/>
        </w:rPr>
        <w:t>女士</w:t>
      </w:r>
      <w:r>
        <w:rPr>
          <w:rFonts w:hint="eastAsia"/>
        </w:rPr>
        <w:t>说，对移徙女工的限制严重损害了她们的人权。因此，她想知道新加坡政府是否正在重新考虑这些限制，特别是对特定雇主雇用工人人数的限制，以及对怀孕和结婚的限制。此外，将某些工人群体排除在国内劳工法适用范围之外导致歧视，因为在这些群体中的妇女无权享受产假，这违反了公约第11条。</w:t>
      </w:r>
    </w:p>
    <w:p w:rsidR="00000000" w:rsidRDefault="00000000">
      <w:pPr>
        <w:pStyle w:val="DualTxt"/>
        <w:rPr>
          <w:rFonts w:hint="eastAsia"/>
        </w:rPr>
      </w:pPr>
      <w:r>
        <w:rPr>
          <w:rFonts w:hint="eastAsia"/>
        </w:rPr>
        <w:t>27.</w:t>
      </w:r>
      <w:r>
        <w:rPr>
          <w:rFonts w:hint="eastAsia"/>
        </w:rPr>
        <w:tab/>
        <w:t>总体而言，报告未充分说明旨在禁止歧视妇女的法律措施。显然有必要制定具体法律，禁止在雇用、培训和同值工作同等报酬方面重男轻女。</w:t>
      </w:r>
    </w:p>
    <w:p w:rsidR="00000000" w:rsidRDefault="00000000">
      <w:pPr>
        <w:pStyle w:val="DualTxt"/>
        <w:rPr>
          <w:rFonts w:hint="eastAsia"/>
        </w:rPr>
      </w:pPr>
      <w:r>
        <w:rPr>
          <w:rFonts w:hint="eastAsia"/>
        </w:rPr>
        <w:t>28.</w:t>
      </w:r>
      <w:r>
        <w:rPr>
          <w:rFonts w:hint="eastAsia"/>
        </w:rPr>
        <w:tab/>
      </w:r>
      <w:r>
        <w:rPr>
          <w:rFonts w:ascii="SimHei" w:eastAsia="SimHei" w:hint="eastAsia"/>
          <w:color w:val="FF0000"/>
        </w:rPr>
        <w:t>冯淬女士</w:t>
      </w:r>
      <w:r>
        <w:rPr>
          <w:rFonts w:hint="eastAsia"/>
        </w:rPr>
        <w:t>指出，新加坡政府通过了一项鼓励提高生育率的政策。她想知道新加坡政府是否分析了该政策对妇女就业的影响，是否在此方面得出结论。她还要求澄清有关新加坡政府鼓励受到良好教育的男女建立大家庭之说。</w:t>
      </w:r>
    </w:p>
    <w:p w:rsidR="00000000" w:rsidRDefault="00000000">
      <w:pPr>
        <w:pStyle w:val="DualTxt"/>
        <w:spacing w:after="200"/>
        <w:rPr>
          <w:rFonts w:hint="eastAsia"/>
        </w:rPr>
      </w:pPr>
      <w:r>
        <w:rPr>
          <w:rFonts w:hint="eastAsia"/>
        </w:rPr>
        <w:t>29.</w:t>
      </w:r>
      <w:r>
        <w:rPr>
          <w:rFonts w:hint="eastAsia"/>
        </w:rPr>
        <w:tab/>
      </w:r>
      <w:proofErr w:type="spellStart"/>
      <w:r>
        <w:rPr>
          <w:rFonts w:ascii="SimHei" w:eastAsia="SimHei" w:hint="eastAsia"/>
          <w:b/>
          <w:bCs/>
          <w:color w:val="FF0000"/>
        </w:rPr>
        <w:t>Schopp</w:t>
      </w:r>
      <w:proofErr w:type="spellEnd"/>
      <w:r>
        <w:rPr>
          <w:rFonts w:ascii="SimHei" w:eastAsia="SimHei" w:hint="eastAsia"/>
          <w:b/>
          <w:bCs/>
          <w:color w:val="FF0000"/>
        </w:rPr>
        <w:t>-Schilling</w:t>
      </w:r>
      <w:r>
        <w:rPr>
          <w:rFonts w:ascii="SimHei" w:eastAsia="SimHei" w:hint="eastAsia"/>
          <w:color w:val="FF0000"/>
        </w:rPr>
        <w:t>女士</w:t>
      </w:r>
      <w:r>
        <w:rPr>
          <w:rFonts w:hint="eastAsia"/>
        </w:rPr>
        <w:t>强调有必要提供额外统计数据，按照部门、职等和年龄说明男女的就业情况，以及妇女识字率和男女工资差距。她想知道离开劳动力市场开始操持家务的妇女人数，以及返回劳动力市场的妇女人数及其职位，以及妇女是否愿意留在劳动力市场。同样，她还想知道在提供养恤金时是否承认养育子女所花的时间，以及非全时工人是否与全时工人享受同样的权利，在私营和公营部门中如何管理女工。</w:t>
      </w:r>
    </w:p>
    <w:p w:rsidR="00000000" w:rsidRDefault="00000000">
      <w:pPr>
        <w:pStyle w:val="DualTxt"/>
        <w:rPr>
          <w:rFonts w:hint="eastAsia"/>
        </w:rPr>
      </w:pPr>
      <w:r>
        <w:rPr>
          <w:rFonts w:hint="eastAsia"/>
        </w:rPr>
        <w:t>30.</w:t>
      </w:r>
      <w:r>
        <w:rPr>
          <w:rFonts w:hint="eastAsia"/>
          <w:b/>
          <w:bCs/>
        </w:rPr>
        <w:tab/>
      </w:r>
      <w:proofErr w:type="spellStart"/>
      <w:r>
        <w:rPr>
          <w:rFonts w:ascii="SimHei" w:eastAsia="SimHei" w:hint="eastAsia"/>
          <w:b/>
          <w:bCs/>
          <w:color w:val="FF0000"/>
        </w:rPr>
        <w:t>Goonesekere</w:t>
      </w:r>
      <w:proofErr w:type="spellEnd"/>
      <w:r>
        <w:rPr>
          <w:rFonts w:ascii="SimHei" w:eastAsia="SimHei" w:hint="eastAsia"/>
          <w:color w:val="FF0000"/>
        </w:rPr>
        <w:t>女士</w:t>
      </w:r>
      <w:r>
        <w:rPr>
          <w:rFonts w:hint="eastAsia"/>
        </w:rPr>
        <w:t>说，在现有全球化市场中，工人的工作条件不应取决于雇主是否乐意。新加坡应采取措施，确保外国工人拥有适当的工作条件。此外，她说尽管新加坡妇女有机会受教育，但由于没有足够的支助机构，她们被迫离开工作市场。该缔约国应考虑这种情况对新加坡妇女前途和新加坡未来的影响。</w:t>
      </w:r>
    </w:p>
    <w:p w:rsidR="00000000" w:rsidRDefault="00000000">
      <w:pPr>
        <w:pStyle w:val="DualTxt"/>
        <w:rPr>
          <w:rFonts w:hint="eastAsia"/>
        </w:rPr>
      </w:pPr>
      <w:r>
        <w:rPr>
          <w:rFonts w:hint="eastAsia"/>
        </w:rPr>
        <w:t>31.</w:t>
      </w:r>
      <w:r>
        <w:rPr>
          <w:rFonts w:hint="eastAsia"/>
        </w:rPr>
        <w:tab/>
      </w:r>
      <w:r>
        <w:rPr>
          <w:rFonts w:ascii="SimHei" w:eastAsia="SimHei" w:hint="eastAsia"/>
          <w:color w:val="FF0000"/>
        </w:rPr>
        <w:t>主席</w:t>
      </w:r>
      <w:r>
        <w:rPr>
          <w:rFonts w:hint="eastAsia"/>
        </w:rPr>
        <w:t>说，对女佣（她宁愿将其称之为“家务助理”）的限制严重侵犯了基本生殖权利，必须予以消除。虽然该缔约国在执行公约第12条方面取得了巨大进展，但未提供统计数据，按性别、年龄和族裔列出艾滋病毒/艾滋病的发生率。在此方面，她想知道是否制定了爱滋病患者方案。还欢迎提供资料，说明终止不想要的怀孕的法律地位，以及滥用药物、包括吸烟成瘾的情况。</w:t>
      </w:r>
    </w:p>
    <w:p w:rsidR="00000000" w:rsidRDefault="00000000">
      <w:pPr>
        <w:pStyle w:val="DualTxt"/>
        <w:rPr>
          <w:rFonts w:hint="eastAsia"/>
        </w:rPr>
      </w:pPr>
      <w:r>
        <w:rPr>
          <w:rFonts w:hint="eastAsia"/>
        </w:rPr>
        <w:t>32.</w:t>
      </w:r>
      <w:r>
        <w:rPr>
          <w:rFonts w:hint="eastAsia"/>
        </w:rPr>
        <w:tab/>
        <w:t>此外，初次报告第14.1段指出，根据征税法，除非妻子选择与丈夫分开纳税，否则其收入将被视为丈夫的收入。她希望澄清此段的含义。妇女选择单独纳税的程序是什么？第14.2段指出，已婚妇女有资格因抚养子女和雇用家务助理而获得减税待遇。了解是否也向全时工作妇女提供此类待遇很有助益，因为她们当然也需要家务帮助。如果丈夫即使没工作也被认为是纳税人，这就意味着妇女不具备法律行为能力。</w:t>
      </w:r>
    </w:p>
    <w:p w:rsidR="00000000" w:rsidRDefault="00000000">
      <w:pPr>
        <w:pStyle w:val="DualTxt"/>
        <w:rPr>
          <w:rFonts w:hint="eastAsia"/>
        </w:rPr>
      </w:pPr>
      <w:r>
        <w:rPr>
          <w:rFonts w:hint="eastAsia"/>
        </w:rPr>
        <w:t>33.</w:t>
      </w:r>
      <w:r>
        <w:rPr>
          <w:rFonts w:hint="eastAsia"/>
        </w:rPr>
        <w:tab/>
      </w:r>
      <w:proofErr w:type="spellStart"/>
      <w:r>
        <w:rPr>
          <w:rFonts w:ascii="SimHei" w:eastAsia="SimHei" w:hint="eastAsia"/>
          <w:b/>
          <w:bCs/>
          <w:color w:val="FF0000"/>
        </w:rPr>
        <w:t>Kwaku</w:t>
      </w:r>
      <w:proofErr w:type="spellEnd"/>
      <w:r>
        <w:rPr>
          <w:rFonts w:ascii="SimHei" w:eastAsia="SimHei" w:hint="eastAsia"/>
          <w:color w:val="FF0000"/>
        </w:rPr>
        <w:t>女士</w:t>
      </w:r>
      <w:r>
        <w:rPr>
          <w:rFonts w:hint="eastAsia"/>
        </w:rPr>
        <w:t>指出，新加坡妇女组织委员会出版了题为“家庭与你”的指南，建议新加坡考虑出版类似的公约指南，这可能有助于新加坡妇女通过立法实现其权利。</w:t>
      </w:r>
    </w:p>
    <w:p w:rsidR="00000000" w:rsidRDefault="00000000">
      <w:pPr>
        <w:pStyle w:val="DualTxt"/>
        <w:rPr>
          <w:rFonts w:hint="eastAsia"/>
        </w:rPr>
      </w:pPr>
      <w:r>
        <w:rPr>
          <w:rFonts w:hint="eastAsia"/>
        </w:rPr>
        <w:t>34.</w:t>
      </w:r>
      <w:r>
        <w:rPr>
          <w:rFonts w:hint="eastAsia"/>
        </w:rPr>
        <w:tab/>
      </w:r>
      <w:proofErr w:type="spellStart"/>
      <w:r>
        <w:rPr>
          <w:rFonts w:ascii="SimHei" w:eastAsia="SimHei" w:hint="eastAsia"/>
          <w:b/>
          <w:bCs/>
          <w:color w:val="FF0000"/>
        </w:rPr>
        <w:t>Acar</w:t>
      </w:r>
      <w:proofErr w:type="spellEnd"/>
      <w:r>
        <w:rPr>
          <w:rFonts w:ascii="SimHei" w:eastAsia="SimHei" w:hint="eastAsia"/>
          <w:color w:val="FF0000"/>
        </w:rPr>
        <w:t>女士</w:t>
      </w:r>
      <w:r>
        <w:rPr>
          <w:rFonts w:hint="eastAsia"/>
        </w:rPr>
        <w:t>说，各缔约国应支持在公营和私营部门执行公约。需要保持政治平衡和稳定不能成为推迟实现妇女人权的理由。新加坡应认真重新考虑对第16条的保留，以取消这一保留，或制定范围更窄、更具体的声明。由于实际上不总是以同样的方式解释和执行教法，国际妇女界应努力就对这些宗教法律的进步解释达成共识。目前，在新加坡通过</w:t>
      </w:r>
      <w:proofErr w:type="spellStart"/>
      <w:r>
        <w:rPr>
          <w:rFonts w:hint="eastAsia"/>
        </w:rPr>
        <w:t>talaq</w:t>
      </w:r>
      <w:proofErr w:type="spellEnd"/>
      <w:r>
        <w:rPr>
          <w:rFonts w:hint="eastAsia"/>
        </w:rPr>
        <w:t>离婚需要伊斯兰教法法院的确认，不再只是依丈夫所言。在全世界穆斯林国家，对伊斯兰教法法律的解释正在发生变化，这完全是为了执行本公约。她敦促该缔约国研究这些实例，就新加坡社会中的伊斯兰教法开始进行辩论。</w:t>
      </w:r>
    </w:p>
    <w:p w:rsidR="00000000" w:rsidRDefault="00000000">
      <w:pPr>
        <w:pStyle w:val="DualTxt"/>
        <w:rPr>
          <w:rFonts w:hint="eastAsia"/>
        </w:rPr>
      </w:pPr>
      <w:r>
        <w:rPr>
          <w:rFonts w:hint="eastAsia"/>
        </w:rPr>
        <w:t>35.</w:t>
      </w:r>
      <w:r>
        <w:rPr>
          <w:rFonts w:hint="eastAsia"/>
        </w:rPr>
        <w:tab/>
        <w:t>根据《刑法典》，与13岁或13岁以上的妻子性交不算强奸。法定结婚年龄是21岁，伊斯兰教法规定结婚年龄为16岁。如何解释这些相互矛盾的数字？报告还宣称，不遵守伊斯兰教法法院的裁定如今是刑事罪。由于许多实例表明这一发展可能对妇女有害，所以了解这一发展如何并且在何种意义上对妇女有利很有助益。还很有助益的是，了解穆斯林婚姻和非穆斯林婚姻中的通奸法，以及妇女若不遵守伊斯兰教法法院的裁决会发生什么情况，穆斯林妇女是否能够根据民法选择与穆斯林或非穆斯林人士结婚。她还想知道，为什么鼓励通过</w:t>
      </w:r>
      <w:proofErr w:type="spellStart"/>
      <w:r>
        <w:rPr>
          <w:rFonts w:hint="eastAsia"/>
        </w:rPr>
        <w:t>talaq</w:t>
      </w:r>
      <w:proofErr w:type="spellEnd"/>
      <w:r>
        <w:rPr>
          <w:rFonts w:hint="eastAsia"/>
        </w:rPr>
        <w:t>而不是</w:t>
      </w:r>
      <w:proofErr w:type="spellStart"/>
      <w:r>
        <w:rPr>
          <w:rFonts w:hint="eastAsia"/>
        </w:rPr>
        <w:t>taklik</w:t>
      </w:r>
      <w:proofErr w:type="spellEnd"/>
      <w:r>
        <w:rPr>
          <w:rFonts w:hint="eastAsia"/>
        </w:rPr>
        <w:t>和</w:t>
      </w:r>
      <w:proofErr w:type="spellStart"/>
      <w:r>
        <w:rPr>
          <w:rFonts w:hint="eastAsia"/>
        </w:rPr>
        <w:t>fasakh</w:t>
      </w:r>
      <w:proofErr w:type="spellEnd"/>
      <w:r>
        <w:rPr>
          <w:rFonts w:hint="eastAsia"/>
        </w:rPr>
        <w:t>离婚。妇女通过</w:t>
      </w:r>
      <w:proofErr w:type="spellStart"/>
      <w:r>
        <w:rPr>
          <w:rFonts w:hint="eastAsia"/>
        </w:rPr>
        <w:t>talaq</w:t>
      </w:r>
      <w:proofErr w:type="spellEnd"/>
      <w:r>
        <w:rPr>
          <w:rFonts w:hint="eastAsia"/>
        </w:rPr>
        <w:t>而不是</w:t>
      </w:r>
      <w:proofErr w:type="spellStart"/>
      <w:r>
        <w:rPr>
          <w:rFonts w:hint="eastAsia"/>
        </w:rPr>
        <w:t>taklik</w:t>
      </w:r>
      <w:proofErr w:type="spellEnd"/>
      <w:r>
        <w:rPr>
          <w:rFonts w:hint="eastAsia"/>
        </w:rPr>
        <w:t>和</w:t>
      </w:r>
      <w:proofErr w:type="spellStart"/>
      <w:r>
        <w:rPr>
          <w:rFonts w:hint="eastAsia"/>
        </w:rPr>
        <w:t>fasakh</w:t>
      </w:r>
      <w:proofErr w:type="spellEnd"/>
      <w:r>
        <w:rPr>
          <w:rFonts w:hint="eastAsia"/>
        </w:rPr>
        <w:t>离婚是否会丧失补偿？</w:t>
      </w:r>
    </w:p>
    <w:p w:rsidR="00000000" w:rsidRDefault="00000000">
      <w:pPr>
        <w:pStyle w:val="DualTxt"/>
        <w:rPr>
          <w:rFonts w:hint="eastAsia"/>
        </w:rPr>
      </w:pPr>
      <w:r>
        <w:rPr>
          <w:rFonts w:hint="eastAsia"/>
        </w:rPr>
        <w:t>36.</w:t>
      </w:r>
      <w:r>
        <w:rPr>
          <w:rFonts w:hint="eastAsia"/>
        </w:rPr>
        <w:tab/>
        <w:t>此外，她询问有关穆斯林已婚妇女和未婚妇女行动自由权的规则，以及穆斯林妇女是否能够拥有自己的护照。她还想知道妇女选择职业权是否适用于穆斯林妇女。</w:t>
      </w:r>
    </w:p>
    <w:p w:rsidR="00000000" w:rsidRDefault="00000000">
      <w:pPr>
        <w:pStyle w:val="DualTxt"/>
        <w:rPr>
          <w:rFonts w:hint="eastAsia"/>
        </w:rPr>
      </w:pPr>
      <w:r>
        <w:rPr>
          <w:rFonts w:hint="eastAsia"/>
        </w:rPr>
        <w:t>37.</w:t>
      </w:r>
      <w:r>
        <w:rPr>
          <w:rFonts w:hint="eastAsia"/>
        </w:rPr>
        <w:tab/>
        <w:t>最后，她鼓励该缔约国提供不仅按性别而且按族裔和宗教开列的统计数据，说明教育程度和工作成就与暴力发生率有多大关系。</w:t>
      </w:r>
    </w:p>
    <w:p w:rsidR="00000000" w:rsidRDefault="00000000">
      <w:pPr>
        <w:pStyle w:val="DualTxt"/>
        <w:rPr>
          <w:rFonts w:hint="eastAsia"/>
        </w:rPr>
      </w:pPr>
      <w:r>
        <w:rPr>
          <w:rFonts w:hint="eastAsia"/>
        </w:rPr>
        <w:t>38.</w:t>
      </w:r>
      <w:r>
        <w:rPr>
          <w:rFonts w:hint="eastAsia"/>
        </w:rPr>
        <w:tab/>
      </w:r>
      <w:proofErr w:type="spellStart"/>
      <w:r>
        <w:rPr>
          <w:rFonts w:ascii="SimHei" w:eastAsia="SimHei" w:hint="eastAsia"/>
          <w:b/>
          <w:bCs/>
          <w:color w:val="FF0000"/>
        </w:rPr>
        <w:t>Melander</w:t>
      </w:r>
      <w:proofErr w:type="spellEnd"/>
      <w:r>
        <w:rPr>
          <w:rFonts w:ascii="SimHei" w:eastAsia="SimHei" w:hint="eastAsia"/>
          <w:color w:val="FF0000"/>
        </w:rPr>
        <w:t>先生</w:t>
      </w:r>
      <w:r>
        <w:rPr>
          <w:rFonts w:hint="eastAsia"/>
        </w:rPr>
        <w:t>问，新加坡两个不同的家庭法体系，即《穆斯林法管理法》和《妇女宪章》如何在新加坡社会并存，例如个人是否根据其中任一法律进行登记。</w:t>
      </w:r>
    </w:p>
    <w:p w:rsidR="00000000" w:rsidRDefault="00000000">
      <w:pPr>
        <w:pStyle w:val="DualTxt"/>
      </w:pPr>
      <w:r>
        <w:rPr>
          <w:rFonts w:hint="eastAsia"/>
        </w:rPr>
        <w:t>39.</w:t>
      </w:r>
      <w:r>
        <w:rPr>
          <w:rFonts w:hint="eastAsia"/>
        </w:rPr>
        <w:tab/>
      </w:r>
      <w:proofErr w:type="spellStart"/>
      <w:r>
        <w:rPr>
          <w:rFonts w:ascii="SimHei" w:eastAsia="SimHei" w:hint="eastAsia"/>
          <w:b/>
          <w:bCs/>
          <w:color w:val="FF0000"/>
        </w:rPr>
        <w:t>Goonesekere</w:t>
      </w:r>
      <w:proofErr w:type="spellEnd"/>
      <w:r>
        <w:rPr>
          <w:rFonts w:ascii="SimHei" w:eastAsia="SimHei" w:hint="eastAsia"/>
          <w:color w:val="FF0000"/>
        </w:rPr>
        <w:t>女士</w:t>
      </w:r>
      <w:r>
        <w:rPr>
          <w:rFonts w:hint="eastAsia"/>
        </w:rPr>
        <w:t>说，鉴于已经取得的进步，新</w:t>
      </w:r>
    </w:p>
    <w:p w:rsidR="00000000" w:rsidRDefault="00000000">
      <w:pPr>
        <w:pStyle w:val="DualTxt"/>
        <w:rPr>
          <w:rFonts w:hint="eastAsia"/>
        </w:rPr>
      </w:pPr>
      <w:r>
        <w:br w:type="column"/>
      </w:r>
      <w:r>
        <w:rPr>
          <w:rFonts w:hint="eastAsia"/>
        </w:rPr>
        <w:t>加坡有充分理由重新考虑其对公约第16条的保留。某些穆斯林国家不同意16岁为结婚年龄；许多非洲国家一直努力实行</w:t>
      </w:r>
      <w:proofErr w:type="spellStart"/>
      <w:r>
        <w:rPr>
          <w:rFonts w:hint="eastAsia"/>
        </w:rPr>
        <w:t>mutaah</w:t>
      </w:r>
      <w:proofErr w:type="spellEnd"/>
      <w:r>
        <w:rPr>
          <w:rFonts w:hint="eastAsia"/>
        </w:rPr>
        <w:t>制但未成功，即丈夫支付抚慰金，即使是妇女选择离婚。伊斯兰教法内有许多解释的余地，认为该教法神圣不可侵犯不符合新加坡的一贯做法。</w:t>
      </w:r>
    </w:p>
    <w:p w:rsidR="00000000" w:rsidRDefault="00000000">
      <w:pPr>
        <w:pStyle w:val="DualTxt"/>
        <w:rPr>
          <w:rFonts w:hint="eastAsia"/>
        </w:rPr>
      </w:pPr>
      <w:r>
        <w:rPr>
          <w:rFonts w:hint="eastAsia"/>
        </w:rPr>
        <w:t>40.</w:t>
      </w:r>
      <w:r>
        <w:rPr>
          <w:rFonts w:hint="eastAsia"/>
        </w:rPr>
        <w:tab/>
        <w:t>新加坡法律允许在非穆斯林社区18岁结婚。但也直接违反公约禁止童婚的规定允许未成年人经父母同意结婚，《刑法典》禁止丈夫与不满一定年龄的妻子发生性关系；如果不满一定年龄，发生性关系被视为强奸。几乎所有继承英国殖民地法国家的刑法典都纳入了这些规定，以便阻止童婚。她想知道新加坡政府是否认识到这些矛盾，是否正在采取补救措施。</w:t>
      </w:r>
    </w:p>
    <w:p w:rsidR="00000000" w:rsidRDefault="00000000">
      <w:pPr>
        <w:pStyle w:val="DualTxt"/>
        <w:rPr>
          <w:rFonts w:hint="eastAsia"/>
        </w:rPr>
      </w:pPr>
      <w:r>
        <w:rPr>
          <w:rFonts w:hint="eastAsia"/>
        </w:rPr>
        <w:t>41.</w:t>
      </w:r>
      <w:r>
        <w:rPr>
          <w:rFonts w:hint="eastAsia"/>
        </w:rPr>
        <w:tab/>
      </w:r>
      <w:proofErr w:type="spellStart"/>
      <w:r>
        <w:rPr>
          <w:rFonts w:ascii="SimHei" w:eastAsia="SimHei" w:hint="eastAsia"/>
          <w:b/>
          <w:bCs/>
          <w:color w:val="FF0000"/>
        </w:rPr>
        <w:t>Kwaku</w:t>
      </w:r>
      <w:proofErr w:type="spellEnd"/>
      <w:r>
        <w:rPr>
          <w:rFonts w:ascii="SimHei" w:eastAsia="SimHei" w:hint="eastAsia"/>
          <w:color w:val="FF0000"/>
        </w:rPr>
        <w:t>女士</w:t>
      </w:r>
      <w:r>
        <w:rPr>
          <w:rFonts w:hint="eastAsia"/>
        </w:rPr>
        <w:t>促请新加坡对伊斯兰教法采取更进步的观点。《穆斯林法管理法》允许一夫多妻制，但要求由卡迪（穆斯林婚姻登记员）为第二婚姻举行宗教仪式。由于卡迪通常为男子，这项条款极为歧视妇女。新加坡是否考虑允许妇女担任卡迪？</w:t>
      </w:r>
    </w:p>
    <w:p w:rsidR="00000000" w:rsidRDefault="00000000">
      <w:pPr>
        <w:pStyle w:val="DualTxt"/>
        <w:spacing w:after="240"/>
        <w:rPr>
          <w:rFonts w:hint="eastAsia"/>
        </w:rPr>
      </w:pPr>
      <w:r>
        <w:rPr>
          <w:rFonts w:hint="eastAsia"/>
        </w:rPr>
        <w:t>42.</w:t>
      </w:r>
      <w:r>
        <w:rPr>
          <w:rFonts w:hint="eastAsia"/>
        </w:rPr>
        <w:tab/>
      </w:r>
      <w:r>
        <w:rPr>
          <w:rFonts w:ascii="SimHei" w:eastAsia="SimHei" w:hint="eastAsia"/>
          <w:b/>
          <w:bCs/>
          <w:color w:val="FF0000"/>
        </w:rPr>
        <w:t>Yu-</w:t>
      </w:r>
      <w:proofErr w:type="spellStart"/>
      <w:r>
        <w:rPr>
          <w:rFonts w:ascii="SimHei" w:eastAsia="SimHei" w:hint="eastAsia"/>
          <w:b/>
          <w:bCs/>
          <w:color w:val="FF0000"/>
        </w:rPr>
        <w:t>Foo</w:t>
      </w:r>
      <w:proofErr w:type="spellEnd"/>
      <w:r>
        <w:rPr>
          <w:rFonts w:ascii="SimHei" w:eastAsia="SimHei" w:hint="eastAsia"/>
          <w:color w:val="FF0000"/>
        </w:rPr>
        <w:t>女士</w:t>
      </w:r>
      <w:r>
        <w:rPr>
          <w:rFonts w:hint="eastAsia"/>
        </w:rPr>
        <w:t>（新加坡）说，新加坡代表团从委员会的评论意见中获得许多知识，将尽其所能回答委员会成员的问题。如果无法获得要求提供的统计数据，以后会提供这些数据。</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下午5时散会</w:t>
      </w:r>
    </w:p>
    <w:p w:rsidR="00000000" w:rsidRDefault="00000000">
      <w:pPr>
        <w:pStyle w:val="DualTxt"/>
        <w:rPr>
          <w:rFonts w:hint="eastAsia"/>
          <w:sz w:val="20"/>
        </w:rPr>
      </w:pPr>
      <w:r>
        <w:rPr>
          <w:noProof/>
          <w:sz w:val="20"/>
        </w:rPr>
        <w:pict>
          <v:line id="_x0000_s2050" style="position:absolute;left:0;text-align:left;z-index:1" from="88.95pt,13.6pt" to="160.95pt,13.6pt" strokeweight=".25pt"/>
        </w:pict>
      </w:r>
    </w:p>
    <w:p w:rsidR="00000000" w:rsidRDefault="00000000">
      <w:pPr>
        <w:pStyle w:val="DualTxt"/>
        <w:rPr>
          <w:rFonts w:hint="eastAsia"/>
        </w:rPr>
      </w:pPr>
    </w:p>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NO&gt;&gt;N0144728C&lt;&lt;ODS JOB NO&gt;&gt;</w:t>
      </w:r>
    </w:p>
    <w:p w:rsidR="00000000" w:rsidRDefault="00000000">
      <w:pPr>
        <w:pStyle w:val="CommentText"/>
      </w:pPr>
      <w:r>
        <w:t>&lt;&lt;ODS DOC SYMBOL1&gt;&gt;CEDAW/C/SR.515&lt;&lt;ODS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对本届会议各次会议记录的任何</w:t>
    </w:r>
    <w:r>
      <w:rPr>
        <w:rFonts w:hint="eastAsia"/>
        <w:snapToGrid w:val="0"/>
        <w:w w:val="104"/>
        <w:sz w:val="17"/>
      </w:rPr>
      <w:t>更正将并入一份更正汇编，于本届会议结束后不久</w:t>
    </w:r>
    <w:r>
      <w:rPr>
        <w:rFonts w:hint="eastAsia"/>
        <w:snapToGrid w:val="0"/>
        <w:spacing w:val="5"/>
        <w:w w:val="104"/>
        <w:sz w:val="17"/>
      </w:rPr>
      <w:t>印发。</w:t>
    </w:r>
  </w:p>
  <w:p w:rsidR="00000000" w:rsidRDefault="00000000">
    <w:pPr>
      <w:pStyle w:val="Footer"/>
      <w:rPr>
        <w:rFonts w:hint="eastAsia"/>
        <w:b w:val="0"/>
        <w:snapToGrid w:val="0"/>
        <w:w w:val="104"/>
        <w:sz w:val="21"/>
      </w:rPr>
    </w:pPr>
    <w:r>
      <w:rPr>
        <w:b w:val="0"/>
        <w:snapToGrid w:val="0"/>
        <w:w w:val="104"/>
        <w:sz w:val="21"/>
      </w:rPr>
      <w:t>01-44728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CEDAW/C/SR.515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/C/SR.515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7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12/2001 2:23: PM"/>
    <w:docVar w:name="DocCategory" w:val="SROthers"/>
    <w:docVar w:name="DocType" w:val="Final"/>
    <w:docVar w:name="JobNo" w:val="0144728C"/>
    <w:docVar w:name="OandT" w:val="ZHOU"/>
    <w:docVar w:name="Symbol1" w:val="CEDAW/C/SR.5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831</Words>
  <Characters>4742</Characters>
  <Application>Microsoft Office Word</Application>
  <DocSecurity>4</DocSecurity>
  <Lines>39</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5823</CharactersWithSpaces>
  <SharedDoc>false</SharedDoc>
  <HLinks>
    <vt:vector size="6" baseType="variant">
      <vt:variant>
        <vt:i4>4522087</vt:i4>
      </vt:variant>
      <vt:variant>
        <vt:i4>12708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7</cp:revision>
  <cp:lastPrinted>2001-12-07T15:35:00Z</cp:lastPrinted>
  <dcterms:created xsi:type="dcterms:W3CDTF">2001-12-08T03:37:00Z</dcterms:created>
  <dcterms:modified xsi:type="dcterms:W3CDTF">2001-12-10T08:51:00Z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0144728</vt:lpwstr>
  </property>
  <property fmtid="{D5CDD505-2E9C-101B-9397-08002B2CF9AE}" pid="3" name="Symbol1">
    <vt:lpwstr>CEDAW/C/SR.515</vt:lpwstr>
  </property>
  <property fmtid="{D5CDD505-2E9C-101B-9397-08002B2CF9AE}" pid="4" name="Symbol2">
    <vt:lpwstr/>
  </property>
  <property fmtid="{D5CDD505-2E9C-101B-9397-08002B2CF9AE}" pid="5" name="Translator">
    <vt:lpwstr/>
  </property>
  <property fmtid="{D5CDD505-2E9C-101B-9397-08002B2CF9AE}" pid="6" name="Operator">
    <vt:lpwstr>ZHOU</vt:lpwstr>
  </property>
  <property fmtid="{D5CDD505-2E9C-101B-9397-08002B2CF9AE}" pid="7" name="DraftPages">
    <vt:lpwstr> </vt:lpwstr>
  </property>
  <property fmtid="{D5CDD505-2E9C-101B-9397-08002B2CF9AE}" pid="8" name="Comment">
    <vt:lpwstr/>
  </property>
</Properties>
</file>