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0B2958E" w14:textId="77777777" w:rsidTr="009D5F1A">
        <w:trPr>
          <w:trHeight w:hRule="exact" w:val="851"/>
        </w:trPr>
        <w:tc>
          <w:tcPr>
            <w:tcW w:w="1276" w:type="dxa"/>
            <w:tcBorders>
              <w:bottom w:val="single" w:sz="4" w:space="0" w:color="auto"/>
            </w:tcBorders>
          </w:tcPr>
          <w:p w14:paraId="42ACA7CE" w14:textId="77777777" w:rsidR="00DC0149" w:rsidRPr="00DB58B5" w:rsidRDefault="00DC0149" w:rsidP="00655DEA"/>
        </w:tc>
        <w:tc>
          <w:tcPr>
            <w:tcW w:w="2268" w:type="dxa"/>
            <w:tcBorders>
              <w:bottom w:val="single" w:sz="4" w:space="0" w:color="auto"/>
            </w:tcBorders>
            <w:vAlign w:val="bottom"/>
          </w:tcPr>
          <w:p w14:paraId="74AE6CB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28E85DF" w14:textId="6B59CA94" w:rsidR="00DC0149" w:rsidRPr="00DB58B5" w:rsidRDefault="00655DEA" w:rsidP="00655DEA">
            <w:pPr>
              <w:jc w:val="right"/>
            </w:pPr>
            <w:r w:rsidRPr="00655DEA">
              <w:rPr>
                <w:sz w:val="40"/>
              </w:rPr>
              <w:t>CERD</w:t>
            </w:r>
            <w:r>
              <w:t>/C/MAR/Q/19-21</w:t>
            </w:r>
          </w:p>
        </w:tc>
      </w:tr>
      <w:tr w:rsidR="00DC0149" w:rsidRPr="00DB58B5" w14:paraId="1A27FE33" w14:textId="77777777" w:rsidTr="009D5F1A">
        <w:trPr>
          <w:trHeight w:hRule="exact" w:val="2835"/>
        </w:trPr>
        <w:tc>
          <w:tcPr>
            <w:tcW w:w="1276" w:type="dxa"/>
            <w:tcBorders>
              <w:top w:val="single" w:sz="4" w:space="0" w:color="auto"/>
              <w:bottom w:val="single" w:sz="12" w:space="0" w:color="auto"/>
            </w:tcBorders>
          </w:tcPr>
          <w:p w14:paraId="2E201E63" w14:textId="77777777" w:rsidR="00DC0149" w:rsidRPr="00DB58B5" w:rsidRDefault="00DC0149" w:rsidP="009D5F1A">
            <w:pPr>
              <w:spacing w:before="120"/>
              <w:jc w:val="center"/>
            </w:pPr>
            <w:r>
              <w:rPr>
                <w:noProof/>
                <w:lang w:eastAsia="fr-CH"/>
              </w:rPr>
              <w:drawing>
                <wp:inline distT="0" distB="0" distL="0" distR="0" wp14:anchorId="7F960A98" wp14:editId="3A215B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3A7F7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5D93C76B" w14:textId="77777777" w:rsidR="00DC0149" w:rsidRDefault="00655DEA" w:rsidP="009D5F1A">
            <w:pPr>
              <w:spacing w:before="240"/>
            </w:pPr>
            <w:r>
              <w:t>Distr. générale</w:t>
            </w:r>
          </w:p>
          <w:p w14:paraId="205AC6A2" w14:textId="64AC9C74" w:rsidR="00655DEA" w:rsidRDefault="00D71771" w:rsidP="00655DEA">
            <w:pPr>
              <w:spacing w:line="240" w:lineRule="exact"/>
            </w:pPr>
            <w:r>
              <w:t>3</w:t>
            </w:r>
            <w:r w:rsidR="00655DEA" w:rsidRPr="000024B0">
              <w:t xml:space="preserve"> octobre 2023</w:t>
            </w:r>
          </w:p>
          <w:p w14:paraId="057DD376" w14:textId="77777777" w:rsidR="00655DEA" w:rsidRDefault="00655DEA" w:rsidP="005C4C2B">
            <w:pPr>
              <w:spacing w:before="240"/>
            </w:pPr>
            <w:r>
              <w:t>Original : français</w:t>
            </w:r>
          </w:p>
          <w:p w14:paraId="5C39380C" w14:textId="47261901" w:rsidR="000024B0" w:rsidRPr="00DB58B5" w:rsidRDefault="000024B0" w:rsidP="00655DEA">
            <w:pPr>
              <w:spacing w:line="240" w:lineRule="exact"/>
            </w:pPr>
            <w:r w:rsidRPr="00D47E1F">
              <w:t>Anglais, arabe, espagnol et français seulement</w:t>
            </w:r>
          </w:p>
        </w:tc>
      </w:tr>
    </w:tbl>
    <w:p w14:paraId="0B4FBC34" w14:textId="77777777" w:rsidR="00623CA8" w:rsidRDefault="00623CA8" w:rsidP="00623CA8">
      <w:pPr>
        <w:spacing w:before="120"/>
        <w:rPr>
          <w:b/>
          <w:sz w:val="24"/>
          <w:szCs w:val="24"/>
        </w:rPr>
      </w:pPr>
      <w:r w:rsidRPr="00C56102">
        <w:rPr>
          <w:b/>
          <w:sz w:val="24"/>
          <w:szCs w:val="24"/>
        </w:rPr>
        <w:t>Comité pour l’élimination de la discrimination raciale</w:t>
      </w:r>
    </w:p>
    <w:p w14:paraId="0BF56D28" w14:textId="7F8385E2" w:rsidR="00655DEA" w:rsidRDefault="00655DEA" w:rsidP="00655DEA">
      <w:pPr>
        <w:rPr>
          <w:b/>
        </w:rPr>
      </w:pPr>
      <w:r>
        <w:rPr>
          <w:b/>
        </w:rPr>
        <w:t>111</w:t>
      </w:r>
      <w:r w:rsidRPr="00ED0ED6">
        <w:rPr>
          <w:b/>
          <w:vertAlign w:val="superscript"/>
        </w:rPr>
        <w:t>e</w:t>
      </w:r>
      <w:r w:rsidR="00D71771">
        <w:rPr>
          <w:b/>
        </w:rPr>
        <w:t xml:space="preserve"> </w:t>
      </w:r>
      <w:r>
        <w:rPr>
          <w:b/>
        </w:rPr>
        <w:t>session</w:t>
      </w:r>
    </w:p>
    <w:p w14:paraId="6169507A" w14:textId="77777777" w:rsidR="00655DEA" w:rsidRDefault="00655DEA" w:rsidP="00655DEA">
      <w:r>
        <w:t>20 novembre-8 décembre 2023</w:t>
      </w:r>
    </w:p>
    <w:p w14:paraId="204133F6" w14:textId="67C7CC8C" w:rsidR="00655DEA" w:rsidRPr="007159D6" w:rsidRDefault="00655DEA" w:rsidP="00655DEA">
      <w:pPr>
        <w:rPr>
          <w:rFonts w:ascii="Times" w:eastAsia="Times New Roman" w:hAnsi="Times"/>
          <w:color w:val="000000"/>
          <w:sz w:val="27"/>
          <w:szCs w:val="27"/>
          <w:lang w:val="fr-FR"/>
        </w:rPr>
      </w:pPr>
      <w:r w:rsidRPr="007159D6">
        <w:rPr>
          <w:rFonts w:eastAsia="Times New Roman"/>
          <w:b/>
          <w:bCs/>
          <w:color w:val="000000"/>
          <w:lang w:val="fr-FR"/>
        </w:rPr>
        <w:t xml:space="preserve">Examen des rapports, observations et </w:t>
      </w:r>
      <w:r>
        <w:rPr>
          <w:rFonts w:eastAsia="Times New Roman"/>
          <w:b/>
          <w:bCs/>
          <w:color w:val="000000"/>
          <w:lang w:val="fr-FR"/>
        </w:rPr>
        <w:t>renseignements</w:t>
      </w:r>
      <w:r w:rsidRPr="007159D6">
        <w:rPr>
          <w:rFonts w:eastAsia="Times New Roman"/>
          <w:b/>
          <w:bCs/>
          <w:color w:val="000000"/>
          <w:lang w:val="fr-FR"/>
        </w:rPr>
        <w:t xml:space="preserve"> soumis</w:t>
      </w:r>
      <w:r w:rsidRPr="007159D6">
        <w:rPr>
          <w:rFonts w:ascii="Times" w:eastAsia="Times New Roman" w:hAnsi="Times"/>
          <w:color w:val="000000"/>
          <w:sz w:val="27"/>
          <w:szCs w:val="27"/>
          <w:lang w:val="fr-FR"/>
        </w:rPr>
        <w:br/>
      </w:r>
      <w:r w:rsidRPr="007159D6">
        <w:rPr>
          <w:rFonts w:eastAsia="Times New Roman"/>
          <w:b/>
          <w:bCs/>
          <w:color w:val="000000"/>
          <w:lang w:val="fr-FR"/>
        </w:rPr>
        <w:t xml:space="preserve">par les États parties </w:t>
      </w:r>
      <w:r>
        <w:rPr>
          <w:rFonts w:eastAsia="Times New Roman"/>
          <w:b/>
          <w:bCs/>
          <w:color w:val="000000"/>
          <w:lang w:val="fr-FR"/>
        </w:rPr>
        <w:t>en application de</w:t>
      </w:r>
      <w:r w:rsidRPr="007159D6">
        <w:rPr>
          <w:rFonts w:eastAsia="Times New Roman"/>
          <w:b/>
          <w:bCs/>
          <w:color w:val="000000"/>
          <w:lang w:val="fr-FR"/>
        </w:rPr>
        <w:t xml:space="preserve"> l</w:t>
      </w:r>
      <w:r>
        <w:rPr>
          <w:rFonts w:eastAsia="Times New Roman"/>
          <w:b/>
          <w:bCs/>
          <w:color w:val="000000"/>
          <w:lang w:val="fr-FR"/>
        </w:rPr>
        <w:t>’</w:t>
      </w:r>
      <w:r w:rsidRPr="007159D6">
        <w:rPr>
          <w:rFonts w:eastAsia="Times New Roman"/>
          <w:b/>
          <w:bCs/>
          <w:color w:val="000000"/>
          <w:lang w:val="fr-FR"/>
        </w:rPr>
        <w:t>article 9 de la Convention</w:t>
      </w:r>
    </w:p>
    <w:p w14:paraId="00731D77" w14:textId="76FEFA23" w:rsidR="00655DEA" w:rsidRDefault="00655DEA" w:rsidP="00655DEA">
      <w:pPr>
        <w:pStyle w:val="HChG"/>
      </w:pPr>
      <w:r>
        <w:tab/>
      </w:r>
      <w:r>
        <w:tab/>
        <w:t xml:space="preserve">Liste de thèmes concernant le rapport du Maroc valant </w:t>
      </w:r>
      <w:r>
        <w:br/>
        <w:t>dix-neuvième à vingt et unième rapports périodiques</w:t>
      </w:r>
    </w:p>
    <w:p w14:paraId="5B3E2171" w14:textId="77777777" w:rsidR="00655DEA" w:rsidRDefault="00655DEA" w:rsidP="00655DEA">
      <w:pPr>
        <w:pStyle w:val="H1G"/>
      </w:pPr>
      <w:r>
        <w:tab/>
      </w:r>
      <w:r>
        <w:tab/>
        <w:t>Note du rapporteur pour le pays</w:t>
      </w:r>
    </w:p>
    <w:p w14:paraId="7995C344" w14:textId="77777777" w:rsidR="00655DEA" w:rsidRDefault="00655DEA" w:rsidP="00655DEA">
      <w:pPr>
        <w:pStyle w:val="SingleTxtG"/>
      </w:pPr>
      <w:r>
        <w:t>1.</w:t>
      </w:r>
      <w:r>
        <w:tab/>
        <w:t>À sa soixante-seizième session,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w:t>
      </w:r>
      <w:r w:rsidRPr="00D8641B">
        <w:rPr>
          <w:rStyle w:val="Appelnotedebasdep"/>
        </w:rPr>
        <w:footnoteReference w:id="2"/>
      </w:r>
      <w:r>
        <w:t>. On trouvera ci-après une liste de thèmes non exhaustive, d’autres questions pouvant être traitées au cours du dialogue. Cette liste n’appelle pas de réponses écrites.</w:t>
      </w:r>
    </w:p>
    <w:p w14:paraId="0170FD7F" w14:textId="36E09021" w:rsidR="00655DEA" w:rsidRPr="00D76EC9" w:rsidRDefault="00655DEA" w:rsidP="00D8641B">
      <w:pPr>
        <w:pStyle w:val="H23G"/>
      </w:pPr>
      <w:r>
        <w:tab/>
      </w:r>
      <w:r>
        <w:tab/>
        <w:t xml:space="preserve">La Convention dans le droit interne et le cadre institutionnel et politique de sa mise </w:t>
      </w:r>
      <w:r w:rsidR="00D8641B">
        <w:br/>
      </w:r>
      <w:r>
        <w:t xml:space="preserve">en œuvre </w:t>
      </w:r>
      <w:r w:rsidRPr="00C87EB5">
        <w:rPr>
          <w:lang w:val="fr-FR"/>
        </w:rPr>
        <w:t>(art.</w:t>
      </w:r>
      <w:r w:rsidR="00D8641B">
        <w:rPr>
          <w:lang w:val="fr-FR"/>
        </w:rPr>
        <w:t> </w:t>
      </w:r>
      <w:r w:rsidRPr="00C87EB5">
        <w:rPr>
          <w:lang w:val="fr-FR"/>
        </w:rPr>
        <w:t>1</w:t>
      </w:r>
      <w:r w:rsidRPr="00C87EB5">
        <w:rPr>
          <w:vertAlign w:val="superscript"/>
          <w:lang w:val="fr-FR"/>
        </w:rPr>
        <w:t>er</w:t>
      </w:r>
      <w:r w:rsidRPr="00C87EB5">
        <w:rPr>
          <w:lang w:val="fr-FR"/>
        </w:rPr>
        <w:t>, 2,</w:t>
      </w:r>
      <w:r>
        <w:rPr>
          <w:lang w:val="fr-FR"/>
        </w:rPr>
        <w:t xml:space="preserve"> 4 et</w:t>
      </w:r>
      <w:r w:rsidRPr="00C87EB5">
        <w:rPr>
          <w:lang w:val="fr-FR"/>
        </w:rPr>
        <w:t xml:space="preserve"> 6)</w:t>
      </w:r>
      <w:r>
        <w:t xml:space="preserve"> </w:t>
      </w:r>
    </w:p>
    <w:p w14:paraId="66B992ED" w14:textId="77777777" w:rsidR="00655DEA" w:rsidRPr="002F09C3" w:rsidRDefault="00655DEA" w:rsidP="00655DEA">
      <w:pPr>
        <w:pStyle w:val="SingleTxtG"/>
        <w:rPr>
          <w:lang w:val="fr-FR"/>
        </w:rPr>
      </w:pPr>
      <w:r w:rsidRPr="002F09C3">
        <w:rPr>
          <w:lang w:val="fr-FR"/>
        </w:rPr>
        <w:t>2.</w:t>
      </w:r>
      <w:r w:rsidRPr="002F09C3">
        <w:rPr>
          <w:lang w:val="fr-FR"/>
        </w:rPr>
        <w:tab/>
      </w:r>
      <w:r w:rsidRPr="00CB5EEB">
        <w:rPr>
          <w:spacing w:val="-1"/>
          <w:lang w:val="fr-FR"/>
        </w:rPr>
        <w:t>Composition démographique</w:t>
      </w:r>
      <w:r w:rsidRPr="00667F4B">
        <w:rPr>
          <w:spacing w:val="-1"/>
          <w:lang w:val="fr-FR"/>
        </w:rPr>
        <w:t xml:space="preserve"> de la population de l</w:t>
      </w:r>
      <w:r>
        <w:rPr>
          <w:spacing w:val="-1"/>
          <w:lang w:val="fr-FR"/>
        </w:rPr>
        <w:t>’</w:t>
      </w:r>
      <w:r w:rsidRPr="00667F4B">
        <w:rPr>
          <w:spacing w:val="-1"/>
          <w:lang w:val="fr-FR"/>
        </w:rPr>
        <w:t>État partie et indicateurs de la situation socioéconomique des différents groupes ethniques, en particulier sur les groupes minoritaires et les non-</w:t>
      </w:r>
      <w:r>
        <w:rPr>
          <w:spacing w:val="-1"/>
          <w:lang w:val="fr-FR"/>
        </w:rPr>
        <w:t>ressortissants</w:t>
      </w:r>
      <w:r w:rsidRPr="00667F4B">
        <w:rPr>
          <w:spacing w:val="-1"/>
          <w:lang w:val="fr-FR"/>
        </w:rPr>
        <w:t>, notamment les migrants, réfugiés, demandeurs d</w:t>
      </w:r>
      <w:r>
        <w:rPr>
          <w:spacing w:val="-1"/>
          <w:lang w:val="fr-FR"/>
        </w:rPr>
        <w:t>’</w:t>
      </w:r>
      <w:r w:rsidRPr="00667F4B">
        <w:rPr>
          <w:spacing w:val="-1"/>
          <w:lang w:val="fr-FR"/>
        </w:rPr>
        <w:t xml:space="preserve">asile et apatrides. Mesures prises pour renforcer le système de collecte des données, y compris </w:t>
      </w:r>
      <w:r>
        <w:rPr>
          <w:spacing w:val="-1"/>
          <w:lang w:val="fr-FR"/>
        </w:rPr>
        <w:t>celles</w:t>
      </w:r>
      <w:r w:rsidRPr="00667F4B">
        <w:rPr>
          <w:spacing w:val="-1"/>
          <w:lang w:val="fr-FR"/>
        </w:rPr>
        <w:t xml:space="preserve"> </w:t>
      </w:r>
      <w:r>
        <w:rPr>
          <w:spacing w:val="-1"/>
          <w:lang w:val="fr-FR"/>
        </w:rPr>
        <w:t xml:space="preserve">visant à </w:t>
      </w:r>
      <w:r w:rsidRPr="00667F4B">
        <w:rPr>
          <w:spacing w:val="-1"/>
          <w:lang w:val="fr-FR"/>
        </w:rPr>
        <w:t>inclu</w:t>
      </w:r>
      <w:r>
        <w:rPr>
          <w:spacing w:val="-1"/>
          <w:lang w:val="fr-FR"/>
        </w:rPr>
        <w:t>re</w:t>
      </w:r>
      <w:r w:rsidRPr="00667F4B">
        <w:rPr>
          <w:spacing w:val="-1"/>
          <w:lang w:val="fr-FR"/>
        </w:rPr>
        <w:t xml:space="preserve"> des variables relatives à l</w:t>
      </w:r>
      <w:r>
        <w:rPr>
          <w:spacing w:val="-1"/>
          <w:lang w:val="fr-FR"/>
        </w:rPr>
        <w:t>’</w:t>
      </w:r>
      <w:r w:rsidRPr="00667F4B">
        <w:rPr>
          <w:spacing w:val="-1"/>
          <w:lang w:val="fr-FR"/>
        </w:rPr>
        <w:t>origine ethnique, et outils de substitution développés ou envisagés, qui permettent, d</w:t>
      </w:r>
      <w:r>
        <w:rPr>
          <w:spacing w:val="-1"/>
          <w:lang w:val="fr-FR"/>
        </w:rPr>
        <w:t>’</w:t>
      </w:r>
      <w:r w:rsidRPr="00667F4B">
        <w:rPr>
          <w:spacing w:val="-1"/>
          <w:lang w:val="fr-FR"/>
        </w:rPr>
        <w:t>une part, d</w:t>
      </w:r>
      <w:r>
        <w:rPr>
          <w:spacing w:val="-1"/>
          <w:lang w:val="fr-FR"/>
        </w:rPr>
        <w:t>’</w:t>
      </w:r>
      <w:r w:rsidRPr="00667F4B">
        <w:rPr>
          <w:spacing w:val="-1"/>
          <w:lang w:val="fr-FR"/>
        </w:rPr>
        <w:t>avoir des informations plus détaillées sur les difficultés propres à certains groupes, en particulier concernant la discrimination raciale</w:t>
      </w:r>
      <w:r>
        <w:rPr>
          <w:spacing w:val="-1"/>
          <w:lang w:val="fr-FR"/>
        </w:rPr>
        <w:t>,</w:t>
      </w:r>
      <w:r w:rsidRPr="00667F4B">
        <w:rPr>
          <w:spacing w:val="-1"/>
          <w:lang w:val="fr-FR"/>
        </w:rPr>
        <w:t xml:space="preserve"> et, d</w:t>
      </w:r>
      <w:r>
        <w:rPr>
          <w:spacing w:val="-1"/>
          <w:lang w:val="fr-FR"/>
        </w:rPr>
        <w:t>’</w:t>
      </w:r>
      <w:r w:rsidRPr="00667F4B">
        <w:rPr>
          <w:spacing w:val="-1"/>
          <w:lang w:val="fr-FR"/>
        </w:rPr>
        <w:t>autre part, de faire le bilan de la mise en œuvre de la Convention</w:t>
      </w:r>
      <w:r w:rsidRPr="00D8641B">
        <w:rPr>
          <w:rStyle w:val="Appelnotedebasdep"/>
        </w:rPr>
        <w:footnoteReference w:id="3"/>
      </w:r>
      <w:r>
        <w:rPr>
          <w:spacing w:val="-1"/>
          <w:lang w:val="fr-FR"/>
        </w:rPr>
        <w:t>.</w:t>
      </w:r>
      <w:r w:rsidRPr="00667F4B">
        <w:rPr>
          <w:spacing w:val="-1"/>
          <w:lang w:val="fr-FR"/>
        </w:rPr>
        <w:t xml:space="preserve"> </w:t>
      </w:r>
    </w:p>
    <w:p w14:paraId="78468B3A" w14:textId="77777777" w:rsidR="00655DEA" w:rsidRPr="00B540B3" w:rsidRDefault="00655DEA" w:rsidP="00655DEA">
      <w:pPr>
        <w:pStyle w:val="SingleTxtG"/>
        <w:rPr>
          <w:lang w:val="fr-FR"/>
        </w:rPr>
      </w:pPr>
      <w:r w:rsidRPr="00B540B3">
        <w:rPr>
          <w:lang w:val="fr-FR"/>
        </w:rPr>
        <w:t>3.</w:t>
      </w:r>
      <w:r w:rsidRPr="00B540B3">
        <w:rPr>
          <w:lang w:val="fr-FR"/>
        </w:rPr>
        <w:tab/>
      </w:r>
      <w:r w:rsidRPr="00CB5EEB">
        <w:rPr>
          <w:lang w:val="fr-FR"/>
        </w:rPr>
        <w:t>Exemples</w:t>
      </w:r>
      <w:r w:rsidRPr="007E2735">
        <w:rPr>
          <w:lang w:val="fr-FR"/>
        </w:rPr>
        <w:t xml:space="preserve"> d</w:t>
      </w:r>
      <w:r>
        <w:rPr>
          <w:lang w:val="fr-FR"/>
        </w:rPr>
        <w:t>’</w:t>
      </w:r>
      <w:r w:rsidRPr="007E2735">
        <w:rPr>
          <w:lang w:val="fr-FR"/>
        </w:rPr>
        <w:t>affaires dans lesquelles les dispositions de la Convention ont été invoquées et directement appliquées par les tribunaux nationaux ;</w:t>
      </w:r>
      <w:r>
        <w:rPr>
          <w:lang w:val="fr-FR"/>
        </w:rPr>
        <w:t xml:space="preserve"> et</w:t>
      </w:r>
      <w:r w:rsidRPr="007E2735">
        <w:rPr>
          <w:lang w:val="fr-FR"/>
        </w:rPr>
        <w:t xml:space="preserve"> informations détaillées sur les mesures prises pour faire mieux connaître la </w:t>
      </w:r>
      <w:r w:rsidRPr="007E2735">
        <w:rPr>
          <w:spacing w:val="-2"/>
          <w:lang w:val="fr-FR"/>
        </w:rPr>
        <w:t xml:space="preserve">Convention auprès </w:t>
      </w:r>
      <w:r w:rsidRPr="007E2735">
        <w:rPr>
          <w:lang w:val="fr-FR"/>
        </w:rPr>
        <w:t xml:space="preserve">des juges, </w:t>
      </w:r>
      <w:r>
        <w:rPr>
          <w:lang w:val="fr-FR"/>
        </w:rPr>
        <w:t xml:space="preserve">des </w:t>
      </w:r>
      <w:r w:rsidRPr="007E2735">
        <w:rPr>
          <w:lang w:val="fr-FR"/>
        </w:rPr>
        <w:t xml:space="preserve">magistrats, </w:t>
      </w:r>
      <w:r>
        <w:rPr>
          <w:lang w:val="fr-FR"/>
        </w:rPr>
        <w:t xml:space="preserve">des </w:t>
      </w:r>
      <w:r w:rsidRPr="00FC78A6">
        <w:rPr>
          <w:lang w:val="fr-FR"/>
        </w:rPr>
        <w:t>fonctionnaires chargés de l</w:t>
      </w:r>
      <w:r>
        <w:rPr>
          <w:lang w:val="fr-FR"/>
        </w:rPr>
        <w:t>’</w:t>
      </w:r>
      <w:r w:rsidRPr="00FC78A6">
        <w:rPr>
          <w:lang w:val="fr-FR"/>
        </w:rPr>
        <w:t>application de la loi</w:t>
      </w:r>
      <w:r>
        <w:rPr>
          <w:lang w:val="fr-FR"/>
        </w:rPr>
        <w:t xml:space="preserve"> et des </w:t>
      </w:r>
      <w:r w:rsidRPr="007E2735">
        <w:rPr>
          <w:lang w:val="fr-FR"/>
        </w:rPr>
        <w:t>avocats ainsi qu</w:t>
      </w:r>
      <w:r>
        <w:rPr>
          <w:lang w:val="fr-FR"/>
        </w:rPr>
        <w:t>’</w:t>
      </w:r>
      <w:r w:rsidRPr="007E2735">
        <w:rPr>
          <w:lang w:val="fr-FR"/>
        </w:rPr>
        <w:t>auprès de la population</w:t>
      </w:r>
      <w:r w:rsidRPr="007E2735">
        <w:rPr>
          <w:spacing w:val="-2"/>
          <w:lang w:val="fr-FR"/>
        </w:rPr>
        <w:t>, et sur les effets de ces mesures</w:t>
      </w:r>
      <w:r w:rsidRPr="00D8641B">
        <w:rPr>
          <w:rStyle w:val="Appelnotedebasdep"/>
        </w:rPr>
        <w:footnoteReference w:id="4"/>
      </w:r>
      <w:r>
        <w:rPr>
          <w:spacing w:val="-2"/>
          <w:lang w:val="fr-FR"/>
        </w:rPr>
        <w:t xml:space="preserve">. </w:t>
      </w:r>
    </w:p>
    <w:p w14:paraId="45582269" w14:textId="65D96083" w:rsidR="00655DEA" w:rsidRPr="00B8574E" w:rsidRDefault="00655DEA" w:rsidP="00655DEA">
      <w:pPr>
        <w:pStyle w:val="SingleTxtG"/>
        <w:rPr>
          <w:lang w:val="fr-FR"/>
        </w:rPr>
      </w:pPr>
      <w:r w:rsidRPr="00B8574E">
        <w:rPr>
          <w:lang w:val="fr-FR"/>
        </w:rPr>
        <w:t>4.</w:t>
      </w:r>
      <w:r w:rsidRPr="00B8574E">
        <w:rPr>
          <w:lang w:val="fr-FR"/>
        </w:rPr>
        <w:tab/>
      </w:r>
      <w:r w:rsidRPr="00CB5EEB">
        <w:t>Mesures</w:t>
      </w:r>
      <w:r>
        <w:t xml:space="preserve"> prises pour amender le cadre légal ou pour </w:t>
      </w:r>
      <w:r w:rsidRPr="00C03B17">
        <w:t>adopter une législation portant spécifiquement sur l</w:t>
      </w:r>
      <w:r>
        <w:t>’</w:t>
      </w:r>
      <w:r w:rsidRPr="00C03B17">
        <w:t>interdiction de la discrimination raciale</w:t>
      </w:r>
      <w:r>
        <w:t>, y compris de ses formes directes et indirectes, et qui englobe tous les domaines du droit et de la vie publique, conformément à l’article 1</w:t>
      </w:r>
      <w:r w:rsidRPr="005B2960">
        <w:rPr>
          <w:vertAlign w:val="superscript"/>
        </w:rPr>
        <w:t>er</w:t>
      </w:r>
      <w:r w:rsidRPr="005B2960">
        <w:t xml:space="preserve"> </w:t>
      </w:r>
      <w:r>
        <w:t>(par.</w:t>
      </w:r>
      <w:r w:rsidR="00D8641B">
        <w:t> </w:t>
      </w:r>
      <w:r>
        <w:t>1) de la Convention</w:t>
      </w:r>
      <w:r w:rsidRPr="00D8641B">
        <w:rPr>
          <w:rStyle w:val="Appelnotedebasdep"/>
        </w:rPr>
        <w:footnoteReference w:id="5"/>
      </w:r>
      <w:r>
        <w:rPr>
          <w:spacing w:val="-1"/>
        </w:rPr>
        <w:t xml:space="preserve">. </w:t>
      </w:r>
    </w:p>
    <w:p w14:paraId="612CF72D" w14:textId="26A1DF4C" w:rsidR="00655DEA" w:rsidRPr="00B8574E" w:rsidRDefault="00655DEA" w:rsidP="00655DEA">
      <w:pPr>
        <w:pStyle w:val="SingleTxtG"/>
        <w:rPr>
          <w:lang w:val="fr-FR"/>
        </w:rPr>
      </w:pPr>
      <w:r w:rsidRPr="00B8574E">
        <w:rPr>
          <w:lang w:val="fr-FR"/>
        </w:rPr>
        <w:lastRenderedPageBreak/>
        <w:t>5.</w:t>
      </w:r>
      <w:r w:rsidRPr="00B8574E">
        <w:rPr>
          <w:lang w:val="fr-FR"/>
        </w:rPr>
        <w:tab/>
      </w:r>
      <w:r w:rsidRPr="00CB5EEB">
        <w:rPr>
          <w:spacing w:val="-1"/>
        </w:rPr>
        <w:t>Mesures</w:t>
      </w:r>
      <w:r>
        <w:rPr>
          <w:spacing w:val="-1"/>
        </w:rPr>
        <w:t xml:space="preserve"> adoptées pour </w:t>
      </w:r>
      <w:r>
        <w:t>ériger en infractions pénales les actes de discrimination raciale, en conformité avec les dispositions de l’article</w:t>
      </w:r>
      <w:r w:rsidR="00D8641B">
        <w:t> </w:t>
      </w:r>
      <w:r>
        <w:t xml:space="preserve">4 de la Convention, </w:t>
      </w:r>
      <w:r w:rsidRPr="00CE4436">
        <w:rPr>
          <w:spacing w:val="-1"/>
        </w:rPr>
        <w:t xml:space="preserve">et </w:t>
      </w:r>
      <w:r>
        <w:rPr>
          <w:spacing w:val="-1"/>
        </w:rPr>
        <w:t xml:space="preserve">pour </w:t>
      </w:r>
      <w:r>
        <w:t>faire de la motivation raciste une circonstance aggravante pour les infractions visées par le Code pénal</w:t>
      </w:r>
      <w:r w:rsidRPr="00D8641B">
        <w:rPr>
          <w:rStyle w:val="Appelnotedebasdep"/>
        </w:rPr>
        <w:footnoteReference w:id="6"/>
      </w:r>
      <w:r>
        <w:t>.</w:t>
      </w:r>
      <w:r>
        <w:rPr>
          <w:spacing w:val="-1"/>
        </w:rPr>
        <w:t xml:space="preserve"> </w:t>
      </w:r>
    </w:p>
    <w:p w14:paraId="15135BCE" w14:textId="2B00325D" w:rsidR="00655DEA" w:rsidRDefault="00655DEA" w:rsidP="00655DEA">
      <w:pPr>
        <w:pStyle w:val="SingleTxtG"/>
        <w:rPr>
          <w:lang w:val="fr-FR"/>
        </w:rPr>
      </w:pPr>
      <w:r>
        <w:rPr>
          <w:lang w:val="fr-FR"/>
        </w:rPr>
        <w:t>6.</w:t>
      </w:r>
      <w:r>
        <w:rPr>
          <w:lang w:val="fr-FR"/>
        </w:rPr>
        <w:tab/>
      </w:r>
      <w:r w:rsidRPr="00CB5EEB">
        <w:rPr>
          <w:lang w:val="fr-FR"/>
        </w:rPr>
        <w:t>Mesures</w:t>
      </w:r>
      <w:r w:rsidRPr="00854F5F">
        <w:rPr>
          <w:lang w:val="fr-FR"/>
        </w:rPr>
        <w:t xml:space="preserve"> prises pour prévenir et combattre les discours de haine à caractère raciste, les crimes de haine et l</w:t>
      </w:r>
      <w:r>
        <w:rPr>
          <w:lang w:val="fr-FR"/>
        </w:rPr>
        <w:t>’</w:t>
      </w:r>
      <w:r w:rsidRPr="00854F5F">
        <w:rPr>
          <w:lang w:val="fr-FR"/>
        </w:rPr>
        <w:t>incitation à la haine raciale</w:t>
      </w:r>
      <w:r>
        <w:rPr>
          <w:lang w:val="fr-FR"/>
        </w:rPr>
        <w:t xml:space="preserve"> et la xénophobie</w:t>
      </w:r>
      <w:r w:rsidRPr="00854F5F">
        <w:rPr>
          <w:lang w:val="fr-FR"/>
        </w:rPr>
        <w:t>, notamment dans les médias et sur Internet, en particulier envers</w:t>
      </w:r>
      <w:r>
        <w:rPr>
          <w:lang w:val="fr-FR"/>
        </w:rPr>
        <w:t xml:space="preserve"> </w:t>
      </w:r>
      <w:r w:rsidRPr="00854F5F">
        <w:rPr>
          <w:lang w:val="fr-FR"/>
        </w:rPr>
        <w:t>les migrants, réfugiés</w:t>
      </w:r>
      <w:r>
        <w:rPr>
          <w:lang w:val="fr-FR"/>
        </w:rPr>
        <w:t xml:space="preserve"> et</w:t>
      </w:r>
      <w:r w:rsidRPr="00854F5F">
        <w:rPr>
          <w:lang w:val="fr-FR"/>
        </w:rPr>
        <w:t xml:space="preserve"> demandeurs d</w:t>
      </w:r>
      <w:r>
        <w:rPr>
          <w:lang w:val="fr-FR"/>
        </w:rPr>
        <w:t>’</w:t>
      </w:r>
      <w:r w:rsidRPr="00854F5F">
        <w:rPr>
          <w:lang w:val="fr-FR"/>
        </w:rPr>
        <w:t>asile</w:t>
      </w:r>
      <w:r>
        <w:rPr>
          <w:lang w:val="fr-FR"/>
        </w:rPr>
        <w:t xml:space="preserve">, notamment ceux </w:t>
      </w:r>
      <w:r>
        <w:t>provenant de pays africains du sud du Sahara</w:t>
      </w:r>
      <w:r>
        <w:rPr>
          <w:lang w:val="fr-FR"/>
        </w:rPr>
        <w:t>,</w:t>
      </w:r>
      <w:r w:rsidRPr="00854F5F">
        <w:rPr>
          <w:lang w:val="fr-FR"/>
        </w:rPr>
        <w:t xml:space="preserve"> </w:t>
      </w:r>
      <w:r>
        <w:rPr>
          <w:lang w:val="fr-FR"/>
        </w:rPr>
        <w:t>et p</w:t>
      </w:r>
      <w:r w:rsidRPr="00854F5F">
        <w:rPr>
          <w:lang w:val="fr-FR"/>
        </w:rPr>
        <w:t>r</w:t>
      </w:r>
      <w:r>
        <w:rPr>
          <w:lang w:val="fr-FR"/>
        </w:rPr>
        <w:t>éciser l’impact de ces mesures</w:t>
      </w:r>
      <w:r w:rsidRPr="00D8641B">
        <w:rPr>
          <w:rStyle w:val="Appelnotedebasdep"/>
        </w:rPr>
        <w:footnoteReference w:id="7"/>
      </w:r>
      <w:r>
        <w:rPr>
          <w:spacing w:val="-1"/>
        </w:rPr>
        <w:t>.</w:t>
      </w:r>
    </w:p>
    <w:p w14:paraId="22B5BB3D" w14:textId="21B34AB9" w:rsidR="00655DEA" w:rsidRDefault="00655DEA" w:rsidP="00655DEA">
      <w:pPr>
        <w:pStyle w:val="SingleTxtG"/>
        <w:rPr>
          <w:lang w:val="fr-FR"/>
        </w:rPr>
      </w:pPr>
      <w:r>
        <w:rPr>
          <w:lang w:val="fr-FR"/>
        </w:rPr>
        <w:t>7.</w:t>
      </w:r>
      <w:r>
        <w:rPr>
          <w:lang w:val="fr-FR"/>
        </w:rPr>
        <w:tab/>
        <w:t>Exemples de p</w:t>
      </w:r>
      <w:r w:rsidRPr="00854F5F">
        <w:rPr>
          <w:lang w:val="fr-FR"/>
        </w:rPr>
        <w:t xml:space="preserve">laintes déposées et </w:t>
      </w:r>
      <w:r>
        <w:rPr>
          <w:lang w:val="fr-FR"/>
        </w:rPr>
        <w:t>d’</w:t>
      </w:r>
      <w:r w:rsidRPr="00854F5F">
        <w:rPr>
          <w:lang w:val="fr-FR"/>
        </w:rPr>
        <w:t>enquêtes menées contre des individus ou des groupes qui auraient incité à la discrimination raciale et aux discours de haine raciale</w:t>
      </w:r>
      <w:r>
        <w:rPr>
          <w:lang w:val="fr-FR"/>
        </w:rPr>
        <w:t>, y</w:t>
      </w:r>
      <w:r w:rsidR="00D8641B">
        <w:rPr>
          <w:lang w:val="fr-FR"/>
        </w:rPr>
        <w:t> </w:t>
      </w:r>
      <w:r>
        <w:rPr>
          <w:lang w:val="fr-FR"/>
        </w:rPr>
        <w:t>compris</w:t>
      </w:r>
      <w:r w:rsidRPr="00854F5F">
        <w:rPr>
          <w:lang w:val="fr-FR"/>
        </w:rPr>
        <w:t xml:space="preserve"> dans les médias</w:t>
      </w:r>
      <w:r>
        <w:rPr>
          <w:lang w:val="fr-FR"/>
        </w:rPr>
        <w:t>,</w:t>
      </w:r>
      <w:r w:rsidRPr="00854F5F">
        <w:rPr>
          <w:lang w:val="fr-FR"/>
        </w:rPr>
        <w:t xml:space="preserve"> ou les auraient encouragés dans ce cadre, notamment sur Internet, et sanctions appliquées</w:t>
      </w:r>
      <w:r>
        <w:rPr>
          <w:lang w:val="fr-FR"/>
        </w:rPr>
        <w:t xml:space="preserve">. </w:t>
      </w:r>
      <w:r w:rsidRPr="00854F5F">
        <w:rPr>
          <w:lang w:val="fr-FR"/>
        </w:rPr>
        <w:t>Mesures prises pour améliorer le signalement et le suivi des crimes et des discours de haine</w:t>
      </w:r>
      <w:r>
        <w:rPr>
          <w:lang w:val="fr-FR"/>
        </w:rPr>
        <w:t xml:space="preserve"> </w:t>
      </w:r>
      <w:r w:rsidRPr="00854F5F">
        <w:rPr>
          <w:lang w:val="fr-FR"/>
        </w:rPr>
        <w:t>à caractère raciste, y compris l</w:t>
      </w:r>
      <w:r>
        <w:rPr>
          <w:lang w:val="fr-FR"/>
        </w:rPr>
        <w:t>’</w:t>
      </w:r>
      <w:r w:rsidRPr="00854F5F">
        <w:rPr>
          <w:lang w:val="fr-FR"/>
        </w:rPr>
        <w:t>établissement d</w:t>
      </w:r>
      <w:r>
        <w:rPr>
          <w:lang w:val="fr-FR"/>
        </w:rPr>
        <w:t>’</w:t>
      </w:r>
      <w:r w:rsidRPr="00854F5F">
        <w:rPr>
          <w:lang w:val="fr-FR"/>
        </w:rPr>
        <w:t>un système d</w:t>
      </w:r>
      <w:r>
        <w:rPr>
          <w:lang w:val="fr-FR"/>
        </w:rPr>
        <w:t>’</w:t>
      </w:r>
      <w:r w:rsidRPr="00854F5F">
        <w:rPr>
          <w:lang w:val="fr-FR"/>
        </w:rPr>
        <w:t xml:space="preserve">enregistrement et </w:t>
      </w:r>
      <w:r>
        <w:rPr>
          <w:lang w:val="fr-FR"/>
        </w:rPr>
        <w:t xml:space="preserve">de </w:t>
      </w:r>
      <w:r w:rsidRPr="00854F5F">
        <w:rPr>
          <w:lang w:val="fr-FR"/>
        </w:rPr>
        <w:t xml:space="preserve">collecte de </w:t>
      </w:r>
      <w:r w:rsidRPr="004F66AF">
        <w:rPr>
          <w:lang w:val="fr-FR"/>
        </w:rPr>
        <w:t>données à ce sujet</w:t>
      </w:r>
      <w:r w:rsidRPr="00D8641B">
        <w:rPr>
          <w:rStyle w:val="Appelnotedebasdep"/>
        </w:rPr>
        <w:footnoteReference w:id="8"/>
      </w:r>
      <w:r>
        <w:rPr>
          <w:spacing w:val="-1"/>
        </w:rPr>
        <w:t>.</w:t>
      </w:r>
    </w:p>
    <w:p w14:paraId="30DCDEFD" w14:textId="07390838" w:rsidR="00655DEA" w:rsidRDefault="00655DEA" w:rsidP="00655DEA">
      <w:pPr>
        <w:pStyle w:val="SingleTxtG"/>
        <w:rPr>
          <w:lang w:val="fr-FR"/>
        </w:rPr>
      </w:pPr>
      <w:r>
        <w:rPr>
          <w:lang w:val="fr-FR"/>
        </w:rPr>
        <w:t>8.</w:t>
      </w:r>
      <w:r>
        <w:rPr>
          <w:lang w:val="fr-FR"/>
        </w:rPr>
        <w:tab/>
      </w:r>
      <w:r w:rsidRPr="00117C76">
        <w:rPr>
          <w:lang w:val="fr-FR"/>
        </w:rPr>
        <w:t>Renseignements</w:t>
      </w:r>
      <w:r>
        <w:rPr>
          <w:lang w:val="fr-FR"/>
        </w:rPr>
        <w:t xml:space="preserve"> sur les mesures prises ou envisagées pour faire en sorte que </w:t>
      </w:r>
      <w:r w:rsidRPr="00D24DF3">
        <w:t xml:space="preserve">la prévention </w:t>
      </w:r>
      <w:r>
        <w:t xml:space="preserve">de la </w:t>
      </w:r>
      <w:r w:rsidRPr="00D24DF3">
        <w:t>discrimination raciale</w:t>
      </w:r>
      <w:r>
        <w:t xml:space="preserve"> </w:t>
      </w:r>
      <w:r w:rsidRPr="00D24DF3">
        <w:t xml:space="preserve">et la lutte contre </w:t>
      </w:r>
      <w:r>
        <w:t>celle-ci soient intégrées aux travaux et aux mandats des organes chargés de promouvoir les droits de l’homme, l’égalité et la non</w:t>
      </w:r>
      <w:r w:rsidR="00D8641B">
        <w:noBreakHyphen/>
      </w:r>
      <w:r>
        <w:t>discrimination, notamment le Conseil national des droits de l’homme, le Médiateur et l’Autorité pour la parité et la lutte contre toutes formes de discrimination. Précisions sur la question de savoir si ces institutions ont le mandat pour recevoir et traiter des plaintes sur des affaires de discrimination raciale et, le cas échéant, exemples concrets des plaintes reçues et des suites données à cet égard</w:t>
      </w:r>
      <w:r w:rsidRPr="00D8641B">
        <w:rPr>
          <w:rStyle w:val="Appelnotedebasdep"/>
        </w:rPr>
        <w:footnoteReference w:id="9"/>
      </w:r>
      <w:r>
        <w:t xml:space="preserve">. </w:t>
      </w:r>
    </w:p>
    <w:p w14:paraId="246362DC" w14:textId="4FBB864F" w:rsidR="00655DEA" w:rsidRPr="00A331D8" w:rsidRDefault="00655DEA" w:rsidP="00655DEA">
      <w:pPr>
        <w:pStyle w:val="SingleTxtG"/>
        <w:rPr>
          <w:lang w:val="fr-FR"/>
        </w:rPr>
      </w:pPr>
      <w:r w:rsidRPr="00A331D8">
        <w:rPr>
          <w:lang w:val="fr-FR"/>
        </w:rPr>
        <w:t>9.</w:t>
      </w:r>
      <w:r w:rsidRPr="00A331D8">
        <w:rPr>
          <w:lang w:val="fr-FR"/>
        </w:rPr>
        <w:tab/>
      </w:r>
      <w:r>
        <w:rPr>
          <w:lang w:val="fr-FR"/>
        </w:rPr>
        <w:t>Renseignements sur la m</w:t>
      </w:r>
      <w:r w:rsidRPr="00117C76">
        <w:rPr>
          <w:lang w:val="fr-FR"/>
        </w:rPr>
        <w:t>ise en œuvre,</w:t>
      </w:r>
      <w:r w:rsidRPr="00A331D8">
        <w:rPr>
          <w:lang w:val="fr-FR"/>
        </w:rPr>
        <w:t xml:space="preserve"> </w:t>
      </w:r>
      <w:r>
        <w:rPr>
          <w:lang w:val="fr-FR"/>
        </w:rPr>
        <w:t xml:space="preserve">les </w:t>
      </w:r>
      <w:r w:rsidRPr="00A331D8">
        <w:rPr>
          <w:lang w:val="fr-FR"/>
        </w:rPr>
        <w:t xml:space="preserve">résultats et </w:t>
      </w:r>
      <w:r>
        <w:rPr>
          <w:lang w:val="fr-FR"/>
        </w:rPr>
        <w:t>l’</w:t>
      </w:r>
      <w:r w:rsidRPr="00A331D8">
        <w:rPr>
          <w:lang w:val="fr-FR"/>
        </w:rPr>
        <w:t xml:space="preserve">évaluation du Plan </w:t>
      </w:r>
      <w:r>
        <w:rPr>
          <w:lang w:val="fr-FR"/>
        </w:rPr>
        <w:t xml:space="preserve">d’action </w:t>
      </w:r>
      <w:r w:rsidRPr="00A331D8">
        <w:rPr>
          <w:lang w:val="fr-FR"/>
        </w:rPr>
        <w:t>national</w:t>
      </w:r>
      <w:r>
        <w:rPr>
          <w:lang w:val="fr-FR"/>
        </w:rPr>
        <w:t xml:space="preserve"> en matière de démocratie et des droits de l’homme</w:t>
      </w:r>
      <w:r w:rsidRPr="00A331D8">
        <w:rPr>
          <w:lang w:val="fr-FR"/>
        </w:rPr>
        <w:t xml:space="preserve"> pour la période </w:t>
      </w:r>
      <w:r>
        <w:rPr>
          <w:lang w:val="fr-FR"/>
        </w:rPr>
        <w:t xml:space="preserve">de </w:t>
      </w:r>
      <w:r w:rsidRPr="00A331D8">
        <w:rPr>
          <w:lang w:val="fr-FR"/>
        </w:rPr>
        <w:t>2018</w:t>
      </w:r>
      <w:r>
        <w:rPr>
          <w:lang w:val="fr-FR"/>
        </w:rPr>
        <w:t xml:space="preserve"> à</w:t>
      </w:r>
      <w:r w:rsidR="00D8641B">
        <w:rPr>
          <w:lang w:val="fr-FR"/>
        </w:rPr>
        <w:t xml:space="preserve"> </w:t>
      </w:r>
      <w:r w:rsidRPr="00A331D8">
        <w:rPr>
          <w:lang w:val="fr-FR"/>
        </w:rPr>
        <w:t>202</w:t>
      </w:r>
      <w:r>
        <w:rPr>
          <w:lang w:val="fr-FR"/>
        </w:rPr>
        <w:t xml:space="preserve">1, en particulier en ce qui concerne la prévention </w:t>
      </w:r>
      <w:r>
        <w:t xml:space="preserve">de la </w:t>
      </w:r>
      <w:r w:rsidRPr="00D24DF3">
        <w:t>discrimination raciale</w:t>
      </w:r>
      <w:r>
        <w:t xml:space="preserve"> </w:t>
      </w:r>
      <w:r>
        <w:rPr>
          <w:lang w:val="fr-FR"/>
        </w:rPr>
        <w:t xml:space="preserve">et la lutte contre celle-ci, et sur les mesures visant à l’adoption d’un nouveau plan. Renseignements sur </w:t>
      </w:r>
      <w:r w:rsidRPr="007E2735">
        <w:rPr>
          <w:spacing w:val="-2"/>
          <w:lang w:val="fr-FR"/>
        </w:rPr>
        <w:t xml:space="preserve">les mesures </w:t>
      </w:r>
      <w:r>
        <w:rPr>
          <w:spacing w:val="-2"/>
          <w:lang w:val="fr-FR"/>
        </w:rPr>
        <w:t>prises</w:t>
      </w:r>
      <w:r w:rsidRPr="007E2735">
        <w:rPr>
          <w:spacing w:val="-2"/>
          <w:lang w:val="fr-FR"/>
        </w:rPr>
        <w:t xml:space="preserve"> ou envisagées afin d</w:t>
      </w:r>
      <w:r>
        <w:rPr>
          <w:spacing w:val="-2"/>
          <w:lang w:val="fr-FR"/>
        </w:rPr>
        <w:t>’adopter un plan d’action national visant à lutter contre le racisme, la discrimination raciale, la xénophobie et l’intolérance qui y est associée</w:t>
      </w:r>
      <w:r w:rsidRPr="00D8641B">
        <w:rPr>
          <w:rStyle w:val="Appelnotedebasdep"/>
        </w:rPr>
        <w:footnoteReference w:id="10"/>
      </w:r>
      <w:r>
        <w:rPr>
          <w:spacing w:val="-1"/>
        </w:rPr>
        <w:t>.</w:t>
      </w:r>
      <w:r>
        <w:t xml:space="preserve"> </w:t>
      </w:r>
      <w:r>
        <w:rPr>
          <w:spacing w:val="-2"/>
          <w:lang w:val="fr-FR"/>
        </w:rPr>
        <w:t xml:space="preserve">Renseignements </w:t>
      </w:r>
      <w:r>
        <w:t>sur les mesures adoptées et sur le programme des activités organisées dans le pays à l’occasion de la Décennie internationale des personnes d’ascendance africaine.</w:t>
      </w:r>
      <w:r>
        <w:rPr>
          <w:spacing w:val="-2"/>
          <w:lang w:val="fr-FR"/>
        </w:rPr>
        <w:t xml:space="preserve"> </w:t>
      </w:r>
    </w:p>
    <w:p w14:paraId="13D44853" w14:textId="77777777" w:rsidR="00655DEA" w:rsidRPr="00D76EC9" w:rsidRDefault="00655DEA" w:rsidP="00655DEA">
      <w:pPr>
        <w:pStyle w:val="H23G"/>
      </w:pPr>
      <w:r>
        <w:tab/>
      </w:r>
      <w:r>
        <w:tab/>
      </w:r>
      <w:r w:rsidRPr="00694FE2">
        <w:t xml:space="preserve">Situation des minorités </w:t>
      </w:r>
      <w:r w:rsidRPr="00694FE2">
        <w:rPr>
          <w:lang w:val="fr-FR"/>
        </w:rPr>
        <w:t>(art. 5)</w:t>
      </w:r>
    </w:p>
    <w:p w14:paraId="51E746AF" w14:textId="77777777" w:rsidR="00655DEA" w:rsidRPr="00165887" w:rsidRDefault="00655DEA" w:rsidP="00655DEA">
      <w:pPr>
        <w:pStyle w:val="SingleTxtG"/>
        <w:rPr>
          <w:lang w:val="fr-FR"/>
        </w:rPr>
      </w:pPr>
      <w:r w:rsidRPr="00165887">
        <w:rPr>
          <w:lang w:val="fr-FR"/>
        </w:rPr>
        <w:t>10.</w:t>
      </w:r>
      <w:r w:rsidRPr="00165887">
        <w:rPr>
          <w:lang w:val="fr-FR"/>
        </w:rPr>
        <w:tab/>
      </w:r>
      <w:r>
        <w:t xml:space="preserve">Mesures, y compris les mesures spéciales ou d’action positive, prises dans le but de lutter contre les formes multiples de discrimination dont font l’objet </w:t>
      </w:r>
      <w:r w:rsidRPr="005B2960">
        <w:t>des minorités</w:t>
      </w:r>
      <w:r>
        <w:t>,</w:t>
      </w:r>
      <w:r w:rsidRPr="005B2960">
        <w:t xml:space="preserve"> </w:t>
      </w:r>
      <w:r>
        <w:t>en particulier l</w:t>
      </w:r>
      <w:r w:rsidRPr="00094959">
        <w:t xml:space="preserve">es Amazighs, </w:t>
      </w:r>
      <w:r>
        <w:t xml:space="preserve">les </w:t>
      </w:r>
      <w:r w:rsidRPr="00094959">
        <w:t>Sahraouis</w:t>
      </w:r>
      <w:r>
        <w:rPr>
          <w:lang w:val="fr-FR"/>
        </w:rPr>
        <w:t xml:space="preserve">, les citoyens marocains noirs et </w:t>
      </w:r>
      <w:r>
        <w:t>les non-ressortissants, y compris les migrants, demandeurs d’asile et réfugiés provenant de pays africains du sud du Sahara, et de garantir que ces personnes jouissent effectivement de leurs droits. Le cas échéant, précisions sur les résultats concrets de l’application de telles mesures et la participation des personnes appartenant à ces groupes à la conception, à l’application et à l’évaluation de ces mesures.</w:t>
      </w:r>
    </w:p>
    <w:p w14:paraId="308F79B2" w14:textId="77777777" w:rsidR="00655DEA" w:rsidRPr="007C7AA2" w:rsidRDefault="00655DEA" w:rsidP="00655DEA">
      <w:pPr>
        <w:pStyle w:val="SingleTxtG"/>
        <w:tabs>
          <w:tab w:val="clear" w:pos="1701"/>
          <w:tab w:val="clear" w:pos="2268"/>
          <w:tab w:val="clear" w:pos="2835"/>
        </w:tabs>
        <w:rPr>
          <w:lang w:val="fr-FR"/>
        </w:rPr>
      </w:pPr>
      <w:r w:rsidRPr="007C7AA2">
        <w:rPr>
          <w:lang w:val="fr-FR"/>
        </w:rPr>
        <w:t>11.</w:t>
      </w:r>
      <w:r w:rsidRPr="007C7AA2">
        <w:rPr>
          <w:lang w:val="fr-FR"/>
        </w:rPr>
        <w:tab/>
      </w:r>
      <w:r w:rsidRPr="00117C76">
        <w:t>Mesures</w:t>
      </w:r>
      <w:r>
        <w:t xml:space="preserve"> prises pour accroître la participation des personnes amazighes, sahraouies et des citoyens marocains noirs, en particulier des femmes appartenant à ces groupes, à la vie politique et aux affaires publiques à tous les niveaux de l’administration, et pour faire en sorte qu’elles soient davantage représentées au niveau décisionnel tant dans le secteur public que dans le secteur privé</w:t>
      </w:r>
      <w:r w:rsidRPr="00D8641B">
        <w:rPr>
          <w:rStyle w:val="Appelnotedebasdep"/>
        </w:rPr>
        <w:footnoteReference w:id="11"/>
      </w:r>
      <w:r>
        <w:t xml:space="preserve">. </w:t>
      </w:r>
      <w:r w:rsidRPr="007C7AA2">
        <w:rPr>
          <w:lang w:val="fr-FR"/>
        </w:rPr>
        <w:t xml:space="preserve">Mesures adoptées ou envisagées pour garantir aux </w:t>
      </w:r>
      <w:r>
        <w:rPr>
          <w:lang w:val="fr-FR"/>
        </w:rPr>
        <w:t>personnes appartenant à ces groupes</w:t>
      </w:r>
      <w:r w:rsidRPr="007C7AA2">
        <w:rPr>
          <w:lang w:val="fr-FR"/>
        </w:rPr>
        <w:t xml:space="preserve"> l</w:t>
      </w:r>
      <w:r>
        <w:rPr>
          <w:lang w:val="fr-FR"/>
        </w:rPr>
        <w:t>’</w:t>
      </w:r>
      <w:r w:rsidRPr="007C7AA2">
        <w:rPr>
          <w:lang w:val="fr-FR"/>
        </w:rPr>
        <w:t xml:space="preserve">exercice de </w:t>
      </w:r>
      <w:r>
        <w:rPr>
          <w:lang w:val="fr-FR"/>
        </w:rPr>
        <w:t xml:space="preserve">leurs </w:t>
      </w:r>
      <w:r w:rsidRPr="007C7AA2">
        <w:rPr>
          <w:lang w:val="fr-FR"/>
        </w:rPr>
        <w:t xml:space="preserve">droits civils et politiques, </w:t>
      </w:r>
      <w:r>
        <w:rPr>
          <w:lang w:val="fr-FR"/>
        </w:rPr>
        <w:t>notamment</w:t>
      </w:r>
      <w:r w:rsidRPr="007C7AA2">
        <w:rPr>
          <w:lang w:val="fr-FR"/>
        </w:rPr>
        <w:t xml:space="preserve"> les droits à la liberté d</w:t>
      </w:r>
      <w:r>
        <w:rPr>
          <w:lang w:val="fr-FR"/>
        </w:rPr>
        <w:t>’</w:t>
      </w:r>
      <w:r w:rsidRPr="007C7AA2">
        <w:rPr>
          <w:lang w:val="fr-FR"/>
        </w:rPr>
        <w:t>opinion, d</w:t>
      </w:r>
      <w:r>
        <w:rPr>
          <w:lang w:val="fr-FR"/>
        </w:rPr>
        <w:t>’</w:t>
      </w:r>
      <w:r w:rsidRPr="007C7AA2">
        <w:rPr>
          <w:lang w:val="fr-FR"/>
        </w:rPr>
        <w:t>expression ainsi que de réunion pacifique et d</w:t>
      </w:r>
      <w:r>
        <w:rPr>
          <w:lang w:val="fr-FR"/>
        </w:rPr>
        <w:t>’</w:t>
      </w:r>
      <w:r w:rsidRPr="007C7AA2">
        <w:rPr>
          <w:lang w:val="fr-FR"/>
        </w:rPr>
        <w:t>association</w:t>
      </w:r>
      <w:r w:rsidRPr="00D8641B">
        <w:rPr>
          <w:rStyle w:val="Appelnotedebasdep"/>
        </w:rPr>
        <w:footnoteReference w:id="12"/>
      </w:r>
      <w:r>
        <w:rPr>
          <w:lang w:val="fr-FR"/>
        </w:rPr>
        <w:t>.</w:t>
      </w:r>
      <w:r>
        <w:t xml:space="preserve"> </w:t>
      </w:r>
      <w:r>
        <w:rPr>
          <w:lang w:val="fr-FR"/>
        </w:rPr>
        <w:lastRenderedPageBreak/>
        <w:t>Renseignements actualisés sur les mesures prises pour garantir dans la pratique l’enregistrement des prénoms amazighs</w:t>
      </w:r>
      <w:r w:rsidRPr="00D8641B">
        <w:rPr>
          <w:rStyle w:val="Appelnotedebasdep"/>
        </w:rPr>
        <w:footnoteReference w:id="13"/>
      </w:r>
      <w:r>
        <w:rPr>
          <w:spacing w:val="-1"/>
        </w:rPr>
        <w:t xml:space="preserve">. </w:t>
      </w:r>
    </w:p>
    <w:p w14:paraId="0B3C7E81" w14:textId="77777777" w:rsidR="00655DEA" w:rsidRPr="000364BE" w:rsidRDefault="00655DEA" w:rsidP="00655DEA">
      <w:pPr>
        <w:pStyle w:val="SingleTxtG"/>
        <w:rPr>
          <w:lang w:val="fr-FR"/>
        </w:rPr>
      </w:pPr>
      <w:r w:rsidRPr="000364BE">
        <w:rPr>
          <w:lang w:val="fr-FR"/>
        </w:rPr>
        <w:t>12.</w:t>
      </w:r>
      <w:r w:rsidRPr="000364BE">
        <w:rPr>
          <w:lang w:val="fr-FR"/>
        </w:rPr>
        <w:tab/>
      </w:r>
      <w:r w:rsidRPr="00117C76">
        <w:t>Renseignements à</w:t>
      </w:r>
      <w:r>
        <w:t xml:space="preserve"> jour sur les mesures prises pour réduire le niveau de pauvreté des personnes amazighes et sahraouies ainsi que des migrants, des demandeurs d’asile et des réfugiés. Mesures visant à garantir que ces personnes ont effectivement accès au logement, à l’éducation, au travail et aux services de santé et, le cas échéant, résultats concrets de l’application de ces mesures. Mesures prises pour garantir les droits fonciers des Amazighs et renseignements sur les allégations faisant état de déplacements forcés d</w:t>
      </w:r>
      <w:r>
        <w:rPr>
          <w:lang w:val="fr-FR"/>
        </w:rPr>
        <w:t>’</w:t>
      </w:r>
      <w:r>
        <w:t>Amazighs liés aux projets de développement</w:t>
      </w:r>
      <w:r w:rsidRPr="00D8641B">
        <w:rPr>
          <w:rStyle w:val="Appelnotedebasdep"/>
        </w:rPr>
        <w:footnoteReference w:id="14"/>
      </w:r>
      <w:r>
        <w:rPr>
          <w:spacing w:val="-1"/>
        </w:rPr>
        <w:t xml:space="preserve">. </w:t>
      </w:r>
    </w:p>
    <w:p w14:paraId="2ACDD05D" w14:textId="51D1B8CC" w:rsidR="00655DEA" w:rsidRPr="009155CC" w:rsidRDefault="00655DEA" w:rsidP="00655DEA">
      <w:pPr>
        <w:pStyle w:val="SingleTxtG"/>
        <w:rPr>
          <w:lang w:val="fr-FR"/>
        </w:rPr>
      </w:pPr>
      <w:r w:rsidRPr="009155CC">
        <w:rPr>
          <w:lang w:val="fr-FR"/>
        </w:rPr>
        <w:t>13.</w:t>
      </w:r>
      <w:r w:rsidRPr="009155CC">
        <w:rPr>
          <w:lang w:val="fr-FR"/>
        </w:rPr>
        <w:tab/>
      </w:r>
      <w:r w:rsidRPr="00117C76">
        <w:t>Informations</w:t>
      </w:r>
      <w:r>
        <w:t xml:space="preserve"> actualisées sur les mesures prises pour promouvoir la langue et la culture amazighes, y compris sur la mise en œuvre de la loi organique </w:t>
      </w:r>
      <w:r w:rsidR="00D8641B">
        <w:rPr>
          <w:rFonts w:eastAsia="MS Mincho"/>
        </w:rPr>
        <w:t>n</w:t>
      </w:r>
      <w:r w:rsidR="00D8641B">
        <w:rPr>
          <w:rFonts w:eastAsia="MS Mincho"/>
          <w:vertAlign w:val="superscript"/>
        </w:rPr>
        <w:t>o</w:t>
      </w:r>
      <w:r w:rsidR="00D8641B">
        <w:t> </w:t>
      </w:r>
      <w:r>
        <w:t xml:space="preserve">26-16 du 12 septembre 2019 et la création du Conseil national des langues et de la culture marocaine, qui a absorbé </w:t>
      </w:r>
      <w:r w:rsidRPr="003C7993">
        <w:t>l</w:t>
      </w:r>
      <w:r>
        <w:t>’</w:t>
      </w:r>
      <w:r w:rsidRPr="003C7993">
        <w:t>Institut royal de la culture amazighe</w:t>
      </w:r>
      <w:r>
        <w:t xml:space="preserve">, et, le cas échéant, sur les résultats concrets de ces mesures. Renseignements sur les mesures prises pour renforcer l’enseignement de la langue amazighe, y compris pour accroître le nombre d’enseignants et enseignantes de cette langue </w:t>
      </w:r>
      <w:r w:rsidRPr="00605368">
        <w:t>à tous les niveaux d</w:t>
      </w:r>
      <w:r>
        <w:t>’</w:t>
      </w:r>
      <w:r w:rsidRPr="00605368">
        <w:t>éducation</w:t>
      </w:r>
      <w:r>
        <w:t>, et pour augmenter les émissions en langue amazighe dans les médias audiovisuels.</w:t>
      </w:r>
      <w:r w:rsidRPr="005B2960">
        <w:rPr>
          <w:rStyle w:val="Appelnotedebasdep"/>
          <w:sz w:val="20"/>
          <w:vertAlign w:val="baseline"/>
        </w:rPr>
        <w:t xml:space="preserve"> </w:t>
      </w:r>
      <w:r>
        <w:t xml:space="preserve">Précisions sur l’inclusion de la langue et de l’alphabet amazighs dans les </w:t>
      </w:r>
      <w:r>
        <w:rPr>
          <w:lang w:val="fr-FR"/>
        </w:rPr>
        <w:t xml:space="preserve">développements législatifs relatifs </w:t>
      </w:r>
      <w:r w:rsidRPr="00D832FC">
        <w:rPr>
          <w:lang w:val="fr-FR"/>
        </w:rPr>
        <w:t xml:space="preserve">à la </w:t>
      </w:r>
      <w:r>
        <w:rPr>
          <w:lang w:val="fr-FR"/>
        </w:rPr>
        <w:t>c</w:t>
      </w:r>
      <w:r w:rsidRPr="00D832FC">
        <w:rPr>
          <w:lang w:val="fr-FR"/>
        </w:rPr>
        <w:t xml:space="preserve">arte </w:t>
      </w:r>
      <w:r>
        <w:rPr>
          <w:lang w:val="fr-FR"/>
        </w:rPr>
        <w:t xml:space="preserve">nationale </w:t>
      </w:r>
      <w:r w:rsidRPr="00D832FC">
        <w:rPr>
          <w:lang w:val="fr-FR"/>
        </w:rPr>
        <w:t>d</w:t>
      </w:r>
      <w:r>
        <w:rPr>
          <w:lang w:val="fr-FR"/>
        </w:rPr>
        <w:t>’</w:t>
      </w:r>
      <w:r w:rsidRPr="00D832FC">
        <w:rPr>
          <w:lang w:val="fr-FR"/>
        </w:rPr>
        <w:t>identité électronique</w:t>
      </w:r>
      <w:r w:rsidRPr="00D8641B">
        <w:rPr>
          <w:rStyle w:val="Appelnotedebasdep"/>
        </w:rPr>
        <w:footnoteReference w:id="15"/>
      </w:r>
      <w:r>
        <w:rPr>
          <w:spacing w:val="-1"/>
        </w:rPr>
        <w:t>.</w:t>
      </w:r>
      <w:r>
        <w:rPr>
          <w:rStyle w:val="Appelnotedebasdep"/>
          <w:spacing w:val="-1"/>
        </w:rPr>
        <w:t xml:space="preserve"> </w:t>
      </w:r>
    </w:p>
    <w:p w14:paraId="34BF4DC9" w14:textId="75AB55EE" w:rsidR="00655DEA" w:rsidRPr="00D76EC9" w:rsidRDefault="00655DEA" w:rsidP="00D8641B">
      <w:pPr>
        <w:pStyle w:val="H23G"/>
      </w:pPr>
      <w:r>
        <w:tab/>
      </w:r>
      <w:r>
        <w:tab/>
        <w:t xml:space="preserve">Situation des non-ressortissants, notamment des migrants, des réfugiés, </w:t>
      </w:r>
      <w:r w:rsidR="00D8641B">
        <w:br/>
      </w:r>
      <w:r>
        <w:t xml:space="preserve">des demandeurs d’asile et des apatrides </w:t>
      </w:r>
      <w:r>
        <w:rPr>
          <w:lang w:val="fr-FR"/>
        </w:rPr>
        <w:t>(art.</w:t>
      </w:r>
      <w:r w:rsidRPr="005058AB">
        <w:rPr>
          <w:lang w:val="fr-FR"/>
        </w:rPr>
        <w:t xml:space="preserve"> </w:t>
      </w:r>
      <w:r>
        <w:rPr>
          <w:lang w:val="fr-FR"/>
        </w:rPr>
        <w:t>5)</w:t>
      </w:r>
    </w:p>
    <w:p w14:paraId="2A17F53B" w14:textId="5309FA2E" w:rsidR="00655DEA" w:rsidRPr="004F7D6B" w:rsidRDefault="00655DEA" w:rsidP="00655DEA">
      <w:pPr>
        <w:pStyle w:val="SingleTxtG"/>
        <w:rPr>
          <w:lang w:val="fr-FR"/>
        </w:rPr>
      </w:pPr>
      <w:r w:rsidRPr="004F7D6B">
        <w:rPr>
          <w:lang w:val="fr-FR"/>
        </w:rPr>
        <w:t>14.</w:t>
      </w:r>
      <w:r w:rsidRPr="004F7D6B">
        <w:rPr>
          <w:lang w:val="fr-FR"/>
        </w:rPr>
        <w:tab/>
      </w:r>
      <w:r w:rsidRPr="00380831">
        <w:rPr>
          <w:lang w:val="fr-FR"/>
        </w:rPr>
        <w:t>Mesures prises</w:t>
      </w:r>
      <w:r>
        <w:rPr>
          <w:lang w:val="fr-FR"/>
        </w:rPr>
        <w:t xml:space="preserve"> pour harmoniser la loi </w:t>
      </w:r>
      <w:r w:rsidR="00D8641B" w:rsidRPr="00D8641B">
        <w:rPr>
          <w:rFonts w:eastAsia="MS Mincho"/>
          <w:lang w:val="fr-FR"/>
        </w:rPr>
        <w:t>n</w:t>
      </w:r>
      <w:r w:rsidR="00D8641B" w:rsidRPr="00D8641B">
        <w:rPr>
          <w:rFonts w:eastAsia="MS Mincho"/>
          <w:vertAlign w:val="superscript"/>
          <w:lang w:val="fr-FR"/>
        </w:rPr>
        <w:t>o</w:t>
      </w:r>
      <w:r w:rsidR="00D8641B">
        <w:rPr>
          <w:lang w:val="fr-FR"/>
        </w:rPr>
        <w:t> </w:t>
      </w:r>
      <w:r>
        <w:rPr>
          <w:lang w:val="fr-FR"/>
        </w:rPr>
        <w:t>02-03 du 11 novembre</w:t>
      </w:r>
      <w:r w:rsidR="00D8641B">
        <w:rPr>
          <w:lang w:val="fr-FR"/>
        </w:rPr>
        <w:t xml:space="preserve"> </w:t>
      </w:r>
      <w:r>
        <w:rPr>
          <w:lang w:val="fr-FR"/>
        </w:rPr>
        <w:t xml:space="preserve">2003 </w:t>
      </w:r>
      <w:r w:rsidRPr="00C52DAE">
        <w:rPr>
          <w:lang w:val="fr-FR"/>
        </w:rPr>
        <w:t>relative à l</w:t>
      </w:r>
      <w:r>
        <w:rPr>
          <w:lang w:val="fr-FR"/>
        </w:rPr>
        <w:t>’</w:t>
      </w:r>
      <w:r w:rsidRPr="00C52DAE">
        <w:rPr>
          <w:lang w:val="fr-FR"/>
        </w:rPr>
        <w:t>entrée et au séjour des étrangers</w:t>
      </w:r>
      <w:r>
        <w:rPr>
          <w:lang w:val="fr-FR"/>
        </w:rPr>
        <w:t xml:space="preserve"> au Royaume du Maroc</w:t>
      </w:r>
      <w:r w:rsidRPr="00C52DAE">
        <w:rPr>
          <w:lang w:val="fr-FR"/>
        </w:rPr>
        <w:t>, à l</w:t>
      </w:r>
      <w:r>
        <w:rPr>
          <w:lang w:val="fr-FR"/>
        </w:rPr>
        <w:t>’</w:t>
      </w:r>
      <w:r w:rsidRPr="00C52DAE">
        <w:rPr>
          <w:lang w:val="fr-FR"/>
        </w:rPr>
        <w:t>émigration et l</w:t>
      </w:r>
      <w:r>
        <w:rPr>
          <w:lang w:val="fr-FR"/>
        </w:rPr>
        <w:t>’</w:t>
      </w:r>
      <w:r w:rsidRPr="00C52DAE">
        <w:rPr>
          <w:lang w:val="fr-FR"/>
        </w:rPr>
        <w:t>immigration irrégulières</w:t>
      </w:r>
      <w:r>
        <w:rPr>
          <w:lang w:val="fr-FR"/>
        </w:rPr>
        <w:t xml:space="preserve"> avec les obligations internationales en la matière, en particulier les dispositions qui érigent en infraction pénale la migration irrégulière. Impact de la Stratégie nationale d’immigration et d’asile de 2014 </w:t>
      </w:r>
      <w:r>
        <w:t>sur la garantie du respect des droits fondamentaux des non</w:t>
      </w:r>
      <w:r w:rsidR="00D8641B">
        <w:noBreakHyphen/>
      </w:r>
      <w:r>
        <w:t>ressortissants, notamment en ce qui concerne l’accès au logement, à l’emploi et aux services de santé et d’éducation sans discrimination,</w:t>
      </w:r>
      <w:r w:rsidRPr="00D8641B">
        <w:t xml:space="preserve"> </w:t>
      </w:r>
      <w:r>
        <w:t>et renseignements sur l’évolution des ressources humaines, techniques et financières allouées pour sa mise en œuvre. Informations sur les institutions chargées de l’intégration des non-ressortissants et de la lutte contre la discrimination raciale, le racisme et la xénophobie à l’égard de ces groupes</w:t>
      </w:r>
      <w:r w:rsidRPr="00D8641B">
        <w:rPr>
          <w:rStyle w:val="Appelnotedebasdep"/>
        </w:rPr>
        <w:footnoteReference w:id="16"/>
      </w:r>
      <w:r>
        <w:rPr>
          <w:spacing w:val="-1"/>
        </w:rPr>
        <w:t>.</w:t>
      </w:r>
    </w:p>
    <w:p w14:paraId="7427B0C5" w14:textId="24890125" w:rsidR="00655DEA" w:rsidRPr="00330142" w:rsidRDefault="00655DEA" w:rsidP="00655DEA">
      <w:pPr>
        <w:pStyle w:val="SingleTxtG"/>
        <w:rPr>
          <w:lang w:val="fr-FR"/>
        </w:rPr>
      </w:pPr>
      <w:r w:rsidRPr="00330142">
        <w:rPr>
          <w:lang w:val="fr-FR"/>
        </w:rPr>
        <w:t>15.</w:t>
      </w:r>
      <w:r w:rsidRPr="00330142">
        <w:rPr>
          <w:lang w:val="fr-FR"/>
        </w:rPr>
        <w:tab/>
      </w:r>
      <w:r w:rsidRPr="00380831">
        <w:t>Mesures</w:t>
      </w:r>
      <w:r>
        <w:t xml:space="preserve"> adoptées pour garantir l’application du principe de non-refoulement sans discrimination et pour mettre fin aux pratiques de profilage racial, aux réinstallations forcées, aux arrestations et détentions arbitraires, au recours excessif à la force par les membres des forces de l’ordre et aux renvois forcés à l’égard de non-ressortissants, notamment des migrants provenant de pays africains du sud du Sahara</w:t>
      </w:r>
      <w:r w:rsidRPr="00D8641B">
        <w:rPr>
          <w:rStyle w:val="Appelnotedebasdep"/>
        </w:rPr>
        <w:footnoteReference w:id="17"/>
      </w:r>
      <w:r>
        <w:t xml:space="preserve">. Renseignements sur les enquêtes menées, les poursuites engagées, les </w:t>
      </w:r>
      <w:r w:rsidRPr="00D72EFD">
        <w:rPr>
          <w:lang w:val="fr-FR"/>
        </w:rPr>
        <w:t xml:space="preserve">sanctions imposées et </w:t>
      </w:r>
      <w:r>
        <w:rPr>
          <w:lang w:val="fr-FR"/>
        </w:rPr>
        <w:t xml:space="preserve">les </w:t>
      </w:r>
      <w:r w:rsidRPr="00D72EFD">
        <w:rPr>
          <w:lang w:val="fr-FR"/>
        </w:rPr>
        <w:t>réparations accordées aux victimes</w:t>
      </w:r>
      <w:r>
        <w:rPr>
          <w:lang w:val="fr-FR"/>
        </w:rPr>
        <w:t xml:space="preserve"> de ces pratiques, y compris le résultat des enquêtes menées sur les actions entreprises le 24 juin</w:t>
      </w:r>
      <w:r w:rsidR="00D8641B">
        <w:rPr>
          <w:lang w:val="fr-FR"/>
        </w:rPr>
        <w:t xml:space="preserve"> </w:t>
      </w:r>
      <w:r>
        <w:rPr>
          <w:lang w:val="fr-FR"/>
        </w:rPr>
        <w:t>2022 par les forces de l’ordre de l’État partie contre des migrants au poste-frontière situé entre Nador et Melilla</w:t>
      </w:r>
      <w:r w:rsidRPr="00D8641B">
        <w:rPr>
          <w:rStyle w:val="Appelnotedebasdep"/>
        </w:rPr>
        <w:footnoteReference w:id="18"/>
      </w:r>
      <w:r>
        <w:rPr>
          <w:spacing w:val="-1"/>
        </w:rPr>
        <w:t xml:space="preserve">. </w:t>
      </w:r>
    </w:p>
    <w:p w14:paraId="31B57BB0" w14:textId="77777777" w:rsidR="00655DEA" w:rsidRPr="00183DED" w:rsidRDefault="00655DEA" w:rsidP="00655DEA">
      <w:pPr>
        <w:pStyle w:val="SingleTxtG"/>
        <w:rPr>
          <w:spacing w:val="-1"/>
          <w:lang w:val="fr-FR"/>
        </w:rPr>
      </w:pPr>
      <w:r w:rsidRPr="00183DED">
        <w:rPr>
          <w:spacing w:val="-1"/>
          <w:lang w:val="fr-FR"/>
        </w:rPr>
        <w:lastRenderedPageBreak/>
        <w:t>16.</w:t>
      </w:r>
      <w:r w:rsidRPr="00183DED">
        <w:rPr>
          <w:spacing w:val="-1"/>
          <w:lang w:val="fr-FR"/>
        </w:rPr>
        <w:tab/>
      </w:r>
      <w:r w:rsidRPr="00380831">
        <w:rPr>
          <w:spacing w:val="-1"/>
          <w:lang w:val="fr-FR"/>
        </w:rPr>
        <w:t>Mesures prises</w:t>
      </w:r>
      <w:r w:rsidRPr="008B6BA9">
        <w:rPr>
          <w:spacing w:val="-1"/>
          <w:lang w:val="fr-FR"/>
        </w:rPr>
        <w:t xml:space="preserve"> pour :</w:t>
      </w:r>
      <w:r w:rsidRPr="005B2960">
        <w:rPr>
          <w:rStyle w:val="Appelnotedebasdep"/>
          <w:spacing w:val="-1"/>
          <w:sz w:val="20"/>
          <w:vertAlign w:val="baseline"/>
          <w:lang w:val="fr-FR"/>
        </w:rPr>
        <w:t xml:space="preserve"> </w:t>
      </w:r>
      <w:r w:rsidRPr="008B6BA9">
        <w:rPr>
          <w:spacing w:val="-1"/>
          <w:lang w:val="fr-FR"/>
        </w:rPr>
        <w:t>a) adopter un cadre législatif relatif à la protection des réfugiés et des demandeurs d</w:t>
      </w:r>
      <w:r>
        <w:rPr>
          <w:spacing w:val="-1"/>
          <w:lang w:val="fr-FR"/>
        </w:rPr>
        <w:t>’</w:t>
      </w:r>
      <w:r w:rsidRPr="008B6BA9">
        <w:rPr>
          <w:spacing w:val="-1"/>
          <w:lang w:val="fr-FR"/>
        </w:rPr>
        <w:t>asile</w:t>
      </w:r>
      <w:r>
        <w:rPr>
          <w:spacing w:val="-1"/>
          <w:lang w:val="fr-FR"/>
        </w:rPr>
        <w:t xml:space="preserve"> qui </w:t>
      </w:r>
      <w:r>
        <w:t xml:space="preserve">soit conforme aux normes internationales, </w:t>
      </w:r>
      <w:r>
        <w:rPr>
          <w:spacing w:val="-1"/>
          <w:lang w:val="fr-FR"/>
        </w:rPr>
        <w:t xml:space="preserve">intègre les principes de non-refoulement et de non-discrimination, et prévoie une </w:t>
      </w:r>
      <w:r w:rsidRPr="00423F95">
        <w:rPr>
          <w:spacing w:val="-1"/>
          <w:lang w:val="fr-FR"/>
        </w:rPr>
        <w:t>procédure de détermination du statut de réfugié</w:t>
      </w:r>
      <w:r>
        <w:rPr>
          <w:spacing w:val="-1"/>
          <w:lang w:val="fr-FR"/>
        </w:rPr>
        <w:t> </w:t>
      </w:r>
      <w:r w:rsidRPr="008B6BA9">
        <w:rPr>
          <w:spacing w:val="-1"/>
          <w:lang w:val="fr-FR"/>
        </w:rPr>
        <w:t>; b) assurer un accès effectif aux procédures d</w:t>
      </w:r>
      <w:r>
        <w:rPr>
          <w:spacing w:val="-1"/>
          <w:lang w:val="fr-FR"/>
        </w:rPr>
        <w:t>’</w:t>
      </w:r>
      <w:r w:rsidRPr="008B6BA9">
        <w:rPr>
          <w:spacing w:val="-1"/>
          <w:lang w:val="fr-FR"/>
        </w:rPr>
        <w:t>asile à tous les points d</w:t>
      </w:r>
      <w:r>
        <w:rPr>
          <w:spacing w:val="-1"/>
          <w:lang w:val="fr-FR"/>
        </w:rPr>
        <w:t>’</w:t>
      </w:r>
      <w:r w:rsidRPr="008B6BA9">
        <w:rPr>
          <w:spacing w:val="-1"/>
          <w:lang w:val="fr-FR"/>
        </w:rPr>
        <w:t>entrée du pays, afin de garantir une protection efficace contre le refoulement ; et c)</w:t>
      </w:r>
      <w:r>
        <w:rPr>
          <w:spacing w:val="-1"/>
          <w:lang w:val="fr-FR"/>
        </w:rPr>
        <w:t xml:space="preserve"> f</w:t>
      </w:r>
      <w:r w:rsidRPr="008B6BA9">
        <w:rPr>
          <w:spacing w:val="-1"/>
          <w:lang w:val="fr-FR"/>
        </w:rPr>
        <w:t xml:space="preserve">aciliter la délivrance </w:t>
      </w:r>
      <w:r>
        <w:rPr>
          <w:spacing w:val="-1"/>
          <w:lang w:val="fr-FR"/>
        </w:rPr>
        <w:t xml:space="preserve">et le renouvellement </w:t>
      </w:r>
      <w:r w:rsidRPr="008B6BA9">
        <w:rPr>
          <w:spacing w:val="-1"/>
          <w:lang w:val="fr-FR"/>
        </w:rPr>
        <w:t>d</w:t>
      </w:r>
      <w:r>
        <w:rPr>
          <w:spacing w:val="-1"/>
          <w:lang w:val="fr-FR"/>
        </w:rPr>
        <w:t>es</w:t>
      </w:r>
      <w:r w:rsidRPr="008B6BA9">
        <w:rPr>
          <w:spacing w:val="-1"/>
          <w:lang w:val="fr-FR"/>
        </w:rPr>
        <w:t xml:space="preserve"> titre</w:t>
      </w:r>
      <w:r>
        <w:rPr>
          <w:spacing w:val="-1"/>
          <w:lang w:val="fr-FR"/>
        </w:rPr>
        <w:t>s</w:t>
      </w:r>
      <w:r w:rsidRPr="008B6BA9">
        <w:rPr>
          <w:spacing w:val="-1"/>
          <w:lang w:val="fr-FR"/>
        </w:rPr>
        <w:t xml:space="preserve"> de séjour </w:t>
      </w:r>
      <w:r>
        <w:rPr>
          <w:spacing w:val="-1"/>
          <w:lang w:val="fr-FR"/>
        </w:rPr>
        <w:t>aux non-ressortissants, notamment aux migrants, aux demandeurs d’asile et aux réfugiés</w:t>
      </w:r>
      <w:r w:rsidRPr="00D8641B">
        <w:rPr>
          <w:rStyle w:val="Appelnotedebasdep"/>
        </w:rPr>
        <w:footnoteReference w:id="19"/>
      </w:r>
      <w:r>
        <w:rPr>
          <w:spacing w:val="-1"/>
        </w:rPr>
        <w:t xml:space="preserve">. </w:t>
      </w:r>
    </w:p>
    <w:p w14:paraId="1A56EE2D" w14:textId="77777777" w:rsidR="00655DEA" w:rsidRDefault="00655DEA" w:rsidP="00655DEA">
      <w:pPr>
        <w:pStyle w:val="SingleTxtG"/>
        <w:rPr>
          <w:spacing w:val="-1"/>
        </w:rPr>
      </w:pPr>
      <w:r>
        <w:rPr>
          <w:spacing w:val="-1"/>
        </w:rPr>
        <w:t>17.</w:t>
      </w:r>
      <w:r>
        <w:rPr>
          <w:spacing w:val="-1"/>
        </w:rPr>
        <w:tab/>
      </w:r>
      <w:r w:rsidRPr="00380831">
        <w:rPr>
          <w:spacing w:val="-1"/>
        </w:rPr>
        <w:t>Mesures</w:t>
      </w:r>
      <w:r w:rsidRPr="00913A5F">
        <w:rPr>
          <w:spacing w:val="-1"/>
        </w:rPr>
        <w:t xml:space="preserve"> adoptées ou envisagées </w:t>
      </w:r>
      <w:r>
        <w:rPr>
          <w:spacing w:val="-1"/>
        </w:rPr>
        <w:t>afin de</w:t>
      </w:r>
      <w:r w:rsidRPr="00913A5F">
        <w:rPr>
          <w:spacing w:val="-1"/>
        </w:rPr>
        <w:t xml:space="preserve"> </w:t>
      </w:r>
      <w:r>
        <w:rPr>
          <w:spacing w:val="-1"/>
        </w:rPr>
        <w:t>m</w:t>
      </w:r>
      <w:r w:rsidRPr="00913A5F">
        <w:rPr>
          <w:spacing w:val="-1"/>
        </w:rPr>
        <w:t xml:space="preserve">ettre en place un cadre juridique national pour la protection des </w:t>
      </w:r>
      <w:r>
        <w:rPr>
          <w:spacing w:val="-1"/>
        </w:rPr>
        <w:t xml:space="preserve">personnes </w:t>
      </w:r>
      <w:r w:rsidRPr="00913A5F">
        <w:rPr>
          <w:spacing w:val="-1"/>
        </w:rPr>
        <w:t>apatrides</w:t>
      </w:r>
      <w:r>
        <w:rPr>
          <w:spacing w:val="-1"/>
        </w:rPr>
        <w:t xml:space="preserve">, et de </w:t>
      </w:r>
      <w:r w:rsidRPr="00913A5F">
        <w:rPr>
          <w:spacing w:val="-1"/>
        </w:rPr>
        <w:t>préven</w:t>
      </w:r>
      <w:r>
        <w:rPr>
          <w:spacing w:val="-1"/>
        </w:rPr>
        <w:t>ir</w:t>
      </w:r>
      <w:r w:rsidRPr="00913A5F">
        <w:rPr>
          <w:spacing w:val="-1"/>
        </w:rPr>
        <w:t xml:space="preserve"> et rédu</w:t>
      </w:r>
      <w:r>
        <w:rPr>
          <w:spacing w:val="-1"/>
        </w:rPr>
        <w:t>ire</w:t>
      </w:r>
      <w:r w:rsidRPr="00913A5F">
        <w:rPr>
          <w:spacing w:val="-1"/>
        </w:rPr>
        <w:t xml:space="preserve"> </w:t>
      </w:r>
      <w:r>
        <w:rPr>
          <w:spacing w:val="-1"/>
        </w:rPr>
        <w:t>l</w:t>
      </w:r>
      <w:r w:rsidRPr="00913A5F">
        <w:rPr>
          <w:spacing w:val="-1"/>
        </w:rPr>
        <w:t>es cas d</w:t>
      </w:r>
      <w:r>
        <w:rPr>
          <w:spacing w:val="-1"/>
        </w:rPr>
        <w:t>’</w:t>
      </w:r>
      <w:r w:rsidRPr="00913A5F">
        <w:rPr>
          <w:spacing w:val="-1"/>
        </w:rPr>
        <w:t xml:space="preserve">apatridie, notamment </w:t>
      </w:r>
      <w:r>
        <w:rPr>
          <w:spacing w:val="-1"/>
        </w:rPr>
        <w:t xml:space="preserve">des </w:t>
      </w:r>
      <w:r w:rsidRPr="00913A5F">
        <w:rPr>
          <w:spacing w:val="-1"/>
        </w:rPr>
        <w:t>enfant</w:t>
      </w:r>
      <w:r>
        <w:rPr>
          <w:spacing w:val="-1"/>
        </w:rPr>
        <w:t>s</w:t>
      </w:r>
      <w:r w:rsidRPr="00913A5F">
        <w:rPr>
          <w:spacing w:val="-1"/>
        </w:rPr>
        <w:t xml:space="preserve"> né</w:t>
      </w:r>
      <w:r>
        <w:rPr>
          <w:spacing w:val="-1"/>
        </w:rPr>
        <w:t>s</w:t>
      </w:r>
      <w:r w:rsidRPr="00913A5F">
        <w:rPr>
          <w:spacing w:val="-1"/>
        </w:rPr>
        <w:t xml:space="preserve"> </w:t>
      </w:r>
      <w:r>
        <w:rPr>
          <w:spacing w:val="-1"/>
        </w:rPr>
        <w:t xml:space="preserve">dans l’État partie </w:t>
      </w:r>
      <w:r w:rsidRPr="00913A5F">
        <w:rPr>
          <w:spacing w:val="-1"/>
        </w:rPr>
        <w:t>qui</w:t>
      </w:r>
      <w:r>
        <w:rPr>
          <w:spacing w:val="-1"/>
        </w:rPr>
        <w:t xml:space="preserve">, sinon, </w:t>
      </w:r>
      <w:r w:rsidRPr="00913A5F">
        <w:rPr>
          <w:spacing w:val="-1"/>
        </w:rPr>
        <w:t>serai</w:t>
      </w:r>
      <w:r>
        <w:rPr>
          <w:spacing w:val="-1"/>
        </w:rPr>
        <w:t>en</w:t>
      </w:r>
      <w:r w:rsidRPr="00913A5F">
        <w:rPr>
          <w:spacing w:val="-1"/>
        </w:rPr>
        <w:t>t apatride</w:t>
      </w:r>
      <w:r>
        <w:rPr>
          <w:spacing w:val="-1"/>
        </w:rPr>
        <w:t>s.</w:t>
      </w:r>
    </w:p>
    <w:p w14:paraId="13FBE2A8" w14:textId="77777777" w:rsidR="00655DEA" w:rsidRPr="00D76EC9" w:rsidRDefault="00655DEA" w:rsidP="00655DEA">
      <w:pPr>
        <w:pStyle w:val="H23G"/>
      </w:pPr>
      <w:r>
        <w:tab/>
      </w:r>
      <w:r>
        <w:tab/>
        <w:t xml:space="preserve">Accès à la justice </w:t>
      </w:r>
      <w:r>
        <w:rPr>
          <w:lang w:val="fr-FR"/>
        </w:rPr>
        <w:t>(art.</w:t>
      </w:r>
      <w:r w:rsidRPr="005058AB">
        <w:rPr>
          <w:lang w:val="fr-FR"/>
        </w:rPr>
        <w:t xml:space="preserve"> </w:t>
      </w:r>
      <w:r>
        <w:rPr>
          <w:lang w:val="fr-FR"/>
        </w:rPr>
        <w:t>5 et 6)</w:t>
      </w:r>
      <w:r>
        <w:t xml:space="preserve"> </w:t>
      </w:r>
    </w:p>
    <w:p w14:paraId="4133043F" w14:textId="3C8718FF" w:rsidR="00655DEA" w:rsidRPr="00D72EFD" w:rsidRDefault="00655DEA" w:rsidP="00655DEA">
      <w:pPr>
        <w:pStyle w:val="SingleTxtG"/>
      </w:pPr>
      <w:r w:rsidRPr="00D72EFD">
        <w:t>18.</w:t>
      </w:r>
      <w:r w:rsidRPr="00D72EFD">
        <w:tab/>
      </w:r>
      <w:r>
        <w:rPr>
          <w:lang w:val="fr-FR"/>
        </w:rPr>
        <w:t>Renseignements sur les p</w:t>
      </w:r>
      <w:r w:rsidRPr="00380831">
        <w:rPr>
          <w:lang w:val="fr-FR"/>
        </w:rPr>
        <w:t>laintes</w:t>
      </w:r>
      <w:r w:rsidRPr="00D72EFD">
        <w:rPr>
          <w:lang w:val="fr-FR"/>
        </w:rPr>
        <w:t xml:space="preserve"> concernant des actes de discrimination raciale et des infractions connexes déposées auprès d</w:t>
      </w:r>
      <w:r>
        <w:rPr>
          <w:lang w:val="fr-FR"/>
        </w:rPr>
        <w:t>’</w:t>
      </w:r>
      <w:r w:rsidRPr="00D72EFD">
        <w:rPr>
          <w:lang w:val="fr-FR"/>
        </w:rPr>
        <w:t xml:space="preserve">instances judiciaires ou de toute autre institution nationale, notamment </w:t>
      </w:r>
      <w:r>
        <w:t>le Conseil national des droits de l’homme et le Médiateur</w:t>
      </w:r>
      <w:r>
        <w:rPr>
          <w:lang w:val="fr-FR"/>
        </w:rPr>
        <w:t>, et sur les</w:t>
      </w:r>
      <w:r w:rsidRPr="00D72EFD">
        <w:rPr>
          <w:lang w:val="fr-FR"/>
        </w:rPr>
        <w:t xml:space="preserve"> résultats des enquêtes menées, </w:t>
      </w:r>
      <w:r>
        <w:rPr>
          <w:lang w:val="fr-FR"/>
        </w:rPr>
        <w:t xml:space="preserve">les </w:t>
      </w:r>
      <w:r w:rsidRPr="00D72EFD">
        <w:rPr>
          <w:lang w:val="fr-FR"/>
        </w:rPr>
        <w:t xml:space="preserve">sanctions imposées et </w:t>
      </w:r>
      <w:r>
        <w:rPr>
          <w:lang w:val="fr-FR"/>
        </w:rPr>
        <w:t xml:space="preserve">les </w:t>
      </w:r>
      <w:r w:rsidRPr="00D72EFD">
        <w:rPr>
          <w:lang w:val="fr-FR"/>
        </w:rPr>
        <w:t>réparations accordées aux victimes. Renseignements sur les mesures prises pour faciliter le dépôt de plainte en cas de discrimination raciale, notamment le renversement de la charge de la preuve en faveur des victimes</w:t>
      </w:r>
      <w:r w:rsidRPr="00D8641B">
        <w:rPr>
          <w:rStyle w:val="Appelnotedebasdep"/>
        </w:rPr>
        <w:footnoteReference w:id="20"/>
      </w:r>
      <w:r>
        <w:rPr>
          <w:spacing w:val="-1"/>
        </w:rPr>
        <w:t>.</w:t>
      </w:r>
    </w:p>
    <w:p w14:paraId="5D36CE16" w14:textId="25D6B1B3" w:rsidR="00655DEA" w:rsidRPr="0057530B" w:rsidRDefault="00655DEA" w:rsidP="00655DEA">
      <w:pPr>
        <w:pStyle w:val="SingleTxtG"/>
        <w:rPr>
          <w:lang w:val="fr-FR"/>
        </w:rPr>
      </w:pPr>
      <w:r w:rsidRPr="0057530B">
        <w:rPr>
          <w:lang w:val="fr-FR"/>
        </w:rPr>
        <w:t>19.</w:t>
      </w:r>
      <w:r w:rsidRPr="0057530B">
        <w:rPr>
          <w:lang w:val="fr-FR"/>
        </w:rPr>
        <w:tab/>
      </w:r>
      <w:r w:rsidRPr="00380831">
        <w:t>Renseignements</w:t>
      </w:r>
      <w:r>
        <w:t xml:space="preserve"> complémentaires sur les mesures concrètes qui ont été adoptées pour améliorer l’accès à la justice des Amazighs, des Sahraouis, des citoyens marocains noirs, des non-ressortissants, notamment les migrants, demandeurs d’asile et réfugiés provenant de pays africains du sud du Sahara et d’autres minorités, en particulier les mesures visant à éliminer les obstacles dans le système judiciaire qui compliquent l’accès des victimes à la justice, entre autres la complexité des procédures, l’absence de mesures spécifiques pour informer sur les voies de recours et les obstacles linguistiques pour les non-arabophones</w:t>
      </w:r>
      <w:r w:rsidRPr="00D8641B">
        <w:rPr>
          <w:rStyle w:val="Appelnotedebasdep"/>
        </w:rPr>
        <w:footnoteReference w:id="21"/>
      </w:r>
      <w:r>
        <w:rPr>
          <w:spacing w:val="-1"/>
        </w:rPr>
        <w:t>.</w:t>
      </w:r>
    </w:p>
    <w:p w14:paraId="1A8CFCBC" w14:textId="1EE247E7" w:rsidR="00655DEA" w:rsidRPr="00B11353" w:rsidRDefault="00655DEA" w:rsidP="00655DEA">
      <w:pPr>
        <w:pStyle w:val="SingleTxtG"/>
        <w:rPr>
          <w:lang w:val="fr-FR"/>
        </w:rPr>
      </w:pPr>
      <w:r w:rsidRPr="00B11353">
        <w:rPr>
          <w:lang w:val="fr-FR"/>
        </w:rPr>
        <w:t>20.</w:t>
      </w:r>
      <w:r w:rsidRPr="00B11353">
        <w:rPr>
          <w:lang w:val="fr-FR"/>
        </w:rPr>
        <w:tab/>
      </w:r>
      <w:r w:rsidRPr="00F72B77">
        <w:t>Mesures prises</w:t>
      </w:r>
      <w:r>
        <w:t xml:space="preserve"> et envisagées, notamment dans le domaine législatif, pour prévenir, combattre et interdire expressément le profilage racial par les agents des forces de l’ordre. Mesures disciplinaires et correctionnelles particulières pour enquêter sur les cas de profilage racial et les sanctionner en pratique. Mesures visant à </w:t>
      </w:r>
      <w:r w:rsidRPr="00ED4314">
        <w:t>prévenir l</w:t>
      </w:r>
      <w:r>
        <w:t>’</w:t>
      </w:r>
      <w:r w:rsidRPr="00ED4314">
        <w:t>emploi excessif de la force par les agents des forces de l</w:t>
      </w:r>
      <w:r>
        <w:t>’</w:t>
      </w:r>
      <w:r w:rsidRPr="00ED4314">
        <w:t>ordre</w:t>
      </w:r>
      <w:r w:rsidRPr="00F20643">
        <w:t>,</w:t>
      </w:r>
      <w:r>
        <w:t xml:space="preserve"> les mauvais traitements et les abus d’autorité à l’égard des membres de minorités ethniques, en particulier des Amazighs, des Sahraouis et des non</w:t>
      </w:r>
      <w:r w:rsidR="00FE7D64">
        <w:noBreakHyphen/>
      </w:r>
      <w:r>
        <w:t xml:space="preserve">ressortissants, notamment les migrants, demandeurs d’asile et réfugiés provenant de pays africains du sud du Sahara. Mesures visant à garantir que de tels cas donnent rapidement lieu à une enquête efficace et impartiale ; et renseignements sur les enquêtes menées, les poursuites engagées, les </w:t>
      </w:r>
      <w:r w:rsidRPr="00D72EFD">
        <w:rPr>
          <w:lang w:val="fr-FR"/>
        </w:rPr>
        <w:t xml:space="preserve">sanctions imposées et </w:t>
      </w:r>
      <w:r>
        <w:rPr>
          <w:lang w:val="fr-FR"/>
        </w:rPr>
        <w:t xml:space="preserve">les </w:t>
      </w:r>
      <w:r w:rsidRPr="00D72EFD">
        <w:rPr>
          <w:lang w:val="fr-FR"/>
        </w:rPr>
        <w:t>réparations accordées aux victimes</w:t>
      </w:r>
      <w:r>
        <w:t xml:space="preserve">. </w:t>
      </w:r>
    </w:p>
    <w:p w14:paraId="2DC86A80" w14:textId="69ED3857" w:rsidR="00655DEA" w:rsidRPr="00D76EC9" w:rsidRDefault="00655DEA" w:rsidP="00655DEA">
      <w:pPr>
        <w:pStyle w:val="H23G"/>
      </w:pPr>
      <w:r>
        <w:tab/>
      </w:r>
      <w:r>
        <w:tab/>
        <w:t xml:space="preserve">Éducation pour lutter contre les préjugés et l’intolérance </w:t>
      </w:r>
      <w:r>
        <w:rPr>
          <w:lang w:val="fr-FR"/>
        </w:rPr>
        <w:t>(art.</w:t>
      </w:r>
      <w:r w:rsidRPr="005058AB">
        <w:rPr>
          <w:lang w:val="fr-FR"/>
        </w:rPr>
        <w:t xml:space="preserve"> </w:t>
      </w:r>
      <w:r>
        <w:rPr>
          <w:lang w:val="fr-FR"/>
        </w:rPr>
        <w:t>7)</w:t>
      </w:r>
    </w:p>
    <w:p w14:paraId="7CAA7ECC" w14:textId="77777777" w:rsidR="00655DEA" w:rsidRDefault="00655DEA" w:rsidP="00655DEA">
      <w:pPr>
        <w:pStyle w:val="SingleTxtG"/>
        <w:rPr>
          <w:lang w:val="fr-FR"/>
        </w:rPr>
      </w:pPr>
      <w:r>
        <w:rPr>
          <w:lang w:val="fr-FR"/>
        </w:rPr>
        <w:t>21.</w:t>
      </w:r>
      <w:r>
        <w:rPr>
          <w:lang w:val="fr-FR"/>
        </w:rPr>
        <w:tab/>
      </w:r>
      <w:r w:rsidRPr="00ED4314">
        <w:rPr>
          <w:spacing w:val="-1"/>
          <w:lang w:val="fr-FR"/>
        </w:rPr>
        <w:t>Renseignements</w:t>
      </w:r>
      <w:r w:rsidRPr="00ED38F5">
        <w:rPr>
          <w:spacing w:val="-1"/>
          <w:lang w:val="fr-FR"/>
        </w:rPr>
        <w:t xml:space="preserve"> additionnels et </w:t>
      </w:r>
      <w:r>
        <w:rPr>
          <w:spacing w:val="-1"/>
          <w:lang w:val="fr-FR"/>
        </w:rPr>
        <w:t>détaillé</w:t>
      </w:r>
      <w:r w:rsidRPr="00ED38F5">
        <w:rPr>
          <w:spacing w:val="-1"/>
          <w:lang w:val="fr-FR"/>
        </w:rPr>
        <w:t>s sur les mesures prises pour promouvoir l</w:t>
      </w:r>
      <w:r>
        <w:rPr>
          <w:spacing w:val="-1"/>
          <w:lang w:val="fr-FR"/>
        </w:rPr>
        <w:t>’</w:t>
      </w:r>
      <w:r w:rsidRPr="00ED38F5">
        <w:rPr>
          <w:spacing w:val="-1"/>
          <w:lang w:val="fr-FR"/>
        </w:rPr>
        <w:t>éducation aux droits de l</w:t>
      </w:r>
      <w:r>
        <w:rPr>
          <w:spacing w:val="-1"/>
          <w:lang w:val="fr-FR"/>
        </w:rPr>
        <w:t>’</w:t>
      </w:r>
      <w:r w:rsidRPr="00ED38F5">
        <w:rPr>
          <w:spacing w:val="-1"/>
          <w:lang w:val="fr-FR"/>
        </w:rPr>
        <w:t xml:space="preserve">homme, </w:t>
      </w:r>
      <w:r>
        <w:rPr>
          <w:spacing w:val="-1"/>
          <w:lang w:val="fr-FR"/>
        </w:rPr>
        <w:t xml:space="preserve">en particulier sur la Convention et la lutte contre la </w:t>
      </w:r>
      <w:r w:rsidRPr="00ED38F5">
        <w:rPr>
          <w:spacing w:val="-1"/>
          <w:lang w:val="fr-FR"/>
        </w:rPr>
        <w:t>discrimination raciale</w:t>
      </w:r>
      <w:r>
        <w:rPr>
          <w:spacing w:val="-1"/>
          <w:lang w:val="fr-FR"/>
        </w:rPr>
        <w:t>, le racisme et la xénophobie</w:t>
      </w:r>
      <w:r w:rsidRPr="00ED38F5">
        <w:rPr>
          <w:spacing w:val="-1"/>
          <w:lang w:val="fr-FR"/>
        </w:rPr>
        <w:t>, dans les programmes scolaires</w:t>
      </w:r>
      <w:r>
        <w:rPr>
          <w:spacing w:val="-1"/>
          <w:lang w:val="fr-FR"/>
        </w:rPr>
        <w:t xml:space="preserve"> et les programmes de formation professionnelle, et </w:t>
      </w:r>
      <w:r w:rsidRPr="00ED38F5">
        <w:rPr>
          <w:spacing w:val="-1"/>
          <w:lang w:val="fr-FR"/>
        </w:rPr>
        <w:t>informations sur l</w:t>
      </w:r>
      <w:r>
        <w:rPr>
          <w:spacing w:val="-1"/>
          <w:lang w:val="fr-FR"/>
        </w:rPr>
        <w:t>’</w:t>
      </w:r>
      <w:r w:rsidRPr="00ED38F5">
        <w:rPr>
          <w:spacing w:val="-1"/>
          <w:lang w:val="fr-FR"/>
        </w:rPr>
        <w:t>impact de ces mesures</w:t>
      </w:r>
      <w:r>
        <w:rPr>
          <w:spacing w:val="-2"/>
          <w:lang w:val="fr-FR"/>
        </w:rPr>
        <w:t xml:space="preserve">. </w:t>
      </w:r>
      <w:r w:rsidRPr="00B6063E">
        <w:rPr>
          <w:lang w:val="fr-FR"/>
        </w:rPr>
        <w:t xml:space="preserve">Renseignements sur la représentation des </w:t>
      </w:r>
      <w:r>
        <w:rPr>
          <w:lang w:val="fr-FR"/>
        </w:rPr>
        <w:t xml:space="preserve">Amazighs, des Sahraouis, des citoyens marocains noirs, </w:t>
      </w:r>
      <w:r w:rsidRPr="00B6063E">
        <w:rPr>
          <w:lang w:val="fr-FR"/>
        </w:rPr>
        <w:t>des migrants et des autres minorités dans les manuels et programmes d</w:t>
      </w:r>
      <w:r>
        <w:rPr>
          <w:lang w:val="fr-FR"/>
        </w:rPr>
        <w:t>’</w:t>
      </w:r>
      <w:r w:rsidRPr="00B6063E">
        <w:rPr>
          <w:lang w:val="fr-FR"/>
        </w:rPr>
        <w:t>enseignement à tous les niveaux, ainsi que sur la contribution de ces groupes au développement et à l</w:t>
      </w:r>
      <w:r>
        <w:rPr>
          <w:lang w:val="fr-FR"/>
        </w:rPr>
        <w:t>’</w:t>
      </w:r>
      <w:r w:rsidRPr="00B6063E">
        <w:rPr>
          <w:lang w:val="fr-FR"/>
        </w:rPr>
        <w:t>histoire nationale de l</w:t>
      </w:r>
      <w:r>
        <w:rPr>
          <w:lang w:val="fr-FR"/>
        </w:rPr>
        <w:t>’</w:t>
      </w:r>
      <w:r w:rsidRPr="00B6063E">
        <w:rPr>
          <w:lang w:val="fr-FR"/>
        </w:rPr>
        <w:t>État par</w:t>
      </w:r>
      <w:r>
        <w:rPr>
          <w:lang w:val="fr-FR"/>
        </w:rPr>
        <w:t>tie</w:t>
      </w:r>
      <w:r w:rsidRPr="00D8641B">
        <w:rPr>
          <w:rStyle w:val="Appelnotedebasdep"/>
        </w:rPr>
        <w:footnoteReference w:id="22"/>
      </w:r>
      <w:r>
        <w:rPr>
          <w:lang w:val="fr-FR"/>
        </w:rPr>
        <w:t>.</w:t>
      </w:r>
    </w:p>
    <w:p w14:paraId="33CF5132" w14:textId="176D8D35" w:rsidR="00655DEA" w:rsidRPr="00B6063E" w:rsidRDefault="00655DEA" w:rsidP="00655DEA">
      <w:pPr>
        <w:pStyle w:val="SingleTxtG"/>
        <w:rPr>
          <w:lang w:val="fr-FR"/>
        </w:rPr>
      </w:pPr>
      <w:r w:rsidRPr="00B6063E">
        <w:rPr>
          <w:lang w:val="fr-FR"/>
        </w:rPr>
        <w:t>22.</w:t>
      </w:r>
      <w:r w:rsidRPr="00B6063E">
        <w:rPr>
          <w:lang w:val="fr-FR"/>
        </w:rPr>
        <w:tab/>
      </w:r>
      <w:r w:rsidRPr="0008631A">
        <w:t>Mesures concrètes prises</w:t>
      </w:r>
      <w:r>
        <w:t xml:space="preserve"> visant à prévenir et à combattre la diffusion de stéréotypes et de préjugés raciaux et xénophobes </w:t>
      </w:r>
      <w:r w:rsidRPr="004B4630">
        <w:rPr>
          <w:lang w:val="fr-FR"/>
        </w:rPr>
        <w:t xml:space="preserve">conduisant à la discrimination raciale </w:t>
      </w:r>
      <w:r>
        <w:rPr>
          <w:lang w:val="fr-FR"/>
        </w:rPr>
        <w:t xml:space="preserve">à l’égard </w:t>
      </w:r>
      <w:r w:rsidRPr="004B4630">
        <w:rPr>
          <w:lang w:val="fr-FR"/>
        </w:rPr>
        <w:t>des minorités</w:t>
      </w:r>
      <w:r w:rsidRPr="004B4630">
        <w:t>,</w:t>
      </w:r>
      <w:r>
        <w:t xml:space="preserve"> en particulier </w:t>
      </w:r>
      <w:r w:rsidRPr="00B6063E">
        <w:rPr>
          <w:lang w:val="fr-FR"/>
        </w:rPr>
        <w:t xml:space="preserve">des </w:t>
      </w:r>
      <w:r>
        <w:rPr>
          <w:lang w:val="fr-FR"/>
        </w:rPr>
        <w:t xml:space="preserve">Amazighs, des Sahraouis, des citoyens marocains noirs, </w:t>
      </w:r>
      <w:r>
        <w:t>des non</w:t>
      </w:r>
      <w:r w:rsidR="00FE7D64">
        <w:noBreakHyphen/>
      </w:r>
      <w:r>
        <w:t xml:space="preserve">ressortissants, notamment les migrants, demandeurs d’asile et réfugiés provenant de </w:t>
      </w:r>
      <w:r>
        <w:lastRenderedPageBreak/>
        <w:t>pays africains du sud du Sahara, et d’autres minorités, y compris dans les médias et sur les réseaux sociaux, ainsi que dans le milieu du football et d’autres sports.</w:t>
      </w:r>
      <w:r w:rsidRPr="00B6063E">
        <w:rPr>
          <w:spacing w:val="-2"/>
          <w:lang w:val="fr-FR"/>
        </w:rPr>
        <w:t xml:space="preserve"> </w:t>
      </w:r>
      <w:r>
        <w:t>Mesures prises pour sensibiliser le public, les fonctionnaires et les responsables de l’application des lois à l’importance de la diversité culturelle, de la tolérance et de l’entente interethnique</w:t>
      </w:r>
      <w:r w:rsidRPr="00D8641B">
        <w:rPr>
          <w:rStyle w:val="Appelnotedebasdep"/>
        </w:rPr>
        <w:footnoteReference w:id="23"/>
      </w:r>
      <w:r>
        <w:rPr>
          <w:spacing w:val="-1"/>
        </w:rPr>
        <w:t>.</w:t>
      </w:r>
    </w:p>
    <w:p w14:paraId="6A6DB05F" w14:textId="60CEECCA" w:rsidR="00984B29" w:rsidRPr="00FE7D64" w:rsidRDefault="00655DEA" w:rsidP="00FE7D64">
      <w:pPr>
        <w:pStyle w:val="SingleTxtG"/>
        <w:spacing w:before="240" w:after="0"/>
        <w:jc w:val="center"/>
        <w:rPr>
          <w:bCs/>
          <w:u w:val="single"/>
          <w:lang w:val="fr-FR"/>
        </w:rPr>
      </w:pPr>
      <w:r>
        <w:rPr>
          <w:bCs/>
          <w:u w:val="single"/>
          <w:lang w:val="fr-FR"/>
        </w:rPr>
        <w:tab/>
      </w:r>
      <w:r>
        <w:rPr>
          <w:bCs/>
          <w:u w:val="single"/>
          <w:lang w:val="fr-FR"/>
        </w:rPr>
        <w:tab/>
      </w:r>
      <w:r>
        <w:rPr>
          <w:bCs/>
          <w:u w:val="single"/>
          <w:lang w:val="fr-FR"/>
        </w:rPr>
        <w:tab/>
      </w:r>
      <w:r>
        <w:rPr>
          <w:bCs/>
          <w:u w:val="single"/>
          <w:lang w:val="fr-FR"/>
        </w:rPr>
        <w:tab/>
      </w:r>
    </w:p>
    <w:sectPr w:rsidR="00984B29" w:rsidRPr="00FE7D64" w:rsidSect="00655D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43A14" w14:textId="77777777" w:rsidR="00A60665" w:rsidRDefault="00A60665" w:rsidP="00F95C08">
      <w:pPr>
        <w:spacing w:line="240" w:lineRule="auto"/>
      </w:pPr>
    </w:p>
  </w:endnote>
  <w:endnote w:type="continuationSeparator" w:id="0">
    <w:p w14:paraId="1703EDBD" w14:textId="77777777" w:rsidR="00A60665" w:rsidRPr="00AC3823" w:rsidRDefault="00A60665" w:rsidP="00AC3823">
      <w:pPr>
        <w:pStyle w:val="Pieddepage"/>
      </w:pPr>
    </w:p>
  </w:endnote>
  <w:endnote w:type="continuationNotice" w:id="1">
    <w:p w14:paraId="5F2FA23E" w14:textId="77777777" w:rsidR="00A60665" w:rsidRDefault="00A606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5097C" w14:textId="7F0E6B51" w:rsidR="00655DEA" w:rsidRPr="00655DEA" w:rsidRDefault="00655DEA" w:rsidP="00655DEA">
    <w:pPr>
      <w:pStyle w:val="Pieddepage"/>
      <w:tabs>
        <w:tab w:val="right" w:pos="9638"/>
      </w:tabs>
    </w:pPr>
    <w:r w:rsidRPr="00655DEA">
      <w:rPr>
        <w:b/>
        <w:sz w:val="18"/>
      </w:rPr>
      <w:fldChar w:fldCharType="begin"/>
    </w:r>
    <w:r w:rsidRPr="00655DEA">
      <w:rPr>
        <w:b/>
        <w:sz w:val="18"/>
      </w:rPr>
      <w:instrText xml:space="preserve"> PAGE  \* MERGEFORMAT </w:instrText>
    </w:r>
    <w:r w:rsidRPr="00655DEA">
      <w:rPr>
        <w:b/>
        <w:sz w:val="18"/>
      </w:rPr>
      <w:fldChar w:fldCharType="separate"/>
    </w:r>
    <w:r w:rsidRPr="00655DEA">
      <w:rPr>
        <w:b/>
        <w:noProof/>
        <w:sz w:val="18"/>
      </w:rPr>
      <w:t>2</w:t>
    </w:r>
    <w:r w:rsidRPr="00655DEA">
      <w:rPr>
        <w:b/>
        <w:sz w:val="18"/>
      </w:rPr>
      <w:fldChar w:fldCharType="end"/>
    </w:r>
    <w:r>
      <w:rPr>
        <w:b/>
        <w:sz w:val="18"/>
      </w:rPr>
      <w:tab/>
    </w:r>
    <w:r>
      <w:t>GE.23-18409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E28A4" w14:textId="39B5E47A" w:rsidR="00655DEA" w:rsidRPr="00655DEA" w:rsidRDefault="00655DEA" w:rsidP="00655DEA">
    <w:pPr>
      <w:pStyle w:val="Pieddepage"/>
      <w:tabs>
        <w:tab w:val="right" w:pos="9638"/>
      </w:tabs>
      <w:rPr>
        <w:b/>
        <w:sz w:val="18"/>
      </w:rPr>
    </w:pPr>
    <w:r>
      <w:t>GE.23-18409</w:t>
    </w:r>
    <w:r>
      <w:tab/>
    </w:r>
    <w:r w:rsidRPr="00655DEA">
      <w:rPr>
        <w:b/>
        <w:sz w:val="18"/>
      </w:rPr>
      <w:fldChar w:fldCharType="begin"/>
    </w:r>
    <w:r w:rsidRPr="00655DEA">
      <w:rPr>
        <w:b/>
        <w:sz w:val="18"/>
      </w:rPr>
      <w:instrText xml:space="preserve"> PAGE  \* MERGEFORMAT </w:instrText>
    </w:r>
    <w:r w:rsidRPr="00655DEA">
      <w:rPr>
        <w:b/>
        <w:sz w:val="18"/>
      </w:rPr>
      <w:fldChar w:fldCharType="separate"/>
    </w:r>
    <w:r w:rsidRPr="00655DEA">
      <w:rPr>
        <w:b/>
        <w:noProof/>
        <w:sz w:val="18"/>
      </w:rPr>
      <w:t>3</w:t>
    </w:r>
    <w:r w:rsidRPr="00655D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53C57" w14:textId="57C6F249" w:rsidR="00984B29" w:rsidRPr="00655DEA" w:rsidRDefault="00655DEA" w:rsidP="00655DEA">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0842C8DD" wp14:editId="5F41EFE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23-18409  (F)</w:t>
    </w:r>
    <w:r>
      <w:rPr>
        <w:noProof/>
        <w:sz w:val="20"/>
      </w:rPr>
      <w:drawing>
        <wp:anchor distT="0" distB="0" distL="114300" distR="114300" simplePos="0" relativeHeight="251660288" behindDoc="0" locked="0" layoutInCell="1" allowOverlap="1" wp14:anchorId="5D972858" wp14:editId="100A689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8641B">
      <w:rPr>
        <w:sz w:val="20"/>
      </w:rPr>
      <w:t xml:space="preserve">    290923    0</w:t>
    </w:r>
    <w:r w:rsidR="00D71771">
      <w:rPr>
        <w:sz w:val="20"/>
      </w:rPr>
      <w:t>3</w:t>
    </w:r>
    <w:r w:rsidR="00D8641B">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9BE4C" w14:textId="77777777" w:rsidR="00A60665" w:rsidRPr="00AC3823" w:rsidRDefault="00A60665" w:rsidP="00AC3823">
      <w:pPr>
        <w:pStyle w:val="Pieddepage"/>
        <w:tabs>
          <w:tab w:val="right" w:pos="2155"/>
        </w:tabs>
        <w:spacing w:after="80" w:line="240" w:lineRule="atLeast"/>
        <w:ind w:left="680"/>
        <w:rPr>
          <w:u w:val="single"/>
        </w:rPr>
      </w:pPr>
      <w:r>
        <w:rPr>
          <w:u w:val="single"/>
        </w:rPr>
        <w:tab/>
      </w:r>
    </w:p>
  </w:footnote>
  <w:footnote w:type="continuationSeparator" w:id="0">
    <w:p w14:paraId="09702E7C" w14:textId="77777777" w:rsidR="00A60665" w:rsidRPr="00AC3823" w:rsidRDefault="00A60665" w:rsidP="00AC3823">
      <w:pPr>
        <w:pStyle w:val="Pieddepage"/>
        <w:tabs>
          <w:tab w:val="right" w:pos="2155"/>
        </w:tabs>
        <w:spacing w:after="80" w:line="240" w:lineRule="atLeast"/>
        <w:ind w:left="680"/>
        <w:rPr>
          <w:u w:val="single"/>
        </w:rPr>
      </w:pPr>
      <w:r>
        <w:rPr>
          <w:u w:val="single"/>
        </w:rPr>
        <w:tab/>
      </w:r>
    </w:p>
  </w:footnote>
  <w:footnote w:type="continuationNotice" w:id="1">
    <w:p w14:paraId="26A872D2" w14:textId="77777777" w:rsidR="00A60665" w:rsidRPr="00AC3823" w:rsidRDefault="00A60665">
      <w:pPr>
        <w:spacing w:line="240" w:lineRule="auto"/>
        <w:rPr>
          <w:sz w:val="2"/>
          <w:szCs w:val="2"/>
        </w:rPr>
      </w:pPr>
    </w:p>
  </w:footnote>
  <w:footnote w:id="2">
    <w:p w14:paraId="1F62A813" w14:textId="3FC93647"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1" w:history="1">
        <w:r w:rsidRPr="00655DEA">
          <w:rPr>
            <w:rStyle w:val="Lienhypertexte"/>
            <w:szCs w:val="18"/>
            <w:lang w:val="fr-FR"/>
          </w:rPr>
          <w:t>A/65/18</w:t>
        </w:r>
      </w:hyperlink>
      <w:r w:rsidRPr="00FC2B78">
        <w:rPr>
          <w:lang w:val="fr-FR"/>
        </w:rPr>
        <w:t>, par. 85.</w:t>
      </w:r>
    </w:p>
  </w:footnote>
  <w:footnote w:id="3">
    <w:p w14:paraId="26D6B1E7" w14:textId="3E932D48"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2" w:history="1">
        <w:r w:rsidRPr="00FC2B78">
          <w:rPr>
            <w:rStyle w:val="Lienhypertexte"/>
            <w:szCs w:val="18"/>
            <w:lang w:val="fr-FR"/>
          </w:rPr>
          <w:t>CERD/C/MAR/CO/17-18</w:t>
        </w:r>
      </w:hyperlink>
      <w:r w:rsidRPr="00FC2B78">
        <w:rPr>
          <w:rStyle w:val="Lienhypertexte"/>
          <w:color w:val="auto"/>
          <w:szCs w:val="18"/>
          <w:lang w:val="fr-FR"/>
        </w:rPr>
        <w:t>, par. 7</w:t>
      </w:r>
      <w:r>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3" w:history="1">
        <w:r w:rsidRPr="00FC2B78">
          <w:rPr>
            <w:rStyle w:val="Lienhypertexte"/>
            <w:szCs w:val="18"/>
          </w:rPr>
          <w:t>CERD/C/MAR/19-21</w:t>
        </w:r>
      </w:hyperlink>
      <w:r w:rsidRPr="00FC2B78">
        <w:rPr>
          <w:rStyle w:val="Lienhypertexte"/>
          <w:color w:val="auto"/>
          <w:szCs w:val="18"/>
        </w:rPr>
        <w:t>, par. 10 à 17.</w:t>
      </w:r>
    </w:p>
  </w:footnote>
  <w:footnote w:id="4">
    <w:p w14:paraId="1573ABF5" w14:textId="5A73EEC4"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4" w:history="1">
        <w:r w:rsidRPr="00FC2B78">
          <w:rPr>
            <w:rStyle w:val="Lienhypertexte"/>
            <w:szCs w:val="18"/>
            <w:lang w:val="fr-FR"/>
          </w:rPr>
          <w:t>CERD/C/MAR/CO/17-18</w:t>
        </w:r>
      </w:hyperlink>
      <w:r w:rsidRPr="00FC2B78">
        <w:rPr>
          <w:rStyle w:val="Lienhypertexte"/>
          <w:color w:val="auto"/>
          <w:szCs w:val="18"/>
          <w:lang w:val="fr-FR"/>
        </w:rPr>
        <w:t>, par. 8</w:t>
      </w:r>
      <w:r w:rsidR="00D8641B">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5" w:history="1">
        <w:r w:rsidRPr="00FC2B78">
          <w:rPr>
            <w:rStyle w:val="Lienhypertexte"/>
            <w:szCs w:val="18"/>
          </w:rPr>
          <w:t>CERD/C/MAR/19-21</w:t>
        </w:r>
      </w:hyperlink>
      <w:r w:rsidRPr="00FC2B78">
        <w:rPr>
          <w:rStyle w:val="Lienhypertexte"/>
          <w:color w:val="auto"/>
          <w:szCs w:val="18"/>
        </w:rPr>
        <w:t xml:space="preserve">, par. 24, 54 </w:t>
      </w:r>
      <w:r>
        <w:rPr>
          <w:rStyle w:val="Lienhypertexte"/>
          <w:color w:val="auto"/>
          <w:szCs w:val="18"/>
        </w:rPr>
        <w:t xml:space="preserve">et </w:t>
      </w:r>
      <w:r w:rsidRPr="00FC2B78">
        <w:rPr>
          <w:rStyle w:val="Lienhypertexte"/>
          <w:color w:val="auto"/>
          <w:szCs w:val="18"/>
        </w:rPr>
        <w:t>201 à 205.</w:t>
      </w:r>
    </w:p>
  </w:footnote>
  <w:footnote w:id="5">
    <w:p w14:paraId="1198A2F5" w14:textId="6B9CCA68"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6" w:history="1">
        <w:r w:rsidRPr="00FC2B78">
          <w:rPr>
            <w:rStyle w:val="Lienhypertexte"/>
            <w:szCs w:val="18"/>
            <w:lang w:val="fr-FR"/>
          </w:rPr>
          <w:t>CERD/C/MAR/CO/17-18</w:t>
        </w:r>
      </w:hyperlink>
      <w:r w:rsidRPr="00FC2B78">
        <w:rPr>
          <w:rStyle w:val="Lienhypertexte"/>
          <w:color w:val="auto"/>
          <w:szCs w:val="18"/>
          <w:lang w:val="fr-FR"/>
        </w:rPr>
        <w:t>, par. 9</w:t>
      </w:r>
      <w:r w:rsidR="00D8641B">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7" w:history="1">
        <w:r w:rsidRPr="00FC2B78">
          <w:rPr>
            <w:rStyle w:val="Lienhypertexte"/>
            <w:szCs w:val="18"/>
          </w:rPr>
          <w:t>CERD/C/MAR/19-21</w:t>
        </w:r>
      </w:hyperlink>
      <w:r w:rsidRPr="00FC2B78">
        <w:rPr>
          <w:rStyle w:val="Lienhypertexte"/>
          <w:color w:val="auto"/>
          <w:szCs w:val="18"/>
        </w:rPr>
        <w:t>, par. 24, 54, 56, 73, 74, 81 et 213.</w:t>
      </w:r>
    </w:p>
  </w:footnote>
  <w:footnote w:id="6">
    <w:p w14:paraId="27B05963" w14:textId="23A2E2F6" w:rsidR="00655DEA" w:rsidRPr="00FC2B78" w:rsidRDefault="00655DEA" w:rsidP="00D8641B">
      <w:pPr>
        <w:pStyle w:val="Notedebasdepage"/>
      </w:pPr>
      <w:r>
        <w:tab/>
      </w:r>
      <w:r w:rsidRPr="00D8641B">
        <w:rPr>
          <w:rStyle w:val="Appelnotedebasdep"/>
        </w:rPr>
        <w:footnoteRef/>
      </w:r>
      <w:r>
        <w:tab/>
      </w:r>
      <w:hyperlink r:id="rId8" w:history="1">
        <w:r w:rsidRPr="00FC2B78">
          <w:rPr>
            <w:rStyle w:val="Lienhypertexte"/>
            <w:szCs w:val="18"/>
            <w:lang w:val="fr-FR"/>
          </w:rPr>
          <w:t>CERD/C/MAR/CO/17-18</w:t>
        </w:r>
      </w:hyperlink>
      <w:r w:rsidRPr="00FC2B78">
        <w:rPr>
          <w:rStyle w:val="Lienhypertexte"/>
          <w:color w:val="auto"/>
          <w:szCs w:val="18"/>
          <w:lang w:val="fr-FR"/>
        </w:rPr>
        <w:t>, par. 10</w:t>
      </w:r>
      <w:r w:rsidR="00D8641B">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9" w:history="1">
        <w:r w:rsidRPr="00FC2B78">
          <w:rPr>
            <w:rStyle w:val="Lienhypertexte"/>
            <w:szCs w:val="18"/>
            <w:lang w:val="fr-FR"/>
          </w:rPr>
          <w:t>CERD/C/MAR/19-21</w:t>
        </w:r>
      </w:hyperlink>
      <w:r w:rsidRPr="00FC2B78">
        <w:rPr>
          <w:rStyle w:val="Lienhypertexte"/>
          <w:color w:val="auto"/>
          <w:szCs w:val="18"/>
          <w:lang w:val="fr-FR"/>
        </w:rPr>
        <w:t>, par.</w:t>
      </w:r>
      <w:r>
        <w:rPr>
          <w:rStyle w:val="Lienhypertexte"/>
          <w:color w:val="auto"/>
          <w:szCs w:val="18"/>
          <w:lang w:val="fr-FR"/>
        </w:rPr>
        <w:t> </w:t>
      </w:r>
      <w:r w:rsidRPr="00FC2B78">
        <w:rPr>
          <w:rStyle w:val="Lienhypertexte"/>
          <w:color w:val="auto"/>
          <w:szCs w:val="18"/>
          <w:lang w:val="fr-FR"/>
        </w:rPr>
        <w:t>76, 89, 90 et 191</w:t>
      </w:r>
      <w:r>
        <w:rPr>
          <w:rStyle w:val="Lienhypertexte"/>
          <w:color w:val="auto"/>
          <w:szCs w:val="18"/>
          <w:lang w:val="fr-FR"/>
        </w:rPr>
        <w:t>.</w:t>
      </w:r>
    </w:p>
  </w:footnote>
  <w:footnote w:id="7">
    <w:p w14:paraId="3361F046" w14:textId="19A292B5" w:rsidR="00655DEA" w:rsidRPr="00FC2B78" w:rsidRDefault="00655DEA" w:rsidP="00D8641B">
      <w:pPr>
        <w:pStyle w:val="Notedebasdepage"/>
      </w:pPr>
      <w:r>
        <w:tab/>
      </w:r>
      <w:r w:rsidRPr="00D8641B">
        <w:rPr>
          <w:rStyle w:val="Appelnotedebasdep"/>
        </w:rPr>
        <w:footnoteRef/>
      </w:r>
      <w:r>
        <w:tab/>
      </w:r>
      <w:hyperlink r:id="rId10" w:history="1">
        <w:r w:rsidRPr="00FC2B78">
          <w:rPr>
            <w:rStyle w:val="Lienhypertexte"/>
            <w:szCs w:val="18"/>
            <w:lang w:val="fr-FR"/>
          </w:rPr>
          <w:t>CERD/C/MAR/CO/17-18</w:t>
        </w:r>
      </w:hyperlink>
      <w:r w:rsidRPr="00FC2B78">
        <w:rPr>
          <w:rStyle w:val="Lienhypertexte"/>
          <w:color w:val="auto"/>
          <w:szCs w:val="18"/>
          <w:lang w:val="fr-FR"/>
        </w:rPr>
        <w:t>, par. 14</w:t>
      </w:r>
      <w:r w:rsidR="00D8641B">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11" w:history="1">
        <w:r w:rsidRPr="00FC2B78">
          <w:rPr>
            <w:rStyle w:val="Lienhypertexte"/>
            <w:szCs w:val="18"/>
            <w:lang w:val="fr-FR"/>
          </w:rPr>
          <w:t>CERD/C/MAR/19-21</w:t>
        </w:r>
      </w:hyperlink>
      <w:r w:rsidRPr="00FC2B78">
        <w:rPr>
          <w:rStyle w:val="Lienhypertexte"/>
          <w:color w:val="auto"/>
          <w:szCs w:val="18"/>
          <w:lang w:val="fr-FR"/>
        </w:rPr>
        <w:t>, par.</w:t>
      </w:r>
      <w:r>
        <w:rPr>
          <w:rStyle w:val="Lienhypertexte"/>
          <w:color w:val="auto"/>
          <w:szCs w:val="18"/>
          <w:lang w:val="fr-FR"/>
        </w:rPr>
        <w:t> </w:t>
      </w:r>
      <w:r w:rsidRPr="00FC2B78">
        <w:rPr>
          <w:rStyle w:val="Lienhypertexte"/>
          <w:color w:val="auto"/>
          <w:szCs w:val="18"/>
          <w:lang w:val="fr-FR"/>
        </w:rPr>
        <w:t xml:space="preserve">76, 89 à 93, 191, 215 et </w:t>
      </w:r>
      <w:r>
        <w:rPr>
          <w:rStyle w:val="Lienhypertexte"/>
          <w:color w:val="auto"/>
          <w:szCs w:val="18"/>
          <w:lang w:val="fr-FR"/>
        </w:rPr>
        <w:t>a</w:t>
      </w:r>
      <w:r w:rsidRPr="00FC2B78">
        <w:rPr>
          <w:rStyle w:val="Lienhypertexte"/>
          <w:color w:val="auto"/>
          <w:szCs w:val="18"/>
          <w:lang w:val="fr-FR"/>
        </w:rPr>
        <w:t>nnexe 2, par.</w:t>
      </w:r>
      <w:r w:rsidR="00D8641B">
        <w:rPr>
          <w:rStyle w:val="Lienhypertexte"/>
          <w:color w:val="auto"/>
          <w:szCs w:val="18"/>
          <w:lang w:val="fr-FR"/>
        </w:rPr>
        <w:t> </w:t>
      </w:r>
      <w:r w:rsidRPr="00FC2B78">
        <w:rPr>
          <w:rStyle w:val="Lienhypertexte"/>
          <w:color w:val="auto"/>
          <w:szCs w:val="18"/>
          <w:lang w:val="fr-FR"/>
        </w:rPr>
        <w:t>44.</w:t>
      </w:r>
    </w:p>
  </w:footnote>
  <w:footnote w:id="8">
    <w:p w14:paraId="4F4B87F1" w14:textId="226C0098" w:rsidR="00655DEA" w:rsidRPr="00FC2B78" w:rsidRDefault="00655DEA" w:rsidP="00D8641B">
      <w:pPr>
        <w:pStyle w:val="Notedebasdepage"/>
      </w:pPr>
      <w:r>
        <w:tab/>
      </w:r>
      <w:r w:rsidRPr="00D8641B">
        <w:rPr>
          <w:rStyle w:val="Appelnotedebasdep"/>
        </w:rPr>
        <w:footnoteRef/>
      </w:r>
      <w:r>
        <w:tab/>
      </w:r>
      <w:hyperlink r:id="rId12" w:history="1">
        <w:r w:rsidRPr="00FC2B78">
          <w:rPr>
            <w:rStyle w:val="Lienhypertexte"/>
            <w:szCs w:val="18"/>
            <w:lang w:val="fr-FR"/>
          </w:rPr>
          <w:t>CERD/C/MAR/CO/17-18</w:t>
        </w:r>
      </w:hyperlink>
      <w:r w:rsidRPr="00FC2B78">
        <w:rPr>
          <w:rStyle w:val="Lienhypertexte"/>
          <w:color w:val="auto"/>
          <w:szCs w:val="18"/>
          <w:lang w:val="fr-FR"/>
        </w:rPr>
        <w:t>, par. 10 et 14</w:t>
      </w:r>
      <w:r w:rsidR="00D8641B">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13" w:history="1">
        <w:r w:rsidRPr="00FC2B78">
          <w:rPr>
            <w:rStyle w:val="Lienhypertexte"/>
            <w:szCs w:val="18"/>
            <w:lang w:val="fr-FR"/>
          </w:rPr>
          <w:t>CERD/C/MAR/19-21</w:t>
        </w:r>
      </w:hyperlink>
      <w:r w:rsidRPr="00FC2B78">
        <w:rPr>
          <w:rStyle w:val="Lienhypertexte"/>
          <w:color w:val="auto"/>
          <w:szCs w:val="18"/>
          <w:lang w:val="fr-FR"/>
        </w:rPr>
        <w:t>, par.</w:t>
      </w:r>
      <w:r>
        <w:rPr>
          <w:rStyle w:val="Lienhypertexte"/>
          <w:color w:val="auto"/>
          <w:szCs w:val="18"/>
          <w:lang w:val="fr-FR"/>
        </w:rPr>
        <w:t> </w:t>
      </w:r>
      <w:r w:rsidRPr="00FC2B78">
        <w:rPr>
          <w:rStyle w:val="Lienhypertexte"/>
          <w:color w:val="auto"/>
          <w:szCs w:val="18"/>
          <w:lang w:val="fr-FR"/>
        </w:rPr>
        <w:t xml:space="preserve">76, 89 à 93, 191, 215 et </w:t>
      </w:r>
      <w:r>
        <w:rPr>
          <w:rStyle w:val="Lienhypertexte"/>
          <w:color w:val="auto"/>
          <w:szCs w:val="18"/>
          <w:lang w:val="fr-FR"/>
        </w:rPr>
        <w:t>a</w:t>
      </w:r>
      <w:r w:rsidRPr="00FC2B78">
        <w:rPr>
          <w:rStyle w:val="Lienhypertexte"/>
          <w:color w:val="auto"/>
          <w:szCs w:val="18"/>
          <w:lang w:val="fr-FR"/>
        </w:rPr>
        <w:t>nnexe</w:t>
      </w:r>
      <w:r w:rsidR="00D8641B">
        <w:rPr>
          <w:rStyle w:val="Lienhypertexte"/>
          <w:color w:val="auto"/>
          <w:szCs w:val="18"/>
          <w:lang w:val="fr-FR"/>
        </w:rPr>
        <w:t> </w:t>
      </w:r>
      <w:r w:rsidRPr="00FC2B78">
        <w:rPr>
          <w:rStyle w:val="Lienhypertexte"/>
          <w:color w:val="auto"/>
          <w:szCs w:val="18"/>
          <w:lang w:val="fr-FR"/>
        </w:rPr>
        <w:t>2, par. 44.</w:t>
      </w:r>
    </w:p>
  </w:footnote>
  <w:footnote w:id="9">
    <w:p w14:paraId="1FAB1294" w14:textId="77777777" w:rsidR="00655DEA" w:rsidRPr="00FC2B78" w:rsidRDefault="00655DEA" w:rsidP="00D8641B">
      <w:pPr>
        <w:pStyle w:val="Notedebasdepage"/>
      </w:pPr>
      <w:r>
        <w:tab/>
      </w:r>
      <w:r w:rsidRPr="00D8641B">
        <w:rPr>
          <w:rStyle w:val="Appelnotedebasdep"/>
        </w:rPr>
        <w:footnoteRef/>
      </w:r>
      <w:r>
        <w:tab/>
      </w:r>
      <w:hyperlink r:id="rId14" w:history="1">
        <w:r w:rsidRPr="00FC2B78">
          <w:rPr>
            <w:rStyle w:val="Lienhypertexte"/>
            <w:szCs w:val="18"/>
            <w:lang w:val="fr-FR"/>
          </w:rPr>
          <w:t>CERD/C/MAR/19-21</w:t>
        </w:r>
      </w:hyperlink>
      <w:r w:rsidRPr="00FC2B78">
        <w:rPr>
          <w:rStyle w:val="Lienhypertexte"/>
          <w:color w:val="auto"/>
          <w:szCs w:val="18"/>
          <w:lang w:val="fr-FR"/>
        </w:rPr>
        <w:t xml:space="preserve">, par. 25, 34, 38 à 42, 191, 192 et </w:t>
      </w:r>
      <w:r>
        <w:rPr>
          <w:rStyle w:val="Lienhypertexte"/>
          <w:color w:val="auto"/>
          <w:szCs w:val="18"/>
          <w:lang w:val="fr-FR"/>
        </w:rPr>
        <w:t>a</w:t>
      </w:r>
      <w:r w:rsidRPr="00FC2B78">
        <w:rPr>
          <w:rStyle w:val="Lienhypertexte"/>
          <w:color w:val="auto"/>
          <w:szCs w:val="18"/>
          <w:lang w:val="fr-FR"/>
        </w:rPr>
        <w:t>nnexe 2, par. 3.</w:t>
      </w:r>
    </w:p>
  </w:footnote>
  <w:footnote w:id="10">
    <w:p w14:paraId="00F46C12" w14:textId="77777777" w:rsidR="00655DEA" w:rsidRPr="00FC2B78" w:rsidRDefault="00655DEA" w:rsidP="00D8641B">
      <w:pPr>
        <w:pStyle w:val="Notedebasdepage"/>
      </w:pPr>
      <w:r>
        <w:tab/>
      </w:r>
      <w:r w:rsidRPr="00D8641B">
        <w:rPr>
          <w:rStyle w:val="Appelnotedebasdep"/>
        </w:rPr>
        <w:footnoteRef/>
      </w:r>
      <w:r>
        <w:tab/>
      </w:r>
      <w:r w:rsidRPr="005B2960">
        <w:rPr>
          <w:rStyle w:val="Lienhypertexte"/>
          <w:color w:val="auto"/>
          <w:szCs w:val="18"/>
          <w:lang w:val="fr-FR"/>
        </w:rPr>
        <w:t>Ibid.</w:t>
      </w:r>
      <w:r w:rsidRPr="00FC2B78">
        <w:rPr>
          <w:rStyle w:val="Lienhypertexte"/>
          <w:color w:val="auto"/>
          <w:szCs w:val="18"/>
          <w:lang w:val="fr-FR"/>
        </w:rPr>
        <w:t xml:space="preserve">, par. 119 et </w:t>
      </w:r>
      <w:r>
        <w:rPr>
          <w:rStyle w:val="Lienhypertexte"/>
          <w:color w:val="auto"/>
          <w:szCs w:val="18"/>
          <w:lang w:val="fr-FR"/>
        </w:rPr>
        <w:t>a</w:t>
      </w:r>
      <w:r w:rsidRPr="00FC2B78">
        <w:rPr>
          <w:rStyle w:val="Lienhypertexte"/>
          <w:color w:val="auto"/>
          <w:szCs w:val="18"/>
          <w:lang w:val="fr-FR"/>
        </w:rPr>
        <w:t>nnexe 2, par. 24 à 26.</w:t>
      </w:r>
    </w:p>
  </w:footnote>
  <w:footnote w:id="11">
    <w:p w14:paraId="3BE299C6" w14:textId="77777777" w:rsidR="00655DEA" w:rsidRPr="00A26070" w:rsidRDefault="00655DEA" w:rsidP="00D8641B">
      <w:pPr>
        <w:pStyle w:val="Notedebasdepage"/>
        <w:rPr>
          <w:lang w:val="fr-FR"/>
        </w:rPr>
      </w:pPr>
      <w:r w:rsidRPr="00A26070">
        <w:rPr>
          <w:lang w:val="fr-FR"/>
        </w:rPr>
        <w:tab/>
      </w:r>
      <w:r w:rsidRPr="00D8641B">
        <w:rPr>
          <w:rStyle w:val="Appelnotedebasdep"/>
        </w:rPr>
        <w:footnoteRef/>
      </w:r>
      <w:r w:rsidRPr="00A26070">
        <w:rPr>
          <w:lang w:val="fr-FR"/>
        </w:rPr>
        <w:tab/>
      </w:r>
      <w:r w:rsidRPr="005B2960">
        <w:rPr>
          <w:rStyle w:val="Lienhypertexte"/>
          <w:color w:val="auto"/>
          <w:szCs w:val="18"/>
          <w:lang w:val="fr-FR"/>
        </w:rPr>
        <w:t>Ibid.</w:t>
      </w:r>
      <w:r w:rsidRPr="00A26070">
        <w:rPr>
          <w:rStyle w:val="Lienhypertexte"/>
          <w:color w:val="auto"/>
          <w:szCs w:val="18"/>
          <w:lang w:val="fr-FR"/>
        </w:rPr>
        <w:t>, par. 120</w:t>
      </w:r>
      <w:r>
        <w:rPr>
          <w:rStyle w:val="Lienhypertexte"/>
          <w:color w:val="auto"/>
          <w:szCs w:val="18"/>
          <w:lang w:val="fr-FR"/>
        </w:rPr>
        <w:t xml:space="preserve"> à </w:t>
      </w:r>
      <w:r w:rsidRPr="00A26070">
        <w:rPr>
          <w:rStyle w:val="Lienhypertexte"/>
          <w:color w:val="auto"/>
          <w:szCs w:val="18"/>
          <w:lang w:val="fr-FR"/>
        </w:rPr>
        <w:t>135.</w:t>
      </w:r>
    </w:p>
  </w:footnote>
  <w:footnote w:id="12">
    <w:p w14:paraId="7F321359" w14:textId="77777777" w:rsidR="00655DEA" w:rsidRPr="00A26070" w:rsidRDefault="00655DEA" w:rsidP="00D8641B">
      <w:pPr>
        <w:pStyle w:val="Notedebasdepage"/>
        <w:rPr>
          <w:lang w:val="fr-FR"/>
        </w:rPr>
      </w:pPr>
      <w:r w:rsidRPr="00A26070">
        <w:rPr>
          <w:lang w:val="fr-FR"/>
        </w:rPr>
        <w:tab/>
      </w:r>
      <w:r w:rsidRPr="00D8641B">
        <w:rPr>
          <w:rStyle w:val="Appelnotedebasdep"/>
        </w:rPr>
        <w:footnoteRef/>
      </w:r>
      <w:r w:rsidRPr="00A26070">
        <w:rPr>
          <w:lang w:val="fr-FR"/>
        </w:rPr>
        <w:tab/>
      </w:r>
      <w:r w:rsidRPr="005B2960">
        <w:rPr>
          <w:rStyle w:val="Lienhypertexte"/>
          <w:color w:val="auto"/>
          <w:szCs w:val="18"/>
          <w:lang w:val="fr-FR"/>
        </w:rPr>
        <w:t>Ibid.</w:t>
      </w:r>
      <w:r w:rsidRPr="00A26070">
        <w:rPr>
          <w:rStyle w:val="Lienhypertexte"/>
          <w:color w:val="auto"/>
          <w:szCs w:val="18"/>
          <w:lang w:val="fr-FR"/>
        </w:rPr>
        <w:t xml:space="preserve">, par. 24, 73, 81, 89, 97 </w:t>
      </w:r>
      <w:r>
        <w:rPr>
          <w:rStyle w:val="Lienhypertexte"/>
          <w:color w:val="auto"/>
          <w:szCs w:val="18"/>
          <w:lang w:val="fr-FR"/>
        </w:rPr>
        <w:t>et</w:t>
      </w:r>
      <w:r w:rsidRPr="00A26070">
        <w:rPr>
          <w:rStyle w:val="Lienhypertexte"/>
          <w:color w:val="auto"/>
          <w:szCs w:val="18"/>
          <w:lang w:val="fr-FR"/>
        </w:rPr>
        <w:t xml:space="preserve"> 116.</w:t>
      </w:r>
    </w:p>
  </w:footnote>
  <w:footnote w:id="13">
    <w:p w14:paraId="3F1D4182" w14:textId="77777777" w:rsidR="00655DEA" w:rsidRPr="00A26070" w:rsidRDefault="00655DEA" w:rsidP="00D8641B">
      <w:pPr>
        <w:pStyle w:val="Notedebasdepage"/>
        <w:rPr>
          <w:lang w:val="fr-FR"/>
        </w:rPr>
      </w:pPr>
      <w:r w:rsidRPr="00A26070">
        <w:rPr>
          <w:lang w:val="fr-FR"/>
        </w:rPr>
        <w:tab/>
      </w:r>
      <w:r w:rsidRPr="00D8641B">
        <w:rPr>
          <w:rStyle w:val="Appelnotedebasdep"/>
        </w:rPr>
        <w:footnoteRef/>
      </w:r>
      <w:r w:rsidRPr="00A26070">
        <w:rPr>
          <w:lang w:val="fr-FR"/>
        </w:rPr>
        <w:tab/>
      </w:r>
      <w:hyperlink r:id="rId15" w:history="1">
        <w:r w:rsidRPr="00A26070">
          <w:rPr>
            <w:rStyle w:val="Lienhypertexte"/>
            <w:szCs w:val="18"/>
            <w:lang w:val="fr-FR"/>
          </w:rPr>
          <w:t>CERD/C/MAR/CO/17-18</w:t>
        </w:r>
      </w:hyperlink>
      <w:r w:rsidRPr="00A26070">
        <w:rPr>
          <w:rStyle w:val="Lienhypertexte"/>
          <w:color w:val="auto"/>
          <w:szCs w:val="18"/>
          <w:lang w:val="fr-FR"/>
        </w:rPr>
        <w:t>, par. 12</w:t>
      </w:r>
      <w:r>
        <w:rPr>
          <w:rStyle w:val="Lienhypertexte"/>
          <w:color w:val="auto"/>
          <w:szCs w:val="18"/>
          <w:lang w:val="fr-FR"/>
        </w:rPr>
        <w:t> </w:t>
      </w:r>
      <w:r w:rsidRPr="00A26070">
        <w:rPr>
          <w:rStyle w:val="Lienhypertexte"/>
          <w:color w:val="auto"/>
          <w:szCs w:val="18"/>
          <w:lang w:val="fr-FR"/>
        </w:rPr>
        <w:t>;</w:t>
      </w:r>
      <w:r>
        <w:rPr>
          <w:rStyle w:val="Lienhypertexte"/>
          <w:color w:val="auto"/>
          <w:szCs w:val="18"/>
          <w:lang w:val="fr-FR"/>
        </w:rPr>
        <w:t xml:space="preserve"> et</w:t>
      </w:r>
      <w:r w:rsidRPr="00A26070">
        <w:rPr>
          <w:lang w:val="fr-FR"/>
        </w:rPr>
        <w:t xml:space="preserve"> </w:t>
      </w:r>
      <w:hyperlink r:id="rId16" w:history="1">
        <w:r w:rsidRPr="00A26070">
          <w:rPr>
            <w:rStyle w:val="Lienhypertexte"/>
            <w:szCs w:val="18"/>
            <w:lang w:val="fr-FR"/>
          </w:rPr>
          <w:t>CERD/C/MAR/19-21</w:t>
        </w:r>
      </w:hyperlink>
      <w:r w:rsidRPr="00A26070">
        <w:rPr>
          <w:rStyle w:val="Lienhypertexte"/>
          <w:color w:val="auto"/>
          <w:szCs w:val="18"/>
          <w:lang w:val="fr-FR"/>
        </w:rPr>
        <w:t>, par. 136</w:t>
      </w:r>
      <w:r>
        <w:rPr>
          <w:rStyle w:val="Lienhypertexte"/>
          <w:color w:val="auto"/>
          <w:szCs w:val="18"/>
          <w:lang w:val="fr-FR"/>
        </w:rPr>
        <w:t xml:space="preserve"> à </w:t>
      </w:r>
      <w:r w:rsidRPr="00A26070">
        <w:rPr>
          <w:rStyle w:val="Lienhypertexte"/>
          <w:color w:val="auto"/>
          <w:szCs w:val="18"/>
          <w:lang w:val="fr-FR"/>
        </w:rPr>
        <w:t>143.</w:t>
      </w:r>
    </w:p>
  </w:footnote>
  <w:footnote w:id="14">
    <w:p w14:paraId="6066DB96" w14:textId="3BE5C5F0" w:rsidR="00655DEA" w:rsidRPr="00A26070" w:rsidRDefault="00655DEA" w:rsidP="00D8641B">
      <w:pPr>
        <w:pStyle w:val="Notedebasdepage"/>
        <w:rPr>
          <w:lang w:val="fr-FR"/>
        </w:rPr>
      </w:pPr>
      <w:r w:rsidRPr="00A26070">
        <w:rPr>
          <w:lang w:val="fr-FR"/>
        </w:rPr>
        <w:tab/>
      </w:r>
      <w:r w:rsidRPr="00D8641B">
        <w:rPr>
          <w:rStyle w:val="Appelnotedebasdep"/>
        </w:rPr>
        <w:footnoteRef/>
      </w:r>
      <w:r w:rsidRPr="00A26070">
        <w:rPr>
          <w:lang w:val="fr-FR"/>
        </w:rPr>
        <w:tab/>
      </w:r>
      <w:hyperlink r:id="rId17" w:history="1">
        <w:r w:rsidRPr="00A26070">
          <w:rPr>
            <w:rStyle w:val="Lienhypertexte"/>
            <w:szCs w:val="18"/>
            <w:lang w:val="fr-FR"/>
          </w:rPr>
          <w:t>CERD/C/MAR/CO/17-18</w:t>
        </w:r>
      </w:hyperlink>
      <w:r w:rsidRPr="00A26070">
        <w:rPr>
          <w:rStyle w:val="Lienhypertexte"/>
          <w:color w:val="auto"/>
          <w:szCs w:val="18"/>
          <w:lang w:val="fr-FR"/>
        </w:rPr>
        <w:t xml:space="preserve">, par. 11 ; </w:t>
      </w:r>
      <w:hyperlink r:id="rId18" w:history="1">
        <w:r w:rsidRPr="00A26070">
          <w:rPr>
            <w:rStyle w:val="Lienhypertexte"/>
            <w:szCs w:val="18"/>
            <w:lang w:val="fr-FR"/>
          </w:rPr>
          <w:t>CERD/C/MAR/CO/17-18/Add</w:t>
        </w:r>
        <w:r>
          <w:rPr>
            <w:rStyle w:val="Lienhypertexte"/>
            <w:szCs w:val="18"/>
            <w:lang w:val="fr-FR"/>
          </w:rPr>
          <w:t>.</w:t>
        </w:r>
        <w:r w:rsidRPr="00A26070">
          <w:rPr>
            <w:rStyle w:val="Lienhypertexte"/>
            <w:szCs w:val="18"/>
            <w:lang w:val="fr-FR"/>
          </w:rPr>
          <w:t>1</w:t>
        </w:r>
      </w:hyperlink>
      <w:r w:rsidRPr="00A26070">
        <w:rPr>
          <w:lang w:val="fr-FR"/>
        </w:rPr>
        <w:t xml:space="preserve">, par. 2 à 6 ; </w:t>
      </w:r>
      <w:r>
        <w:rPr>
          <w:lang w:val="fr-FR"/>
        </w:rPr>
        <w:t>lettre de suivi du Comité à l</w:t>
      </w:r>
      <w:r>
        <w:t>’</w:t>
      </w:r>
      <w:r>
        <w:rPr>
          <w:lang w:val="fr-FR"/>
        </w:rPr>
        <w:t>État partie en date du 31 août</w:t>
      </w:r>
      <w:r w:rsidR="00D8641B">
        <w:rPr>
          <w:lang w:val="fr-FR"/>
        </w:rPr>
        <w:t xml:space="preserve"> </w:t>
      </w:r>
      <w:r>
        <w:rPr>
          <w:lang w:val="fr-FR"/>
        </w:rPr>
        <w:t>2012</w:t>
      </w:r>
      <w:r>
        <w:rPr>
          <w:rStyle w:val="Lienhypertexte"/>
          <w:bCs/>
          <w:szCs w:val="18"/>
          <w:lang w:val="fr-FR"/>
        </w:rPr>
        <w:t xml:space="preserve"> </w:t>
      </w:r>
      <w:r>
        <w:rPr>
          <w:bCs/>
          <w:lang w:val="fr-FR"/>
        </w:rPr>
        <w:t>(disponible à l</w:t>
      </w:r>
      <w:r>
        <w:t>’</w:t>
      </w:r>
      <w:r>
        <w:rPr>
          <w:bCs/>
          <w:lang w:val="fr-FR"/>
        </w:rPr>
        <w:t xml:space="preserve">adresse suivante : </w:t>
      </w:r>
      <w:hyperlink r:id="rId19" w:history="1">
        <w:r>
          <w:rPr>
            <w:rStyle w:val="Lienhypertexte"/>
          </w:rPr>
          <w:t>tbinternet.ohchr.org/_layouts/15/treatybodyexternal/Download.aspx?symbolno=INT%2FCERD%2FFUL%2FMAR%2F12164&amp;Lang=en</w:t>
        </w:r>
      </w:hyperlink>
      <w:r>
        <w:rPr>
          <w:bCs/>
          <w:lang w:val="fr-FR"/>
        </w:rPr>
        <w:t>)</w:t>
      </w:r>
      <w:r w:rsidRPr="00A26070">
        <w:rPr>
          <w:bCs/>
          <w:lang w:val="fr-FR"/>
        </w:rPr>
        <w:t>, p. 2 ;</w:t>
      </w:r>
      <w:r w:rsidRPr="00A26070">
        <w:rPr>
          <w:lang w:val="fr-FR"/>
        </w:rPr>
        <w:t xml:space="preserve"> </w:t>
      </w:r>
      <w:r>
        <w:rPr>
          <w:lang w:val="fr-FR"/>
        </w:rPr>
        <w:t>et</w:t>
      </w:r>
      <w:r w:rsidRPr="00A26070">
        <w:rPr>
          <w:rStyle w:val="Lienhypertexte"/>
          <w:color w:val="auto"/>
          <w:szCs w:val="18"/>
          <w:lang w:val="fr-FR"/>
        </w:rPr>
        <w:t xml:space="preserve"> </w:t>
      </w:r>
      <w:hyperlink r:id="rId20" w:history="1">
        <w:r w:rsidRPr="00A26070">
          <w:rPr>
            <w:rStyle w:val="Lienhypertexte"/>
            <w:szCs w:val="18"/>
            <w:lang w:val="fr-FR"/>
          </w:rPr>
          <w:t>CERD/C/MAR/19-21</w:t>
        </w:r>
      </w:hyperlink>
      <w:r w:rsidRPr="00A26070">
        <w:rPr>
          <w:rStyle w:val="Lienhypertexte"/>
          <w:color w:val="auto"/>
          <w:szCs w:val="18"/>
          <w:lang w:val="fr-FR"/>
        </w:rPr>
        <w:t xml:space="preserve">, par. 68 à 72 et 144 à 182. </w:t>
      </w:r>
    </w:p>
  </w:footnote>
  <w:footnote w:id="15">
    <w:p w14:paraId="6502EEA5" w14:textId="5F5DBB93" w:rsidR="00655DEA" w:rsidRPr="005B2960" w:rsidRDefault="00655DEA" w:rsidP="00D8641B">
      <w:pPr>
        <w:pStyle w:val="Notedebasdepage"/>
      </w:pPr>
      <w:r w:rsidRPr="00A26070">
        <w:rPr>
          <w:lang w:val="fr-FR"/>
        </w:rPr>
        <w:tab/>
      </w:r>
      <w:r w:rsidRPr="00D8641B">
        <w:rPr>
          <w:rStyle w:val="Appelnotedebasdep"/>
        </w:rPr>
        <w:footnoteRef/>
      </w:r>
      <w:r w:rsidRPr="005B2960">
        <w:tab/>
      </w:r>
      <w:hyperlink r:id="rId21" w:history="1">
        <w:r w:rsidRPr="005B2960">
          <w:rPr>
            <w:rStyle w:val="Lienhypertexte"/>
            <w:szCs w:val="18"/>
          </w:rPr>
          <w:t>CERD/C/MAR/CO/17-18</w:t>
        </w:r>
      </w:hyperlink>
      <w:r w:rsidRPr="005B2960">
        <w:rPr>
          <w:rStyle w:val="Lienhypertexte"/>
          <w:color w:val="auto"/>
          <w:szCs w:val="18"/>
        </w:rPr>
        <w:t xml:space="preserve">, par. 11 ; </w:t>
      </w:r>
      <w:hyperlink r:id="rId22" w:history="1">
        <w:r w:rsidRPr="005B2960">
          <w:rPr>
            <w:rStyle w:val="Lienhypertexte"/>
            <w:szCs w:val="18"/>
          </w:rPr>
          <w:t>CERD/C/MAR/CO/17-18/Add.1</w:t>
        </w:r>
      </w:hyperlink>
      <w:r w:rsidRPr="005B2960">
        <w:t xml:space="preserve">, par. 2 à 6 ; </w:t>
      </w:r>
      <w:r>
        <w:rPr>
          <w:lang w:val="fr-FR"/>
        </w:rPr>
        <w:t>lettre de suivi du Comité à l</w:t>
      </w:r>
      <w:r>
        <w:t>’</w:t>
      </w:r>
      <w:r>
        <w:rPr>
          <w:lang w:val="fr-FR"/>
        </w:rPr>
        <w:t>État partie en date du 31 août</w:t>
      </w:r>
      <w:r w:rsidR="00D8641B">
        <w:rPr>
          <w:lang w:val="fr-FR"/>
        </w:rPr>
        <w:t xml:space="preserve"> </w:t>
      </w:r>
      <w:r>
        <w:rPr>
          <w:lang w:val="fr-FR"/>
        </w:rPr>
        <w:t>2012</w:t>
      </w:r>
      <w:r w:rsidRPr="005B2960">
        <w:rPr>
          <w:bCs/>
        </w:rPr>
        <w:t>, p. 2 ;</w:t>
      </w:r>
      <w:r w:rsidRPr="005B2960">
        <w:t xml:space="preserve"> et</w:t>
      </w:r>
      <w:r w:rsidRPr="005B2960">
        <w:rPr>
          <w:rStyle w:val="Lienhypertexte"/>
          <w:color w:val="auto"/>
          <w:szCs w:val="18"/>
        </w:rPr>
        <w:t xml:space="preserve"> </w:t>
      </w:r>
      <w:hyperlink r:id="rId23" w:history="1">
        <w:r w:rsidRPr="005B2960">
          <w:rPr>
            <w:rStyle w:val="Lienhypertexte"/>
            <w:szCs w:val="18"/>
          </w:rPr>
          <w:t>CERD/C/MAR/19-21</w:t>
        </w:r>
      </w:hyperlink>
      <w:r w:rsidRPr="005B2960">
        <w:rPr>
          <w:rStyle w:val="Lienhypertexte"/>
          <w:color w:val="auto"/>
          <w:szCs w:val="18"/>
        </w:rPr>
        <w:t>, par. 20, 57 à 67 et 175.</w:t>
      </w:r>
    </w:p>
  </w:footnote>
  <w:footnote w:id="16">
    <w:p w14:paraId="3C8A1206" w14:textId="414C7877" w:rsidR="00655DEA" w:rsidRPr="005B2960" w:rsidRDefault="00655DEA" w:rsidP="00D8641B">
      <w:pPr>
        <w:pStyle w:val="Notedebasdepage"/>
      </w:pPr>
      <w:r w:rsidRPr="005B2960">
        <w:tab/>
      </w:r>
      <w:r w:rsidRPr="00D8641B">
        <w:rPr>
          <w:rStyle w:val="Appelnotedebasdep"/>
        </w:rPr>
        <w:footnoteRef/>
      </w:r>
      <w:r w:rsidRPr="005B2960">
        <w:tab/>
      </w:r>
      <w:hyperlink r:id="rId24" w:history="1">
        <w:r w:rsidRPr="005B2960">
          <w:rPr>
            <w:rStyle w:val="Lienhypertexte"/>
            <w:szCs w:val="18"/>
          </w:rPr>
          <w:t>CERD/C/MAR/CO/17-18</w:t>
        </w:r>
      </w:hyperlink>
      <w:r w:rsidRPr="005B2960">
        <w:rPr>
          <w:rStyle w:val="Lienhypertexte"/>
          <w:color w:val="auto"/>
          <w:szCs w:val="18"/>
        </w:rPr>
        <w:t xml:space="preserve">, par. 13 ; </w:t>
      </w:r>
      <w:hyperlink r:id="rId25" w:history="1">
        <w:r w:rsidRPr="005B2960">
          <w:rPr>
            <w:rStyle w:val="Lienhypertexte"/>
            <w:szCs w:val="18"/>
          </w:rPr>
          <w:t>CERD/C/MAR/CO/17-18/Add.1</w:t>
        </w:r>
      </w:hyperlink>
      <w:r w:rsidRPr="005B2960">
        <w:t xml:space="preserve">, par. 8 à 15 ; </w:t>
      </w:r>
      <w:r>
        <w:rPr>
          <w:lang w:val="fr-FR"/>
        </w:rPr>
        <w:t>lettre de suivi du Comité à l</w:t>
      </w:r>
      <w:r>
        <w:t>’</w:t>
      </w:r>
      <w:r>
        <w:rPr>
          <w:lang w:val="fr-FR"/>
        </w:rPr>
        <w:t>État partie en date du 31 août</w:t>
      </w:r>
      <w:r w:rsidR="00D8641B">
        <w:rPr>
          <w:lang w:val="fr-FR"/>
        </w:rPr>
        <w:t xml:space="preserve"> </w:t>
      </w:r>
      <w:r>
        <w:rPr>
          <w:lang w:val="fr-FR"/>
        </w:rPr>
        <w:t>2012</w:t>
      </w:r>
      <w:r w:rsidRPr="005B2960">
        <w:rPr>
          <w:bCs/>
        </w:rPr>
        <w:t>, p. 2 ;</w:t>
      </w:r>
      <w:r w:rsidRPr="005B2960">
        <w:t xml:space="preserve"> et</w:t>
      </w:r>
      <w:r w:rsidRPr="005B2960">
        <w:rPr>
          <w:rStyle w:val="Lienhypertexte"/>
          <w:color w:val="auto"/>
          <w:szCs w:val="18"/>
        </w:rPr>
        <w:t xml:space="preserve"> </w:t>
      </w:r>
      <w:hyperlink r:id="rId26" w:history="1">
        <w:r w:rsidRPr="005B2960">
          <w:rPr>
            <w:rStyle w:val="Lienhypertexte"/>
            <w:szCs w:val="18"/>
          </w:rPr>
          <w:t>CERD/C/MAR/19-21</w:t>
        </w:r>
      </w:hyperlink>
      <w:r w:rsidRPr="005B2960">
        <w:rPr>
          <w:rStyle w:val="Lienhypertexte"/>
          <w:color w:val="auto"/>
          <w:szCs w:val="18"/>
        </w:rPr>
        <w:t>, par. 13 à 16, 24, 43, 45, 55, 167 à 172 et 178.</w:t>
      </w:r>
    </w:p>
  </w:footnote>
  <w:footnote w:id="17">
    <w:p w14:paraId="17E2411B" w14:textId="44EE0DEB" w:rsidR="00655DEA" w:rsidRPr="005B2960" w:rsidRDefault="00655DEA" w:rsidP="00D8641B">
      <w:pPr>
        <w:pStyle w:val="Notedebasdepage"/>
      </w:pPr>
      <w:r w:rsidRPr="005B2960">
        <w:tab/>
      </w:r>
      <w:r w:rsidRPr="00D8641B">
        <w:rPr>
          <w:rStyle w:val="Appelnotedebasdep"/>
        </w:rPr>
        <w:footnoteRef/>
      </w:r>
      <w:r w:rsidRPr="005B2960">
        <w:tab/>
      </w:r>
      <w:hyperlink r:id="rId27" w:history="1">
        <w:r w:rsidRPr="005B2960">
          <w:rPr>
            <w:rStyle w:val="Lienhypertexte"/>
            <w:szCs w:val="18"/>
          </w:rPr>
          <w:t>CERD/C/MAR/CO/17-18</w:t>
        </w:r>
      </w:hyperlink>
      <w:r w:rsidRPr="005B2960">
        <w:rPr>
          <w:rStyle w:val="Lienhypertexte"/>
          <w:color w:val="auto"/>
          <w:szCs w:val="18"/>
        </w:rPr>
        <w:t>, par. 14 ;</w:t>
      </w:r>
      <w:r w:rsidRPr="005B2960">
        <w:t xml:space="preserve"> </w:t>
      </w:r>
      <w:hyperlink r:id="rId28" w:history="1">
        <w:r w:rsidRPr="005B2960">
          <w:rPr>
            <w:rStyle w:val="Lienhypertexte"/>
            <w:szCs w:val="18"/>
          </w:rPr>
          <w:t>CERD/C/MAR/CO/17-18/Add.1</w:t>
        </w:r>
      </w:hyperlink>
      <w:r w:rsidRPr="005B2960">
        <w:t xml:space="preserve">, par. 16 à 18 ; </w:t>
      </w:r>
      <w:r>
        <w:rPr>
          <w:lang w:val="fr-FR"/>
        </w:rPr>
        <w:t>lettre de suivi du Comité à l</w:t>
      </w:r>
      <w:r>
        <w:t>’</w:t>
      </w:r>
      <w:r>
        <w:rPr>
          <w:lang w:val="fr-FR"/>
        </w:rPr>
        <w:t>État partie en date du 31 août</w:t>
      </w:r>
      <w:r w:rsidR="00D8641B">
        <w:rPr>
          <w:lang w:val="fr-FR"/>
        </w:rPr>
        <w:t xml:space="preserve"> </w:t>
      </w:r>
      <w:r>
        <w:rPr>
          <w:lang w:val="fr-FR"/>
        </w:rPr>
        <w:t>2012</w:t>
      </w:r>
      <w:r w:rsidRPr="005B2960">
        <w:rPr>
          <w:bCs/>
        </w:rPr>
        <w:t>, p. 2 ;</w:t>
      </w:r>
      <w:r w:rsidRPr="005B2960">
        <w:t xml:space="preserve"> et </w:t>
      </w:r>
      <w:hyperlink r:id="rId29" w:history="1">
        <w:r w:rsidRPr="005B2960">
          <w:rPr>
            <w:rStyle w:val="Lienhypertexte"/>
            <w:szCs w:val="18"/>
          </w:rPr>
          <w:t>CERD/C/MAR/19-21</w:t>
        </w:r>
      </w:hyperlink>
      <w:r w:rsidRPr="005B2960">
        <w:rPr>
          <w:rStyle w:val="Lienhypertexte"/>
          <w:color w:val="auto"/>
          <w:szCs w:val="18"/>
        </w:rPr>
        <w:t>, par. 85 à 88, 214 et 217.</w:t>
      </w:r>
    </w:p>
  </w:footnote>
  <w:footnote w:id="18">
    <w:p w14:paraId="5DE862E0" w14:textId="34B6BD93" w:rsidR="00655DEA" w:rsidRPr="005B2960" w:rsidRDefault="00655DEA" w:rsidP="00D8641B">
      <w:pPr>
        <w:pStyle w:val="Notedebasdepage"/>
      </w:pPr>
      <w:r w:rsidRPr="005B2960">
        <w:tab/>
      </w:r>
      <w:r w:rsidRPr="00D8641B">
        <w:rPr>
          <w:rStyle w:val="Appelnotedebasdep"/>
        </w:rPr>
        <w:footnoteRef/>
      </w:r>
      <w:r w:rsidRPr="005B2960">
        <w:tab/>
        <w:t xml:space="preserve">Voir la </w:t>
      </w:r>
      <w:r>
        <w:rPr>
          <w:rStyle w:val="Lienhypertexte"/>
          <w:color w:val="auto"/>
          <w:szCs w:val="18"/>
        </w:rPr>
        <w:t>d</w:t>
      </w:r>
      <w:r w:rsidRPr="00F47584">
        <w:rPr>
          <w:rStyle w:val="Lienhypertexte"/>
          <w:color w:val="auto"/>
          <w:szCs w:val="18"/>
        </w:rPr>
        <w:t xml:space="preserve">éclaration du Comité sur les tragiques événements à la frontière </w:t>
      </w:r>
      <w:proofErr w:type="spellStart"/>
      <w:r w:rsidRPr="00F47584">
        <w:rPr>
          <w:rStyle w:val="Lienhypertexte"/>
          <w:color w:val="auto"/>
          <w:szCs w:val="18"/>
        </w:rPr>
        <w:t>maroco</w:t>
      </w:r>
      <w:proofErr w:type="spellEnd"/>
      <w:r w:rsidRPr="00F47584">
        <w:rPr>
          <w:rStyle w:val="Lienhypertexte"/>
          <w:color w:val="auto"/>
          <w:szCs w:val="18"/>
        </w:rPr>
        <w:t>-espagnole, 11 août</w:t>
      </w:r>
      <w:r w:rsidR="00D8641B">
        <w:rPr>
          <w:rStyle w:val="Lienhypertexte"/>
          <w:color w:val="auto"/>
          <w:szCs w:val="18"/>
        </w:rPr>
        <w:t xml:space="preserve"> </w:t>
      </w:r>
      <w:r w:rsidRPr="00F47584">
        <w:rPr>
          <w:rStyle w:val="Lienhypertexte"/>
          <w:color w:val="auto"/>
          <w:szCs w:val="18"/>
        </w:rPr>
        <w:t>2022, disponible à l</w:t>
      </w:r>
      <w:r>
        <w:t>’</w:t>
      </w:r>
      <w:r w:rsidRPr="00F47584">
        <w:rPr>
          <w:rStyle w:val="Lienhypertexte"/>
          <w:color w:val="auto"/>
          <w:szCs w:val="18"/>
        </w:rPr>
        <w:t xml:space="preserve">adresse suivante : </w:t>
      </w:r>
      <w:hyperlink r:id="rId30" w:history="1">
        <w:r w:rsidR="00D8641B" w:rsidRPr="008C2C14">
          <w:rPr>
            <w:rStyle w:val="Lienhypertexte"/>
            <w:szCs w:val="18"/>
          </w:rPr>
          <w:t>https://tbinternet.ohchr.org/_layouts/15/treatybodyexternal/Download.aspx?symbolno=INT%2FCERD%2FSWA%2F9583&amp;Lang=en</w:t>
        </w:r>
      </w:hyperlink>
      <w:r w:rsidRPr="005B2960">
        <w:rPr>
          <w:rStyle w:val="Lienhypertexte"/>
          <w:color w:val="auto"/>
          <w:szCs w:val="18"/>
        </w:rPr>
        <w:t xml:space="preserve">. </w:t>
      </w:r>
    </w:p>
  </w:footnote>
  <w:footnote w:id="19">
    <w:p w14:paraId="372622D0" w14:textId="3CC1D7B9" w:rsidR="00655DEA" w:rsidRPr="005B2960" w:rsidRDefault="00655DEA" w:rsidP="00D8641B">
      <w:pPr>
        <w:pStyle w:val="Notedebasdepage"/>
      </w:pPr>
      <w:r w:rsidRPr="005B2960">
        <w:tab/>
      </w:r>
      <w:r w:rsidRPr="00D8641B">
        <w:rPr>
          <w:rStyle w:val="Appelnotedebasdep"/>
        </w:rPr>
        <w:footnoteRef/>
      </w:r>
      <w:r w:rsidRPr="005B2960">
        <w:tab/>
      </w:r>
      <w:hyperlink r:id="rId31" w:history="1">
        <w:r w:rsidRPr="005B2960">
          <w:rPr>
            <w:rStyle w:val="Lienhypertexte"/>
            <w:szCs w:val="18"/>
          </w:rPr>
          <w:t>CERD/C/MAR/CO/17-18</w:t>
        </w:r>
      </w:hyperlink>
      <w:r w:rsidRPr="005B2960">
        <w:rPr>
          <w:rStyle w:val="Lienhypertexte"/>
          <w:color w:val="auto"/>
          <w:szCs w:val="18"/>
        </w:rPr>
        <w:t xml:space="preserve">, par. 13 ; </w:t>
      </w:r>
      <w:hyperlink r:id="rId32" w:history="1">
        <w:r w:rsidRPr="005B2960">
          <w:rPr>
            <w:rStyle w:val="Lienhypertexte"/>
            <w:szCs w:val="18"/>
          </w:rPr>
          <w:t>CERD/C/MAR/CO/17-18/Add.1</w:t>
        </w:r>
      </w:hyperlink>
      <w:r w:rsidRPr="005B2960">
        <w:t xml:space="preserve">, par. 8 à 15 ; </w:t>
      </w:r>
      <w:r>
        <w:rPr>
          <w:lang w:val="fr-FR"/>
        </w:rPr>
        <w:t>lettre de suivi du Comité à l</w:t>
      </w:r>
      <w:r>
        <w:t>’</w:t>
      </w:r>
      <w:r>
        <w:rPr>
          <w:lang w:val="fr-FR"/>
        </w:rPr>
        <w:t>État partie en date du 31 août</w:t>
      </w:r>
      <w:r w:rsidR="00FE7D64">
        <w:rPr>
          <w:lang w:val="fr-FR"/>
        </w:rPr>
        <w:t xml:space="preserve"> </w:t>
      </w:r>
      <w:r>
        <w:rPr>
          <w:lang w:val="fr-FR"/>
        </w:rPr>
        <w:t>2012</w:t>
      </w:r>
      <w:r w:rsidRPr="005B2960">
        <w:rPr>
          <w:bCs/>
        </w:rPr>
        <w:t>, p. 2 ;</w:t>
      </w:r>
      <w:r w:rsidRPr="005B2960">
        <w:t xml:space="preserve"> et</w:t>
      </w:r>
      <w:r w:rsidRPr="005B2960">
        <w:rPr>
          <w:rStyle w:val="Lienhypertexte"/>
          <w:color w:val="auto"/>
          <w:szCs w:val="18"/>
        </w:rPr>
        <w:t xml:space="preserve"> </w:t>
      </w:r>
      <w:hyperlink r:id="rId33" w:history="1">
        <w:r w:rsidRPr="005B2960">
          <w:rPr>
            <w:rStyle w:val="Lienhypertexte"/>
            <w:szCs w:val="18"/>
          </w:rPr>
          <w:t>CERD/C/MAR/19-21</w:t>
        </w:r>
      </w:hyperlink>
      <w:r w:rsidRPr="005B2960">
        <w:rPr>
          <w:rStyle w:val="Lienhypertexte"/>
          <w:color w:val="auto"/>
          <w:szCs w:val="18"/>
        </w:rPr>
        <w:t>, par. 17, 78 et 79.</w:t>
      </w:r>
    </w:p>
  </w:footnote>
  <w:footnote w:id="20">
    <w:p w14:paraId="4D124D91" w14:textId="359C6A47" w:rsidR="00655DEA" w:rsidRPr="00FC2B78" w:rsidRDefault="00655DEA" w:rsidP="00D8641B">
      <w:pPr>
        <w:pStyle w:val="Notedebasdepage"/>
        <w:rPr>
          <w:lang w:val="fr-FR"/>
        </w:rPr>
      </w:pPr>
      <w:r w:rsidRPr="005B2960">
        <w:tab/>
      </w:r>
      <w:r w:rsidRPr="00D8641B">
        <w:rPr>
          <w:rStyle w:val="Appelnotedebasdep"/>
        </w:rPr>
        <w:footnoteRef/>
      </w:r>
      <w:r>
        <w:rPr>
          <w:lang w:val="fr-FR"/>
        </w:rPr>
        <w:tab/>
      </w:r>
      <w:hyperlink r:id="rId34" w:history="1">
        <w:r w:rsidRPr="00FC2B78">
          <w:rPr>
            <w:rStyle w:val="Lienhypertexte"/>
            <w:szCs w:val="18"/>
            <w:lang w:val="fr-FR"/>
          </w:rPr>
          <w:t>CERD/C/MAR/CO/17-18</w:t>
        </w:r>
      </w:hyperlink>
      <w:r w:rsidRPr="00FC2B78">
        <w:rPr>
          <w:rStyle w:val="Lienhypertexte"/>
          <w:color w:val="auto"/>
          <w:szCs w:val="18"/>
          <w:lang w:val="fr-FR"/>
        </w:rPr>
        <w:t>, par. 18</w:t>
      </w:r>
      <w:r w:rsidR="00FE7D64">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35" w:history="1">
        <w:r w:rsidRPr="00FC2B78">
          <w:rPr>
            <w:rStyle w:val="Lienhypertexte"/>
            <w:szCs w:val="18"/>
          </w:rPr>
          <w:t>CERD/C/MAR/19-21</w:t>
        </w:r>
      </w:hyperlink>
      <w:r w:rsidRPr="00FC2B78">
        <w:rPr>
          <w:rStyle w:val="Lienhypertexte"/>
          <w:color w:val="auto"/>
          <w:szCs w:val="18"/>
        </w:rPr>
        <w:t>, par. 191 et 192.</w:t>
      </w:r>
    </w:p>
  </w:footnote>
  <w:footnote w:id="21">
    <w:p w14:paraId="5236A2DE" w14:textId="143EDEB4"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36" w:history="1">
        <w:r w:rsidRPr="00FC2B78">
          <w:rPr>
            <w:rStyle w:val="Lienhypertexte"/>
            <w:szCs w:val="18"/>
            <w:lang w:val="fr-FR"/>
          </w:rPr>
          <w:t>CERD/C/MAR/CO/17-18</w:t>
        </w:r>
      </w:hyperlink>
      <w:r w:rsidRPr="00FC2B78">
        <w:rPr>
          <w:rStyle w:val="Lienhypertexte"/>
          <w:color w:val="auto"/>
          <w:szCs w:val="18"/>
          <w:lang w:val="fr-FR"/>
        </w:rPr>
        <w:t>, par. 19</w:t>
      </w:r>
      <w:r w:rsidR="00FE7D64">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37" w:history="1">
        <w:r w:rsidRPr="00FC2B78">
          <w:rPr>
            <w:rStyle w:val="Lienhypertexte"/>
            <w:szCs w:val="18"/>
          </w:rPr>
          <w:t>CERD/C/MAR/19-21</w:t>
        </w:r>
      </w:hyperlink>
      <w:r w:rsidRPr="00FC2B78">
        <w:rPr>
          <w:rStyle w:val="Lienhypertexte"/>
          <w:color w:val="auto"/>
          <w:szCs w:val="18"/>
        </w:rPr>
        <w:t>, par. 193 à 198.</w:t>
      </w:r>
    </w:p>
  </w:footnote>
  <w:footnote w:id="22">
    <w:p w14:paraId="15130DC5" w14:textId="4E92929C"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38" w:history="1">
        <w:r w:rsidRPr="00FC2B78">
          <w:rPr>
            <w:rStyle w:val="Lienhypertexte"/>
            <w:szCs w:val="18"/>
            <w:lang w:val="fr-FR"/>
          </w:rPr>
          <w:t>CERD/C/MAR/CO/17-18</w:t>
        </w:r>
      </w:hyperlink>
      <w:r w:rsidRPr="00FC2B78">
        <w:rPr>
          <w:rStyle w:val="Lienhypertexte"/>
          <w:color w:val="auto"/>
          <w:szCs w:val="18"/>
          <w:lang w:val="fr-FR"/>
        </w:rPr>
        <w:t>, par. 20</w:t>
      </w:r>
      <w:r w:rsidR="00FE7D64">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39" w:history="1">
        <w:r w:rsidRPr="00FC2B78">
          <w:rPr>
            <w:rStyle w:val="Lienhypertexte"/>
            <w:szCs w:val="18"/>
          </w:rPr>
          <w:t>CERD/C/MAR/19-21</w:t>
        </w:r>
      </w:hyperlink>
      <w:r w:rsidRPr="00FC2B78">
        <w:rPr>
          <w:rStyle w:val="Lienhypertexte"/>
          <w:color w:val="auto"/>
          <w:szCs w:val="18"/>
        </w:rPr>
        <w:t>, par. 21, 176, 182, 199</w:t>
      </w:r>
      <w:r>
        <w:rPr>
          <w:rStyle w:val="Lienhypertexte"/>
          <w:color w:val="auto"/>
          <w:szCs w:val="18"/>
        </w:rPr>
        <w:t xml:space="preserve"> et</w:t>
      </w:r>
      <w:r w:rsidRPr="00FC2B78">
        <w:rPr>
          <w:rStyle w:val="Lienhypertexte"/>
          <w:color w:val="auto"/>
          <w:szCs w:val="18"/>
        </w:rPr>
        <w:t xml:space="preserve"> 200 à </w:t>
      </w:r>
      <w:r>
        <w:rPr>
          <w:rStyle w:val="Lienhypertexte"/>
          <w:color w:val="auto"/>
          <w:szCs w:val="18"/>
        </w:rPr>
        <w:t>2</w:t>
      </w:r>
      <w:r w:rsidRPr="00FC2B78">
        <w:rPr>
          <w:rStyle w:val="Lienhypertexte"/>
          <w:color w:val="auto"/>
          <w:szCs w:val="18"/>
        </w:rPr>
        <w:t>17.</w:t>
      </w:r>
    </w:p>
  </w:footnote>
  <w:footnote w:id="23">
    <w:p w14:paraId="1704005B" w14:textId="30397F6E" w:rsidR="00655DEA" w:rsidRPr="00FC2B78" w:rsidRDefault="00655DEA" w:rsidP="00D8641B">
      <w:pPr>
        <w:pStyle w:val="Notedebasdepage"/>
        <w:rPr>
          <w:lang w:val="fr-FR"/>
        </w:rPr>
      </w:pPr>
      <w:r>
        <w:rPr>
          <w:lang w:val="fr-FR"/>
        </w:rPr>
        <w:tab/>
      </w:r>
      <w:r w:rsidRPr="00D8641B">
        <w:rPr>
          <w:rStyle w:val="Appelnotedebasdep"/>
        </w:rPr>
        <w:footnoteRef/>
      </w:r>
      <w:r>
        <w:rPr>
          <w:lang w:val="fr-FR"/>
        </w:rPr>
        <w:tab/>
      </w:r>
      <w:hyperlink r:id="rId40" w:history="1">
        <w:r w:rsidRPr="00FC2B78">
          <w:rPr>
            <w:rStyle w:val="Lienhypertexte"/>
            <w:szCs w:val="18"/>
            <w:lang w:val="fr-FR"/>
          </w:rPr>
          <w:t>CERD/C/MAR/CO/17-18</w:t>
        </w:r>
      </w:hyperlink>
      <w:r w:rsidRPr="00FC2B78">
        <w:rPr>
          <w:rStyle w:val="Lienhypertexte"/>
          <w:color w:val="auto"/>
          <w:szCs w:val="18"/>
          <w:lang w:val="fr-FR"/>
        </w:rPr>
        <w:t>, par. 20</w:t>
      </w:r>
      <w:r w:rsidR="00FE7D64">
        <w:rPr>
          <w:rStyle w:val="Lienhypertexte"/>
          <w:color w:val="auto"/>
          <w:szCs w:val="18"/>
          <w:lang w:val="fr-FR"/>
        </w:rPr>
        <w:t> </w:t>
      </w:r>
      <w:r w:rsidRPr="00FC2B78">
        <w:rPr>
          <w:rStyle w:val="Lienhypertexte"/>
          <w:color w:val="auto"/>
          <w:szCs w:val="18"/>
          <w:lang w:val="fr-FR"/>
        </w:rPr>
        <w:t>;</w:t>
      </w:r>
      <w:r>
        <w:rPr>
          <w:rStyle w:val="Lienhypertexte"/>
          <w:color w:val="auto"/>
          <w:szCs w:val="18"/>
          <w:lang w:val="fr-FR"/>
        </w:rPr>
        <w:t xml:space="preserve"> et</w:t>
      </w:r>
      <w:r w:rsidRPr="00FC2B78">
        <w:rPr>
          <w:lang w:val="fr-FR"/>
        </w:rPr>
        <w:t xml:space="preserve"> </w:t>
      </w:r>
      <w:hyperlink r:id="rId41" w:history="1">
        <w:r w:rsidRPr="00FC2B78">
          <w:rPr>
            <w:rStyle w:val="Lienhypertexte"/>
            <w:szCs w:val="18"/>
          </w:rPr>
          <w:t>CERD/C/MAR/19-21</w:t>
        </w:r>
      </w:hyperlink>
      <w:r w:rsidRPr="00FC2B78">
        <w:rPr>
          <w:rStyle w:val="Lienhypertexte"/>
          <w:color w:val="auto"/>
          <w:szCs w:val="18"/>
        </w:rPr>
        <w:t>, par. 21, 89, 91 à 93, 182, 191, 199</w:t>
      </w:r>
      <w:r>
        <w:rPr>
          <w:rStyle w:val="Lienhypertexte"/>
          <w:color w:val="auto"/>
          <w:szCs w:val="18"/>
        </w:rPr>
        <w:t xml:space="preserve"> et</w:t>
      </w:r>
      <w:r w:rsidRPr="00FC2B78">
        <w:rPr>
          <w:rStyle w:val="Lienhypertexte"/>
          <w:color w:val="auto"/>
          <w:szCs w:val="18"/>
        </w:rPr>
        <w:t xml:space="preserve"> 201 à 218.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F6AAA" w14:textId="1BB854F5" w:rsidR="00655DEA" w:rsidRPr="00655DEA" w:rsidRDefault="00FD273F">
    <w:pPr>
      <w:pStyle w:val="En-tte"/>
    </w:pPr>
    <w:r>
      <w:fldChar w:fldCharType="begin"/>
    </w:r>
    <w:r>
      <w:instrText xml:space="preserve"> TITLE  \* MERGEFORMAT </w:instrText>
    </w:r>
    <w:r>
      <w:fldChar w:fldCharType="separate"/>
    </w:r>
    <w:r>
      <w:t>CERD/C/MAR/Q/19-21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27425" w14:textId="57505912" w:rsidR="00655DEA" w:rsidRPr="00655DEA" w:rsidRDefault="00FD273F" w:rsidP="00655DEA">
    <w:pPr>
      <w:pStyle w:val="En-tte"/>
      <w:jc w:val="right"/>
    </w:pPr>
    <w:r>
      <w:fldChar w:fldCharType="begin"/>
    </w:r>
    <w:r>
      <w:instrText xml:space="preserve"> TITLE  \* MERGEF</w:instrText>
    </w:r>
    <w:r>
      <w:instrText xml:space="preserve">ORMAT </w:instrText>
    </w:r>
    <w:r>
      <w:fldChar w:fldCharType="separate"/>
    </w:r>
    <w:r>
      <w:t>CERD/C/MAR/Q/19-21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16578012">
    <w:abstractNumId w:val="12"/>
  </w:num>
  <w:num w:numId="2" w16cid:durableId="228660772">
    <w:abstractNumId w:val="11"/>
  </w:num>
  <w:num w:numId="3" w16cid:durableId="1443836548">
    <w:abstractNumId w:val="10"/>
  </w:num>
  <w:num w:numId="4" w16cid:durableId="1858735645">
    <w:abstractNumId w:val="8"/>
  </w:num>
  <w:num w:numId="5" w16cid:durableId="284586946">
    <w:abstractNumId w:val="3"/>
  </w:num>
  <w:num w:numId="6" w16cid:durableId="587928446">
    <w:abstractNumId w:val="2"/>
  </w:num>
  <w:num w:numId="7" w16cid:durableId="1591621429">
    <w:abstractNumId w:val="1"/>
  </w:num>
  <w:num w:numId="8" w16cid:durableId="1444694616">
    <w:abstractNumId w:val="0"/>
  </w:num>
  <w:num w:numId="9" w16cid:durableId="1518232859">
    <w:abstractNumId w:val="9"/>
  </w:num>
  <w:num w:numId="10" w16cid:durableId="778255649">
    <w:abstractNumId w:val="7"/>
  </w:num>
  <w:num w:numId="11" w16cid:durableId="1138258307">
    <w:abstractNumId w:val="6"/>
  </w:num>
  <w:num w:numId="12" w16cid:durableId="334918420">
    <w:abstractNumId w:val="5"/>
  </w:num>
  <w:num w:numId="13" w16cid:durableId="1186217195">
    <w:abstractNumId w:val="4"/>
  </w:num>
  <w:num w:numId="14" w16cid:durableId="2125147231">
    <w:abstractNumId w:val="12"/>
  </w:num>
  <w:num w:numId="15" w16cid:durableId="1994214036">
    <w:abstractNumId w:val="11"/>
  </w:num>
  <w:num w:numId="16" w16cid:durableId="4704845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665"/>
    <w:rsid w:val="000024B0"/>
    <w:rsid w:val="00017F94"/>
    <w:rsid w:val="00023842"/>
    <w:rsid w:val="000334F9"/>
    <w:rsid w:val="0007796D"/>
    <w:rsid w:val="000B7790"/>
    <w:rsid w:val="00111F2F"/>
    <w:rsid w:val="0014365E"/>
    <w:rsid w:val="00176178"/>
    <w:rsid w:val="001F525A"/>
    <w:rsid w:val="00215BEC"/>
    <w:rsid w:val="00223272"/>
    <w:rsid w:val="0024779E"/>
    <w:rsid w:val="00262657"/>
    <w:rsid w:val="003E18C1"/>
    <w:rsid w:val="00446FE5"/>
    <w:rsid w:val="00452396"/>
    <w:rsid w:val="004F094E"/>
    <w:rsid w:val="005505B7"/>
    <w:rsid w:val="00573BE5"/>
    <w:rsid w:val="00586ED3"/>
    <w:rsid w:val="00596AA9"/>
    <w:rsid w:val="005C4C2B"/>
    <w:rsid w:val="00623CA8"/>
    <w:rsid w:val="00655DEA"/>
    <w:rsid w:val="006E0451"/>
    <w:rsid w:val="00712E6E"/>
    <w:rsid w:val="0071601D"/>
    <w:rsid w:val="00780585"/>
    <w:rsid w:val="00783E9F"/>
    <w:rsid w:val="007A62E6"/>
    <w:rsid w:val="0080684C"/>
    <w:rsid w:val="00871C75"/>
    <w:rsid w:val="008776DC"/>
    <w:rsid w:val="009705C8"/>
    <w:rsid w:val="00984B29"/>
    <w:rsid w:val="009D5F1A"/>
    <w:rsid w:val="00A30353"/>
    <w:rsid w:val="00A60665"/>
    <w:rsid w:val="00AA7FA5"/>
    <w:rsid w:val="00AC3823"/>
    <w:rsid w:val="00AE323C"/>
    <w:rsid w:val="00B00181"/>
    <w:rsid w:val="00B765F7"/>
    <w:rsid w:val="00BA0CA9"/>
    <w:rsid w:val="00BB0B66"/>
    <w:rsid w:val="00BB19C3"/>
    <w:rsid w:val="00C02897"/>
    <w:rsid w:val="00D3439C"/>
    <w:rsid w:val="00D47E1F"/>
    <w:rsid w:val="00D71771"/>
    <w:rsid w:val="00D8641B"/>
    <w:rsid w:val="00DB1831"/>
    <w:rsid w:val="00DC0149"/>
    <w:rsid w:val="00DD3BFD"/>
    <w:rsid w:val="00DF6678"/>
    <w:rsid w:val="00F660DF"/>
    <w:rsid w:val="00F918A2"/>
    <w:rsid w:val="00F95C08"/>
    <w:rsid w:val="00FD273F"/>
    <w:rsid w:val="00FE7D6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8217F"/>
  <w15:docId w15:val="{1A2171A0-8F10-4247-B192-3EB5522FE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655DEA"/>
    <w:rPr>
      <w:rFonts w:ascii="Times New Roman" w:eastAsiaTheme="minorHAnsi" w:hAnsi="Times New Roman" w:cs="Times New Roman"/>
      <w:b/>
      <w:sz w:val="24"/>
      <w:szCs w:val="20"/>
      <w:lang w:eastAsia="en-US"/>
    </w:rPr>
  </w:style>
  <w:style w:type="character" w:customStyle="1" w:styleId="H23GChar">
    <w:name w:val="_ H_2/3_G Char"/>
    <w:link w:val="H23G"/>
    <w:locked/>
    <w:rsid w:val="00655DEA"/>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55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RD%2FC%2FMAR%2FCO%2F17-18&amp;Lang=fr" TargetMode="External"/><Relationship Id="rId13" Type="http://schemas.openxmlformats.org/officeDocument/2006/relationships/hyperlink" Target="https://tbinternet.ohchr.org/_layouts/15/treatybodyexternal/Download.aspx?symbolno=CERD%2FC%2FMAR%2F19-21&amp;Lang=en" TargetMode="External"/><Relationship Id="rId18" Type="http://schemas.openxmlformats.org/officeDocument/2006/relationships/hyperlink" Target="https://tbinternet.ohchr.org/_layouts/15/treatybodyexternal/Download.aspx?symbolno=CERD%2FC%2FMAR%2FCO%2F17-18%2FAdd%201&amp;Lang=fr" TargetMode="External"/><Relationship Id="rId26" Type="http://schemas.openxmlformats.org/officeDocument/2006/relationships/hyperlink" Target="https://tbinternet.ohchr.org/_layouts/15/treatybodyexternal/Download.aspx?symbolno=CERD%2FC%2FMAR%2F19-21&amp;Lang=en" TargetMode="External"/><Relationship Id="rId39" Type="http://schemas.openxmlformats.org/officeDocument/2006/relationships/hyperlink" Target="https://tbinternet.ohchr.org/_layouts/15/treatybodyexternal/Download.aspx?symbolno=CERD%2FC%2FMAR%2F19-21&amp;Lang=en" TargetMode="External"/><Relationship Id="rId3" Type="http://schemas.openxmlformats.org/officeDocument/2006/relationships/hyperlink" Target="https://tbinternet.ohchr.org/_layouts/15/treatybodyexternal/Download.aspx?symbolno=CERD%2FC%2FMAR%2F19-21&amp;Lang=en" TargetMode="External"/><Relationship Id="rId21" Type="http://schemas.openxmlformats.org/officeDocument/2006/relationships/hyperlink" Target="https://tbinternet.ohchr.org/_layouts/15/treatybodyexternal/Download.aspx?symbolno=CERD%2FC%2FMAR%2FCO%2F17-18&amp;Lang=fr" TargetMode="External"/><Relationship Id="rId34" Type="http://schemas.openxmlformats.org/officeDocument/2006/relationships/hyperlink" Target="https://tbinternet.ohchr.org/_layouts/15/treatybodyexternal/Download.aspx?symbolno=CERD%2FC%2FMAR%2FCO%2F17-18&amp;Lang=fr" TargetMode="External"/><Relationship Id="rId7" Type="http://schemas.openxmlformats.org/officeDocument/2006/relationships/hyperlink" Target="https://tbinternet.ohchr.org/_layouts/15/treatybodyexternal/Download.aspx?symbolno=CERD%2FC%2FMAR%2F19-21&amp;Lang=en" TargetMode="External"/><Relationship Id="rId12" Type="http://schemas.openxmlformats.org/officeDocument/2006/relationships/hyperlink" Target="https://tbinternet.ohchr.org/_layouts/15/treatybodyexternal/Download.aspx?symbolno=CERD%2FC%2FMAR%2FCO%2F17-18&amp;Lang=fr" TargetMode="External"/><Relationship Id="rId17" Type="http://schemas.openxmlformats.org/officeDocument/2006/relationships/hyperlink" Target="https://tbinternet.ohchr.org/_layouts/15/treatybodyexternal/Download.aspx?symbolno=CERD%2FC%2FMAR%2FCO%2F17-18&amp;Lang=fr" TargetMode="External"/><Relationship Id="rId25" Type="http://schemas.openxmlformats.org/officeDocument/2006/relationships/hyperlink" Target="https://tbinternet.ohchr.org/_layouts/15/treatybodyexternal/Download.aspx?symbolno=CERD%2FC%2FMAR%2FCO%2F17-18%2FAdd%201&amp;Lang=fr" TargetMode="External"/><Relationship Id="rId33" Type="http://schemas.openxmlformats.org/officeDocument/2006/relationships/hyperlink" Target="https://tbinternet.ohchr.org/_layouts/15/treatybodyexternal/Download.aspx?symbolno=CERD%2FC%2FMAR%2F19-21&amp;Lang=en" TargetMode="External"/><Relationship Id="rId38" Type="http://schemas.openxmlformats.org/officeDocument/2006/relationships/hyperlink" Target="https://tbinternet.ohchr.org/_layouts/15/treatybodyexternal/Download.aspx?symbolno=CERD%2FC%2FMAR%2FCO%2F17-18&amp;Lang=fr" TargetMode="External"/><Relationship Id="rId2" Type="http://schemas.openxmlformats.org/officeDocument/2006/relationships/hyperlink" Target="https://tbinternet.ohchr.org/_layouts/15/treatybodyexternal/Download.aspx?symbolno=CERD%2FC%2FMAR%2FCO%2F17-18&amp;Lang=fr" TargetMode="External"/><Relationship Id="rId16" Type="http://schemas.openxmlformats.org/officeDocument/2006/relationships/hyperlink" Target="https://tbinternet.ohchr.org/_layouts/15/treatybodyexternal/Download.aspx?symbolno=CERD%2FC%2FMAR%2F19-21&amp;Lang=en" TargetMode="External"/><Relationship Id="rId20" Type="http://schemas.openxmlformats.org/officeDocument/2006/relationships/hyperlink" Target="https://tbinternet.ohchr.org/_layouts/15/treatybodyexternal/Download.aspx?symbolno=CERD%2FC%2FMAR%2F19-21&amp;Lang=en" TargetMode="External"/><Relationship Id="rId29" Type="http://schemas.openxmlformats.org/officeDocument/2006/relationships/hyperlink" Target="https://tbinternet.ohchr.org/_layouts/15/treatybodyexternal/Download.aspx?symbolno=CERD%2FC%2FMAR%2F19-21&amp;Lang=en" TargetMode="External"/><Relationship Id="rId41" Type="http://schemas.openxmlformats.org/officeDocument/2006/relationships/hyperlink" Target="https://tbinternet.ohchr.org/_layouts/15/treatybodyexternal/Download.aspx?symbolno=CERD%2FC%2FMAR%2F19-21&amp;Lang=en" TargetMode="External"/><Relationship Id="rId1" Type="http://schemas.openxmlformats.org/officeDocument/2006/relationships/hyperlink" Target="http://undocs.org/fr/A/65/18" TargetMode="External"/><Relationship Id="rId6" Type="http://schemas.openxmlformats.org/officeDocument/2006/relationships/hyperlink" Target="https://tbinternet.ohchr.org/_layouts/15/treatybodyexternal/Download.aspx?symbolno=CERD%2FC%2FMAR%2FCO%2F17-18&amp;Lang=fr" TargetMode="External"/><Relationship Id="rId11" Type="http://schemas.openxmlformats.org/officeDocument/2006/relationships/hyperlink" Target="https://tbinternet.ohchr.org/_layouts/15/treatybodyexternal/Download.aspx?symbolno=CERD%2FC%2FMAR%2F19-21&amp;Lang=en" TargetMode="External"/><Relationship Id="rId24" Type="http://schemas.openxmlformats.org/officeDocument/2006/relationships/hyperlink" Target="https://tbinternet.ohchr.org/_layouts/15/treatybodyexternal/Download.aspx?symbolno=CERD%2FC%2FMAR%2FCO%2F17-18&amp;Lang=fr" TargetMode="External"/><Relationship Id="rId32" Type="http://schemas.openxmlformats.org/officeDocument/2006/relationships/hyperlink" Target="https://tbinternet.ohchr.org/_layouts/15/treatybodyexternal/Download.aspx?symbolno=CERD%2FC%2FMAR%2FCO%2F17-18%2FAdd%201&amp;Lang=fr" TargetMode="External"/><Relationship Id="rId37" Type="http://schemas.openxmlformats.org/officeDocument/2006/relationships/hyperlink" Target="https://tbinternet.ohchr.org/_layouts/15/treatybodyexternal/Download.aspx?symbolno=CERD%2FC%2FMAR%2F19-21&amp;Lang=en" TargetMode="External"/><Relationship Id="rId40" Type="http://schemas.openxmlformats.org/officeDocument/2006/relationships/hyperlink" Target="https://tbinternet.ohchr.org/_layouts/15/treatybodyexternal/Download.aspx?symbolno=CERD%2FC%2FMAR%2FCO%2F17-18&amp;Lang=fr" TargetMode="External"/><Relationship Id="rId5" Type="http://schemas.openxmlformats.org/officeDocument/2006/relationships/hyperlink" Target="https://tbinternet.ohchr.org/_layouts/15/treatybodyexternal/Download.aspx?symbolno=CERD%2FC%2FMAR%2F19-21&amp;Lang=en" TargetMode="External"/><Relationship Id="rId15" Type="http://schemas.openxmlformats.org/officeDocument/2006/relationships/hyperlink" Target="https://tbinternet.ohchr.org/_layouts/15/treatybodyexternal/Download.aspx?symbolno=CERD%2FC%2FMAR%2FCO%2F17-18&amp;Lang=fr" TargetMode="External"/><Relationship Id="rId23" Type="http://schemas.openxmlformats.org/officeDocument/2006/relationships/hyperlink" Target="https://tbinternet.ohchr.org/_layouts/15/treatybodyexternal/Download.aspx?symbolno=CERD%2FC%2FMAR%2F19-21&amp;Lang=en" TargetMode="External"/><Relationship Id="rId28" Type="http://schemas.openxmlformats.org/officeDocument/2006/relationships/hyperlink" Target="https://tbinternet.ohchr.org/_layouts/15/treatybodyexternal/Download.aspx?symbolno=CERD%2FC%2FMAR%2FCO%2F17-18%2FAdd%201&amp;Lang=fr" TargetMode="External"/><Relationship Id="rId36" Type="http://schemas.openxmlformats.org/officeDocument/2006/relationships/hyperlink" Target="https://tbinternet.ohchr.org/_layouts/15/treatybodyexternal/Download.aspx?symbolno=CERD%2FC%2FMAR%2FCO%2F17-18&amp;Lang=fr" TargetMode="External"/><Relationship Id="rId10" Type="http://schemas.openxmlformats.org/officeDocument/2006/relationships/hyperlink" Target="https://tbinternet.ohchr.org/_layouts/15/treatybodyexternal/Download.aspx?symbolno=CERD%2FC%2FMAR%2FCO%2F17-18&amp;Lang=fr" TargetMode="External"/><Relationship Id="rId19" Type="http://schemas.openxmlformats.org/officeDocument/2006/relationships/hyperlink" Target="https://tbinternet.ohchr.org/_layouts/15/treatybodyexternal/Download.aspx?symbolno=INT%2FCERD%2FFUL%2FMAR%2F12164&amp;Lang=en" TargetMode="External"/><Relationship Id="rId31" Type="http://schemas.openxmlformats.org/officeDocument/2006/relationships/hyperlink" Target="https://tbinternet.ohchr.org/_layouts/15/treatybodyexternal/Download.aspx?symbolno=CERD%2FC%2FMAR%2FCO%2F17-18&amp;Lang=fr" TargetMode="External"/><Relationship Id="rId4" Type="http://schemas.openxmlformats.org/officeDocument/2006/relationships/hyperlink" Target="https://tbinternet.ohchr.org/_layouts/15/treatybodyexternal/Download.aspx?symbolno=CERD%2FC%2FMAR%2FCO%2F17-18&amp;Lang=fr" TargetMode="External"/><Relationship Id="rId9" Type="http://schemas.openxmlformats.org/officeDocument/2006/relationships/hyperlink" Target="https://tbinternet.ohchr.org/_layouts/15/treatybodyexternal/Download.aspx?symbolno=CERD%2FC%2FMAR%2F19-21&amp;Lang=en" TargetMode="External"/><Relationship Id="rId14" Type="http://schemas.openxmlformats.org/officeDocument/2006/relationships/hyperlink" Target="https://tbinternet.ohchr.org/_layouts/15/treatybodyexternal/Download.aspx?symbolno=CERD%2FC%2FMAR%2F19-21&amp;Lang=en" TargetMode="External"/><Relationship Id="rId22" Type="http://schemas.openxmlformats.org/officeDocument/2006/relationships/hyperlink" Target="https://tbinternet.ohchr.org/_layouts/15/treatybodyexternal/Download.aspx?symbolno=CERD%2FC%2FMAR%2FCO%2F17-18%2FAdd%201&amp;Lang=fr" TargetMode="External"/><Relationship Id="rId27" Type="http://schemas.openxmlformats.org/officeDocument/2006/relationships/hyperlink" Target="https://tbinternet.ohchr.org/_layouts/15/treatybodyexternal/Download.aspx?symbolno=CERD%2FC%2FMAR%2FCO%2F17-18&amp;Lang=fr" TargetMode="External"/><Relationship Id="rId30" Type="http://schemas.openxmlformats.org/officeDocument/2006/relationships/hyperlink" Target="https://tbinternet.ohchr.org/_layouts/15/treatybodyexternal/Download.aspx?symbolno=INT%2FCERD%2FSWA%2F9583&amp;Lang=en" TargetMode="External"/><Relationship Id="rId35" Type="http://schemas.openxmlformats.org/officeDocument/2006/relationships/hyperlink" Target="https://tbinternet.ohchr.org/_layouts/15/treatybodyexternal/Download.aspx?symbolno=CERD%2FC%2FMAR%2F19-2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5</Pages>
  <Words>2006</Words>
  <Characters>12339</Characters>
  <Application>Microsoft Office Word</Application>
  <DocSecurity>0</DocSecurity>
  <Lines>949</Lines>
  <Paragraphs>597</Paragraphs>
  <ScaleCrop>false</ScaleCrop>
  <HeadingPairs>
    <vt:vector size="2" baseType="variant">
      <vt:variant>
        <vt:lpstr>Titre</vt:lpstr>
      </vt:variant>
      <vt:variant>
        <vt:i4>1</vt:i4>
      </vt:variant>
    </vt:vector>
  </HeadingPairs>
  <TitlesOfParts>
    <vt:vector size="1" baseType="lpstr">
      <vt:lpstr>CERD/C/MAR/Q/19-21</vt:lpstr>
    </vt:vector>
  </TitlesOfParts>
  <Company>DCM</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CERD/C/MAR/Q/19-21</dc:title>
  <dc:subject/>
  <dc:creator>Sandrine CLERE</dc:creator>
  <cp:keywords/>
  <cp:lastModifiedBy>Sandrine Clere</cp:lastModifiedBy>
  <cp:revision>2</cp:revision>
  <cp:lastPrinted>2023-10-03T04:46:00Z</cp:lastPrinted>
  <dcterms:created xsi:type="dcterms:W3CDTF">2023-10-03T04:46:00Z</dcterms:created>
  <dcterms:modified xsi:type="dcterms:W3CDTF">2023-10-03T04:46:00Z</dcterms:modified>
</cp:coreProperties>
</file>