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603" w:rsidRDefault="00E42603" w:rsidP="00E42603">
      <w:pPr>
        <w:spacing w:line="60" w:lineRule="exact"/>
        <w:rPr>
          <w:sz w:val="6"/>
        </w:rPr>
        <w:sectPr w:rsidR="00E42603" w:rsidSect="00E4260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E42603" w:rsidRDefault="00E42603" w:rsidP="00E42603">
      <w:pPr>
        <w:spacing w:line="60" w:lineRule="exact"/>
        <w:rPr>
          <w:sz w:val="6"/>
        </w:rPr>
      </w:pPr>
    </w:p>
    <w:p w:rsidR="00211B6D" w:rsidRDefault="00211B6D" w:rsidP="008F14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211B6D" w:rsidRPr="008F1434" w:rsidRDefault="00211B6D" w:rsidP="008F1434">
      <w:pPr>
        <w:pStyle w:val="SingleTxt"/>
        <w:spacing w:after="60"/>
        <w:ind w:left="0"/>
        <w:rPr>
          <w:rFonts w:ascii="SimHei" w:eastAsia="SimHei" w:hint="eastAsia"/>
          <w:color w:val="FF0000"/>
        </w:rPr>
      </w:pPr>
      <w:r w:rsidRPr="008F1434">
        <w:rPr>
          <w:rFonts w:ascii="SimHei" w:eastAsia="SimHei" w:hint="eastAsia"/>
          <w:color w:val="FF0000"/>
        </w:rPr>
        <w:t>会前工作组</w:t>
      </w:r>
    </w:p>
    <w:p w:rsidR="00211B6D" w:rsidRPr="008F1434" w:rsidRDefault="00211B6D" w:rsidP="008F1434">
      <w:pPr>
        <w:pStyle w:val="SingleTxt"/>
        <w:spacing w:after="60"/>
        <w:ind w:left="0"/>
        <w:rPr>
          <w:rFonts w:ascii="SimHei" w:eastAsia="SimHei" w:hint="eastAsia"/>
          <w:color w:val="FF0000"/>
        </w:rPr>
      </w:pPr>
      <w:r w:rsidRPr="008F1434">
        <w:rPr>
          <w:rFonts w:ascii="SimHei" w:eastAsia="SimHei" w:hint="eastAsia"/>
          <w:color w:val="FF0000"/>
        </w:rPr>
        <w:t>第四十届和第四十一届会议</w:t>
      </w:r>
    </w:p>
    <w:p w:rsidR="00211B6D" w:rsidRDefault="00211B6D" w:rsidP="008F1434">
      <w:pPr>
        <w:pStyle w:val="SingleTxt"/>
        <w:spacing w:after="60"/>
        <w:ind w:left="0"/>
        <w:rPr>
          <w:rFonts w:hint="eastAsia"/>
        </w:rPr>
      </w:pPr>
      <w:r>
        <w:rPr>
          <w:rFonts w:hint="eastAsia"/>
        </w:rPr>
        <w:t>2007年7月16日至20日</w:t>
      </w:r>
    </w:p>
    <w:p w:rsidR="008F1434" w:rsidRPr="008F1434" w:rsidRDefault="008F1434" w:rsidP="008F143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8F1434" w:rsidRPr="008F1434" w:rsidRDefault="008F1434" w:rsidP="008F143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8F1434" w:rsidRPr="008F1434" w:rsidRDefault="008F1434" w:rsidP="008F143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211B6D" w:rsidRDefault="008F1434" w:rsidP="008F143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211B6D">
        <w:rPr>
          <w:rFonts w:hint="eastAsia"/>
        </w:rPr>
        <w:t>与审议定期报告有关的议题和问题清单</w:t>
      </w:r>
    </w:p>
    <w:p w:rsidR="008F1434" w:rsidRPr="008F1434" w:rsidRDefault="008F1434" w:rsidP="008F14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8F1434" w:rsidRPr="008F1434" w:rsidRDefault="008F1434" w:rsidP="008F14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8F1434" w:rsidRPr="008F1434" w:rsidRDefault="008F1434" w:rsidP="008F14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211B6D" w:rsidRDefault="008F1434" w:rsidP="008F14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211B6D">
        <w:rPr>
          <w:rFonts w:hint="eastAsia"/>
        </w:rPr>
        <w:t xml:space="preserve">沙特阿拉伯 </w:t>
      </w:r>
    </w:p>
    <w:p w:rsidR="008F1434" w:rsidRPr="008F1434" w:rsidRDefault="008F1434" w:rsidP="008F1434">
      <w:pPr>
        <w:pStyle w:val="SingleTxt"/>
        <w:spacing w:after="0" w:line="120" w:lineRule="exact"/>
        <w:rPr>
          <w:rFonts w:hint="eastAsia"/>
          <w:sz w:val="10"/>
        </w:rPr>
      </w:pPr>
    </w:p>
    <w:p w:rsidR="008F1434" w:rsidRPr="008F1434" w:rsidRDefault="008F1434" w:rsidP="008F1434">
      <w:pPr>
        <w:pStyle w:val="SingleTxt"/>
        <w:spacing w:after="0" w:line="120" w:lineRule="exact"/>
        <w:rPr>
          <w:rFonts w:hint="eastAsia"/>
          <w:sz w:val="10"/>
        </w:rPr>
      </w:pPr>
    </w:p>
    <w:p w:rsidR="00211B6D" w:rsidRDefault="00211B6D" w:rsidP="00211B6D">
      <w:pPr>
        <w:pStyle w:val="SingleTxt"/>
        <w:rPr>
          <w:rFonts w:hint="eastAsia"/>
        </w:rPr>
      </w:pPr>
      <w:r>
        <w:rPr>
          <w:rFonts w:hint="eastAsia"/>
        </w:rPr>
        <w:t>会前工作组审查了沙特阿拉伯初次和第二次合并定期报告（CEDAW/C/SAU/2）。</w:t>
      </w:r>
    </w:p>
    <w:p w:rsidR="00211B6D" w:rsidRDefault="008F1434" w:rsidP="008F1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211B6D">
        <w:rPr>
          <w:rFonts w:hint="eastAsia"/>
        </w:rPr>
        <w:t>概要</w:t>
      </w:r>
    </w:p>
    <w:p w:rsidR="008F1434" w:rsidRPr="008F1434" w:rsidRDefault="008F1434" w:rsidP="008F1434">
      <w:pPr>
        <w:pStyle w:val="SingleTxt"/>
        <w:spacing w:after="0" w:line="120" w:lineRule="exact"/>
        <w:rPr>
          <w:rFonts w:hint="eastAsia"/>
          <w:sz w:val="10"/>
        </w:rPr>
      </w:pPr>
    </w:p>
    <w:p w:rsidR="00211B6D" w:rsidRDefault="00211B6D" w:rsidP="00211B6D">
      <w:pPr>
        <w:pStyle w:val="SingleTxt"/>
        <w:rPr>
          <w:rFonts w:hint="eastAsia"/>
        </w:rPr>
      </w:pPr>
      <w:r>
        <w:rPr>
          <w:rFonts w:hint="eastAsia"/>
        </w:rPr>
        <w:t>1.</w:t>
      </w:r>
      <w:r>
        <w:rPr>
          <w:rFonts w:hint="eastAsia"/>
        </w:rPr>
        <w:tab/>
        <w:t>请介绍报告的编写过程，包括是否向非政府组织，特别是妇女组织征求了意见，哪些政府部门和机构参与了报告的编写工作及其参与的性质和范围，以及报告是否呈送指定的高级权威机构或由该机构通过。</w:t>
      </w:r>
    </w:p>
    <w:p w:rsidR="00211B6D" w:rsidRDefault="00211B6D" w:rsidP="00211B6D">
      <w:pPr>
        <w:pStyle w:val="SingleTxt"/>
        <w:rPr>
          <w:rFonts w:hint="eastAsia"/>
        </w:rPr>
      </w:pPr>
      <w:r>
        <w:rPr>
          <w:rFonts w:hint="eastAsia"/>
        </w:rPr>
        <w:t>2.</w:t>
      </w:r>
      <w:r>
        <w:rPr>
          <w:rFonts w:hint="eastAsia"/>
        </w:rPr>
        <w:tab/>
        <w:t>请解释沙特阿拉伯根据伊斯兰律法准则对《公约》提出的一般性保留的具体范围，并说明这种保留对于切实实现《公约》第二条</w:t>
      </w:r>
      <w:r w:rsidR="008F1434">
        <w:t>(</w:t>
      </w:r>
      <w:r>
        <w:rPr>
          <w:rFonts w:hint="eastAsia"/>
        </w:rPr>
        <w:t>a</w:t>
      </w:r>
      <w:r w:rsidR="008F1434">
        <w:t>)</w:t>
      </w:r>
      <w:r>
        <w:rPr>
          <w:rFonts w:hint="eastAsia"/>
        </w:rPr>
        <w:t>款规定的男女平等原则的影响。</w:t>
      </w:r>
    </w:p>
    <w:p w:rsidR="00211B6D" w:rsidRDefault="00211B6D" w:rsidP="00211B6D">
      <w:pPr>
        <w:pStyle w:val="SingleTxt"/>
        <w:rPr>
          <w:rFonts w:hint="eastAsia"/>
        </w:rPr>
      </w:pPr>
      <w:r>
        <w:rPr>
          <w:rFonts w:hint="eastAsia"/>
        </w:rPr>
        <w:t>3.</w:t>
      </w:r>
      <w:r>
        <w:rPr>
          <w:rFonts w:hint="eastAsia"/>
        </w:rPr>
        <w:tab/>
        <w:t>报告指出，非沙特籍的妇女占国家人口的很大比例，但报告没有提供关于这些妇女的资料或数据，也没有解释国家人口是否包括种族、宗教或其他少数群体。请提供关于少数民族或其他少数群体或非沙特籍的妇女的资料，包括《公约》所涉领域的统计数据，说明这些妇女是否面临多重歧视以及为消除这些歧视采取了哪些措施。</w:t>
      </w:r>
    </w:p>
    <w:p w:rsidR="00211B6D" w:rsidRDefault="008F1434" w:rsidP="008F1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211B6D">
        <w:rPr>
          <w:rFonts w:hint="eastAsia"/>
        </w:rPr>
        <w:t>第一条和第二条</w:t>
      </w:r>
    </w:p>
    <w:p w:rsidR="008F1434" w:rsidRPr="008F1434" w:rsidRDefault="008F1434" w:rsidP="008F1434">
      <w:pPr>
        <w:pStyle w:val="SingleTxt"/>
        <w:spacing w:after="0" w:line="120" w:lineRule="exact"/>
        <w:rPr>
          <w:rFonts w:hint="eastAsia"/>
          <w:sz w:val="10"/>
        </w:rPr>
      </w:pPr>
    </w:p>
    <w:p w:rsidR="00211B6D" w:rsidRDefault="00211B6D" w:rsidP="00211B6D">
      <w:pPr>
        <w:pStyle w:val="SingleTxt"/>
        <w:rPr>
          <w:rFonts w:hint="eastAsia"/>
        </w:rPr>
      </w:pPr>
      <w:r>
        <w:rPr>
          <w:rFonts w:hint="eastAsia"/>
        </w:rPr>
        <w:t>4.</w:t>
      </w:r>
      <w:r>
        <w:rPr>
          <w:rFonts w:hint="eastAsia"/>
        </w:rPr>
        <w:tab/>
        <w:t>报告指出，王室法令批准了《公约》，《公约》条款属于国内法的一部分，可在沙特阿拉伯法院或其他司法或行政机构援引这些条款。请解释根据沙特阿拉伯法律制度，当国内法同国际条约义务发生冲突时，后者是否具有优先。还请介绍援引《公约》条款的法院或其他司法或行政案例，以及这些案例的结果。</w:t>
      </w:r>
    </w:p>
    <w:p w:rsidR="00211B6D" w:rsidRDefault="00211B6D" w:rsidP="00211B6D">
      <w:pPr>
        <w:pStyle w:val="SingleTxt"/>
        <w:rPr>
          <w:rFonts w:hint="eastAsia"/>
        </w:rPr>
      </w:pPr>
      <w:r>
        <w:rPr>
          <w:rFonts w:hint="eastAsia"/>
        </w:rPr>
        <w:t>5.</w:t>
      </w:r>
      <w:r>
        <w:rPr>
          <w:rFonts w:hint="eastAsia"/>
        </w:rPr>
        <w:tab/>
      </w:r>
      <w:r w:rsidRPr="008F1434">
        <w:rPr>
          <w:rFonts w:hint="eastAsia"/>
          <w:spacing w:val="-2"/>
        </w:rPr>
        <w:t>报告指出，平等和不歧视的普遍原则已经纳入《施政基本法》和规范性规定。请解释《施政基本法》是否明确规定了基于性别的平等和不歧视的普遍原则，并介绍根据《公约》规定的义务，已经采取或正在采取哪些措施确保此项原则充分适用于所有法律领域。请</w:t>
      </w:r>
      <w:r>
        <w:rPr>
          <w:rFonts w:hint="eastAsia"/>
        </w:rPr>
        <w:t>介绍旨在改革或废除歧视妇女的法律条款的法律审查过程。</w:t>
      </w:r>
    </w:p>
    <w:p w:rsidR="00211B6D" w:rsidRDefault="00211B6D" w:rsidP="00211B6D">
      <w:pPr>
        <w:pStyle w:val="SingleTxt"/>
        <w:rPr>
          <w:rFonts w:hint="eastAsia"/>
        </w:rPr>
      </w:pPr>
      <w:r>
        <w:rPr>
          <w:rFonts w:hint="eastAsia"/>
        </w:rPr>
        <w:t>6.</w:t>
      </w:r>
      <w:r>
        <w:rPr>
          <w:rFonts w:hint="eastAsia"/>
        </w:rPr>
        <w:tab/>
        <w:t>报告概述了妇女可以采用的补救手段。请提供关于妇女利用这些救济手段就性别歧视提出维权要求的统计资料。此外还请说明，是否规定了具体程序或机制负责处理针对性别歧视的维权要求。</w:t>
      </w:r>
    </w:p>
    <w:p w:rsidR="00211B6D" w:rsidRDefault="00211B6D" w:rsidP="00211B6D">
      <w:pPr>
        <w:pStyle w:val="SingleTxt"/>
        <w:rPr>
          <w:rFonts w:hint="eastAsia"/>
        </w:rPr>
      </w:pPr>
      <w:r>
        <w:rPr>
          <w:rFonts w:hint="eastAsia"/>
        </w:rPr>
        <w:t>7.</w:t>
      </w:r>
      <w:r>
        <w:rPr>
          <w:rFonts w:hint="eastAsia"/>
        </w:rPr>
        <w:tab/>
        <w:t>报告回避了禁止妇女开车的禁令，也没有论及关于妇女着装的通行法则、其法律或其他依据、执行机制以及这些做法是否符合《公约》规定。请详细阐述。</w:t>
      </w:r>
    </w:p>
    <w:p w:rsidR="00211B6D" w:rsidRDefault="008F1434" w:rsidP="008F1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211B6D">
        <w:rPr>
          <w:rFonts w:hint="eastAsia"/>
        </w:rPr>
        <w:t>第三条</w:t>
      </w:r>
    </w:p>
    <w:p w:rsidR="008F1434" w:rsidRPr="008F1434" w:rsidRDefault="008F1434" w:rsidP="008F1434">
      <w:pPr>
        <w:pStyle w:val="SingleTxt"/>
        <w:spacing w:after="0" w:line="120" w:lineRule="exact"/>
        <w:rPr>
          <w:rFonts w:hint="eastAsia"/>
          <w:sz w:val="10"/>
        </w:rPr>
      </w:pPr>
    </w:p>
    <w:p w:rsidR="00211B6D" w:rsidRDefault="00211B6D" w:rsidP="00211B6D">
      <w:pPr>
        <w:pStyle w:val="SingleTxt"/>
        <w:rPr>
          <w:rFonts w:hint="eastAsia"/>
        </w:rPr>
      </w:pPr>
      <w:r>
        <w:rPr>
          <w:rFonts w:hint="eastAsia"/>
        </w:rPr>
        <w:t>8.</w:t>
      </w:r>
      <w:r>
        <w:rPr>
          <w:rFonts w:hint="eastAsia"/>
        </w:rPr>
        <w:tab/>
        <w:t>请介绍根据第63号内阁法令建立的专门负责妇女事务的国家高级委员会，以及在政府部委和机构内部建立的为妇女提供服务的妇女权利部门及单位。应说明这些实体的地位、权力、作用、目标、行动以及人力和财政资源情况。是否有妇女在专门负责妇女事务的国家高级委员会中任职，如果有的话，妇女在该委员会中占多大比例？</w:t>
      </w:r>
    </w:p>
    <w:p w:rsidR="00211B6D" w:rsidRDefault="00211B6D" w:rsidP="00211B6D">
      <w:pPr>
        <w:pStyle w:val="SingleTxt"/>
        <w:rPr>
          <w:rFonts w:hint="eastAsia"/>
        </w:rPr>
      </w:pPr>
      <w:r>
        <w:rPr>
          <w:rFonts w:hint="eastAsia"/>
        </w:rPr>
        <w:t>9.</w:t>
      </w:r>
      <w:r>
        <w:rPr>
          <w:rFonts w:hint="eastAsia"/>
        </w:rPr>
        <w:tab/>
        <w:t>报告没有提及推动两性平等的国家行动计划、《公约》和/或《北京宣言》和《行动纲要》的执行情况。请说明是否制订或正在审议此类行动计划。</w:t>
      </w:r>
    </w:p>
    <w:p w:rsidR="00211B6D" w:rsidRDefault="008F1434" w:rsidP="008F1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211B6D">
        <w:rPr>
          <w:rFonts w:hint="eastAsia"/>
        </w:rPr>
        <w:t>第四条</w:t>
      </w:r>
    </w:p>
    <w:p w:rsidR="008F1434" w:rsidRPr="008F1434" w:rsidRDefault="008F1434" w:rsidP="008F1434">
      <w:pPr>
        <w:pStyle w:val="SingleTxt"/>
        <w:spacing w:after="0" w:line="120" w:lineRule="exact"/>
        <w:rPr>
          <w:rFonts w:hint="eastAsia"/>
          <w:sz w:val="10"/>
        </w:rPr>
      </w:pPr>
    </w:p>
    <w:p w:rsidR="00211B6D" w:rsidRDefault="00211B6D" w:rsidP="00211B6D">
      <w:pPr>
        <w:pStyle w:val="SingleTxt"/>
        <w:rPr>
          <w:rFonts w:hint="eastAsia"/>
        </w:rPr>
      </w:pPr>
      <w:r>
        <w:rPr>
          <w:rFonts w:hint="eastAsia"/>
        </w:rPr>
        <w:t>10.</w:t>
      </w:r>
      <w:r>
        <w:rPr>
          <w:rFonts w:hint="eastAsia"/>
        </w:rPr>
        <w:tab/>
        <w:t>请说明沙特政府是否考虑根据《公约》第四条第1款以及一般性建议23和25，采用暂行特别措施，例如规定配额或奖励办法，加速实现两性平等，重点是就业、从政、参与公共生活以及司法领域。</w:t>
      </w:r>
    </w:p>
    <w:p w:rsidR="00211B6D" w:rsidRDefault="008F1434" w:rsidP="008F1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211B6D">
        <w:rPr>
          <w:rFonts w:hint="eastAsia"/>
        </w:rPr>
        <w:t>第五条</w:t>
      </w:r>
    </w:p>
    <w:p w:rsidR="008F1434" w:rsidRPr="008F1434" w:rsidRDefault="008F1434" w:rsidP="008F1434">
      <w:pPr>
        <w:pStyle w:val="SingleTxt"/>
        <w:spacing w:after="0" w:line="120" w:lineRule="exact"/>
        <w:rPr>
          <w:rFonts w:hint="eastAsia"/>
          <w:sz w:val="10"/>
        </w:rPr>
      </w:pPr>
    </w:p>
    <w:p w:rsidR="00211B6D" w:rsidRDefault="00211B6D" w:rsidP="00211B6D">
      <w:pPr>
        <w:pStyle w:val="SingleTxt"/>
        <w:rPr>
          <w:rFonts w:hint="eastAsia"/>
        </w:rPr>
      </w:pPr>
      <w:r>
        <w:rPr>
          <w:rFonts w:hint="eastAsia"/>
        </w:rPr>
        <w:t>11.</w:t>
      </w:r>
      <w:r>
        <w:rPr>
          <w:rFonts w:hint="eastAsia"/>
        </w:rPr>
        <w:tab/>
        <w:t>报告指出，缔约国正在下大力气改变行为方式，消除歧视做法。报告还指出，习俗和传统是妨碍妇女接受教育和进入劳动力市场的障碍。但报告没有详细阐述顽固不化的歧视性习俗、传统和定型观念。请概述歧视性观点、做法和习俗的方式及表现形式，及其对于妇女平等造成的影响。还请阐述正在开展哪些行动克服上述障碍，包括采取哪些措施消除支持这些歧视做法的社会观点。</w:t>
      </w:r>
    </w:p>
    <w:p w:rsidR="00211B6D" w:rsidRDefault="008F1434" w:rsidP="008F1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211B6D">
        <w:rPr>
          <w:rFonts w:hint="eastAsia"/>
        </w:rPr>
        <w:t>暴力侵害妇女行为</w:t>
      </w:r>
    </w:p>
    <w:p w:rsidR="008F1434" w:rsidRPr="008F1434" w:rsidRDefault="008F1434" w:rsidP="008F1434">
      <w:pPr>
        <w:pStyle w:val="SingleTxt"/>
        <w:spacing w:after="0" w:line="120" w:lineRule="exact"/>
        <w:rPr>
          <w:rFonts w:hint="eastAsia"/>
          <w:sz w:val="10"/>
        </w:rPr>
      </w:pPr>
    </w:p>
    <w:p w:rsidR="00211B6D" w:rsidRDefault="00211B6D" w:rsidP="00211B6D">
      <w:pPr>
        <w:pStyle w:val="SingleTxt"/>
        <w:rPr>
          <w:rFonts w:hint="eastAsia"/>
        </w:rPr>
      </w:pPr>
      <w:r>
        <w:rPr>
          <w:rFonts w:hint="eastAsia"/>
        </w:rPr>
        <w:t>12.</w:t>
      </w:r>
      <w:r>
        <w:rPr>
          <w:rFonts w:hint="eastAsia"/>
        </w:rPr>
        <w:tab/>
        <w:t>报告指出，2004年在13个地区成立了社会保障委员会，隶属社会事务部，委员会成员的任务是研究暴力侵害妇女问题，调查申诉，并向委员会提交报告。请说明在家庭暴力和性暴力等暴力侵害妇女的问题上正在收集哪些类型的数据。请说明这些数据在暴力侵害妇女行为的发生率和发展趋势方面揭示了哪些问题，包括暴力侵害妇女案件的起诉和定罪情况。还请说明妇女在社会保障委员会中的任职比例。</w:t>
      </w:r>
    </w:p>
    <w:p w:rsidR="00211B6D" w:rsidRDefault="00211B6D" w:rsidP="00211B6D">
      <w:pPr>
        <w:pStyle w:val="SingleTxt"/>
        <w:rPr>
          <w:rFonts w:hint="eastAsia"/>
        </w:rPr>
      </w:pPr>
      <w:r>
        <w:rPr>
          <w:rFonts w:hint="eastAsia"/>
        </w:rPr>
        <w:t>13.</w:t>
      </w:r>
      <w:r>
        <w:rPr>
          <w:rFonts w:hint="eastAsia"/>
        </w:rPr>
        <w:tab/>
        <w:t>请说明是</w:t>
      </w:r>
      <w:r w:rsidR="00DE1F0C">
        <w:rPr>
          <w:rFonts w:hint="eastAsia"/>
        </w:rPr>
        <w:t>否正在考虑制订制止家庭暴力法，并阐述暴力受害妇女可享有的法律救济</w:t>
      </w:r>
      <w:r>
        <w:rPr>
          <w:rFonts w:hint="eastAsia"/>
        </w:rPr>
        <w:t>手段和</w:t>
      </w:r>
      <w:r w:rsidR="00DE1F0C">
        <w:rPr>
          <w:rFonts w:hint="eastAsia"/>
        </w:rPr>
        <w:t>医疗</w:t>
      </w:r>
      <w:r>
        <w:rPr>
          <w:rFonts w:hint="eastAsia"/>
        </w:rPr>
        <w:t>卫生及社会服务。</w:t>
      </w:r>
    </w:p>
    <w:p w:rsidR="00211B6D" w:rsidRDefault="00211B6D" w:rsidP="00211B6D">
      <w:pPr>
        <w:pStyle w:val="SingleTxt"/>
        <w:rPr>
          <w:rFonts w:hint="eastAsia"/>
        </w:rPr>
      </w:pPr>
      <w:r>
        <w:rPr>
          <w:rFonts w:hint="eastAsia"/>
        </w:rPr>
        <w:t>14.</w:t>
      </w:r>
      <w:r w:rsidR="00DE1F0C">
        <w:rPr>
          <w:rFonts w:hint="eastAsia"/>
        </w:rPr>
        <w:tab/>
      </w:r>
      <w:r>
        <w:rPr>
          <w:rFonts w:hint="eastAsia"/>
        </w:rPr>
        <w:t>暴力侵害妇女行为及其因果问题特别报告员在报告中指出E/CN.4/2003/75/</w:t>
      </w:r>
      <w:r w:rsidR="008F1434">
        <w:br/>
      </w:r>
      <w:r>
        <w:rPr>
          <w:rFonts w:hint="eastAsia"/>
        </w:rPr>
        <w:t>Add.1</w:t>
      </w:r>
      <w:r w:rsidR="008F1434">
        <w:rPr>
          <w:rFonts w:hint="eastAsia"/>
        </w:rPr>
        <w:t>（</w:t>
      </w:r>
      <w:r>
        <w:rPr>
          <w:rFonts w:hint="eastAsia"/>
        </w:rPr>
        <w:t>第815段），在沙特阿拉伯作为家政工人的外籍妇女多次报告在工作环境中受到虐待，其中包括强迫拘禁、</w:t>
      </w:r>
      <w:r w:rsidR="003E0A02">
        <w:rPr>
          <w:rFonts w:hint="eastAsia"/>
        </w:rPr>
        <w:t>不</w:t>
      </w:r>
      <w:r w:rsidR="00DE1F0C">
        <w:rPr>
          <w:rFonts w:hint="eastAsia"/>
        </w:rPr>
        <w:t>给予</w:t>
      </w:r>
      <w:r>
        <w:rPr>
          <w:rFonts w:hint="eastAsia"/>
        </w:rPr>
        <w:t>食物、殴打和其他肢体虐待、以及强奸；这些妇女报告说，由于法院采用严格的证据规则，以及她们本人担心遭到报复，她们在向法院要求获得</w:t>
      </w:r>
      <w:r w:rsidR="00DE1F0C">
        <w:rPr>
          <w:rFonts w:hint="eastAsia"/>
        </w:rPr>
        <w:t>救助</w:t>
      </w:r>
      <w:r>
        <w:rPr>
          <w:rFonts w:hint="eastAsia"/>
        </w:rPr>
        <w:t>方面受到严重阻碍。请说明在以下方面采取了哪些措施：制止此类虐待行为并起诉违法者；确保这些妇女获得充足的法律保护并且能够向法院提出申诉；为她们提供法律、司法、</w:t>
      </w:r>
      <w:r w:rsidR="00DE1F0C">
        <w:rPr>
          <w:rFonts w:hint="eastAsia"/>
        </w:rPr>
        <w:t>医疗卫生和社会服务；以及将这些妇女视为受害人</w:t>
      </w:r>
      <w:r>
        <w:rPr>
          <w:rFonts w:hint="eastAsia"/>
        </w:rPr>
        <w:t>，而不是违法者。</w:t>
      </w:r>
    </w:p>
    <w:p w:rsidR="00211B6D" w:rsidRDefault="008F1434" w:rsidP="008F1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211B6D">
        <w:rPr>
          <w:rFonts w:hint="eastAsia"/>
        </w:rPr>
        <w:t>第六条</w:t>
      </w:r>
    </w:p>
    <w:p w:rsidR="008F1434" w:rsidRPr="008F1434" w:rsidRDefault="008F1434" w:rsidP="008F1434">
      <w:pPr>
        <w:pStyle w:val="SingleTxt"/>
        <w:spacing w:after="0" w:line="120" w:lineRule="exact"/>
        <w:rPr>
          <w:rFonts w:hint="eastAsia"/>
          <w:sz w:val="10"/>
        </w:rPr>
      </w:pPr>
    </w:p>
    <w:p w:rsidR="00211B6D" w:rsidRDefault="00211B6D" w:rsidP="00211B6D">
      <w:pPr>
        <w:pStyle w:val="SingleTxt"/>
        <w:rPr>
          <w:rFonts w:hint="eastAsia"/>
        </w:rPr>
      </w:pPr>
      <w:r>
        <w:rPr>
          <w:rFonts w:hint="eastAsia"/>
        </w:rPr>
        <w:t>15.</w:t>
      </w:r>
      <w:r w:rsidR="00DE1F0C">
        <w:rPr>
          <w:rFonts w:hint="eastAsia"/>
        </w:rPr>
        <w:tab/>
      </w:r>
      <w:r>
        <w:rPr>
          <w:rFonts w:hint="eastAsia"/>
        </w:rPr>
        <w:t>报告指出，沙特阿拉伯已经采取措施制止和打击贩运人口，而且这方面的工作取得了很大成绩。请说明这些措施，包括打击贩运人口的具体法律的制订或审议情况，为警方、边防卫队和司法人员开展打击贩运专项培训的措施，包括培训妇女从事这些工作，并介绍这些措施的成效。</w:t>
      </w:r>
    </w:p>
    <w:p w:rsidR="00211B6D" w:rsidRDefault="008F1434" w:rsidP="008F1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211B6D">
        <w:rPr>
          <w:rFonts w:hint="eastAsia"/>
        </w:rPr>
        <w:t>第七条和第八条</w:t>
      </w:r>
    </w:p>
    <w:p w:rsidR="008F1434" w:rsidRPr="008F1434" w:rsidRDefault="008F1434" w:rsidP="008F1434">
      <w:pPr>
        <w:pStyle w:val="SingleTxt"/>
        <w:spacing w:after="0" w:line="120" w:lineRule="exact"/>
        <w:rPr>
          <w:rFonts w:hint="eastAsia"/>
          <w:sz w:val="10"/>
        </w:rPr>
      </w:pPr>
    </w:p>
    <w:p w:rsidR="00211B6D" w:rsidRDefault="00211B6D" w:rsidP="00211B6D">
      <w:pPr>
        <w:pStyle w:val="SingleTxt"/>
        <w:rPr>
          <w:rFonts w:hint="eastAsia"/>
        </w:rPr>
      </w:pPr>
      <w:r>
        <w:rPr>
          <w:rFonts w:hint="eastAsia"/>
        </w:rPr>
        <w:t>16.</w:t>
      </w:r>
      <w:r w:rsidR="00DE1F0C">
        <w:rPr>
          <w:rFonts w:hint="eastAsia"/>
        </w:rPr>
        <w:tab/>
      </w:r>
      <w:r>
        <w:rPr>
          <w:rFonts w:hint="eastAsia"/>
        </w:rPr>
        <w:t>报告指出，妇女没有参与沙特阿拉伯的第一届市政选举，但《市政选举法》中的“公民”一词</w:t>
      </w:r>
      <w:r w:rsidR="00DE1F0C">
        <w:rPr>
          <w:rFonts w:hint="eastAsia"/>
        </w:rPr>
        <w:t>同样</w:t>
      </w:r>
      <w:r>
        <w:rPr>
          <w:rFonts w:hint="eastAsia"/>
        </w:rPr>
        <w:t>涵盖妇女和男子，而且政府官员就妇女参与即将进行的选举一事发表了讲话。请解释是否确保妇女同男子享有同等的选举权并保证她们有资格参与各级选举，并说明这些权利的法律依据。还请说明政府采取了哪些具体措施保证女性选民和候选人能够充分参与即将举行的选举。</w:t>
      </w:r>
    </w:p>
    <w:p w:rsidR="00211B6D" w:rsidRDefault="00211B6D" w:rsidP="00211B6D">
      <w:pPr>
        <w:pStyle w:val="SingleTxt"/>
        <w:rPr>
          <w:rFonts w:hint="eastAsia"/>
        </w:rPr>
      </w:pPr>
      <w:r>
        <w:rPr>
          <w:rFonts w:hint="eastAsia"/>
        </w:rPr>
        <w:t>17.</w:t>
      </w:r>
      <w:r w:rsidR="00DE1F0C">
        <w:rPr>
          <w:rFonts w:hint="eastAsia"/>
        </w:rPr>
        <w:tab/>
      </w:r>
      <w:r>
        <w:rPr>
          <w:rFonts w:hint="eastAsia"/>
        </w:rPr>
        <w:t>报告指出，沙特阿拉伯协商委员会在会议期间向妇女征求意见，而且妇女作为协商委员会代表团的成员，出席了区域及国际议会会议。请说明妇女在协商委员会及其代表团中的参与级别和性质，包括妇女在进入委员会方面是否同男子享有同等的权利，以及政府正在采取哪些措施加强妇女在协商委员会及其代表团中的参与力度。</w:t>
      </w:r>
    </w:p>
    <w:p w:rsidR="00211B6D" w:rsidRDefault="00211B6D" w:rsidP="00211B6D">
      <w:pPr>
        <w:pStyle w:val="SingleTxt"/>
        <w:rPr>
          <w:rFonts w:hint="eastAsia"/>
        </w:rPr>
      </w:pPr>
      <w:r>
        <w:rPr>
          <w:rFonts w:hint="eastAsia"/>
        </w:rPr>
        <w:t>18.</w:t>
      </w:r>
      <w:r w:rsidR="00DE1F0C">
        <w:rPr>
          <w:rFonts w:hint="eastAsia"/>
        </w:rPr>
        <w:tab/>
      </w:r>
      <w:r>
        <w:rPr>
          <w:rFonts w:hint="eastAsia"/>
        </w:rPr>
        <w:t>报告指出，该国为妇女晋升机构领导职位提供机会，包括升至副部长级别。请提供统计资料，说明在各级政府和政府各部门任职</w:t>
      </w:r>
      <w:r w:rsidR="00DE1F0C">
        <w:rPr>
          <w:rFonts w:hint="eastAsia"/>
        </w:rPr>
        <w:t>，</w:t>
      </w:r>
      <w:r>
        <w:rPr>
          <w:rFonts w:hint="eastAsia"/>
        </w:rPr>
        <w:t>包括担任领导职位的妇女人数。还请说明已经采取哪些具体措施推动妇女参与司法机构等领域的各级决策工作，包括根据《公约》第四条第1款及委员会一般性建议</w:t>
      </w:r>
      <w:r w:rsidR="00DE1F0C">
        <w:rPr>
          <w:rFonts w:hint="eastAsia"/>
        </w:rPr>
        <w:t>23和25</w:t>
      </w:r>
      <w:r>
        <w:rPr>
          <w:rFonts w:hint="eastAsia"/>
        </w:rPr>
        <w:t xml:space="preserve">采取的暂行特别措施。 </w:t>
      </w:r>
    </w:p>
    <w:p w:rsidR="00211B6D" w:rsidRDefault="008F1434" w:rsidP="008F1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211B6D">
        <w:rPr>
          <w:rFonts w:hint="eastAsia"/>
        </w:rPr>
        <w:t>第九条</w:t>
      </w:r>
    </w:p>
    <w:p w:rsidR="008F1434" w:rsidRPr="008F1434" w:rsidRDefault="008F1434" w:rsidP="008F1434">
      <w:pPr>
        <w:pStyle w:val="SingleTxt"/>
        <w:spacing w:after="0" w:line="120" w:lineRule="exact"/>
        <w:rPr>
          <w:rFonts w:hint="eastAsia"/>
          <w:sz w:val="10"/>
        </w:rPr>
      </w:pPr>
    </w:p>
    <w:p w:rsidR="00211B6D" w:rsidRDefault="00211B6D" w:rsidP="00211B6D">
      <w:pPr>
        <w:pStyle w:val="SingleTxt"/>
        <w:rPr>
          <w:rFonts w:hint="eastAsia"/>
        </w:rPr>
      </w:pPr>
      <w:r>
        <w:rPr>
          <w:rFonts w:hint="eastAsia"/>
        </w:rPr>
        <w:t>19.</w:t>
      </w:r>
      <w:r w:rsidR="00DE1F0C">
        <w:rPr>
          <w:rFonts w:hint="eastAsia"/>
        </w:rPr>
        <w:tab/>
      </w:r>
      <w:r>
        <w:rPr>
          <w:rFonts w:hint="eastAsia"/>
        </w:rPr>
        <w:t>报告指出，M/54号王室法令（回历1425年10月29日）将由内政部审查，这项法令修正了沙特《国籍法》的若干条款，确认男女平等原则适用于涉及沙特国籍的所有问题。请介绍关于这项法令地位的最新情况，并说明这项法令对于沙特阿拉伯对《公约》第九条第2款的保留将产生哪些影响。</w:t>
      </w:r>
    </w:p>
    <w:p w:rsidR="00211B6D" w:rsidRDefault="008F1434" w:rsidP="008F1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211B6D">
        <w:rPr>
          <w:rFonts w:hint="eastAsia"/>
        </w:rPr>
        <w:t>第十条</w:t>
      </w:r>
    </w:p>
    <w:p w:rsidR="008F1434" w:rsidRPr="008F1434" w:rsidRDefault="008F1434" w:rsidP="008F1434">
      <w:pPr>
        <w:pStyle w:val="SingleTxt"/>
        <w:spacing w:after="0" w:line="120" w:lineRule="exact"/>
        <w:rPr>
          <w:rFonts w:hint="eastAsia"/>
          <w:sz w:val="10"/>
        </w:rPr>
      </w:pPr>
    </w:p>
    <w:p w:rsidR="00211B6D" w:rsidRDefault="00211B6D" w:rsidP="00211B6D">
      <w:pPr>
        <w:pStyle w:val="SingleTxt"/>
        <w:rPr>
          <w:rFonts w:hint="eastAsia"/>
        </w:rPr>
      </w:pPr>
      <w:r>
        <w:rPr>
          <w:rFonts w:hint="eastAsia"/>
        </w:rPr>
        <w:t>20.</w:t>
      </w:r>
      <w:r w:rsidR="00DE1F0C">
        <w:rPr>
          <w:rFonts w:hint="eastAsia"/>
        </w:rPr>
        <w:tab/>
      </w:r>
      <w:r>
        <w:rPr>
          <w:rFonts w:hint="eastAsia"/>
        </w:rPr>
        <w:t>请提供数据和资料说明各级教育情况，以及农村、少数</w:t>
      </w:r>
      <w:r w:rsidR="002B6E41">
        <w:rPr>
          <w:rFonts w:hint="eastAsia"/>
        </w:rPr>
        <w:t>族裔</w:t>
      </w:r>
      <w:r>
        <w:rPr>
          <w:rFonts w:hint="eastAsia"/>
        </w:rPr>
        <w:t>、其他少数群体或非沙特籍妇女及</w:t>
      </w:r>
      <w:r w:rsidR="002B6E41">
        <w:rPr>
          <w:rFonts w:hint="eastAsia"/>
        </w:rPr>
        <w:t>女孩</w:t>
      </w:r>
      <w:r>
        <w:rPr>
          <w:rFonts w:hint="eastAsia"/>
        </w:rPr>
        <w:t>受教育</w:t>
      </w:r>
      <w:r w:rsidR="002B6E41">
        <w:rPr>
          <w:rFonts w:hint="eastAsia"/>
        </w:rPr>
        <w:t>的机会</w:t>
      </w:r>
      <w:r>
        <w:rPr>
          <w:rFonts w:hint="eastAsia"/>
        </w:rPr>
        <w:t>。</w:t>
      </w:r>
    </w:p>
    <w:p w:rsidR="00211B6D" w:rsidRPr="008F1434" w:rsidRDefault="00211B6D" w:rsidP="00211B6D">
      <w:pPr>
        <w:pStyle w:val="SingleTxt"/>
        <w:rPr>
          <w:rFonts w:hint="eastAsia"/>
          <w:spacing w:val="-2"/>
        </w:rPr>
      </w:pPr>
      <w:r>
        <w:rPr>
          <w:rFonts w:hint="eastAsia"/>
        </w:rPr>
        <w:t>21.</w:t>
      </w:r>
      <w:r w:rsidR="002B6E41">
        <w:rPr>
          <w:rFonts w:hint="eastAsia"/>
        </w:rPr>
        <w:tab/>
      </w:r>
      <w:r>
        <w:rPr>
          <w:rFonts w:hint="eastAsia"/>
        </w:rPr>
        <w:t>报告</w:t>
      </w:r>
      <w:r w:rsidRPr="008F1434">
        <w:rPr>
          <w:rFonts w:hint="eastAsia"/>
          <w:spacing w:val="-2"/>
        </w:rPr>
        <w:t>指出，正在对从幼儿园到中学的男女生课程实现性别标准化。请详细说明这项标准化工作及其在各级学校教育中的具体内容。请特别阐述是否正在采取措施消除教材、课程和师资培训中关于男女作用及责任的陈规定型观念，鼓励</w:t>
      </w:r>
      <w:r w:rsidR="002B6E41" w:rsidRPr="008F1434">
        <w:rPr>
          <w:rFonts w:hint="eastAsia"/>
          <w:spacing w:val="-2"/>
        </w:rPr>
        <w:t>女孩</w:t>
      </w:r>
      <w:r w:rsidRPr="008F1434">
        <w:rPr>
          <w:rFonts w:hint="eastAsia"/>
          <w:spacing w:val="-2"/>
        </w:rPr>
        <w:t>参与非传统的教育、职业和专业，并向妇女和</w:t>
      </w:r>
      <w:r w:rsidR="002B6E41" w:rsidRPr="008F1434">
        <w:rPr>
          <w:rFonts w:hint="eastAsia"/>
          <w:spacing w:val="-2"/>
        </w:rPr>
        <w:t>女孩</w:t>
      </w:r>
      <w:r w:rsidRPr="008F1434">
        <w:rPr>
          <w:rFonts w:hint="eastAsia"/>
          <w:spacing w:val="-2"/>
        </w:rPr>
        <w:t>开放科学技术领域的所有学科。</w:t>
      </w:r>
    </w:p>
    <w:p w:rsidR="00211B6D" w:rsidRDefault="00211B6D" w:rsidP="00211B6D">
      <w:pPr>
        <w:pStyle w:val="SingleTxt"/>
        <w:rPr>
          <w:rFonts w:hint="eastAsia"/>
        </w:rPr>
      </w:pPr>
      <w:r>
        <w:rPr>
          <w:rFonts w:hint="eastAsia"/>
        </w:rPr>
        <w:t>22.</w:t>
      </w:r>
      <w:r w:rsidR="002B6E41">
        <w:rPr>
          <w:rFonts w:hint="eastAsia"/>
        </w:rPr>
        <w:tab/>
      </w:r>
      <w:r>
        <w:rPr>
          <w:rFonts w:hint="eastAsia"/>
        </w:rPr>
        <w:t>请提供统计数据，说明同男子和男生相比，妇女和女生在大专院校参与各门类学科的情况。</w:t>
      </w:r>
    </w:p>
    <w:p w:rsidR="00211B6D" w:rsidRDefault="00211B6D" w:rsidP="00211B6D">
      <w:pPr>
        <w:pStyle w:val="SingleTxt"/>
        <w:rPr>
          <w:rFonts w:hint="eastAsia"/>
        </w:rPr>
      </w:pPr>
      <w:r>
        <w:rPr>
          <w:rFonts w:hint="eastAsia"/>
        </w:rPr>
        <w:t>23.</w:t>
      </w:r>
      <w:r w:rsidR="002B6E41">
        <w:rPr>
          <w:rFonts w:hint="eastAsia"/>
        </w:rPr>
        <w:tab/>
      </w:r>
      <w:r>
        <w:rPr>
          <w:rFonts w:hint="eastAsia"/>
        </w:rPr>
        <w:t>报告指出，第651/M号王室法令（回历1422年6月8日）在以下领域扩大了奖学金发放范围：有妇女就职的领域；以及要求从业者具备海外留学资历的工作领域。请说明根据《公约》第十条（d）款，从事各领域或职业的妇女在获得奖学金或海外留学机会方面是否同男子享有同等的机会，并提供按性别和领域或职业分列的统计数据，说明妇女到海外留学的情况和留学奖学金的发放情况。</w:t>
      </w:r>
    </w:p>
    <w:p w:rsidR="00211B6D" w:rsidRDefault="00211B6D" w:rsidP="00211B6D">
      <w:pPr>
        <w:pStyle w:val="SingleTxt"/>
        <w:rPr>
          <w:rFonts w:hint="eastAsia"/>
        </w:rPr>
      </w:pPr>
      <w:r>
        <w:rPr>
          <w:rFonts w:hint="eastAsia"/>
        </w:rPr>
        <w:t>24.</w:t>
      </w:r>
      <w:r w:rsidR="002B6E41">
        <w:rPr>
          <w:rFonts w:hint="eastAsia"/>
        </w:rPr>
        <w:tab/>
      </w:r>
      <w:r>
        <w:rPr>
          <w:rFonts w:hint="eastAsia"/>
        </w:rPr>
        <w:t>报告指出，妇女文盲率（25.18％）比男子高出一倍多（11.7％）。请阐述已经出台了哪些措施降低妇女文盲率以及这些措施的实施成果如何。</w:t>
      </w:r>
    </w:p>
    <w:p w:rsidR="00211B6D" w:rsidRDefault="008F1434" w:rsidP="008F1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211B6D">
        <w:rPr>
          <w:rFonts w:hint="eastAsia"/>
        </w:rPr>
        <w:t>第十一条</w:t>
      </w:r>
    </w:p>
    <w:p w:rsidR="008F1434" w:rsidRPr="008F1434" w:rsidRDefault="008F1434" w:rsidP="008F1434">
      <w:pPr>
        <w:pStyle w:val="SingleTxt"/>
        <w:spacing w:after="0" w:line="120" w:lineRule="exact"/>
        <w:rPr>
          <w:rFonts w:hint="eastAsia"/>
          <w:sz w:val="10"/>
        </w:rPr>
      </w:pPr>
    </w:p>
    <w:p w:rsidR="00211B6D" w:rsidRDefault="00211B6D" w:rsidP="00211B6D">
      <w:pPr>
        <w:pStyle w:val="SingleTxt"/>
        <w:rPr>
          <w:rFonts w:hint="eastAsia"/>
        </w:rPr>
      </w:pPr>
      <w:r>
        <w:rPr>
          <w:rFonts w:hint="eastAsia"/>
        </w:rPr>
        <w:t>25.</w:t>
      </w:r>
      <w:r w:rsidR="002B6E41">
        <w:rPr>
          <w:rFonts w:hint="eastAsia"/>
        </w:rPr>
        <w:tab/>
      </w:r>
      <w:r>
        <w:rPr>
          <w:rFonts w:hint="eastAsia"/>
        </w:rPr>
        <w:t>请介绍女性劳动力参与非正规经济部门的情况，并提供统计数据。还请阐述为非正规经济部门从业妇女提供的各类法律、社会或其他服务及保障，以及为这些妇女增加就业机会和途径的措施。</w:t>
      </w:r>
    </w:p>
    <w:p w:rsidR="00211B6D" w:rsidRDefault="00211B6D" w:rsidP="00211B6D">
      <w:pPr>
        <w:pStyle w:val="SingleTxt"/>
        <w:rPr>
          <w:rFonts w:hint="eastAsia"/>
        </w:rPr>
      </w:pPr>
      <w:r>
        <w:rPr>
          <w:rFonts w:hint="eastAsia"/>
        </w:rPr>
        <w:t>26.</w:t>
      </w:r>
      <w:r w:rsidR="002B6E41">
        <w:rPr>
          <w:rFonts w:hint="eastAsia"/>
        </w:rPr>
        <w:tab/>
      </w:r>
      <w:r>
        <w:rPr>
          <w:rFonts w:hint="eastAsia"/>
        </w:rPr>
        <w:t>报告指出，《社会保障法》和《保会保险法》同样适用于妇女和男子，妇女、特别是“没有男性赡养”的妇女可获得福利。请说明这些法律是否规定妇女在领取养恤金和其他福利方面同男子享有同等的权利，并提供按性别分列的数据，说明根据上述法律提供服务和福利的情况。</w:t>
      </w:r>
    </w:p>
    <w:p w:rsidR="00211B6D" w:rsidRDefault="00211B6D" w:rsidP="00211B6D">
      <w:pPr>
        <w:pStyle w:val="SingleTxt"/>
        <w:rPr>
          <w:rFonts w:hint="eastAsia"/>
        </w:rPr>
      </w:pPr>
      <w:r>
        <w:rPr>
          <w:rFonts w:hint="eastAsia"/>
        </w:rPr>
        <w:t>27.</w:t>
      </w:r>
      <w:r w:rsidR="002B6E41">
        <w:rPr>
          <w:rFonts w:hint="eastAsia"/>
        </w:rPr>
        <w:tab/>
      </w:r>
      <w:r>
        <w:rPr>
          <w:rFonts w:hint="eastAsia"/>
        </w:rPr>
        <w:t>报告指出，劳动部、工商部和沙特工商理事会负责研究私营部门职业妇女的产假问题。请介绍此项研究的最新进展，说明是否已提出立法提案或采取其他行动，进一步保障私营部门员工可享有产假，并提供统计资料说明公共及私营部门提供产假的普遍程度和员工享受产假的情况。</w:t>
      </w:r>
    </w:p>
    <w:p w:rsidR="00211B6D" w:rsidRDefault="008F1434" w:rsidP="008F1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211B6D">
        <w:rPr>
          <w:rFonts w:hint="eastAsia"/>
        </w:rPr>
        <w:t>第十二条</w:t>
      </w:r>
    </w:p>
    <w:p w:rsidR="008F1434" w:rsidRPr="008F1434" w:rsidRDefault="008F1434" w:rsidP="008F1434">
      <w:pPr>
        <w:pStyle w:val="SingleTxt"/>
        <w:spacing w:after="0" w:line="120" w:lineRule="exact"/>
        <w:rPr>
          <w:rFonts w:hint="eastAsia"/>
          <w:sz w:val="10"/>
        </w:rPr>
      </w:pPr>
    </w:p>
    <w:p w:rsidR="00211B6D" w:rsidRDefault="00211B6D" w:rsidP="00211B6D">
      <w:pPr>
        <w:pStyle w:val="SingleTxt"/>
        <w:rPr>
          <w:rFonts w:hint="eastAsia"/>
        </w:rPr>
      </w:pPr>
      <w:r>
        <w:rPr>
          <w:rFonts w:hint="eastAsia"/>
        </w:rPr>
        <w:t>28.</w:t>
      </w:r>
      <w:r w:rsidR="00ED16B7">
        <w:rPr>
          <w:rFonts w:hint="eastAsia"/>
        </w:rPr>
        <w:tab/>
      </w:r>
      <w:r>
        <w:rPr>
          <w:rFonts w:hint="eastAsia"/>
        </w:rPr>
        <w:t>请介绍包括移民妇女在内的农村地区、少数</w:t>
      </w:r>
      <w:r w:rsidR="00ED16B7">
        <w:rPr>
          <w:rFonts w:hint="eastAsia"/>
        </w:rPr>
        <w:t>族裔</w:t>
      </w:r>
      <w:r>
        <w:rPr>
          <w:rFonts w:hint="eastAsia"/>
        </w:rPr>
        <w:t>或其他少数群体以及非沙特籍妇女和</w:t>
      </w:r>
      <w:r w:rsidR="00ED16B7">
        <w:rPr>
          <w:rFonts w:hint="eastAsia"/>
        </w:rPr>
        <w:t>女孩获得</w:t>
      </w:r>
      <w:r>
        <w:rPr>
          <w:rFonts w:hint="eastAsia"/>
        </w:rPr>
        <w:t>保健服务的情况，以及所有妇女的孕产妇死亡率和发病率，包括长期发展趋势，并提供相关数据。</w:t>
      </w:r>
    </w:p>
    <w:p w:rsidR="00211B6D" w:rsidRDefault="008F1434" w:rsidP="008F1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211B6D">
        <w:rPr>
          <w:rFonts w:hint="eastAsia"/>
        </w:rPr>
        <w:t>第十三条和第十四条</w:t>
      </w:r>
    </w:p>
    <w:p w:rsidR="008F1434" w:rsidRPr="008F1434" w:rsidRDefault="008F1434" w:rsidP="008F1434">
      <w:pPr>
        <w:pStyle w:val="SingleTxt"/>
        <w:spacing w:after="0" w:line="120" w:lineRule="exact"/>
        <w:rPr>
          <w:rFonts w:hint="eastAsia"/>
          <w:sz w:val="10"/>
        </w:rPr>
      </w:pPr>
    </w:p>
    <w:p w:rsidR="00211B6D" w:rsidRDefault="00211B6D" w:rsidP="00211B6D">
      <w:pPr>
        <w:pStyle w:val="SingleTxt"/>
        <w:rPr>
          <w:rFonts w:hint="eastAsia"/>
        </w:rPr>
      </w:pPr>
      <w:r>
        <w:rPr>
          <w:rFonts w:hint="eastAsia"/>
        </w:rPr>
        <w:t>29.</w:t>
      </w:r>
      <w:r w:rsidR="00ED16B7">
        <w:rPr>
          <w:rFonts w:hint="eastAsia"/>
        </w:rPr>
        <w:tab/>
      </w:r>
      <w:r>
        <w:rPr>
          <w:rFonts w:hint="eastAsia"/>
        </w:rPr>
        <w:t>报告指出，沙特政府在2000年实施农村妇女先驱项目，目的是提高农村妇女对于卫生和社会问题的认识，协助她们掌握某些技能。请介绍沙特阿拉伯农村妇女的情况以及这个项目的影响，包括2000年以来农村妇女在以下方面的数据和发展趋势：教育程度、卫生状况、参与正规及非正规劳动部门的情况、获得贷款和金融信贷的情况以及参与国家社会和政治生活的情况。请用数据说明妇女同男子相比在上述领域的参与率。</w:t>
      </w:r>
    </w:p>
    <w:p w:rsidR="00211B6D" w:rsidRDefault="008F1434" w:rsidP="008F1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211B6D">
        <w:rPr>
          <w:rFonts w:hint="eastAsia"/>
        </w:rPr>
        <w:t>第十五条和第十六条</w:t>
      </w:r>
    </w:p>
    <w:p w:rsidR="008F1434" w:rsidRPr="008F1434" w:rsidRDefault="008F1434" w:rsidP="008F1434">
      <w:pPr>
        <w:pStyle w:val="SingleTxt"/>
        <w:spacing w:after="0" w:line="120" w:lineRule="exact"/>
        <w:rPr>
          <w:rFonts w:hint="eastAsia"/>
          <w:sz w:val="10"/>
        </w:rPr>
      </w:pPr>
    </w:p>
    <w:p w:rsidR="00211B6D" w:rsidRDefault="00211B6D" w:rsidP="00211B6D">
      <w:pPr>
        <w:pStyle w:val="SingleTxt"/>
        <w:rPr>
          <w:rFonts w:hint="eastAsia"/>
        </w:rPr>
      </w:pPr>
      <w:r>
        <w:rPr>
          <w:rFonts w:hint="eastAsia"/>
        </w:rPr>
        <w:t>30.</w:t>
      </w:r>
      <w:r w:rsidR="00ED16B7">
        <w:rPr>
          <w:rFonts w:hint="eastAsia"/>
        </w:rPr>
        <w:tab/>
      </w:r>
      <w:r>
        <w:rPr>
          <w:rFonts w:hint="eastAsia"/>
        </w:rPr>
        <w:t>报告提到成立“人身关系法院”，负责裁定涉及人身关系的所有事项。请说明这些法院中的女法官比例，并说明妇女在法律</w:t>
      </w:r>
      <w:r w:rsidR="00ED16B7">
        <w:rPr>
          <w:rFonts w:hint="eastAsia"/>
        </w:rPr>
        <w:t>权利</w:t>
      </w:r>
      <w:r>
        <w:rPr>
          <w:rFonts w:hint="eastAsia"/>
        </w:rPr>
        <w:t>能力以及向这些法院提起诉讼和参与诉讼方面是否同男子享有同等的权利。还请解释人身法在以下方面对妇女和男子的区别对待：婚姻、离婚、子女监护和</w:t>
      </w:r>
      <w:r w:rsidR="00ED16B7">
        <w:rPr>
          <w:rFonts w:hint="eastAsia"/>
        </w:rPr>
        <w:t>抚养</w:t>
      </w:r>
      <w:r>
        <w:rPr>
          <w:rFonts w:hint="eastAsia"/>
        </w:rPr>
        <w:t>、继承、财产所有权、家庭和经济事务决策权、以及选择居所和就业。</w:t>
      </w:r>
    </w:p>
    <w:p w:rsidR="00211B6D" w:rsidRDefault="00211B6D" w:rsidP="00211B6D">
      <w:pPr>
        <w:pStyle w:val="SingleTxt"/>
        <w:rPr>
          <w:rFonts w:hint="eastAsia"/>
        </w:rPr>
      </w:pPr>
      <w:r>
        <w:rPr>
          <w:rFonts w:hint="eastAsia"/>
        </w:rPr>
        <w:t>31.</w:t>
      </w:r>
      <w:r w:rsidR="00ED16B7">
        <w:rPr>
          <w:rFonts w:hint="eastAsia"/>
        </w:rPr>
        <w:tab/>
      </w:r>
      <w:r>
        <w:rPr>
          <w:rFonts w:hint="eastAsia"/>
        </w:rPr>
        <w:t>报告明确指出，“伊斯兰教法是社会法律的立法框架，根据这些法律，妇女有权选择丈夫，而且缔结婚姻须经妇女本人同意”。请解释法院在婚姻、家庭做法和习俗方面的作用，说明出台了哪些措施确保司法机构和法律界了解《公约》内容并遵守沙特阿拉伯根据《公约》承担的义务，包括培训情况。请说明妇女和男子的法定最低结婚年龄，男女法定最低结婚年龄是否相同，是否符合《儿童权利公约》规定的法定成年年龄。</w:t>
      </w:r>
    </w:p>
    <w:p w:rsidR="00211B6D" w:rsidRDefault="008F1434" w:rsidP="008F1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211B6D">
        <w:rPr>
          <w:rFonts w:hint="eastAsia"/>
        </w:rPr>
        <w:t>《任择议定书》</w:t>
      </w:r>
    </w:p>
    <w:p w:rsidR="008F1434" w:rsidRPr="008F1434" w:rsidRDefault="008F1434" w:rsidP="008F1434">
      <w:pPr>
        <w:pStyle w:val="SingleTxt"/>
        <w:spacing w:after="0" w:line="120" w:lineRule="exact"/>
        <w:rPr>
          <w:rFonts w:hint="eastAsia"/>
          <w:sz w:val="10"/>
        </w:rPr>
      </w:pPr>
    </w:p>
    <w:p w:rsidR="00211B6D" w:rsidRDefault="00211B6D" w:rsidP="00211B6D">
      <w:pPr>
        <w:pStyle w:val="SingleTxt"/>
        <w:rPr>
          <w:rFonts w:hint="eastAsia"/>
        </w:rPr>
      </w:pPr>
      <w:r>
        <w:rPr>
          <w:rFonts w:hint="eastAsia"/>
        </w:rPr>
        <w:t>32.</w:t>
      </w:r>
      <w:r w:rsidR="00ED16B7">
        <w:rPr>
          <w:rFonts w:hint="eastAsia"/>
        </w:rPr>
        <w:tab/>
      </w:r>
      <w:r>
        <w:rPr>
          <w:rFonts w:hint="eastAsia"/>
        </w:rPr>
        <w:t>请说明加入《公约任择议定书》的进展情况。还请说明接受对《公约》第二十条第1款的修正的进展情况。</w:t>
      </w:r>
    </w:p>
    <w:p w:rsidR="008F1434" w:rsidRPr="008F1434" w:rsidRDefault="008F1434" w:rsidP="008F1434">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8F1434" w:rsidRPr="008F1434" w:rsidSect="00E42603">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6T20:26:00Z" w:initials="Start">
    <w:p w:rsidR="008F1434" w:rsidRDefault="008F1434">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2365C5">
        <w:fldChar w:fldCharType="separate"/>
      </w:r>
      <w:r w:rsidR="002E0815">
        <w:rPr>
          <w:rFonts w:hint="eastAsia"/>
          <w:noProof/>
        </w:rPr>
        <w:t xml:space="preserve">页: </w:t>
      </w:r>
      <w:r w:rsidR="002E0815">
        <w:rPr>
          <w:noProof/>
        </w:rPr>
        <w:t>1</w:t>
      </w:r>
      <w:r w:rsidR="002E0815">
        <w:rPr>
          <w:rFonts w:hint="eastAsia"/>
          <w:noProof/>
        </w:rPr>
        <w:br/>
      </w:r>
      <w:r>
        <w:fldChar w:fldCharType="end"/>
      </w:r>
      <w:r>
        <w:rPr>
          <w:rStyle w:val="CommentReference"/>
        </w:rPr>
        <w:annotationRef/>
      </w:r>
      <w:r>
        <w:t>&lt;&lt;ODS JOB NO&gt;&gt;N0746340C&lt;&lt;ODS JOB NO&gt;&gt;</w:t>
      </w:r>
    </w:p>
    <w:p w:rsidR="008F1434" w:rsidRDefault="008F1434">
      <w:pPr>
        <w:pStyle w:val="CommentText"/>
      </w:pPr>
      <w:r>
        <w:t>&lt;&lt;ODS DOC SYMBOL1&gt;&gt;CEDAW/C/SAU/Q/2&lt;&lt;ODS DOC SYMBOL1&gt;&gt;</w:t>
      </w:r>
    </w:p>
    <w:p w:rsidR="008F1434" w:rsidRDefault="008F143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6FA" w:rsidRDefault="005B36FA" w:rsidP="00E42603">
      <w:pPr>
        <w:pStyle w:val="Footer"/>
      </w:pPr>
      <w:r>
        <w:separator/>
      </w:r>
    </w:p>
  </w:endnote>
  <w:endnote w:type="continuationSeparator" w:id="0">
    <w:p w:rsidR="005B36FA" w:rsidRDefault="005B36FA" w:rsidP="00E4260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F1434" w:rsidTr="00E42603">
      <w:tblPrEx>
        <w:tblCellMar>
          <w:top w:w="0" w:type="dxa"/>
          <w:bottom w:w="0" w:type="dxa"/>
        </w:tblCellMar>
      </w:tblPrEx>
      <w:tc>
        <w:tcPr>
          <w:tcW w:w="5033" w:type="dxa"/>
          <w:shd w:val="clear" w:color="auto" w:fill="auto"/>
        </w:tcPr>
        <w:p w:rsidR="008F1434" w:rsidRPr="00E42603" w:rsidRDefault="008F1434" w:rsidP="00E4260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0815">
            <w:rPr>
              <w:b w:val="0"/>
              <w:w w:val="103"/>
              <w:sz w:val="14"/>
            </w:rPr>
            <w:t>07-46340</w:t>
          </w:r>
          <w:r>
            <w:rPr>
              <w:b w:val="0"/>
              <w:w w:val="103"/>
              <w:sz w:val="14"/>
            </w:rPr>
            <w:fldChar w:fldCharType="end"/>
          </w:r>
        </w:p>
      </w:tc>
      <w:tc>
        <w:tcPr>
          <w:tcW w:w="5033" w:type="dxa"/>
          <w:shd w:val="clear" w:color="auto" w:fill="auto"/>
        </w:tcPr>
        <w:p w:rsidR="008F1434" w:rsidRPr="00E42603" w:rsidRDefault="008F1434" w:rsidP="00E42603">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2E0815">
            <w:rPr>
              <w:w w:val="103"/>
              <w:sz w:val="17"/>
            </w:rPr>
            <w:t>1</w:t>
          </w:r>
          <w:r>
            <w:rPr>
              <w:w w:val="103"/>
              <w:sz w:val="17"/>
            </w:rPr>
            <w:fldChar w:fldCharType="end"/>
          </w:r>
        </w:p>
      </w:tc>
    </w:tr>
  </w:tbl>
  <w:p w:rsidR="008F1434" w:rsidRPr="00E42603" w:rsidRDefault="008F1434" w:rsidP="00E426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F1434" w:rsidTr="00E42603">
      <w:tblPrEx>
        <w:tblCellMar>
          <w:top w:w="0" w:type="dxa"/>
          <w:bottom w:w="0" w:type="dxa"/>
        </w:tblCellMar>
      </w:tblPrEx>
      <w:tc>
        <w:tcPr>
          <w:tcW w:w="5033" w:type="dxa"/>
          <w:shd w:val="clear" w:color="auto" w:fill="auto"/>
        </w:tcPr>
        <w:p w:rsidR="008F1434" w:rsidRPr="00E42603" w:rsidRDefault="008F1434" w:rsidP="00E42603">
          <w:pPr>
            <w:pStyle w:val="Footer"/>
            <w:jc w:val="right"/>
          </w:pPr>
          <w:r>
            <w:fldChar w:fldCharType="begin"/>
          </w:r>
          <w:r>
            <w:instrText xml:space="preserve"> PAGE  \* MERGEFORMAT </w:instrText>
          </w:r>
          <w:r>
            <w:fldChar w:fldCharType="separate"/>
          </w:r>
          <w:r w:rsidR="002E0815">
            <w:t>1</w:t>
          </w:r>
          <w:r>
            <w:fldChar w:fldCharType="end"/>
          </w:r>
        </w:p>
      </w:tc>
      <w:tc>
        <w:tcPr>
          <w:tcW w:w="5033" w:type="dxa"/>
          <w:shd w:val="clear" w:color="auto" w:fill="auto"/>
        </w:tcPr>
        <w:p w:rsidR="008F1434" w:rsidRPr="00E42603" w:rsidRDefault="008F1434" w:rsidP="00E42603">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0815">
            <w:rPr>
              <w:b w:val="0"/>
              <w:w w:val="103"/>
              <w:sz w:val="14"/>
            </w:rPr>
            <w:t>07-46340</w:t>
          </w:r>
          <w:r>
            <w:rPr>
              <w:b w:val="0"/>
              <w:w w:val="103"/>
              <w:sz w:val="14"/>
            </w:rPr>
            <w:fldChar w:fldCharType="end"/>
          </w:r>
        </w:p>
      </w:tc>
    </w:tr>
  </w:tbl>
  <w:p w:rsidR="008F1434" w:rsidRPr="00E42603" w:rsidRDefault="008F1434" w:rsidP="00E426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434" w:rsidRDefault="008F1434" w:rsidP="00E42603">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2E0815">
      <w:rPr>
        <w:b w:val="0"/>
        <w:sz w:val="21"/>
      </w:rPr>
      <w:t>07-46340 (C)</w:t>
    </w:r>
    <w:r>
      <w:rPr>
        <w:b w:val="0"/>
        <w:sz w:val="21"/>
      </w:rPr>
      <w:fldChar w:fldCharType="end"/>
    </w:r>
    <w:r>
      <w:rPr>
        <w:b w:val="0"/>
        <w:sz w:val="21"/>
      </w:rPr>
      <w:t xml:space="preserve">    060907    060907</w:t>
    </w:r>
  </w:p>
  <w:p w:rsidR="008F1434" w:rsidRPr="00E42603" w:rsidRDefault="008F1434" w:rsidP="00E42603">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E0815">
      <w:rPr>
        <w:rFonts w:ascii="Barcode 3 of 9 by request" w:hAnsi="Barcode 3 of 9 by request"/>
        <w:sz w:val="24"/>
      </w:rPr>
      <w:t>*0746340*</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6FA" w:rsidRDefault="005B36FA" w:rsidP="00E42603">
      <w:pPr>
        <w:pStyle w:val="Footer"/>
      </w:pPr>
      <w:r>
        <w:separator/>
      </w:r>
    </w:p>
  </w:footnote>
  <w:footnote w:type="continuationSeparator" w:id="0">
    <w:p w:rsidR="005B36FA" w:rsidRDefault="005B36FA" w:rsidP="00E42603">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F1434" w:rsidTr="00E42603">
      <w:tblPrEx>
        <w:tblCellMar>
          <w:top w:w="0" w:type="dxa"/>
          <w:bottom w:w="0" w:type="dxa"/>
        </w:tblCellMar>
      </w:tblPrEx>
      <w:trPr>
        <w:trHeight w:hRule="exact" w:val="864"/>
      </w:trPr>
      <w:tc>
        <w:tcPr>
          <w:tcW w:w="4838" w:type="dxa"/>
          <w:shd w:val="clear" w:color="auto" w:fill="auto"/>
          <w:vAlign w:val="bottom"/>
        </w:tcPr>
        <w:p w:rsidR="008F1434" w:rsidRPr="00E42603" w:rsidRDefault="008F1434" w:rsidP="00E42603">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E0815">
            <w:rPr>
              <w:b/>
              <w:sz w:val="17"/>
            </w:rPr>
            <w:t>CEDAW/C/SAU/Q/2</w:t>
          </w:r>
          <w:r>
            <w:rPr>
              <w:b/>
              <w:sz w:val="17"/>
            </w:rPr>
            <w:fldChar w:fldCharType="end"/>
          </w:r>
        </w:p>
      </w:tc>
      <w:tc>
        <w:tcPr>
          <w:tcW w:w="5033" w:type="dxa"/>
          <w:shd w:val="clear" w:color="auto" w:fill="auto"/>
          <w:vAlign w:val="bottom"/>
        </w:tcPr>
        <w:p w:rsidR="008F1434" w:rsidRDefault="008F1434" w:rsidP="00E42603">
          <w:pPr>
            <w:pStyle w:val="Header"/>
          </w:pPr>
        </w:p>
      </w:tc>
    </w:tr>
  </w:tbl>
  <w:p w:rsidR="008F1434" w:rsidRPr="00E42603" w:rsidRDefault="008F1434" w:rsidP="00E426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F1434" w:rsidTr="00E42603">
      <w:tblPrEx>
        <w:tblCellMar>
          <w:top w:w="0" w:type="dxa"/>
          <w:bottom w:w="0" w:type="dxa"/>
        </w:tblCellMar>
      </w:tblPrEx>
      <w:trPr>
        <w:trHeight w:hRule="exact" w:val="864"/>
      </w:trPr>
      <w:tc>
        <w:tcPr>
          <w:tcW w:w="4838" w:type="dxa"/>
          <w:shd w:val="clear" w:color="auto" w:fill="auto"/>
          <w:vAlign w:val="bottom"/>
        </w:tcPr>
        <w:p w:rsidR="008F1434" w:rsidRDefault="008F1434" w:rsidP="00E42603">
          <w:pPr>
            <w:pStyle w:val="Header"/>
          </w:pPr>
        </w:p>
      </w:tc>
      <w:tc>
        <w:tcPr>
          <w:tcW w:w="5033" w:type="dxa"/>
          <w:shd w:val="clear" w:color="auto" w:fill="auto"/>
          <w:vAlign w:val="bottom"/>
        </w:tcPr>
        <w:p w:rsidR="008F1434" w:rsidRPr="00E42603" w:rsidRDefault="008F1434" w:rsidP="00E4260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E0815">
            <w:rPr>
              <w:b/>
              <w:sz w:val="17"/>
            </w:rPr>
            <w:t>CEDAW/C/SAU/Q/2</w:t>
          </w:r>
          <w:r>
            <w:rPr>
              <w:b/>
              <w:sz w:val="17"/>
            </w:rPr>
            <w:fldChar w:fldCharType="end"/>
          </w:r>
        </w:p>
      </w:tc>
    </w:tr>
  </w:tbl>
  <w:p w:rsidR="008F1434" w:rsidRPr="00E42603" w:rsidRDefault="008F1434" w:rsidP="00E4260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F1434" w:rsidTr="00E4260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F1434" w:rsidRDefault="008F1434" w:rsidP="00E42603">
          <w:pPr>
            <w:pStyle w:val="Header"/>
            <w:spacing w:after="120"/>
          </w:pPr>
        </w:p>
      </w:tc>
      <w:tc>
        <w:tcPr>
          <w:tcW w:w="1872" w:type="dxa"/>
          <w:tcBorders>
            <w:bottom w:val="single" w:sz="4" w:space="0" w:color="auto"/>
          </w:tcBorders>
          <w:shd w:val="clear" w:color="auto" w:fill="auto"/>
          <w:vAlign w:val="bottom"/>
        </w:tcPr>
        <w:p w:rsidR="008F1434" w:rsidRPr="00E42603" w:rsidRDefault="008F1434" w:rsidP="00E4260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F1434" w:rsidRDefault="008F1434" w:rsidP="00E42603">
          <w:pPr>
            <w:pStyle w:val="Header"/>
            <w:spacing w:after="120"/>
          </w:pPr>
        </w:p>
      </w:tc>
      <w:tc>
        <w:tcPr>
          <w:tcW w:w="6523" w:type="dxa"/>
          <w:gridSpan w:val="3"/>
          <w:tcBorders>
            <w:bottom w:val="single" w:sz="4" w:space="0" w:color="auto"/>
          </w:tcBorders>
          <w:shd w:val="clear" w:color="auto" w:fill="auto"/>
          <w:vAlign w:val="bottom"/>
        </w:tcPr>
        <w:p w:rsidR="008F1434" w:rsidRPr="00E42603" w:rsidRDefault="008F1434" w:rsidP="00E42603">
          <w:pPr>
            <w:spacing w:after="80" w:line="240" w:lineRule="auto"/>
            <w:jc w:val="right"/>
            <w:rPr>
              <w:rFonts w:ascii="Times New Roman"/>
              <w:position w:val="-4"/>
            </w:rPr>
          </w:pPr>
          <w:r>
            <w:rPr>
              <w:rFonts w:ascii="Times New Roman"/>
              <w:position w:val="-4"/>
              <w:sz w:val="40"/>
            </w:rPr>
            <w:t>CEDAW</w:t>
          </w:r>
          <w:r>
            <w:rPr>
              <w:rFonts w:ascii="Times New Roman"/>
              <w:position w:val="-4"/>
            </w:rPr>
            <w:t>/C/SAU/Q/2</w:t>
          </w:r>
        </w:p>
      </w:tc>
    </w:tr>
    <w:tr w:rsidR="008F1434" w:rsidRPr="00E42603" w:rsidTr="00E4260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F1434" w:rsidRDefault="008F1434" w:rsidP="00E4260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F1434" w:rsidRPr="00E42603" w:rsidRDefault="008F1434" w:rsidP="00E42603">
          <w:pPr>
            <w:pStyle w:val="Header"/>
            <w:spacing w:before="109"/>
            <w:ind w:left="-72"/>
          </w:pPr>
        </w:p>
      </w:tc>
      <w:tc>
        <w:tcPr>
          <w:tcW w:w="5227" w:type="dxa"/>
          <w:gridSpan w:val="3"/>
          <w:tcBorders>
            <w:top w:val="single" w:sz="4" w:space="0" w:color="auto"/>
            <w:bottom w:val="single" w:sz="12" w:space="0" w:color="auto"/>
          </w:tcBorders>
          <w:shd w:val="clear" w:color="auto" w:fill="auto"/>
        </w:tcPr>
        <w:p w:rsidR="008F1434" w:rsidRPr="00E42603" w:rsidRDefault="008F1434" w:rsidP="00E4260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F1434" w:rsidRPr="00E42603" w:rsidRDefault="008F1434" w:rsidP="00E42603">
          <w:pPr>
            <w:pStyle w:val="Header"/>
            <w:spacing w:before="109"/>
          </w:pPr>
        </w:p>
      </w:tc>
      <w:tc>
        <w:tcPr>
          <w:tcW w:w="3180" w:type="dxa"/>
          <w:gridSpan w:val="2"/>
          <w:tcBorders>
            <w:top w:val="single" w:sz="4" w:space="0" w:color="auto"/>
            <w:bottom w:val="single" w:sz="12" w:space="0" w:color="auto"/>
          </w:tcBorders>
          <w:shd w:val="clear" w:color="auto" w:fill="auto"/>
        </w:tcPr>
        <w:p w:rsidR="008F1434" w:rsidRDefault="008F1434" w:rsidP="00E42603">
          <w:pPr>
            <w:spacing w:before="240" w:line="240" w:lineRule="exact"/>
            <w:rPr>
              <w:rFonts w:ascii="Times New Roman"/>
            </w:rPr>
          </w:pPr>
          <w:r>
            <w:rPr>
              <w:rFonts w:ascii="Times New Roman"/>
            </w:rPr>
            <w:t>Distr.: General</w:t>
          </w:r>
        </w:p>
        <w:p w:rsidR="008F1434" w:rsidRDefault="008F1434" w:rsidP="00E42603">
          <w:pPr>
            <w:spacing w:line="240" w:lineRule="exact"/>
            <w:rPr>
              <w:rFonts w:ascii="Times New Roman"/>
            </w:rPr>
          </w:pPr>
          <w:r>
            <w:rPr>
              <w:rFonts w:ascii="Times New Roman"/>
            </w:rPr>
            <w:t>16 August 2007</w:t>
          </w:r>
        </w:p>
        <w:p w:rsidR="008F1434" w:rsidRDefault="008F1434" w:rsidP="00E42603">
          <w:pPr>
            <w:spacing w:line="240" w:lineRule="exact"/>
            <w:rPr>
              <w:rFonts w:ascii="Times New Roman"/>
            </w:rPr>
          </w:pPr>
          <w:r>
            <w:rPr>
              <w:rFonts w:ascii="Times New Roman"/>
            </w:rPr>
            <w:t>Chinese</w:t>
          </w:r>
        </w:p>
        <w:p w:rsidR="008F1434" w:rsidRPr="00E42603" w:rsidRDefault="008F1434" w:rsidP="00E42603">
          <w:pPr>
            <w:spacing w:line="240" w:lineRule="exact"/>
            <w:rPr>
              <w:rFonts w:ascii="Times New Roman"/>
            </w:rPr>
          </w:pPr>
          <w:r>
            <w:rPr>
              <w:rFonts w:ascii="Times New Roman"/>
            </w:rPr>
            <w:t>Original: English</w:t>
          </w:r>
        </w:p>
      </w:tc>
    </w:tr>
  </w:tbl>
  <w:p w:rsidR="008F1434" w:rsidRPr="00E42603" w:rsidRDefault="008F1434" w:rsidP="00E4260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40*"/>
    <w:docVar w:name="CreationDt" w:val="06/09/2007 19:11:06"/>
    <w:docVar w:name="DocCategory" w:val="Doc"/>
    <w:docVar w:name="DocType" w:val="Final"/>
    <w:docVar w:name="FooterJN" w:val="07-46340"/>
    <w:docVar w:name="jobn" w:val="07-46340 (C)"/>
    <w:docVar w:name="jobnDT" w:val="07-46340 (C)   060907"/>
    <w:docVar w:name="jobnDTDT" w:val="07-46340 (C)   060907   060907"/>
    <w:docVar w:name="JobNo" w:val="0746340C"/>
    <w:docVar w:name="OandT" w:val="YANGHUA"/>
    <w:docVar w:name="sss1" w:val="CEDAW/C/SAU/Q/2"/>
    <w:docVar w:name="sss2" w:val="-"/>
    <w:docVar w:name="Symbol1" w:val="CEDAW/C/SAU/Q/2"/>
    <w:docVar w:name="Symbol2" w:val="-"/>
  </w:docVars>
  <w:rsids>
    <w:rsidRoot w:val="0028593F"/>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E20EC"/>
    <w:rsid w:val="001E4442"/>
    <w:rsid w:val="001E5A51"/>
    <w:rsid w:val="001F03A7"/>
    <w:rsid w:val="00207135"/>
    <w:rsid w:val="00211B6D"/>
    <w:rsid w:val="00231575"/>
    <w:rsid w:val="002365C5"/>
    <w:rsid w:val="00247382"/>
    <w:rsid w:val="00252E35"/>
    <w:rsid w:val="00254858"/>
    <w:rsid w:val="00257053"/>
    <w:rsid w:val="00266257"/>
    <w:rsid w:val="00271BE6"/>
    <w:rsid w:val="0027454D"/>
    <w:rsid w:val="00280671"/>
    <w:rsid w:val="002814F9"/>
    <w:rsid w:val="00282D17"/>
    <w:rsid w:val="0028593F"/>
    <w:rsid w:val="002A4AEF"/>
    <w:rsid w:val="002B305F"/>
    <w:rsid w:val="002B564F"/>
    <w:rsid w:val="002B6E41"/>
    <w:rsid w:val="002C2254"/>
    <w:rsid w:val="002C3BC9"/>
    <w:rsid w:val="002C54DB"/>
    <w:rsid w:val="002D0694"/>
    <w:rsid w:val="002D5503"/>
    <w:rsid w:val="002E0815"/>
    <w:rsid w:val="002E66D5"/>
    <w:rsid w:val="002F41E2"/>
    <w:rsid w:val="00320C99"/>
    <w:rsid w:val="003274A9"/>
    <w:rsid w:val="00331221"/>
    <w:rsid w:val="003649EE"/>
    <w:rsid w:val="00371BC6"/>
    <w:rsid w:val="00373A15"/>
    <w:rsid w:val="00394A02"/>
    <w:rsid w:val="003C7B20"/>
    <w:rsid w:val="003E0A02"/>
    <w:rsid w:val="003E4565"/>
    <w:rsid w:val="003E748F"/>
    <w:rsid w:val="003E7612"/>
    <w:rsid w:val="00414423"/>
    <w:rsid w:val="0043460D"/>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36FA"/>
    <w:rsid w:val="005B7338"/>
    <w:rsid w:val="005C02AB"/>
    <w:rsid w:val="005D0F04"/>
    <w:rsid w:val="005F12F0"/>
    <w:rsid w:val="005F3273"/>
    <w:rsid w:val="005F34A3"/>
    <w:rsid w:val="00610CF2"/>
    <w:rsid w:val="006479F1"/>
    <w:rsid w:val="00650BEE"/>
    <w:rsid w:val="006520FA"/>
    <w:rsid w:val="0065377D"/>
    <w:rsid w:val="00666F57"/>
    <w:rsid w:val="006740A7"/>
    <w:rsid w:val="00691524"/>
    <w:rsid w:val="006A654B"/>
    <w:rsid w:val="006E2924"/>
    <w:rsid w:val="006E7A26"/>
    <w:rsid w:val="006F2B3D"/>
    <w:rsid w:val="007319E0"/>
    <w:rsid w:val="00737B00"/>
    <w:rsid w:val="0075155C"/>
    <w:rsid w:val="00753A05"/>
    <w:rsid w:val="00761190"/>
    <w:rsid w:val="00776537"/>
    <w:rsid w:val="00783A25"/>
    <w:rsid w:val="007877F4"/>
    <w:rsid w:val="007E1B5E"/>
    <w:rsid w:val="007F2278"/>
    <w:rsid w:val="00805783"/>
    <w:rsid w:val="00806F57"/>
    <w:rsid w:val="00806F90"/>
    <w:rsid w:val="00824C19"/>
    <w:rsid w:val="008378D1"/>
    <w:rsid w:val="00846462"/>
    <w:rsid w:val="0086691F"/>
    <w:rsid w:val="00883DB0"/>
    <w:rsid w:val="00884C8F"/>
    <w:rsid w:val="00896D38"/>
    <w:rsid w:val="008C3296"/>
    <w:rsid w:val="008E2D03"/>
    <w:rsid w:val="008F1434"/>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94530"/>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177F1"/>
    <w:rsid w:val="00D27F74"/>
    <w:rsid w:val="00D323B5"/>
    <w:rsid w:val="00D42ACC"/>
    <w:rsid w:val="00D51DC5"/>
    <w:rsid w:val="00D676D7"/>
    <w:rsid w:val="00D71517"/>
    <w:rsid w:val="00D7168D"/>
    <w:rsid w:val="00D874E1"/>
    <w:rsid w:val="00D9586D"/>
    <w:rsid w:val="00DA357E"/>
    <w:rsid w:val="00DB0932"/>
    <w:rsid w:val="00DC2506"/>
    <w:rsid w:val="00DC49FA"/>
    <w:rsid w:val="00DD3D6B"/>
    <w:rsid w:val="00DD4467"/>
    <w:rsid w:val="00DD61C8"/>
    <w:rsid w:val="00DD772B"/>
    <w:rsid w:val="00DE1F0C"/>
    <w:rsid w:val="00E050BA"/>
    <w:rsid w:val="00E25442"/>
    <w:rsid w:val="00E25A1F"/>
    <w:rsid w:val="00E37EEB"/>
    <w:rsid w:val="00E42603"/>
    <w:rsid w:val="00E710FB"/>
    <w:rsid w:val="00E806D9"/>
    <w:rsid w:val="00E82CA2"/>
    <w:rsid w:val="00E95594"/>
    <w:rsid w:val="00EA31C3"/>
    <w:rsid w:val="00EB33AC"/>
    <w:rsid w:val="00EC6F21"/>
    <w:rsid w:val="00ED16B7"/>
    <w:rsid w:val="00ED74D3"/>
    <w:rsid w:val="00EE0913"/>
    <w:rsid w:val="00F01440"/>
    <w:rsid w:val="00F13305"/>
    <w:rsid w:val="00F37D34"/>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TotalTime>
  <Pages>1</Pages>
  <Words>640</Words>
  <Characters>3652</Characters>
  <Application>Microsoft Office Word</Application>
  <DocSecurity>4</DocSecurity>
  <Lines>30</Lines>
  <Paragraphs>8</Paragraphs>
  <ScaleCrop>false</ScaleCrop>
  <Company>United Nations</Company>
  <LinksUpToDate>false</LinksUpToDate>
  <CharactersWithSpaces>4284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Yang, Hua</dc:creator>
  <cp:keywords/>
  <dc:description/>
  <cp:lastModifiedBy>jiping.zhang</cp:lastModifiedBy>
  <cp:revision>19</cp:revision>
  <cp:lastPrinted>2007-09-06T19:26:00Z</cp:lastPrinted>
  <dcterms:created xsi:type="dcterms:W3CDTF">2007-09-06T18:10:00Z</dcterms:created>
  <dcterms:modified xsi:type="dcterms:W3CDTF">2007-09-06T19:26:00Z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0746340</vt:lpwstr>
  </property>
  <property fmtid="{D5CDD505-2E9C-101B-9397-08002B2CF9AE}" pid="3" name="Symbol1">
    <vt:lpwstr>CEDAW/C/SAU/Q/2</vt:lpwstr>
  </property>
  <property fmtid="{D5CDD505-2E9C-101B-9397-08002B2CF9AE}" pid="4" name="Symbol2">
    <vt:lpwstr/>
  </property>
  <property fmtid="{D5CDD505-2E9C-101B-9397-08002B2CF9AE}" pid="5" name="Translator">
    <vt:lpwstr/>
  </property>
  <property fmtid="{D5CDD505-2E9C-101B-9397-08002B2CF9AE}" pid="6" name="Operator">
    <vt:lpwstr>YANGHUA</vt:lpwstr>
  </property>
  <property fmtid="{D5CDD505-2E9C-101B-9397-08002B2CF9AE}" pid="7" name="DraftPages">
    <vt:lpwstr> </vt:lpwstr>
  </property>
  <property fmtid="{D5CDD505-2E9C-101B-9397-08002B2CF9AE}" pid="8" name="Comment">
    <vt:lpwstr/>
  </property>
</Properties>
</file>