
<file path=[Content_Types].xml><?xml version="1.0" encoding="utf-8"?>
<Types xmlns="http://schemas.openxmlformats.org/package/2006/content-types">
  <Default Extension="jpeg" ContentType="image/jpeg"/>
  <Default Extension="wmf" ContentType="image/x-wmf"/>
  <Default Extension="xls" ContentType="application/vnd.ms-exce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22B5" w:rsidRDefault="005322B5" w:rsidP="005322B5">
      <w:pPr>
        <w:spacing w:line="240" w:lineRule="auto"/>
        <w:jc w:val="left"/>
        <w:rPr>
          <w:szCs w:val="6"/>
        </w:rPr>
        <w:sectPr w:rsidR="005322B5" w:rsidSect="005322B5">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CD3849" w:rsidRDefault="00635120" w:rsidP="00635120">
      <w:pPr>
        <w:pStyle w:val="H1"/>
        <w:tabs>
          <w:tab w:val="left" w:pos="662"/>
          <w:tab w:val="left" w:pos="1325"/>
          <w:tab w:val="left" w:pos="1987"/>
          <w:tab w:val="left" w:pos="2650"/>
          <w:tab w:val="left" w:pos="2949"/>
          <w:tab w:val="left" w:pos="3974"/>
          <w:tab w:val="left" w:pos="4637"/>
          <w:tab w:val="left" w:pos="5299"/>
          <w:tab w:val="left" w:pos="5962"/>
          <w:tab w:val="left" w:pos="6624"/>
          <w:tab w:val="left" w:pos="7286"/>
        </w:tabs>
        <w:ind w:right="6695"/>
        <w:rPr>
          <w:rFonts w:hint="cs"/>
          <w:rtl/>
        </w:rPr>
      </w:pPr>
      <w:r>
        <w:rPr>
          <w:rFonts w:hint="cs"/>
          <w:rtl/>
        </w:rPr>
        <w:t>اللجنة المعنية بالقضاء على التمييز ضد المرأة</w:t>
      </w:r>
    </w:p>
    <w:p w:rsidR="00635120" w:rsidRPr="00635120" w:rsidRDefault="00635120" w:rsidP="00635120">
      <w:pPr>
        <w:pStyle w:val="SingleTxt"/>
        <w:spacing w:after="0" w:line="120" w:lineRule="exact"/>
        <w:rPr>
          <w:rFonts w:hint="cs"/>
          <w:sz w:val="12"/>
          <w:rtl/>
        </w:rPr>
      </w:pPr>
    </w:p>
    <w:p w:rsidR="00635120" w:rsidRPr="00635120" w:rsidRDefault="00635120" w:rsidP="00635120">
      <w:pPr>
        <w:pStyle w:val="SingleTxt"/>
        <w:spacing w:after="0" w:line="120" w:lineRule="exact"/>
        <w:rPr>
          <w:rFonts w:hint="cs"/>
          <w:sz w:val="12"/>
          <w:rtl/>
        </w:rPr>
      </w:pPr>
    </w:p>
    <w:p w:rsidR="00635120" w:rsidRPr="00635120" w:rsidRDefault="00635120" w:rsidP="00635120">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Pr="00635120">
        <w:rPr>
          <w:rFonts w:hint="cs"/>
          <w:rtl/>
          <w:lang w:bidi="ar-EG"/>
        </w:rPr>
        <w:t>النظر في التقارير المقدمة من الدول الأطراف بموجب المادة 18</w:t>
      </w:r>
      <w:r>
        <w:rPr>
          <w:rFonts w:hint="cs"/>
          <w:rtl/>
          <w:lang w:bidi="ar-EG"/>
        </w:rPr>
        <w:t xml:space="preserve"> </w:t>
      </w:r>
      <w:r w:rsidRPr="00635120">
        <w:rPr>
          <w:rFonts w:hint="cs"/>
          <w:rtl/>
          <w:lang w:bidi="ar-EG"/>
        </w:rPr>
        <w:t>من اتفاقية القضاء على جميع أشكال التمييز ضد المرأة</w:t>
      </w:r>
    </w:p>
    <w:p w:rsidR="00635120" w:rsidRPr="00635120" w:rsidRDefault="00635120" w:rsidP="00635120">
      <w:pPr>
        <w:pStyle w:val="SingleTxt"/>
        <w:spacing w:after="0" w:line="120" w:lineRule="exact"/>
        <w:rPr>
          <w:rFonts w:hint="cs"/>
          <w:sz w:val="12"/>
          <w:rtl/>
        </w:rPr>
      </w:pPr>
    </w:p>
    <w:p w:rsidR="00635120" w:rsidRPr="00635120" w:rsidRDefault="00635120" w:rsidP="00635120">
      <w:pPr>
        <w:pStyle w:val="SingleTxt"/>
        <w:spacing w:after="0" w:line="120" w:lineRule="exact"/>
        <w:rPr>
          <w:rFonts w:hint="cs"/>
          <w:sz w:val="12"/>
          <w:rtl/>
        </w:rPr>
      </w:pPr>
    </w:p>
    <w:p w:rsidR="00635120" w:rsidRPr="00635120" w:rsidRDefault="00635120" w:rsidP="0063512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Pr="00635120">
        <w:rPr>
          <w:rFonts w:hint="cs"/>
          <w:rtl/>
          <w:lang w:bidi="ar-EG"/>
        </w:rPr>
        <w:t>التقرير</w:t>
      </w:r>
      <w:r>
        <w:rPr>
          <w:rFonts w:hint="cs"/>
          <w:rtl/>
          <w:lang w:bidi="ar-EG"/>
        </w:rPr>
        <w:t>ان</w:t>
      </w:r>
      <w:r w:rsidRPr="00635120">
        <w:rPr>
          <w:rFonts w:hint="cs"/>
          <w:rtl/>
          <w:lang w:bidi="ar-EG"/>
        </w:rPr>
        <w:t xml:space="preserve"> الدوري</w:t>
      </w:r>
      <w:r>
        <w:rPr>
          <w:rFonts w:hint="cs"/>
          <w:rtl/>
          <w:lang w:bidi="ar-EG"/>
        </w:rPr>
        <w:t>ان</w:t>
      </w:r>
      <w:r w:rsidRPr="00635120">
        <w:rPr>
          <w:rFonts w:hint="cs"/>
          <w:rtl/>
          <w:lang w:bidi="ar-EG"/>
        </w:rPr>
        <w:t xml:space="preserve"> المجمَّع</w:t>
      </w:r>
      <w:r>
        <w:rPr>
          <w:rFonts w:hint="cs"/>
          <w:rtl/>
          <w:lang w:bidi="ar-EG"/>
        </w:rPr>
        <w:t>ان</w:t>
      </w:r>
      <w:r w:rsidRPr="00635120">
        <w:rPr>
          <w:rFonts w:hint="cs"/>
          <w:rtl/>
          <w:lang w:bidi="ar-EG"/>
        </w:rPr>
        <w:t xml:space="preserve"> الخامس والسادس المقدَّم</w:t>
      </w:r>
      <w:r>
        <w:rPr>
          <w:rFonts w:hint="cs"/>
          <w:rtl/>
          <w:lang w:bidi="ar-EG"/>
        </w:rPr>
        <w:t>ا</w:t>
      </w:r>
      <w:r w:rsidR="007D5B72">
        <w:rPr>
          <w:rFonts w:hint="cs"/>
          <w:rtl/>
          <w:lang w:bidi="ar-EG"/>
        </w:rPr>
        <w:t>ن</w:t>
      </w:r>
      <w:r w:rsidRPr="00635120">
        <w:rPr>
          <w:rFonts w:hint="cs"/>
          <w:rtl/>
          <w:lang w:bidi="ar-EG"/>
        </w:rPr>
        <w:t xml:space="preserve"> من الدول الأطراف</w:t>
      </w:r>
    </w:p>
    <w:p w:rsidR="00635120" w:rsidRPr="00635120" w:rsidRDefault="00635120" w:rsidP="00635120">
      <w:pPr>
        <w:pStyle w:val="SingleTxt"/>
        <w:spacing w:after="0" w:line="120" w:lineRule="exact"/>
        <w:rPr>
          <w:rFonts w:hint="cs"/>
          <w:sz w:val="12"/>
          <w:rtl/>
          <w:lang w:bidi="ar-EG"/>
        </w:rPr>
      </w:pPr>
    </w:p>
    <w:p w:rsidR="00635120" w:rsidRDefault="00635120" w:rsidP="00635120">
      <w:pPr>
        <w:pStyle w:val="SingleTxt"/>
        <w:tabs>
          <w:tab w:val="right" w:pos="1022"/>
          <w:tab w:val="left" w:pos="1267"/>
          <w:tab w:val="left" w:pos="1930"/>
          <w:tab w:val="left" w:pos="2592"/>
          <w:tab w:val="left" w:pos="3254"/>
          <w:tab w:val="left" w:pos="3917"/>
          <w:tab w:val="left" w:pos="4579"/>
          <w:tab w:val="left" w:pos="5242"/>
          <w:tab w:val="left" w:pos="5904"/>
          <w:tab w:val="left" w:pos="6566"/>
        </w:tabs>
        <w:ind w:hanging="1267"/>
        <w:rPr>
          <w:rFonts w:hint="cs"/>
          <w:rtl/>
          <w:lang w:bidi="ar-EG"/>
        </w:rPr>
      </w:pPr>
      <w:r>
        <w:rPr>
          <w:rFonts w:hint="cs"/>
          <w:b/>
          <w:bCs/>
          <w:sz w:val="24"/>
          <w:szCs w:val="34"/>
          <w:rtl/>
        </w:rPr>
        <w:tab/>
      </w:r>
      <w:r>
        <w:rPr>
          <w:rFonts w:hint="cs"/>
          <w:b/>
          <w:bCs/>
          <w:sz w:val="24"/>
          <w:szCs w:val="34"/>
          <w:rtl/>
        </w:rPr>
        <w:tab/>
      </w:r>
      <w:r w:rsidRPr="00635120">
        <w:rPr>
          <w:rFonts w:hint="cs"/>
          <w:b/>
          <w:bCs/>
          <w:sz w:val="24"/>
          <w:szCs w:val="34"/>
          <w:rtl/>
        </w:rPr>
        <w:t>بلجيكا</w:t>
      </w:r>
      <w:r>
        <w:rPr>
          <w:rFonts w:hint="cs"/>
          <w:rtl/>
          <w:lang w:bidi="ar-EG"/>
        </w:rPr>
        <w:t>*</w:t>
      </w:r>
    </w:p>
    <w:p w:rsidR="007D5B72" w:rsidRPr="002B7F6D" w:rsidRDefault="007D5B72" w:rsidP="007D5B72">
      <w:pPr>
        <w:framePr w:w="9792" w:h="432" w:hSpace="187" w:wrap="around" w:hAnchor="page" w:x="1196" w:yAlign="bottom"/>
        <w:spacing w:line="240" w:lineRule="auto"/>
        <w:rPr>
          <w:szCs w:val="10"/>
          <w:rtl/>
        </w:rPr>
      </w:pPr>
    </w:p>
    <w:p w:rsidR="007D5B72" w:rsidRPr="002B7F6D" w:rsidRDefault="007D5B72" w:rsidP="007D5B72">
      <w:pPr>
        <w:framePr w:w="9792" w:h="432" w:hSpace="187" w:wrap="around" w:hAnchor="page" w:x="1196" w:yAlign="bottom"/>
        <w:spacing w:line="240" w:lineRule="auto"/>
        <w:rPr>
          <w:szCs w:val="6"/>
          <w:rtl/>
        </w:rPr>
      </w:pPr>
    </w:p>
    <w:p w:rsidR="007D5B72" w:rsidRDefault="007D5B72" w:rsidP="007D5B72">
      <w:pPr>
        <w:framePr w:w="9792" w:h="432" w:hSpace="187" w:wrap="around" w:hAnchor="page" w:x="1196" w:yAlign="bottom"/>
        <w:tabs>
          <w:tab w:val="right" w:pos="1195"/>
          <w:tab w:val="left" w:pos="1267"/>
        </w:tabs>
        <w:spacing w:after="80" w:line="300" w:lineRule="exact"/>
        <w:ind w:left="1267" w:right="1267" w:hanging="547"/>
        <w:rPr>
          <w:rFonts w:hint="cs"/>
          <w:sz w:val="17"/>
          <w:szCs w:val="26"/>
          <w:rtl/>
        </w:rPr>
      </w:pPr>
      <w:r>
        <w:rPr>
          <w:noProof/>
          <w:w w:val="100"/>
        </w:rPr>
        <w:pict>
          <v:line id="_x0000_s1028" style="position:absolute;left:0;text-align:left;z-index:1" from="396pt,-1pt" to="468pt,-1pt">
            <w10:wrap anchorx="page"/>
          </v:line>
        </w:pict>
      </w:r>
      <w:r>
        <w:rPr>
          <w:rFonts w:hint="cs"/>
          <w:sz w:val="17"/>
          <w:szCs w:val="26"/>
          <w:rtl/>
        </w:rPr>
        <w:tab/>
        <w:t>*</w:t>
      </w:r>
      <w:r>
        <w:rPr>
          <w:sz w:val="17"/>
          <w:szCs w:val="26"/>
          <w:rtl/>
        </w:rPr>
        <w:tab/>
      </w:r>
      <w:r>
        <w:rPr>
          <w:rFonts w:hint="cs"/>
          <w:sz w:val="26"/>
          <w:szCs w:val="26"/>
          <w:rtl/>
        </w:rPr>
        <w:t>يصدر هذا التقرير دون تحرير رسمي</w:t>
      </w:r>
      <w:r w:rsidRPr="00635120">
        <w:rPr>
          <w:rFonts w:hint="cs"/>
          <w:sz w:val="26"/>
          <w:szCs w:val="26"/>
          <w:rtl/>
        </w:rPr>
        <w:t>.</w:t>
      </w:r>
    </w:p>
    <w:p w:rsidR="007D5B72" w:rsidRPr="002B7F6D" w:rsidRDefault="007D5B72" w:rsidP="007D5B72">
      <w:pPr>
        <w:framePr w:w="9792" w:h="432" w:hSpace="187" w:wrap="around" w:hAnchor="page" w:x="1196" w:yAlign="bottom"/>
        <w:tabs>
          <w:tab w:val="right" w:pos="1195"/>
          <w:tab w:val="left" w:pos="1267"/>
        </w:tabs>
        <w:spacing w:after="80" w:line="300" w:lineRule="exact"/>
        <w:ind w:left="1267" w:right="1267" w:hanging="547"/>
        <w:rPr>
          <w:rFonts w:hint="cs"/>
          <w:sz w:val="17"/>
          <w:szCs w:val="26"/>
          <w:lang w:bidi="ar-EG"/>
        </w:rPr>
      </w:pPr>
      <w:r>
        <w:rPr>
          <w:sz w:val="17"/>
          <w:szCs w:val="26"/>
          <w:rtl/>
        </w:rPr>
        <w:tab/>
      </w:r>
      <w:r>
        <w:rPr>
          <w:rFonts w:hint="cs"/>
          <w:sz w:val="17"/>
          <w:szCs w:val="26"/>
          <w:rtl/>
        </w:rPr>
        <w:tab/>
      </w:r>
      <w:r w:rsidRPr="00635120">
        <w:rPr>
          <w:rFonts w:hint="cs"/>
          <w:sz w:val="17"/>
          <w:szCs w:val="26"/>
          <w:rtl/>
        </w:rPr>
        <w:t xml:space="preserve">للاطلاع على التقرير الأوّلي المقدّم من حكومة بلجيكا، انظر الوثيقة </w:t>
      </w:r>
      <w:r w:rsidRPr="00635120">
        <w:rPr>
          <w:sz w:val="17"/>
          <w:szCs w:val="26"/>
        </w:rPr>
        <w:t>CEDAW/C/5/Add.53</w:t>
      </w:r>
      <w:r w:rsidRPr="00635120">
        <w:rPr>
          <w:rFonts w:hint="cs"/>
          <w:sz w:val="17"/>
          <w:szCs w:val="26"/>
          <w:rtl/>
          <w:lang w:bidi="ar-EG"/>
        </w:rPr>
        <w:t xml:space="preserve"> التي نظرت فيها اللجنة في دورتها السادسة. وللاطلاع على التقرير الدوري الثاني، انظر الوثيقة </w:t>
      </w:r>
      <w:r w:rsidRPr="00635120">
        <w:rPr>
          <w:sz w:val="17"/>
          <w:szCs w:val="26"/>
        </w:rPr>
        <w:t>CEDAW/C/BEL/2</w:t>
      </w:r>
      <w:r w:rsidRPr="00635120">
        <w:rPr>
          <w:rFonts w:hint="cs"/>
          <w:sz w:val="17"/>
          <w:szCs w:val="26"/>
          <w:rtl/>
          <w:lang w:bidi="ar-EG"/>
        </w:rPr>
        <w:t xml:space="preserve"> التي نظرت فيها اللجنة في دورتها الخامسة عشرة. وللاطلاع على التقرير الدوري المجمّع الثالث والرابع، انظر الوثيقة </w:t>
      </w:r>
      <w:r w:rsidRPr="00635120">
        <w:rPr>
          <w:sz w:val="17"/>
          <w:szCs w:val="26"/>
        </w:rPr>
        <w:t>CEDAW/C/BEL/3-4</w:t>
      </w:r>
      <w:r w:rsidRPr="00635120">
        <w:rPr>
          <w:rFonts w:hint="cs"/>
          <w:sz w:val="17"/>
          <w:szCs w:val="26"/>
          <w:rtl/>
          <w:lang w:bidi="ar-EG"/>
        </w:rPr>
        <w:t xml:space="preserve"> التي نظرت فيها اللجنة في دورتها السابعة والعشرين.</w:t>
      </w:r>
    </w:p>
    <w:p w:rsidR="007D5B72" w:rsidRDefault="007D5B72" w:rsidP="00635120">
      <w:pPr>
        <w:pStyle w:val="SingleTxt"/>
        <w:tabs>
          <w:tab w:val="right" w:pos="1022"/>
          <w:tab w:val="left" w:pos="1267"/>
          <w:tab w:val="left" w:pos="1930"/>
          <w:tab w:val="left" w:pos="2592"/>
          <w:tab w:val="left" w:pos="3254"/>
          <w:tab w:val="left" w:pos="3917"/>
          <w:tab w:val="left" w:pos="4579"/>
          <w:tab w:val="left" w:pos="5242"/>
          <w:tab w:val="left" w:pos="5904"/>
          <w:tab w:val="left" w:pos="6566"/>
        </w:tabs>
        <w:ind w:hanging="1267"/>
        <w:rPr>
          <w:rFonts w:hint="cs"/>
          <w:rtl/>
          <w:lang w:bidi="ar-EG"/>
        </w:rPr>
      </w:pPr>
    </w:p>
    <w:p w:rsidR="007D5B72" w:rsidRPr="007D5B72" w:rsidRDefault="007D5B72" w:rsidP="00635120">
      <w:pPr>
        <w:pStyle w:val="SingleTxt"/>
        <w:tabs>
          <w:tab w:val="right" w:pos="1022"/>
          <w:tab w:val="left" w:pos="1267"/>
          <w:tab w:val="left" w:pos="1930"/>
          <w:tab w:val="left" w:pos="2592"/>
          <w:tab w:val="left" w:pos="3254"/>
          <w:tab w:val="left" w:pos="3917"/>
          <w:tab w:val="left" w:pos="4579"/>
          <w:tab w:val="left" w:pos="5242"/>
          <w:tab w:val="left" w:pos="5904"/>
          <w:tab w:val="left" w:pos="6566"/>
        </w:tabs>
        <w:ind w:hanging="1267"/>
        <w:rPr>
          <w:rFonts w:hint="cs"/>
          <w:rtl/>
          <w:lang w:bidi="ar-EG"/>
        </w:rPr>
      </w:pPr>
    </w:p>
    <w:p w:rsidR="00635120" w:rsidRPr="00635120" w:rsidRDefault="00635120" w:rsidP="00635120">
      <w:pPr>
        <w:pStyle w:val="SingleTxt"/>
        <w:spacing w:after="0" w:line="120" w:lineRule="exact"/>
        <w:rPr>
          <w:rFonts w:hint="cs"/>
          <w:sz w:val="12"/>
          <w:rtl/>
          <w:lang w:bidi="ar-EG"/>
        </w:rPr>
      </w:pPr>
    </w:p>
    <w:p w:rsidR="00635120" w:rsidRPr="00635120" w:rsidRDefault="00635120" w:rsidP="00635120">
      <w:pPr>
        <w:pStyle w:val="HCh"/>
        <w:spacing w:after="120"/>
        <w:rPr>
          <w:rtl/>
          <w:lang w:bidi="ar-EG"/>
        </w:rPr>
      </w:pPr>
      <w:r>
        <w:rPr>
          <w:rtl/>
          <w:lang w:bidi="ar-EG"/>
        </w:rPr>
        <w:br w:type="page"/>
        <w:t>المحتويات</w:t>
      </w:r>
    </w:p>
    <w:tbl>
      <w:tblPr>
        <w:bidiVisual/>
        <w:tblW w:w="9834" w:type="dxa"/>
        <w:tblLayout w:type="fixed"/>
        <w:tblCellMar>
          <w:left w:w="0" w:type="dxa"/>
          <w:right w:w="0" w:type="dxa"/>
        </w:tblCellMar>
        <w:tblLook w:val="0000" w:firstRow="0" w:lastRow="0" w:firstColumn="0" w:lastColumn="0" w:noHBand="0" w:noVBand="0"/>
      </w:tblPr>
      <w:tblGrid>
        <w:gridCol w:w="1296"/>
        <w:gridCol w:w="6566"/>
        <w:gridCol w:w="1166"/>
        <w:gridCol w:w="806"/>
      </w:tblGrid>
      <w:tr w:rsidR="00635120" w:rsidRPr="00635120">
        <w:tblPrEx>
          <w:tblCellMar>
            <w:top w:w="0" w:type="dxa"/>
            <w:bottom w:w="0" w:type="dxa"/>
          </w:tblCellMar>
        </w:tblPrEx>
        <w:tc>
          <w:tcPr>
            <w:tcW w:w="1296" w:type="dxa"/>
            <w:shd w:val="clear" w:color="auto" w:fill="auto"/>
          </w:tcPr>
          <w:p w:rsidR="00635120" w:rsidRPr="00635120" w:rsidRDefault="00635120" w:rsidP="00635120">
            <w:pPr>
              <w:spacing w:after="120" w:line="240" w:lineRule="auto"/>
              <w:jc w:val="right"/>
              <w:rPr>
                <w:rFonts w:hint="cs"/>
                <w:iCs/>
                <w:sz w:val="14"/>
                <w:rtl/>
                <w:lang w:bidi="ar-EG"/>
              </w:rPr>
            </w:pPr>
          </w:p>
        </w:tc>
        <w:tc>
          <w:tcPr>
            <w:tcW w:w="6566" w:type="dxa"/>
            <w:shd w:val="clear" w:color="auto" w:fill="auto"/>
          </w:tcPr>
          <w:p w:rsidR="00635120" w:rsidRPr="00635120" w:rsidRDefault="00635120" w:rsidP="00635120">
            <w:pPr>
              <w:spacing w:after="120" w:line="240" w:lineRule="auto"/>
              <w:rPr>
                <w:rFonts w:hint="cs"/>
                <w:iCs/>
                <w:sz w:val="14"/>
                <w:rtl/>
                <w:lang w:bidi="ar-EG"/>
              </w:rPr>
            </w:pPr>
          </w:p>
        </w:tc>
        <w:tc>
          <w:tcPr>
            <w:tcW w:w="1166" w:type="dxa"/>
            <w:shd w:val="clear" w:color="auto" w:fill="auto"/>
          </w:tcPr>
          <w:p w:rsidR="00635120" w:rsidRPr="00635120" w:rsidRDefault="00635120" w:rsidP="00635120">
            <w:pPr>
              <w:spacing w:after="120" w:line="240" w:lineRule="auto"/>
              <w:jc w:val="right"/>
              <w:rPr>
                <w:rFonts w:hint="cs"/>
                <w:iCs/>
                <w:sz w:val="14"/>
                <w:rtl/>
                <w:lang w:bidi="ar-EG"/>
              </w:rPr>
            </w:pPr>
          </w:p>
        </w:tc>
        <w:tc>
          <w:tcPr>
            <w:tcW w:w="806" w:type="dxa"/>
            <w:shd w:val="clear" w:color="auto" w:fill="auto"/>
          </w:tcPr>
          <w:p w:rsidR="00635120" w:rsidRPr="00635120" w:rsidRDefault="00635120" w:rsidP="00635120">
            <w:pPr>
              <w:spacing w:after="120" w:line="240" w:lineRule="auto"/>
              <w:jc w:val="right"/>
              <w:rPr>
                <w:rFonts w:hint="cs"/>
                <w:iCs/>
                <w:sz w:val="14"/>
                <w:rtl/>
                <w:lang w:bidi="ar-EG"/>
              </w:rPr>
            </w:pPr>
            <w:r>
              <w:rPr>
                <w:iCs/>
                <w:sz w:val="14"/>
                <w:rtl/>
                <w:lang w:bidi="ar-EG"/>
              </w:rPr>
              <w:t>الصفحة</w:t>
            </w:r>
          </w:p>
        </w:tc>
      </w:tr>
      <w:tr w:rsidR="00635120" w:rsidRPr="00635120">
        <w:tblPrEx>
          <w:tblCellMar>
            <w:top w:w="0" w:type="dxa"/>
            <w:bottom w:w="0" w:type="dxa"/>
          </w:tblCellMar>
        </w:tblPrEx>
        <w:tc>
          <w:tcPr>
            <w:tcW w:w="7862" w:type="dxa"/>
            <w:gridSpan w:val="2"/>
            <w:shd w:val="clear" w:color="auto" w:fill="auto"/>
          </w:tcPr>
          <w:p w:rsidR="00635120" w:rsidRPr="0073566C" w:rsidRDefault="0073566C" w:rsidP="0073566C">
            <w:pPr>
              <w:tabs>
                <w:tab w:val="right" w:pos="1080"/>
                <w:tab w:val="left" w:pos="1296"/>
                <w:tab w:val="left" w:pos="1728"/>
                <w:tab w:val="left" w:pos="2160"/>
                <w:tab w:val="left" w:pos="2592"/>
                <w:tab w:val="left" w:pos="3024"/>
                <w:tab w:val="left" w:pos="3456"/>
                <w:tab w:val="left" w:pos="3888"/>
                <w:tab w:val="left" w:pos="4320"/>
                <w:tab w:val="right" w:leader="dot" w:pos="7862"/>
              </w:tabs>
              <w:spacing w:after="120"/>
              <w:jc w:val="left"/>
              <w:rPr>
                <w:rFonts w:hint="cs"/>
                <w:spacing w:val="60"/>
                <w:sz w:val="17"/>
                <w:rtl/>
              </w:rPr>
            </w:pPr>
            <w:r>
              <w:rPr>
                <w:rtl/>
              </w:rPr>
              <w:tab/>
            </w:r>
            <w:r>
              <w:rPr>
                <w:rFonts w:hint="cs"/>
                <w:rtl/>
              </w:rPr>
              <w:t>أولا -</w:t>
            </w:r>
            <w:r>
              <w:rPr>
                <w:rtl/>
              </w:rPr>
              <w:tab/>
            </w:r>
            <w:r>
              <w:rPr>
                <w:rFonts w:hint="cs"/>
                <w:rtl/>
              </w:rPr>
              <w:t xml:space="preserve">ملحوظة أولية: الإطار المؤسسي لبلجيكا </w:t>
            </w:r>
            <w:r>
              <w:rPr>
                <w:spacing w:val="60"/>
                <w:sz w:val="17"/>
                <w:rtl/>
              </w:rPr>
              <w:tab/>
            </w:r>
          </w:p>
        </w:tc>
        <w:tc>
          <w:tcPr>
            <w:tcW w:w="1166" w:type="dxa"/>
            <w:shd w:val="clear" w:color="auto" w:fill="auto"/>
            <w:vAlign w:val="bottom"/>
          </w:tcPr>
          <w:p w:rsidR="00635120" w:rsidRPr="00635120" w:rsidRDefault="00635120" w:rsidP="00635120">
            <w:pPr>
              <w:spacing w:after="120"/>
              <w:jc w:val="right"/>
              <w:rPr>
                <w:rtl/>
                <w:lang w:bidi="ar-EG"/>
              </w:rPr>
            </w:pPr>
          </w:p>
        </w:tc>
        <w:tc>
          <w:tcPr>
            <w:tcW w:w="806" w:type="dxa"/>
            <w:shd w:val="clear" w:color="auto" w:fill="auto"/>
            <w:vAlign w:val="bottom"/>
          </w:tcPr>
          <w:p w:rsidR="00635120" w:rsidRPr="00635120" w:rsidRDefault="0073566C" w:rsidP="00635120">
            <w:pPr>
              <w:spacing w:after="120"/>
              <w:jc w:val="right"/>
              <w:rPr>
                <w:rFonts w:hint="cs"/>
                <w:rtl/>
                <w:lang w:bidi="ar-EG"/>
              </w:rPr>
            </w:pPr>
            <w:r>
              <w:rPr>
                <w:rFonts w:hint="cs"/>
                <w:rtl/>
                <w:lang w:bidi="ar-EG"/>
              </w:rPr>
              <w:t>4</w:t>
            </w:r>
          </w:p>
        </w:tc>
      </w:tr>
      <w:tr w:rsidR="0073566C" w:rsidRPr="00635120">
        <w:tblPrEx>
          <w:tblCellMar>
            <w:top w:w="0" w:type="dxa"/>
            <w:bottom w:w="0" w:type="dxa"/>
          </w:tblCellMar>
        </w:tblPrEx>
        <w:tc>
          <w:tcPr>
            <w:tcW w:w="7862" w:type="dxa"/>
            <w:gridSpan w:val="2"/>
            <w:shd w:val="clear" w:color="auto" w:fill="auto"/>
          </w:tcPr>
          <w:p w:rsidR="0073566C" w:rsidRPr="0073566C" w:rsidRDefault="0073566C" w:rsidP="0073566C">
            <w:pPr>
              <w:tabs>
                <w:tab w:val="right" w:pos="1080"/>
                <w:tab w:val="left" w:pos="1296"/>
                <w:tab w:val="left" w:pos="1728"/>
                <w:tab w:val="left" w:pos="2160"/>
                <w:tab w:val="left" w:pos="2592"/>
                <w:tab w:val="left" w:pos="3024"/>
                <w:tab w:val="left" w:pos="3456"/>
                <w:tab w:val="left" w:pos="3888"/>
                <w:tab w:val="left" w:pos="4320"/>
                <w:tab w:val="right" w:leader="dot" w:pos="7862"/>
              </w:tabs>
              <w:spacing w:after="120"/>
              <w:jc w:val="left"/>
              <w:rPr>
                <w:rFonts w:hint="cs"/>
                <w:spacing w:val="60"/>
                <w:sz w:val="17"/>
                <w:rtl/>
              </w:rPr>
            </w:pPr>
            <w:r>
              <w:rPr>
                <w:rFonts w:hint="cs"/>
                <w:rtl/>
              </w:rPr>
              <w:tab/>
              <w:t>ثانيا -</w:t>
            </w:r>
            <w:r>
              <w:rPr>
                <w:rtl/>
              </w:rPr>
              <w:tab/>
            </w:r>
            <w:r>
              <w:rPr>
                <w:rFonts w:hint="cs"/>
                <w:rtl/>
              </w:rPr>
              <w:t xml:space="preserve">خصائص سياسة المساواة بين المرأة والرجل </w:t>
            </w:r>
            <w:r>
              <w:rPr>
                <w:spacing w:val="60"/>
                <w:sz w:val="17"/>
                <w:rtl/>
              </w:rPr>
              <w:tab/>
            </w:r>
          </w:p>
        </w:tc>
        <w:tc>
          <w:tcPr>
            <w:tcW w:w="1166" w:type="dxa"/>
            <w:shd w:val="clear" w:color="auto" w:fill="auto"/>
            <w:vAlign w:val="bottom"/>
          </w:tcPr>
          <w:p w:rsidR="0073566C" w:rsidRPr="00635120" w:rsidRDefault="0073566C" w:rsidP="00635120">
            <w:pPr>
              <w:spacing w:after="120"/>
              <w:jc w:val="right"/>
              <w:rPr>
                <w:rFonts w:hint="cs"/>
                <w:rtl/>
              </w:rPr>
            </w:pPr>
          </w:p>
        </w:tc>
        <w:tc>
          <w:tcPr>
            <w:tcW w:w="806" w:type="dxa"/>
            <w:shd w:val="clear" w:color="auto" w:fill="auto"/>
            <w:vAlign w:val="bottom"/>
          </w:tcPr>
          <w:p w:rsidR="0073566C" w:rsidRDefault="0073566C" w:rsidP="00635120">
            <w:pPr>
              <w:spacing w:after="120"/>
              <w:jc w:val="right"/>
              <w:rPr>
                <w:rFonts w:hint="cs"/>
                <w:rtl/>
                <w:lang w:bidi="ar-EG"/>
              </w:rPr>
            </w:pPr>
            <w:r>
              <w:rPr>
                <w:rFonts w:hint="cs"/>
                <w:rtl/>
                <w:lang w:bidi="ar-EG"/>
              </w:rPr>
              <w:t>5</w:t>
            </w:r>
          </w:p>
        </w:tc>
      </w:tr>
      <w:tr w:rsidR="0073566C" w:rsidRPr="00635120">
        <w:tblPrEx>
          <w:tblCellMar>
            <w:top w:w="0" w:type="dxa"/>
            <w:bottom w:w="0" w:type="dxa"/>
          </w:tblCellMar>
        </w:tblPrEx>
        <w:tc>
          <w:tcPr>
            <w:tcW w:w="7862" w:type="dxa"/>
            <w:gridSpan w:val="2"/>
            <w:shd w:val="clear" w:color="auto" w:fill="auto"/>
          </w:tcPr>
          <w:p w:rsidR="0073566C" w:rsidRPr="0073566C" w:rsidRDefault="0073566C" w:rsidP="0073566C">
            <w:pPr>
              <w:tabs>
                <w:tab w:val="right" w:pos="1080"/>
                <w:tab w:val="left" w:pos="1296"/>
                <w:tab w:val="left" w:pos="1728"/>
                <w:tab w:val="left" w:pos="2160"/>
                <w:tab w:val="left" w:pos="2592"/>
                <w:tab w:val="left" w:pos="3024"/>
                <w:tab w:val="left" w:pos="3456"/>
                <w:tab w:val="right" w:leader="dot" w:pos="7862"/>
              </w:tabs>
              <w:spacing w:after="120"/>
              <w:ind w:left="1296" w:hanging="1296"/>
              <w:jc w:val="left"/>
              <w:rPr>
                <w:rFonts w:hint="cs"/>
                <w:spacing w:val="60"/>
                <w:sz w:val="17"/>
                <w:rtl/>
              </w:rPr>
            </w:pPr>
            <w:r>
              <w:rPr>
                <w:rtl/>
              </w:rPr>
              <w:tab/>
            </w:r>
            <w:r>
              <w:rPr>
                <w:rFonts w:hint="cs"/>
                <w:rtl/>
              </w:rPr>
              <w:t>ثالثا -</w:t>
            </w:r>
            <w:r>
              <w:rPr>
                <w:rtl/>
              </w:rPr>
              <w:tab/>
            </w:r>
            <w:r>
              <w:rPr>
                <w:rFonts w:hint="cs"/>
                <w:rtl/>
              </w:rPr>
              <w:t xml:space="preserve">مجموعة التدابير الرامية إلى تنفيذ مختلف مواد الاتفاقية والرد على التوصيات المقدمة من اللجنة المعنية بالقضاء على التمييز ضد المرأة </w:t>
            </w:r>
            <w:r>
              <w:rPr>
                <w:spacing w:val="60"/>
                <w:sz w:val="17"/>
                <w:rtl/>
              </w:rPr>
              <w:tab/>
            </w:r>
          </w:p>
        </w:tc>
        <w:tc>
          <w:tcPr>
            <w:tcW w:w="1166" w:type="dxa"/>
            <w:shd w:val="clear" w:color="auto" w:fill="auto"/>
            <w:vAlign w:val="bottom"/>
          </w:tcPr>
          <w:p w:rsidR="0073566C" w:rsidRPr="00635120" w:rsidRDefault="0073566C" w:rsidP="00635120">
            <w:pPr>
              <w:spacing w:after="120"/>
              <w:jc w:val="right"/>
              <w:rPr>
                <w:rFonts w:hint="cs"/>
                <w:rtl/>
              </w:rPr>
            </w:pPr>
          </w:p>
        </w:tc>
        <w:tc>
          <w:tcPr>
            <w:tcW w:w="806" w:type="dxa"/>
            <w:shd w:val="clear" w:color="auto" w:fill="auto"/>
            <w:vAlign w:val="bottom"/>
          </w:tcPr>
          <w:p w:rsidR="0073566C" w:rsidRDefault="00AF077A" w:rsidP="00635120">
            <w:pPr>
              <w:spacing w:after="120"/>
              <w:jc w:val="right"/>
              <w:rPr>
                <w:rFonts w:hint="cs"/>
                <w:rtl/>
                <w:lang w:bidi="ar-EG"/>
              </w:rPr>
            </w:pPr>
            <w:r>
              <w:rPr>
                <w:rFonts w:hint="cs"/>
                <w:rtl/>
                <w:lang w:bidi="ar-EG"/>
              </w:rPr>
              <w:t>10</w:t>
            </w:r>
            <w:bookmarkStart w:id="1" w:name="TmpSave"/>
            <w:bookmarkEnd w:id="1"/>
          </w:p>
        </w:tc>
      </w:tr>
      <w:tr w:rsidR="0073566C" w:rsidRPr="00635120">
        <w:tblPrEx>
          <w:tblCellMar>
            <w:top w:w="0" w:type="dxa"/>
            <w:bottom w:w="0" w:type="dxa"/>
          </w:tblCellMar>
        </w:tblPrEx>
        <w:tc>
          <w:tcPr>
            <w:tcW w:w="7862" w:type="dxa"/>
            <w:gridSpan w:val="2"/>
            <w:shd w:val="clear" w:color="auto" w:fill="auto"/>
          </w:tcPr>
          <w:p w:rsidR="0073566C" w:rsidRPr="0073566C" w:rsidRDefault="0073566C" w:rsidP="0073566C">
            <w:pPr>
              <w:tabs>
                <w:tab w:val="right" w:pos="1080"/>
                <w:tab w:val="left" w:pos="1296"/>
                <w:tab w:val="left" w:pos="1728"/>
                <w:tab w:val="right" w:leader="dot" w:pos="7862"/>
              </w:tabs>
              <w:spacing w:after="120"/>
              <w:ind w:left="1296" w:hanging="1296"/>
              <w:jc w:val="left"/>
              <w:rPr>
                <w:rFonts w:hint="cs"/>
                <w:spacing w:val="60"/>
                <w:sz w:val="17"/>
                <w:rtl/>
              </w:rPr>
            </w:pPr>
            <w:r>
              <w:rPr>
                <w:rFonts w:hint="cs"/>
                <w:rtl/>
              </w:rPr>
              <w:tab/>
            </w:r>
            <w:r>
              <w:rPr>
                <w:rtl/>
              </w:rPr>
              <w:tab/>
            </w:r>
            <w:r>
              <w:rPr>
                <w:rFonts w:hint="cs"/>
                <w:rtl/>
              </w:rPr>
              <w:t xml:space="preserve">المادة 1 </w:t>
            </w:r>
            <w:r>
              <w:rPr>
                <w:spacing w:val="60"/>
                <w:sz w:val="17"/>
                <w:rtl/>
              </w:rPr>
              <w:tab/>
            </w:r>
          </w:p>
        </w:tc>
        <w:tc>
          <w:tcPr>
            <w:tcW w:w="1166" w:type="dxa"/>
            <w:shd w:val="clear" w:color="auto" w:fill="auto"/>
            <w:vAlign w:val="bottom"/>
          </w:tcPr>
          <w:p w:rsidR="0073566C" w:rsidRPr="00635120" w:rsidRDefault="0073566C" w:rsidP="00635120">
            <w:pPr>
              <w:spacing w:after="120"/>
              <w:jc w:val="right"/>
              <w:rPr>
                <w:rFonts w:hint="cs"/>
                <w:rtl/>
              </w:rPr>
            </w:pPr>
          </w:p>
        </w:tc>
        <w:tc>
          <w:tcPr>
            <w:tcW w:w="806" w:type="dxa"/>
            <w:shd w:val="clear" w:color="auto" w:fill="auto"/>
            <w:vAlign w:val="bottom"/>
          </w:tcPr>
          <w:p w:rsidR="0073566C" w:rsidRDefault="0073566C" w:rsidP="00635120">
            <w:pPr>
              <w:spacing w:after="120"/>
              <w:jc w:val="right"/>
              <w:rPr>
                <w:rFonts w:hint="cs"/>
                <w:rtl/>
                <w:lang w:bidi="ar-EG"/>
              </w:rPr>
            </w:pPr>
            <w:r>
              <w:rPr>
                <w:rFonts w:hint="cs"/>
                <w:rtl/>
                <w:lang w:bidi="ar-EG"/>
              </w:rPr>
              <w:t>10</w:t>
            </w:r>
          </w:p>
        </w:tc>
      </w:tr>
      <w:tr w:rsidR="0073566C" w:rsidRPr="00635120">
        <w:tblPrEx>
          <w:tblCellMar>
            <w:top w:w="0" w:type="dxa"/>
            <w:bottom w:w="0" w:type="dxa"/>
          </w:tblCellMar>
        </w:tblPrEx>
        <w:tc>
          <w:tcPr>
            <w:tcW w:w="7862" w:type="dxa"/>
            <w:gridSpan w:val="2"/>
            <w:shd w:val="clear" w:color="auto" w:fill="auto"/>
          </w:tcPr>
          <w:p w:rsidR="0073566C" w:rsidRPr="0073566C" w:rsidRDefault="0073566C" w:rsidP="0073566C">
            <w:pPr>
              <w:tabs>
                <w:tab w:val="right" w:pos="1080"/>
                <w:tab w:val="left" w:pos="1296"/>
                <w:tab w:val="left" w:pos="1728"/>
                <w:tab w:val="right" w:leader="dot" w:pos="7862"/>
              </w:tabs>
              <w:spacing w:after="120"/>
              <w:ind w:left="1296" w:hanging="1296"/>
              <w:jc w:val="left"/>
              <w:rPr>
                <w:rFonts w:hint="cs"/>
                <w:spacing w:val="60"/>
                <w:sz w:val="17"/>
                <w:rtl/>
              </w:rPr>
            </w:pPr>
            <w:r>
              <w:rPr>
                <w:rtl/>
              </w:rPr>
              <w:tab/>
            </w:r>
            <w:r>
              <w:rPr>
                <w:rFonts w:hint="cs"/>
                <w:rtl/>
              </w:rPr>
              <w:tab/>
              <w:t xml:space="preserve">المادة 2 </w:t>
            </w:r>
            <w:r>
              <w:rPr>
                <w:spacing w:val="60"/>
                <w:sz w:val="17"/>
                <w:rtl/>
              </w:rPr>
              <w:tab/>
            </w:r>
          </w:p>
        </w:tc>
        <w:tc>
          <w:tcPr>
            <w:tcW w:w="1166" w:type="dxa"/>
            <w:shd w:val="clear" w:color="auto" w:fill="auto"/>
            <w:vAlign w:val="bottom"/>
          </w:tcPr>
          <w:p w:rsidR="0073566C" w:rsidRPr="00635120" w:rsidRDefault="0073566C" w:rsidP="00635120">
            <w:pPr>
              <w:spacing w:after="120"/>
              <w:jc w:val="right"/>
              <w:rPr>
                <w:rFonts w:hint="cs"/>
                <w:rtl/>
              </w:rPr>
            </w:pPr>
          </w:p>
        </w:tc>
        <w:tc>
          <w:tcPr>
            <w:tcW w:w="806" w:type="dxa"/>
            <w:shd w:val="clear" w:color="auto" w:fill="auto"/>
            <w:vAlign w:val="bottom"/>
          </w:tcPr>
          <w:p w:rsidR="0073566C" w:rsidRDefault="0073566C" w:rsidP="00635120">
            <w:pPr>
              <w:spacing w:after="120"/>
              <w:jc w:val="right"/>
              <w:rPr>
                <w:rFonts w:hint="cs"/>
                <w:rtl/>
                <w:lang w:bidi="ar-EG"/>
              </w:rPr>
            </w:pPr>
            <w:r>
              <w:rPr>
                <w:rFonts w:hint="cs"/>
                <w:rtl/>
                <w:lang w:bidi="ar-EG"/>
              </w:rPr>
              <w:t>10</w:t>
            </w:r>
          </w:p>
        </w:tc>
      </w:tr>
      <w:tr w:rsidR="0073566C" w:rsidRPr="00635120">
        <w:tblPrEx>
          <w:tblCellMar>
            <w:top w:w="0" w:type="dxa"/>
            <w:bottom w:w="0" w:type="dxa"/>
          </w:tblCellMar>
        </w:tblPrEx>
        <w:tc>
          <w:tcPr>
            <w:tcW w:w="7862" w:type="dxa"/>
            <w:gridSpan w:val="2"/>
            <w:shd w:val="clear" w:color="auto" w:fill="auto"/>
          </w:tcPr>
          <w:p w:rsidR="0073566C" w:rsidRPr="0073566C" w:rsidRDefault="0073566C" w:rsidP="0073566C">
            <w:pPr>
              <w:tabs>
                <w:tab w:val="right" w:pos="1080"/>
                <w:tab w:val="left" w:pos="1296"/>
                <w:tab w:val="left" w:pos="1728"/>
                <w:tab w:val="right" w:leader="dot" w:pos="7862"/>
              </w:tabs>
              <w:spacing w:after="120"/>
              <w:ind w:left="1296" w:hanging="1296"/>
              <w:jc w:val="left"/>
              <w:rPr>
                <w:rFonts w:hint="cs"/>
                <w:spacing w:val="60"/>
                <w:sz w:val="17"/>
                <w:rtl/>
              </w:rPr>
            </w:pPr>
            <w:r>
              <w:rPr>
                <w:rFonts w:hint="cs"/>
                <w:rtl/>
              </w:rPr>
              <w:tab/>
            </w:r>
            <w:r>
              <w:rPr>
                <w:rtl/>
              </w:rPr>
              <w:tab/>
            </w:r>
            <w:r>
              <w:rPr>
                <w:rFonts w:hint="cs"/>
                <w:rtl/>
              </w:rPr>
              <w:t xml:space="preserve">المادة 3 </w:t>
            </w:r>
            <w:r>
              <w:rPr>
                <w:spacing w:val="60"/>
                <w:sz w:val="17"/>
                <w:rtl/>
              </w:rPr>
              <w:tab/>
            </w:r>
          </w:p>
        </w:tc>
        <w:tc>
          <w:tcPr>
            <w:tcW w:w="1166" w:type="dxa"/>
            <w:shd w:val="clear" w:color="auto" w:fill="auto"/>
            <w:vAlign w:val="bottom"/>
          </w:tcPr>
          <w:p w:rsidR="0073566C" w:rsidRPr="00635120" w:rsidRDefault="0073566C" w:rsidP="00635120">
            <w:pPr>
              <w:spacing w:after="120"/>
              <w:jc w:val="right"/>
              <w:rPr>
                <w:rFonts w:hint="cs"/>
                <w:rtl/>
              </w:rPr>
            </w:pPr>
          </w:p>
        </w:tc>
        <w:tc>
          <w:tcPr>
            <w:tcW w:w="806" w:type="dxa"/>
            <w:shd w:val="clear" w:color="auto" w:fill="auto"/>
            <w:vAlign w:val="bottom"/>
          </w:tcPr>
          <w:p w:rsidR="0073566C" w:rsidRDefault="0073566C" w:rsidP="00635120">
            <w:pPr>
              <w:spacing w:after="120"/>
              <w:jc w:val="right"/>
              <w:rPr>
                <w:rFonts w:hint="cs"/>
                <w:rtl/>
                <w:lang w:bidi="ar-EG"/>
              </w:rPr>
            </w:pPr>
            <w:r>
              <w:rPr>
                <w:rFonts w:hint="cs"/>
                <w:rtl/>
                <w:lang w:bidi="ar-EG"/>
              </w:rPr>
              <w:t>20</w:t>
            </w:r>
          </w:p>
        </w:tc>
      </w:tr>
      <w:tr w:rsidR="0073566C" w:rsidRPr="00635120">
        <w:tblPrEx>
          <w:tblCellMar>
            <w:top w:w="0" w:type="dxa"/>
            <w:bottom w:w="0" w:type="dxa"/>
          </w:tblCellMar>
        </w:tblPrEx>
        <w:tc>
          <w:tcPr>
            <w:tcW w:w="7862" w:type="dxa"/>
            <w:gridSpan w:val="2"/>
            <w:shd w:val="clear" w:color="auto" w:fill="auto"/>
          </w:tcPr>
          <w:p w:rsidR="0073566C" w:rsidRPr="0073566C" w:rsidRDefault="0073566C" w:rsidP="0073566C">
            <w:pPr>
              <w:tabs>
                <w:tab w:val="right" w:pos="1080"/>
                <w:tab w:val="left" w:pos="1296"/>
                <w:tab w:val="left" w:pos="1728"/>
                <w:tab w:val="right" w:leader="dot" w:pos="7862"/>
              </w:tabs>
              <w:spacing w:after="120"/>
              <w:ind w:left="1296" w:hanging="1296"/>
              <w:jc w:val="left"/>
              <w:rPr>
                <w:rFonts w:hint="cs"/>
                <w:spacing w:val="60"/>
                <w:sz w:val="17"/>
                <w:rtl/>
              </w:rPr>
            </w:pPr>
            <w:r>
              <w:rPr>
                <w:rtl/>
              </w:rPr>
              <w:tab/>
            </w:r>
            <w:r>
              <w:rPr>
                <w:rFonts w:hint="cs"/>
                <w:rtl/>
              </w:rPr>
              <w:tab/>
              <w:t xml:space="preserve">المادة 4 </w:t>
            </w:r>
            <w:r>
              <w:rPr>
                <w:spacing w:val="60"/>
                <w:sz w:val="17"/>
                <w:rtl/>
              </w:rPr>
              <w:tab/>
            </w:r>
          </w:p>
        </w:tc>
        <w:tc>
          <w:tcPr>
            <w:tcW w:w="1166" w:type="dxa"/>
            <w:shd w:val="clear" w:color="auto" w:fill="auto"/>
            <w:vAlign w:val="bottom"/>
          </w:tcPr>
          <w:p w:rsidR="0073566C" w:rsidRPr="00635120" w:rsidRDefault="0073566C" w:rsidP="00635120">
            <w:pPr>
              <w:spacing w:after="120"/>
              <w:jc w:val="right"/>
              <w:rPr>
                <w:rFonts w:hint="cs"/>
                <w:rtl/>
              </w:rPr>
            </w:pPr>
          </w:p>
        </w:tc>
        <w:tc>
          <w:tcPr>
            <w:tcW w:w="806" w:type="dxa"/>
            <w:shd w:val="clear" w:color="auto" w:fill="auto"/>
            <w:vAlign w:val="bottom"/>
          </w:tcPr>
          <w:p w:rsidR="0073566C" w:rsidRDefault="0073566C" w:rsidP="00635120">
            <w:pPr>
              <w:spacing w:after="120"/>
              <w:jc w:val="right"/>
              <w:rPr>
                <w:rFonts w:hint="cs"/>
                <w:rtl/>
                <w:lang w:bidi="ar-EG"/>
              </w:rPr>
            </w:pPr>
            <w:r>
              <w:rPr>
                <w:rFonts w:hint="cs"/>
                <w:rtl/>
                <w:lang w:bidi="ar-EG"/>
              </w:rPr>
              <w:t>61</w:t>
            </w:r>
          </w:p>
        </w:tc>
      </w:tr>
      <w:tr w:rsidR="0073566C" w:rsidRPr="00635120">
        <w:tblPrEx>
          <w:tblCellMar>
            <w:top w:w="0" w:type="dxa"/>
            <w:bottom w:w="0" w:type="dxa"/>
          </w:tblCellMar>
        </w:tblPrEx>
        <w:tc>
          <w:tcPr>
            <w:tcW w:w="7862" w:type="dxa"/>
            <w:gridSpan w:val="2"/>
            <w:shd w:val="clear" w:color="auto" w:fill="auto"/>
          </w:tcPr>
          <w:p w:rsidR="0073566C" w:rsidRPr="0073566C" w:rsidRDefault="0073566C" w:rsidP="0073566C">
            <w:pPr>
              <w:tabs>
                <w:tab w:val="right" w:pos="1080"/>
                <w:tab w:val="left" w:pos="1296"/>
                <w:tab w:val="left" w:pos="1728"/>
                <w:tab w:val="right" w:leader="dot" w:pos="7862"/>
              </w:tabs>
              <w:spacing w:after="120"/>
              <w:ind w:left="1296" w:hanging="1296"/>
              <w:jc w:val="left"/>
              <w:rPr>
                <w:rFonts w:hint="cs"/>
                <w:spacing w:val="60"/>
                <w:sz w:val="17"/>
                <w:rtl/>
              </w:rPr>
            </w:pPr>
            <w:r>
              <w:rPr>
                <w:rFonts w:hint="cs"/>
                <w:rtl/>
              </w:rPr>
              <w:tab/>
            </w:r>
            <w:r>
              <w:rPr>
                <w:rtl/>
              </w:rPr>
              <w:tab/>
            </w:r>
            <w:r>
              <w:rPr>
                <w:rFonts w:hint="cs"/>
                <w:rtl/>
              </w:rPr>
              <w:t xml:space="preserve">المادة 5 </w:t>
            </w:r>
            <w:r>
              <w:rPr>
                <w:spacing w:val="60"/>
                <w:sz w:val="17"/>
                <w:rtl/>
              </w:rPr>
              <w:tab/>
            </w:r>
          </w:p>
        </w:tc>
        <w:tc>
          <w:tcPr>
            <w:tcW w:w="1166" w:type="dxa"/>
            <w:shd w:val="clear" w:color="auto" w:fill="auto"/>
            <w:vAlign w:val="bottom"/>
          </w:tcPr>
          <w:p w:rsidR="0073566C" w:rsidRPr="00635120" w:rsidRDefault="0073566C" w:rsidP="00635120">
            <w:pPr>
              <w:spacing w:after="120"/>
              <w:jc w:val="right"/>
              <w:rPr>
                <w:rFonts w:hint="cs"/>
                <w:rtl/>
              </w:rPr>
            </w:pPr>
          </w:p>
        </w:tc>
        <w:tc>
          <w:tcPr>
            <w:tcW w:w="806" w:type="dxa"/>
            <w:shd w:val="clear" w:color="auto" w:fill="auto"/>
            <w:vAlign w:val="bottom"/>
          </w:tcPr>
          <w:p w:rsidR="0073566C" w:rsidRDefault="0073566C" w:rsidP="00635120">
            <w:pPr>
              <w:spacing w:after="120"/>
              <w:jc w:val="right"/>
              <w:rPr>
                <w:rFonts w:hint="cs"/>
                <w:rtl/>
                <w:lang w:bidi="ar-EG"/>
              </w:rPr>
            </w:pPr>
            <w:r>
              <w:rPr>
                <w:rFonts w:hint="cs"/>
                <w:rtl/>
                <w:lang w:bidi="ar-EG"/>
              </w:rPr>
              <w:t>65</w:t>
            </w:r>
          </w:p>
        </w:tc>
      </w:tr>
      <w:tr w:rsidR="0073566C" w:rsidRPr="00635120">
        <w:tblPrEx>
          <w:tblCellMar>
            <w:top w:w="0" w:type="dxa"/>
            <w:bottom w:w="0" w:type="dxa"/>
          </w:tblCellMar>
        </w:tblPrEx>
        <w:tc>
          <w:tcPr>
            <w:tcW w:w="7862" w:type="dxa"/>
            <w:gridSpan w:val="2"/>
            <w:shd w:val="clear" w:color="auto" w:fill="auto"/>
          </w:tcPr>
          <w:p w:rsidR="0073566C" w:rsidRPr="0073566C" w:rsidRDefault="0073566C" w:rsidP="0073566C">
            <w:pPr>
              <w:tabs>
                <w:tab w:val="right" w:pos="1080"/>
                <w:tab w:val="left" w:pos="1296"/>
                <w:tab w:val="left" w:pos="1728"/>
                <w:tab w:val="right" w:leader="dot" w:pos="7862"/>
              </w:tabs>
              <w:spacing w:after="120"/>
              <w:ind w:left="1296" w:hanging="1296"/>
              <w:jc w:val="left"/>
              <w:rPr>
                <w:rFonts w:hint="cs"/>
                <w:spacing w:val="60"/>
                <w:sz w:val="17"/>
                <w:rtl/>
              </w:rPr>
            </w:pPr>
            <w:r>
              <w:rPr>
                <w:rtl/>
              </w:rPr>
              <w:tab/>
            </w:r>
            <w:r>
              <w:rPr>
                <w:rFonts w:hint="cs"/>
                <w:rtl/>
              </w:rPr>
              <w:tab/>
              <w:t xml:space="preserve">المادة 6 </w:t>
            </w:r>
            <w:r>
              <w:rPr>
                <w:spacing w:val="60"/>
                <w:sz w:val="17"/>
                <w:rtl/>
              </w:rPr>
              <w:tab/>
            </w:r>
          </w:p>
        </w:tc>
        <w:tc>
          <w:tcPr>
            <w:tcW w:w="1166" w:type="dxa"/>
            <w:shd w:val="clear" w:color="auto" w:fill="auto"/>
            <w:vAlign w:val="bottom"/>
          </w:tcPr>
          <w:p w:rsidR="0073566C" w:rsidRPr="00635120" w:rsidRDefault="0073566C" w:rsidP="00635120">
            <w:pPr>
              <w:spacing w:after="120"/>
              <w:jc w:val="right"/>
              <w:rPr>
                <w:rFonts w:hint="cs"/>
                <w:rtl/>
              </w:rPr>
            </w:pPr>
          </w:p>
        </w:tc>
        <w:tc>
          <w:tcPr>
            <w:tcW w:w="806" w:type="dxa"/>
            <w:shd w:val="clear" w:color="auto" w:fill="auto"/>
            <w:vAlign w:val="bottom"/>
          </w:tcPr>
          <w:p w:rsidR="0073566C" w:rsidRDefault="0073566C" w:rsidP="00635120">
            <w:pPr>
              <w:spacing w:after="120"/>
              <w:jc w:val="right"/>
              <w:rPr>
                <w:rFonts w:hint="cs"/>
                <w:rtl/>
                <w:lang w:bidi="ar-EG"/>
              </w:rPr>
            </w:pPr>
            <w:r>
              <w:rPr>
                <w:rFonts w:hint="cs"/>
                <w:rtl/>
                <w:lang w:bidi="ar-EG"/>
              </w:rPr>
              <w:t>74</w:t>
            </w:r>
          </w:p>
        </w:tc>
      </w:tr>
      <w:tr w:rsidR="0073566C" w:rsidRPr="00635120">
        <w:tblPrEx>
          <w:tblCellMar>
            <w:top w:w="0" w:type="dxa"/>
            <w:bottom w:w="0" w:type="dxa"/>
          </w:tblCellMar>
        </w:tblPrEx>
        <w:tc>
          <w:tcPr>
            <w:tcW w:w="7862" w:type="dxa"/>
            <w:gridSpan w:val="2"/>
            <w:shd w:val="clear" w:color="auto" w:fill="auto"/>
          </w:tcPr>
          <w:p w:rsidR="0073566C" w:rsidRPr="0073566C" w:rsidRDefault="0073566C" w:rsidP="0073566C">
            <w:pPr>
              <w:tabs>
                <w:tab w:val="right" w:pos="1080"/>
                <w:tab w:val="left" w:pos="1296"/>
                <w:tab w:val="left" w:pos="1728"/>
                <w:tab w:val="right" w:leader="dot" w:pos="7862"/>
              </w:tabs>
              <w:spacing w:after="120"/>
              <w:ind w:left="1296" w:hanging="1296"/>
              <w:jc w:val="left"/>
              <w:rPr>
                <w:rFonts w:hint="cs"/>
                <w:spacing w:val="60"/>
                <w:sz w:val="17"/>
                <w:rtl/>
              </w:rPr>
            </w:pPr>
            <w:r>
              <w:rPr>
                <w:rFonts w:hint="cs"/>
                <w:rtl/>
              </w:rPr>
              <w:tab/>
            </w:r>
            <w:r>
              <w:rPr>
                <w:rtl/>
              </w:rPr>
              <w:tab/>
            </w:r>
            <w:r>
              <w:rPr>
                <w:rFonts w:hint="cs"/>
                <w:rtl/>
              </w:rPr>
              <w:t xml:space="preserve">المادة 7 </w:t>
            </w:r>
            <w:r>
              <w:rPr>
                <w:spacing w:val="60"/>
                <w:sz w:val="17"/>
                <w:rtl/>
              </w:rPr>
              <w:tab/>
            </w:r>
          </w:p>
        </w:tc>
        <w:tc>
          <w:tcPr>
            <w:tcW w:w="1166" w:type="dxa"/>
            <w:shd w:val="clear" w:color="auto" w:fill="auto"/>
            <w:vAlign w:val="bottom"/>
          </w:tcPr>
          <w:p w:rsidR="0073566C" w:rsidRPr="00635120" w:rsidRDefault="0073566C" w:rsidP="00635120">
            <w:pPr>
              <w:spacing w:after="120"/>
              <w:jc w:val="right"/>
              <w:rPr>
                <w:rFonts w:hint="cs"/>
                <w:rtl/>
              </w:rPr>
            </w:pPr>
          </w:p>
        </w:tc>
        <w:tc>
          <w:tcPr>
            <w:tcW w:w="806" w:type="dxa"/>
            <w:shd w:val="clear" w:color="auto" w:fill="auto"/>
            <w:vAlign w:val="bottom"/>
          </w:tcPr>
          <w:p w:rsidR="0073566C" w:rsidRDefault="0073566C" w:rsidP="00635120">
            <w:pPr>
              <w:spacing w:after="120"/>
              <w:jc w:val="right"/>
              <w:rPr>
                <w:rFonts w:hint="cs"/>
                <w:rtl/>
                <w:lang w:bidi="ar-EG"/>
              </w:rPr>
            </w:pPr>
            <w:r>
              <w:rPr>
                <w:rFonts w:hint="cs"/>
                <w:rtl/>
                <w:lang w:bidi="ar-EG"/>
              </w:rPr>
              <w:t>81</w:t>
            </w:r>
          </w:p>
        </w:tc>
      </w:tr>
      <w:tr w:rsidR="0073566C" w:rsidRPr="00635120">
        <w:tblPrEx>
          <w:tblCellMar>
            <w:top w:w="0" w:type="dxa"/>
            <w:bottom w:w="0" w:type="dxa"/>
          </w:tblCellMar>
        </w:tblPrEx>
        <w:tc>
          <w:tcPr>
            <w:tcW w:w="7862" w:type="dxa"/>
            <w:gridSpan w:val="2"/>
            <w:shd w:val="clear" w:color="auto" w:fill="auto"/>
          </w:tcPr>
          <w:p w:rsidR="0073566C" w:rsidRPr="0073566C" w:rsidRDefault="0073566C" w:rsidP="0073566C">
            <w:pPr>
              <w:tabs>
                <w:tab w:val="right" w:pos="1080"/>
                <w:tab w:val="left" w:pos="1296"/>
                <w:tab w:val="left" w:pos="1728"/>
                <w:tab w:val="right" w:leader="dot" w:pos="7862"/>
              </w:tabs>
              <w:spacing w:after="120"/>
              <w:ind w:left="1296" w:hanging="1296"/>
              <w:jc w:val="left"/>
              <w:rPr>
                <w:rFonts w:hint="cs"/>
                <w:spacing w:val="60"/>
                <w:sz w:val="17"/>
                <w:rtl/>
              </w:rPr>
            </w:pPr>
            <w:r>
              <w:rPr>
                <w:rtl/>
              </w:rPr>
              <w:tab/>
            </w:r>
            <w:r>
              <w:rPr>
                <w:rFonts w:hint="cs"/>
                <w:rtl/>
              </w:rPr>
              <w:tab/>
              <w:t xml:space="preserve">المادة 8 </w:t>
            </w:r>
            <w:r>
              <w:rPr>
                <w:spacing w:val="60"/>
                <w:sz w:val="17"/>
                <w:rtl/>
              </w:rPr>
              <w:tab/>
            </w:r>
          </w:p>
        </w:tc>
        <w:tc>
          <w:tcPr>
            <w:tcW w:w="1166" w:type="dxa"/>
            <w:shd w:val="clear" w:color="auto" w:fill="auto"/>
            <w:vAlign w:val="bottom"/>
          </w:tcPr>
          <w:p w:rsidR="0073566C" w:rsidRPr="00635120" w:rsidRDefault="0073566C" w:rsidP="00635120">
            <w:pPr>
              <w:spacing w:after="120"/>
              <w:jc w:val="right"/>
              <w:rPr>
                <w:rFonts w:hint="cs"/>
                <w:rtl/>
              </w:rPr>
            </w:pPr>
          </w:p>
        </w:tc>
        <w:tc>
          <w:tcPr>
            <w:tcW w:w="806" w:type="dxa"/>
            <w:shd w:val="clear" w:color="auto" w:fill="auto"/>
            <w:vAlign w:val="bottom"/>
          </w:tcPr>
          <w:p w:rsidR="0073566C" w:rsidRDefault="0073566C" w:rsidP="00635120">
            <w:pPr>
              <w:spacing w:after="120"/>
              <w:jc w:val="right"/>
              <w:rPr>
                <w:rFonts w:hint="cs"/>
                <w:rtl/>
                <w:lang w:bidi="ar-EG"/>
              </w:rPr>
            </w:pPr>
            <w:r>
              <w:rPr>
                <w:rFonts w:hint="cs"/>
                <w:rtl/>
                <w:lang w:bidi="ar-EG"/>
              </w:rPr>
              <w:t>94</w:t>
            </w:r>
          </w:p>
        </w:tc>
      </w:tr>
      <w:tr w:rsidR="0073566C" w:rsidRPr="00635120">
        <w:tblPrEx>
          <w:tblCellMar>
            <w:top w:w="0" w:type="dxa"/>
            <w:bottom w:w="0" w:type="dxa"/>
          </w:tblCellMar>
        </w:tblPrEx>
        <w:tc>
          <w:tcPr>
            <w:tcW w:w="7862" w:type="dxa"/>
            <w:gridSpan w:val="2"/>
            <w:shd w:val="clear" w:color="auto" w:fill="auto"/>
          </w:tcPr>
          <w:p w:rsidR="0073566C" w:rsidRPr="0073566C" w:rsidRDefault="0073566C" w:rsidP="0073566C">
            <w:pPr>
              <w:tabs>
                <w:tab w:val="right" w:pos="1080"/>
                <w:tab w:val="left" w:pos="1296"/>
                <w:tab w:val="left" w:pos="1728"/>
                <w:tab w:val="right" w:leader="dot" w:pos="7862"/>
              </w:tabs>
              <w:spacing w:after="120"/>
              <w:ind w:left="1296" w:hanging="1296"/>
              <w:jc w:val="left"/>
              <w:rPr>
                <w:rFonts w:hint="cs"/>
                <w:spacing w:val="60"/>
                <w:sz w:val="17"/>
                <w:rtl/>
              </w:rPr>
            </w:pPr>
            <w:r>
              <w:rPr>
                <w:rFonts w:hint="cs"/>
                <w:rtl/>
              </w:rPr>
              <w:tab/>
            </w:r>
            <w:r>
              <w:rPr>
                <w:rtl/>
              </w:rPr>
              <w:tab/>
            </w:r>
            <w:r>
              <w:rPr>
                <w:rFonts w:hint="cs"/>
                <w:rtl/>
              </w:rPr>
              <w:t xml:space="preserve">المادة 9 </w:t>
            </w:r>
            <w:r>
              <w:rPr>
                <w:spacing w:val="60"/>
                <w:sz w:val="17"/>
                <w:rtl/>
              </w:rPr>
              <w:tab/>
            </w:r>
          </w:p>
        </w:tc>
        <w:tc>
          <w:tcPr>
            <w:tcW w:w="1166" w:type="dxa"/>
            <w:shd w:val="clear" w:color="auto" w:fill="auto"/>
            <w:vAlign w:val="bottom"/>
          </w:tcPr>
          <w:p w:rsidR="0073566C" w:rsidRPr="00635120" w:rsidRDefault="0073566C" w:rsidP="00635120">
            <w:pPr>
              <w:spacing w:after="120"/>
              <w:jc w:val="right"/>
              <w:rPr>
                <w:rFonts w:hint="cs"/>
                <w:rtl/>
              </w:rPr>
            </w:pPr>
          </w:p>
        </w:tc>
        <w:tc>
          <w:tcPr>
            <w:tcW w:w="806" w:type="dxa"/>
            <w:shd w:val="clear" w:color="auto" w:fill="auto"/>
            <w:vAlign w:val="bottom"/>
          </w:tcPr>
          <w:p w:rsidR="0073566C" w:rsidRDefault="0073566C" w:rsidP="00635120">
            <w:pPr>
              <w:spacing w:after="120"/>
              <w:jc w:val="right"/>
              <w:rPr>
                <w:rFonts w:hint="cs"/>
                <w:rtl/>
                <w:lang w:bidi="ar-EG"/>
              </w:rPr>
            </w:pPr>
            <w:r>
              <w:rPr>
                <w:rFonts w:hint="cs"/>
                <w:rtl/>
                <w:lang w:bidi="ar-EG"/>
              </w:rPr>
              <w:t>102</w:t>
            </w:r>
          </w:p>
        </w:tc>
      </w:tr>
      <w:tr w:rsidR="0073566C" w:rsidRPr="00635120">
        <w:tblPrEx>
          <w:tblCellMar>
            <w:top w:w="0" w:type="dxa"/>
            <w:bottom w:w="0" w:type="dxa"/>
          </w:tblCellMar>
        </w:tblPrEx>
        <w:tc>
          <w:tcPr>
            <w:tcW w:w="7862" w:type="dxa"/>
            <w:gridSpan w:val="2"/>
            <w:shd w:val="clear" w:color="auto" w:fill="auto"/>
          </w:tcPr>
          <w:p w:rsidR="0073566C" w:rsidRPr="0073566C" w:rsidRDefault="0073566C" w:rsidP="0073566C">
            <w:pPr>
              <w:tabs>
                <w:tab w:val="right" w:pos="1080"/>
                <w:tab w:val="left" w:pos="1296"/>
                <w:tab w:val="left" w:pos="1728"/>
                <w:tab w:val="right" w:leader="dot" w:pos="7862"/>
              </w:tabs>
              <w:spacing w:after="120"/>
              <w:ind w:left="1296" w:hanging="1296"/>
              <w:jc w:val="left"/>
              <w:rPr>
                <w:rFonts w:hint="cs"/>
                <w:spacing w:val="60"/>
                <w:sz w:val="17"/>
                <w:rtl/>
              </w:rPr>
            </w:pPr>
            <w:r>
              <w:rPr>
                <w:rtl/>
              </w:rPr>
              <w:tab/>
            </w:r>
            <w:r>
              <w:rPr>
                <w:rFonts w:hint="cs"/>
                <w:rtl/>
              </w:rPr>
              <w:tab/>
              <w:t xml:space="preserve">المادة 10 </w:t>
            </w:r>
            <w:r>
              <w:rPr>
                <w:spacing w:val="60"/>
                <w:sz w:val="17"/>
                <w:rtl/>
              </w:rPr>
              <w:tab/>
            </w:r>
          </w:p>
        </w:tc>
        <w:tc>
          <w:tcPr>
            <w:tcW w:w="1166" w:type="dxa"/>
            <w:shd w:val="clear" w:color="auto" w:fill="auto"/>
            <w:vAlign w:val="bottom"/>
          </w:tcPr>
          <w:p w:rsidR="0073566C" w:rsidRPr="00635120" w:rsidRDefault="0073566C" w:rsidP="00635120">
            <w:pPr>
              <w:spacing w:after="120"/>
              <w:jc w:val="right"/>
              <w:rPr>
                <w:rFonts w:hint="cs"/>
                <w:rtl/>
              </w:rPr>
            </w:pPr>
          </w:p>
        </w:tc>
        <w:tc>
          <w:tcPr>
            <w:tcW w:w="806" w:type="dxa"/>
            <w:shd w:val="clear" w:color="auto" w:fill="auto"/>
            <w:vAlign w:val="bottom"/>
          </w:tcPr>
          <w:p w:rsidR="0073566C" w:rsidRDefault="0073566C" w:rsidP="00635120">
            <w:pPr>
              <w:spacing w:after="120"/>
              <w:jc w:val="right"/>
              <w:rPr>
                <w:rFonts w:hint="cs"/>
                <w:rtl/>
                <w:lang w:bidi="ar-EG"/>
              </w:rPr>
            </w:pPr>
            <w:r>
              <w:rPr>
                <w:rFonts w:hint="cs"/>
                <w:rtl/>
                <w:lang w:bidi="ar-EG"/>
              </w:rPr>
              <w:t>104</w:t>
            </w:r>
          </w:p>
        </w:tc>
      </w:tr>
      <w:tr w:rsidR="0073566C" w:rsidRPr="00635120">
        <w:tblPrEx>
          <w:tblCellMar>
            <w:top w:w="0" w:type="dxa"/>
            <w:bottom w:w="0" w:type="dxa"/>
          </w:tblCellMar>
        </w:tblPrEx>
        <w:tc>
          <w:tcPr>
            <w:tcW w:w="7862" w:type="dxa"/>
            <w:gridSpan w:val="2"/>
            <w:shd w:val="clear" w:color="auto" w:fill="auto"/>
          </w:tcPr>
          <w:p w:rsidR="0073566C" w:rsidRPr="0073566C" w:rsidRDefault="0073566C" w:rsidP="0073566C">
            <w:pPr>
              <w:tabs>
                <w:tab w:val="right" w:pos="1080"/>
                <w:tab w:val="left" w:pos="1296"/>
                <w:tab w:val="left" w:pos="1728"/>
                <w:tab w:val="right" w:leader="dot" w:pos="7862"/>
              </w:tabs>
              <w:spacing w:after="120"/>
              <w:ind w:left="1296" w:hanging="1296"/>
              <w:jc w:val="left"/>
              <w:rPr>
                <w:rFonts w:hint="cs"/>
                <w:spacing w:val="60"/>
                <w:sz w:val="17"/>
                <w:rtl/>
              </w:rPr>
            </w:pPr>
            <w:r>
              <w:rPr>
                <w:rFonts w:hint="cs"/>
                <w:rtl/>
              </w:rPr>
              <w:tab/>
            </w:r>
            <w:r>
              <w:rPr>
                <w:rtl/>
              </w:rPr>
              <w:tab/>
            </w:r>
            <w:r>
              <w:rPr>
                <w:rFonts w:hint="cs"/>
                <w:rtl/>
              </w:rPr>
              <w:t xml:space="preserve">المادة 11 </w:t>
            </w:r>
            <w:r>
              <w:rPr>
                <w:spacing w:val="60"/>
                <w:sz w:val="17"/>
                <w:rtl/>
              </w:rPr>
              <w:tab/>
            </w:r>
          </w:p>
        </w:tc>
        <w:tc>
          <w:tcPr>
            <w:tcW w:w="1166" w:type="dxa"/>
            <w:shd w:val="clear" w:color="auto" w:fill="auto"/>
            <w:vAlign w:val="bottom"/>
          </w:tcPr>
          <w:p w:rsidR="0073566C" w:rsidRPr="00635120" w:rsidRDefault="0073566C" w:rsidP="00635120">
            <w:pPr>
              <w:spacing w:after="120"/>
              <w:jc w:val="right"/>
              <w:rPr>
                <w:rFonts w:hint="cs"/>
                <w:rtl/>
              </w:rPr>
            </w:pPr>
          </w:p>
        </w:tc>
        <w:tc>
          <w:tcPr>
            <w:tcW w:w="806" w:type="dxa"/>
            <w:shd w:val="clear" w:color="auto" w:fill="auto"/>
            <w:vAlign w:val="bottom"/>
          </w:tcPr>
          <w:p w:rsidR="0073566C" w:rsidRDefault="009B0925" w:rsidP="00635120">
            <w:pPr>
              <w:spacing w:after="120"/>
              <w:jc w:val="right"/>
              <w:rPr>
                <w:rFonts w:hint="cs"/>
                <w:rtl/>
                <w:lang w:bidi="ar-EG"/>
              </w:rPr>
            </w:pPr>
            <w:r>
              <w:rPr>
                <w:rFonts w:hint="cs"/>
                <w:rtl/>
                <w:lang w:bidi="ar-EG"/>
              </w:rPr>
              <w:t>119</w:t>
            </w:r>
          </w:p>
        </w:tc>
      </w:tr>
      <w:tr w:rsidR="009B0925" w:rsidRPr="00635120">
        <w:tblPrEx>
          <w:tblCellMar>
            <w:top w:w="0" w:type="dxa"/>
            <w:bottom w:w="0" w:type="dxa"/>
          </w:tblCellMar>
        </w:tblPrEx>
        <w:tc>
          <w:tcPr>
            <w:tcW w:w="7862" w:type="dxa"/>
            <w:gridSpan w:val="2"/>
            <w:shd w:val="clear" w:color="auto" w:fill="auto"/>
          </w:tcPr>
          <w:p w:rsidR="009B0925" w:rsidRPr="009B0925" w:rsidRDefault="009B0925" w:rsidP="009B0925">
            <w:pPr>
              <w:tabs>
                <w:tab w:val="right" w:pos="1080"/>
                <w:tab w:val="left" w:pos="1296"/>
                <w:tab w:val="left" w:pos="1728"/>
                <w:tab w:val="right" w:leader="dot" w:pos="7862"/>
              </w:tabs>
              <w:spacing w:after="120"/>
              <w:ind w:left="1296" w:hanging="1296"/>
              <w:jc w:val="left"/>
              <w:rPr>
                <w:rFonts w:hint="cs"/>
                <w:spacing w:val="60"/>
                <w:sz w:val="17"/>
                <w:rtl/>
              </w:rPr>
            </w:pPr>
            <w:r>
              <w:rPr>
                <w:rtl/>
              </w:rPr>
              <w:tab/>
            </w:r>
            <w:r>
              <w:rPr>
                <w:rFonts w:hint="cs"/>
                <w:rtl/>
              </w:rPr>
              <w:tab/>
              <w:t xml:space="preserve">المادة 12 </w:t>
            </w:r>
            <w:r>
              <w:rPr>
                <w:spacing w:val="60"/>
                <w:sz w:val="17"/>
                <w:rtl/>
              </w:rPr>
              <w:tab/>
            </w:r>
          </w:p>
        </w:tc>
        <w:tc>
          <w:tcPr>
            <w:tcW w:w="1166" w:type="dxa"/>
            <w:shd w:val="clear" w:color="auto" w:fill="auto"/>
            <w:vAlign w:val="bottom"/>
          </w:tcPr>
          <w:p w:rsidR="009B0925" w:rsidRPr="00635120" w:rsidRDefault="009B0925" w:rsidP="00635120">
            <w:pPr>
              <w:spacing w:after="120"/>
              <w:jc w:val="right"/>
              <w:rPr>
                <w:rFonts w:hint="cs"/>
                <w:rtl/>
              </w:rPr>
            </w:pPr>
          </w:p>
        </w:tc>
        <w:tc>
          <w:tcPr>
            <w:tcW w:w="806" w:type="dxa"/>
            <w:shd w:val="clear" w:color="auto" w:fill="auto"/>
            <w:vAlign w:val="bottom"/>
          </w:tcPr>
          <w:p w:rsidR="009B0925" w:rsidRDefault="009B0925" w:rsidP="00635120">
            <w:pPr>
              <w:spacing w:after="120"/>
              <w:jc w:val="right"/>
              <w:rPr>
                <w:rFonts w:hint="cs"/>
                <w:rtl/>
                <w:lang w:bidi="ar-EG"/>
              </w:rPr>
            </w:pPr>
            <w:r>
              <w:rPr>
                <w:rFonts w:hint="cs"/>
                <w:rtl/>
                <w:lang w:bidi="ar-EG"/>
              </w:rPr>
              <w:t>148</w:t>
            </w:r>
          </w:p>
        </w:tc>
      </w:tr>
      <w:tr w:rsidR="009B0925" w:rsidRPr="00635120">
        <w:tblPrEx>
          <w:tblCellMar>
            <w:top w:w="0" w:type="dxa"/>
            <w:bottom w:w="0" w:type="dxa"/>
          </w:tblCellMar>
        </w:tblPrEx>
        <w:tc>
          <w:tcPr>
            <w:tcW w:w="7862" w:type="dxa"/>
            <w:gridSpan w:val="2"/>
            <w:shd w:val="clear" w:color="auto" w:fill="auto"/>
          </w:tcPr>
          <w:p w:rsidR="009B0925" w:rsidRPr="009B0925" w:rsidRDefault="009B0925" w:rsidP="009B0925">
            <w:pPr>
              <w:tabs>
                <w:tab w:val="right" w:pos="1080"/>
                <w:tab w:val="left" w:pos="1296"/>
                <w:tab w:val="left" w:pos="1728"/>
                <w:tab w:val="right" w:leader="dot" w:pos="7862"/>
              </w:tabs>
              <w:spacing w:after="120"/>
              <w:ind w:left="1296" w:hanging="1296"/>
              <w:jc w:val="left"/>
              <w:rPr>
                <w:rFonts w:hint="cs"/>
                <w:spacing w:val="60"/>
                <w:sz w:val="17"/>
                <w:rtl/>
              </w:rPr>
            </w:pPr>
            <w:r>
              <w:rPr>
                <w:rFonts w:hint="cs"/>
                <w:rtl/>
              </w:rPr>
              <w:tab/>
            </w:r>
            <w:r>
              <w:rPr>
                <w:rtl/>
              </w:rPr>
              <w:tab/>
            </w:r>
            <w:r>
              <w:rPr>
                <w:rFonts w:hint="cs"/>
                <w:rtl/>
              </w:rPr>
              <w:t xml:space="preserve">المادة 13 </w:t>
            </w:r>
            <w:r>
              <w:rPr>
                <w:spacing w:val="60"/>
                <w:sz w:val="17"/>
                <w:rtl/>
              </w:rPr>
              <w:tab/>
            </w:r>
          </w:p>
        </w:tc>
        <w:tc>
          <w:tcPr>
            <w:tcW w:w="1166" w:type="dxa"/>
            <w:shd w:val="clear" w:color="auto" w:fill="auto"/>
            <w:vAlign w:val="bottom"/>
          </w:tcPr>
          <w:p w:rsidR="009B0925" w:rsidRPr="00635120" w:rsidRDefault="009B0925" w:rsidP="00635120">
            <w:pPr>
              <w:spacing w:after="120"/>
              <w:jc w:val="right"/>
              <w:rPr>
                <w:rFonts w:hint="cs"/>
                <w:rtl/>
              </w:rPr>
            </w:pPr>
          </w:p>
        </w:tc>
        <w:tc>
          <w:tcPr>
            <w:tcW w:w="806" w:type="dxa"/>
            <w:shd w:val="clear" w:color="auto" w:fill="auto"/>
            <w:vAlign w:val="bottom"/>
          </w:tcPr>
          <w:p w:rsidR="009B0925" w:rsidRDefault="009B0925" w:rsidP="00635120">
            <w:pPr>
              <w:spacing w:after="120"/>
              <w:jc w:val="right"/>
              <w:rPr>
                <w:rFonts w:hint="cs"/>
                <w:rtl/>
                <w:lang w:bidi="ar-EG"/>
              </w:rPr>
            </w:pPr>
            <w:r>
              <w:rPr>
                <w:rFonts w:hint="cs"/>
                <w:rtl/>
                <w:lang w:bidi="ar-EG"/>
              </w:rPr>
              <w:t>159</w:t>
            </w:r>
          </w:p>
        </w:tc>
      </w:tr>
      <w:tr w:rsidR="009B0925" w:rsidRPr="00635120">
        <w:tblPrEx>
          <w:tblCellMar>
            <w:top w:w="0" w:type="dxa"/>
            <w:bottom w:w="0" w:type="dxa"/>
          </w:tblCellMar>
        </w:tblPrEx>
        <w:tc>
          <w:tcPr>
            <w:tcW w:w="7862" w:type="dxa"/>
            <w:gridSpan w:val="2"/>
            <w:shd w:val="clear" w:color="auto" w:fill="auto"/>
          </w:tcPr>
          <w:p w:rsidR="009B0925" w:rsidRPr="009B0925" w:rsidRDefault="009B0925" w:rsidP="009B0925">
            <w:pPr>
              <w:tabs>
                <w:tab w:val="right" w:pos="1080"/>
                <w:tab w:val="left" w:pos="1296"/>
                <w:tab w:val="left" w:pos="1728"/>
                <w:tab w:val="right" w:leader="dot" w:pos="7862"/>
              </w:tabs>
              <w:spacing w:after="120"/>
              <w:ind w:left="1296" w:hanging="1296"/>
              <w:jc w:val="left"/>
              <w:rPr>
                <w:rFonts w:hint="cs"/>
                <w:spacing w:val="60"/>
                <w:sz w:val="17"/>
                <w:rtl/>
              </w:rPr>
            </w:pPr>
            <w:r>
              <w:rPr>
                <w:rtl/>
              </w:rPr>
              <w:tab/>
            </w:r>
            <w:r>
              <w:rPr>
                <w:rFonts w:hint="cs"/>
                <w:rtl/>
              </w:rPr>
              <w:tab/>
              <w:t xml:space="preserve">المادة 14 </w:t>
            </w:r>
            <w:r>
              <w:rPr>
                <w:spacing w:val="60"/>
                <w:sz w:val="17"/>
                <w:rtl/>
              </w:rPr>
              <w:tab/>
            </w:r>
          </w:p>
        </w:tc>
        <w:tc>
          <w:tcPr>
            <w:tcW w:w="1166" w:type="dxa"/>
            <w:shd w:val="clear" w:color="auto" w:fill="auto"/>
            <w:vAlign w:val="bottom"/>
          </w:tcPr>
          <w:p w:rsidR="009B0925" w:rsidRPr="00635120" w:rsidRDefault="009B0925" w:rsidP="00635120">
            <w:pPr>
              <w:spacing w:after="120"/>
              <w:jc w:val="right"/>
              <w:rPr>
                <w:rFonts w:hint="cs"/>
                <w:rtl/>
              </w:rPr>
            </w:pPr>
          </w:p>
        </w:tc>
        <w:tc>
          <w:tcPr>
            <w:tcW w:w="806" w:type="dxa"/>
            <w:shd w:val="clear" w:color="auto" w:fill="auto"/>
            <w:vAlign w:val="bottom"/>
          </w:tcPr>
          <w:p w:rsidR="009B0925" w:rsidRDefault="009B0925" w:rsidP="00635120">
            <w:pPr>
              <w:spacing w:after="120"/>
              <w:jc w:val="right"/>
              <w:rPr>
                <w:rFonts w:hint="cs"/>
                <w:rtl/>
                <w:lang w:bidi="ar-EG"/>
              </w:rPr>
            </w:pPr>
            <w:r>
              <w:rPr>
                <w:rFonts w:hint="cs"/>
                <w:rtl/>
                <w:lang w:bidi="ar-EG"/>
              </w:rPr>
              <w:t>165</w:t>
            </w:r>
          </w:p>
        </w:tc>
      </w:tr>
      <w:tr w:rsidR="009B0925" w:rsidRPr="00635120">
        <w:tblPrEx>
          <w:tblCellMar>
            <w:top w:w="0" w:type="dxa"/>
            <w:bottom w:w="0" w:type="dxa"/>
          </w:tblCellMar>
        </w:tblPrEx>
        <w:tc>
          <w:tcPr>
            <w:tcW w:w="7862" w:type="dxa"/>
            <w:gridSpan w:val="2"/>
            <w:shd w:val="clear" w:color="auto" w:fill="auto"/>
          </w:tcPr>
          <w:p w:rsidR="009B0925" w:rsidRPr="009B0925" w:rsidRDefault="009B0925" w:rsidP="009B0925">
            <w:pPr>
              <w:tabs>
                <w:tab w:val="right" w:pos="1080"/>
                <w:tab w:val="left" w:pos="1296"/>
                <w:tab w:val="left" w:pos="1728"/>
                <w:tab w:val="right" w:leader="dot" w:pos="7862"/>
              </w:tabs>
              <w:spacing w:after="120"/>
              <w:ind w:left="1296" w:hanging="1296"/>
              <w:jc w:val="left"/>
              <w:rPr>
                <w:rFonts w:hint="cs"/>
                <w:spacing w:val="60"/>
                <w:sz w:val="17"/>
                <w:rtl/>
              </w:rPr>
            </w:pPr>
            <w:r>
              <w:rPr>
                <w:rFonts w:hint="cs"/>
                <w:rtl/>
              </w:rPr>
              <w:tab/>
            </w:r>
            <w:r>
              <w:rPr>
                <w:rtl/>
              </w:rPr>
              <w:tab/>
            </w:r>
            <w:r>
              <w:rPr>
                <w:rFonts w:hint="cs"/>
                <w:rtl/>
              </w:rPr>
              <w:t xml:space="preserve">المادة 15 </w:t>
            </w:r>
            <w:r>
              <w:rPr>
                <w:spacing w:val="60"/>
                <w:sz w:val="17"/>
                <w:rtl/>
              </w:rPr>
              <w:tab/>
            </w:r>
          </w:p>
        </w:tc>
        <w:tc>
          <w:tcPr>
            <w:tcW w:w="1166" w:type="dxa"/>
            <w:shd w:val="clear" w:color="auto" w:fill="auto"/>
            <w:vAlign w:val="bottom"/>
          </w:tcPr>
          <w:p w:rsidR="009B0925" w:rsidRPr="00635120" w:rsidRDefault="009B0925" w:rsidP="00635120">
            <w:pPr>
              <w:spacing w:after="120"/>
              <w:jc w:val="right"/>
              <w:rPr>
                <w:rFonts w:hint="cs"/>
                <w:rtl/>
              </w:rPr>
            </w:pPr>
          </w:p>
        </w:tc>
        <w:tc>
          <w:tcPr>
            <w:tcW w:w="806" w:type="dxa"/>
            <w:shd w:val="clear" w:color="auto" w:fill="auto"/>
            <w:vAlign w:val="bottom"/>
          </w:tcPr>
          <w:p w:rsidR="009B0925" w:rsidRDefault="009B0925" w:rsidP="00635120">
            <w:pPr>
              <w:spacing w:after="120"/>
              <w:jc w:val="right"/>
              <w:rPr>
                <w:rFonts w:hint="cs"/>
                <w:rtl/>
                <w:lang w:bidi="ar-EG"/>
              </w:rPr>
            </w:pPr>
            <w:r>
              <w:rPr>
                <w:rFonts w:hint="cs"/>
                <w:rtl/>
                <w:lang w:bidi="ar-EG"/>
              </w:rPr>
              <w:t>165</w:t>
            </w:r>
          </w:p>
        </w:tc>
      </w:tr>
      <w:tr w:rsidR="009B0925" w:rsidRPr="00635120">
        <w:tblPrEx>
          <w:tblCellMar>
            <w:top w:w="0" w:type="dxa"/>
            <w:bottom w:w="0" w:type="dxa"/>
          </w:tblCellMar>
        </w:tblPrEx>
        <w:tc>
          <w:tcPr>
            <w:tcW w:w="7862" w:type="dxa"/>
            <w:gridSpan w:val="2"/>
            <w:shd w:val="clear" w:color="auto" w:fill="auto"/>
          </w:tcPr>
          <w:p w:rsidR="009B0925" w:rsidRPr="009B0925" w:rsidRDefault="009B0925" w:rsidP="009B0925">
            <w:pPr>
              <w:tabs>
                <w:tab w:val="right" w:pos="1080"/>
                <w:tab w:val="left" w:pos="1296"/>
                <w:tab w:val="left" w:pos="1728"/>
                <w:tab w:val="right" w:leader="dot" w:pos="7862"/>
              </w:tabs>
              <w:spacing w:after="120"/>
              <w:ind w:left="1296" w:hanging="1296"/>
              <w:jc w:val="left"/>
              <w:rPr>
                <w:rFonts w:hint="cs"/>
                <w:spacing w:val="60"/>
                <w:sz w:val="17"/>
                <w:rtl/>
              </w:rPr>
            </w:pPr>
            <w:r>
              <w:rPr>
                <w:rtl/>
              </w:rPr>
              <w:tab/>
            </w:r>
            <w:r>
              <w:rPr>
                <w:rFonts w:hint="cs"/>
                <w:rtl/>
              </w:rPr>
              <w:tab/>
              <w:t xml:space="preserve">المادة 16 </w:t>
            </w:r>
            <w:r>
              <w:rPr>
                <w:spacing w:val="60"/>
                <w:sz w:val="17"/>
                <w:rtl/>
              </w:rPr>
              <w:tab/>
            </w:r>
          </w:p>
        </w:tc>
        <w:tc>
          <w:tcPr>
            <w:tcW w:w="1166" w:type="dxa"/>
            <w:shd w:val="clear" w:color="auto" w:fill="auto"/>
            <w:vAlign w:val="bottom"/>
          </w:tcPr>
          <w:p w:rsidR="009B0925" w:rsidRPr="00635120" w:rsidRDefault="009B0925" w:rsidP="00635120">
            <w:pPr>
              <w:spacing w:after="120"/>
              <w:jc w:val="right"/>
              <w:rPr>
                <w:rFonts w:hint="cs"/>
                <w:rtl/>
              </w:rPr>
            </w:pPr>
          </w:p>
        </w:tc>
        <w:tc>
          <w:tcPr>
            <w:tcW w:w="806" w:type="dxa"/>
            <w:shd w:val="clear" w:color="auto" w:fill="auto"/>
            <w:vAlign w:val="bottom"/>
          </w:tcPr>
          <w:p w:rsidR="009B0925" w:rsidRDefault="009B0925" w:rsidP="00635120">
            <w:pPr>
              <w:spacing w:after="120"/>
              <w:jc w:val="right"/>
              <w:rPr>
                <w:rFonts w:hint="cs"/>
                <w:rtl/>
                <w:lang w:bidi="ar-EG"/>
              </w:rPr>
            </w:pPr>
            <w:r>
              <w:rPr>
                <w:rFonts w:hint="cs"/>
                <w:rtl/>
                <w:lang w:bidi="ar-EG"/>
              </w:rPr>
              <w:t>165</w:t>
            </w:r>
          </w:p>
        </w:tc>
      </w:tr>
      <w:tr w:rsidR="009B0925" w:rsidRPr="00635120">
        <w:tblPrEx>
          <w:tblCellMar>
            <w:top w:w="0" w:type="dxa"/>
            <w:bottom w:w="0" w:type="dxa"/>
          </w:tblCellMar>
        </w:tblPrEx>
        <w:tc>
          <w:tcPr>
            <w:tcW w:w="9028" w:type="dxa"/>
            <w:gridSpan w:val="3"/>
            <w:shd w:val="clear" w:color="auto" w:fill="auto"/>
          </w:tcPr>
          <w:p w:rsidR="009B0925" w:rsidRPr="009B0925" w:rsidRDefault="009B0925" w:rsidP="009B0925">
            <w:pPr>
              <w:tabs>
                <w:tab w:val="right" w:pos="1080"/>
                <w:tab w:val="left" w:pos="1296"/>
                <w:tab w:val="right" w:leader="dot" w:pos="9029"/>
              </w:tabs>
              <w:spacing w:after="120"/>
              <w:rPr>
                <w:rFonts w:hint="cs"/>
                <w:spacing w:val="60"/>
                <w:sz w:val="17"/>
                <w:rtl/>
              </w:rPr>
            </w:pPr>
            <w:r>
              <w:rPr>
                <w:rFonts w:hint="cs"/>
                <w:rtl/>
              </w:rPr>
              <w:tab/>
              <w:t xml:space="preserve">المرفقات </w:t>
            </w:r>
            <w:r>
              <w:rPr>
                <w:spacing w:val="60"/>
                <w:sz w:val="17"/>
                <w:rtl/>
              </w:rPr>
              <w:tab/>
            </w:r>
            <w:r>
              <w:rPr>
                <w:spacing w:val="60"/>
                <w:sz w:val="17"/>
                <w:rtl/>
              </w:rPr>
              <w:tab/>
            </w:r>
            <w:r>
              <w:rPr>
                <w:spacing w:val="60"/>
                <w:sz w:val="17"/>
                <w:rtl/>
              </w:rPr>
              <w:tab/>
            </w:r>
          </w:p>
        </w:tc>
        <w:tc>
          <w:tcPr>
            <w:tcW w:w="806" w:type="dxa"/>
            <w:shd w:val="clear" w:color="auto" w:fill="auto"/>
            <w:vAlign w:val="bottom"/>
          </w:tcPr>
          <w:p w:rsidR="009B0925" w:rsidRDefault="009B0925" w:rsidP="009B0925">
            <w:pPr>
              <w:spacing w:after="120"/>
              <w:jc w:val="right"/>
              <w:rPr>
                <w:rFonts w:hint="cs"/>
                <w:rtl/>
              </w:rPr>
            </w:pPr>
            <w:r>
              <w:rPr>
                <w:rFonts w:hint="cs"/>
                <w:rtl/>
                <w:lang w:bidi="ar-EG"/>
              </w:rPr>
              <w:t>175</w:t>
            </w:r>
          </w:p>
        </w:tc>
      </w:tr>
    </w:tbl>
    <w:p w:rsidR="00635120" w:rsidRDefault="00635120" w:rsidP="00635120">
      <w:pPr>
        <w:rPr>
          <w:rtl/>
          <w:lang w:bidi="ar-EG"/>
        </w:rPr>
      </w:pPr>
    </w:p>
    <w:p w:rsidR="00635120" w:rsidRPr="00635120" w:rsidRDefault="00635120" w:rsidP="0063512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tl/>
          <w:lang w:bidi="ar-EG"/>
        </w:rPr>
        <w:br w:type="page"/>
      </w:r>
      <w:r>
        <w:rPr>
          <w:rFonts w:hint="cs"/>
          <w:rtl/>
          <w:lang w:bidi="ar-EG"/>
        </w:rPr>
        <w:tab/>
      </w:r>
      <w:r>
        <w:rPr>
          <w:rFonts w:hint="cs"/>
          <w:rtl/>
          <w:lang w:bidi="ar-EG"/>
        </w:rPr>
        <w:tab/>
      </w:r>
      <w:r w:rsidRPr="00635120">
        <w:rPr>
          <w:rFonts w:hint="cs"/>
          <w:rtl/>
          <w:lang w:bidi="ar-EG"/>
        </w:rPr>
        <w:t>تصدير</w:t>
      </w:r>
    </w:p>
    <w:p w:rsidR="00635120" w:rsidRPr="00635120" w:rsidRDefault="00635120" w:rsidP="00635120">
      <w:pPr>
        <w:pStyle w:val="SingleTxt"/>
        <w:rPr>
          <w:rFonts w:hint="cs"/>
          <w:rtl/>
        </w:rPr>
      </w:pPr>
      <w:r w:rsidRPr="00635120">
        <w:rPr>
          <w:rFonts w:hint="cs"/>
          <w:rtl/>
        </w:rPr>
        <w:tab/>
        <w:t>يجمع هذا التقرير بين التدابير ذات الطابع التشريعي والقانوني وغير ذلك من تد</w:t>
      </w:r>
      <w:r w:rsidR="000137D4">
        <w:rPr>
          <w:rFonts w:hint="cs"/>
          <w:rtl/>
        </w:rPr>
        <w:t>ابير تم</w:t>
      </w:r>
      <w:r w:rsidR="000137D4">
        <w:rPr>
          <w:rFonts w:hint="eastAsia"/>
          <w:rtl/>
        </w:rPr>
        <w:t> </w:t>
      </w:r>
      <w:r w:rsidRPr="00635120">
        <w:rPr>
          <w:rFonts w:hint="cs"/>
          <w:rtl/>
        </w:rPr>
        <w:t>اعتمادها خلال الفترة الممتدة من شهر حزيران/يونيه 2002، وهو تاريخ المرافعة الشفوية المتعلقة بالتقريرين الوطنيين الثالث والرابع، حتى نهاية عام 2006. وللاطلاع على لمحة شاملة للتدابير السارية في بلجيكا والرامية إلى القضاء على أنواع التمييز ضد المرأة والقائمة على أرض المملكة البلجيكية، فإن ثمة مجالاً مع ذلك للاطلاع أيضاً على التقارير الوطنية السابقة على هذا التقرير</w:t>
      </w:r>
      <w:r>
        <w:rPr>
          <w:rFonts w:hint="cs"/>
          <w:rtl/>
        </w:rPr>
        <w:t>،</w:t>
      </w:r>
      <w:r w:rsidRPr="00635120">
        <w:rPr>
          <w:rFonts w:hint="cs"/>
          <w:rtl/>
        </w:rPr>
        <w:t xml:space="preserve"> فضلاً عن المساهمات الوطنية الرامية إلى الرد على ا</w:t>
      </w:r>
      <w:r>
        <w:rPr>
          <w:rFonts w:hint="cs"/>
          <w:rtl/>
        </w:rPr>
        <w:t>لأسئلة</w:t>
      </w:r>
      <w:r w:rsidRPr="00635120">
        <w:rPr>
          <w:rFonts w:hint="cs"/>
          <w:rtl/>
        </w:rPr>
        <w:t xml:space="preserve"> المقد</w:t>
      </w:r>
      <w:r>
        <w:rPr>
          <w:rFonts w:hint="cs"/>
          <w:rtl/>
        </w:rPr>
        <w:t>ّ</w:t>
      </w:r>
      <w:r w:rsidRPr="00635120">
        <w:rPr>
          <w:rFonts w:hint="cs"/>
          <w:rtl/>
        </w:rPr>
        <w:t>مة من خبراء اللجنة المعنية بالقضاء على التمييز ضد المرأة.</w:t>
      </w:r>
    </w:p>
    <w:p w:rsidR="00635120" w:rsidRPr="00635120" w:rsidRDefault="00635120" w:rsidP="00635120">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2"/>
          <w:rtl/>
          <w:lang w:bidi="ar-EG"/>
        </w:rPr>
      </w:pPr>
      <w:r>
        <w:rPr>
          <w:rtl/>
        </w:rPr>
        <w:br w:type="page"/>
      </w:r>
    </w:p>
    <w:p w:rsidR="00635120" w:rsidRDefault="00635120" w:rsidP="00635120">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أولا -</w:t>
      </w:r>
      <w:r>
        <w:rPr>
          <w:rFonts w:hint="cs"/>
          <w:rtl/>
        </w:rPr>
        <w:tab/>
        <w:t>ملحوظة أوّلية: الإطار المؤسسي لبلجيكا</w:t>
      </w:r>
    </w:p>
    <w:p w:rsidR="00635120" w:rsidRPr="00635120" w:rsidRDefault="00635120" w:rsidP="00635120">
      <w:pPr>
        <w:pStyle w:val="SingleTxt"/>
        <w:rPr>
          <w:rFonts w:hint="cs"/>
          <w:rtl/>
        </w:rPr>
      </w:pPr>
      <w:r w:rsidRPr="00635120">
        <w:rPr>
          <w:rFonts w:hint="cs"/>
          <w:rtl/>
        </w:rPr>
        <w:tab/>
        <w:t>بلجيكا دولة ملكية دستورية اتحادية تتألف من دولة اتحادية ومجتمعات وأقاليم.</w:t>
      </w:r>
    </w:p>
    <w:p w:rsidR="00635120" w:rsidRPr="00635120" w:rsidRDefault="00635120" w:rsidP="00635120">
      <w:pPr>
        <w:pStyle w:val="SingleTxt"/>
        <w:ind w:left="1324"/>
        <w:rPr>
          <w:rFonts w:hint="cs"/>
          <w:rtl/>
        </w:rPr>
      </w:pPr>
      <w:r w:rsidRPr="00635120">
        <w:rPr>
          <w:rFonts w:hint="cs"/>
          <w:rtl/>
        </w:rPr>
        <w:tab/>
        <w:t>وقد تطور توزيع الاختصاصات عبر الإصلاحات المتعاقبة للدولة وفقاً لمحورين رئيسيين</w:t>
      </w:r>
      <w:r>
        <w:rPr>
          <w:rFonts w:hint="cs"/>
          <w:rtl/>
        </w:rPr>
        <w:t>،</w:t>
      </w:r>
      <w:r w:rsidRPr="00635120">
        <w:rPr>
          <w:rFonts w:hint="cs"/>
          <w:rtl/>
        </w:rPr>
        <w:t xml:space="preserve"> يتعلق الأول باللغة، وبالثقافة على نحو أعم. وقد عرفت بلجيكا ثلاث لغات رسمية: الهولندية والفرنسية والألمانية. ومن ثم فإن بلجيكا الحالية تتألف من ثلاثة مجتمعات: المجتمع الفلمندي والمجتمع الفرنسي والمجتمع الناطق بالألمانية. وهي تقابل مجموعات من السكان. ومن ثم فإن اختصاصات المجتمعات تتعلق بالتعليم والثقافة واعتبارات </w:t>
      </w:r>
      <w:r>
        <w:rPr>
          <w:rFonts w:hint="cs"/>
          <w:rtl/>
        </w:rPr>
        <w:t>’</w:t>
      </w:r>
      <w:r w:rsidRPr="00635120">
        <w:rPr>
          <w:rFonts w:hint="eastAsia"/>
          <w:rtl/>
        </w:rPr>
        <w:t>شخصية</w:t>
      </w:r>
      <w:r>
        <w:rPr>
          <w:rFonts w:hint="cs"/>
          <w:rtl/>
        </w:rPr>
        <w:t>‘</w:t>
      </w:r>
      <w:r w:rsidRPr="00635120">
        <w:rPr>
          <w:rFonts w:hint="cs"/>
          <w:rtl/>
        </w:rPr>
        <w:t xml:space="preserve"> أخرى (مثل بعض جوانب الصحة).</w:t>
      </w:r>
    </w:p>
    <w:p w:rsidR="00635120" w:rsidRPr="00635120" w:rsidRDefault="00635120" w:rsidP="00635120">
      <w:pPr>
        <w:pStyle w:val="SingleTxt"/>
        <w:rPr>
          <w:rFonts w:hint="cs"/>
          <w:rtl/>
        </w:rPr>
      </w:pPr>
      <w:r w:rsidRPr="00635120">
        <w:rPr>
          <w:rFonts w:hint="cs"/>
          <w:rtl/>
        </w:rPr>
        <w:tab/>
        <w:t xml:space="preserve">وترجع أسس المحور الثاني لإصلاح الدولة إلى التاريخ، وبشكل أخص، إلى تطلعات البعض إلى مزيد من الاستقلال الاقتصادي. والأقاليم هي ثمرة هذه التطلعات. وكان من نتيجة ذلك إنشاء ثلاثة أقاليم: الإقليم الفلمندي، وإقليم بروكسل العاصمة، وإقليم </w:t>
      </w:r>
      <w:r>
        <w:rPr>
          <w:rFonts w:hint="cs"/>
          <w:rtl/>
        </w:rPr>
        <w:t>و</w:t>
      </w:r>
      <w:r w:rsidRPr="00635120">
        <w:rPr>
          <w:rFonts w:hint="cs"/>
          <w:rtl/>
        </w:rPr>
        <w:t>الون. ومن ثم فإن للأقاليم اختصاصات في المجالات الاجتماعية والاقتصادية مثل إدارة الإقليم، والإسكان، والعمالة، والطاقة، إلخ.</w:t>
      </w:r>
    </w:p>
    <w:p w:rsidR="00E215AB" w:rsidRDefault="00635120" w:rsidP="00635120">
      <w:pPr>
        <w:pStyle w:val="SingleTxt"/>
        <w:rPr>
          <w:rFonts w:hint="cs"/>
          <w:rtl/>
        </w:rPr>
      </w:pPr>
      <w:r w:rsidRPr="00635120">
        <w:rPr>
          <w:rFonts w:hint="cs"/>
          <w:rtl/>
        </w:rPr>
        <w:tab/>
        <w:t>وتحتفظ الدولة الاتحادية باختصاصات تتعلق، في جملة أمور، بالدفاع الوطني والقضاء والمالية والضمان الاجتماعي، فضلاً عن جانب كبير من الصحة العامة والشؤون الداخلية</w:t>
      </w:r>
      <w:r>
        <w:rPr>
          <w:rFonts w:hint="cs"/>
          <w:rtl/>
        </w:rPr>
        <w:t>.</w:t>
      </w:r>
      <w:r w:rsidRPr="00635120">
        <w:rPr>
          <w:rFonts w:hint="cs"/>
          <w:rtl/>
        </w:rPr>
        <w:t xml:space="preserve"> ويتم تقسيم مجموعة من الاختصاصات بالتساوي بين الدولة الاتحادية والأقاليم، مثل الاقتصاد والنقل والبيئة.</w:t>
      </w:r>
    </w:p>
    <w:p w:rsidR="00635120" w:rsidRPr="00635120" w:rsidRDefault="00E215AB" w:rsidP="00E215AB">
      <w:pPr>
        <w:pStyle w:val="SingleTxt"/>
        <w:rPr>
          <w:rFonts w:hint="cs"/>
          <w:rtl/>
        </w:rPr>
      </w:pPr>
      <w:r>
        <w:rPr>
          <w:rFonts w:hint="cs"/>
          <w:rtl/>
        </w:rPr>
        <w:tab/>
      </w:r>
      <w:r w:rsidR="00635120" w:rsidRPr="00635120">
        <w:rPr>
          <w:rFonts w:hint="cs"/>
          <w:rtl/>
        </w:rPr>
        <w:t xml:space="preserve">ومن ثم فإن للدولة الاتحادية والمجتمعات والأقاليم مسؤوليات مختلفة تمارسها بطريقة مستقلة. وفيما يتعلق بالشؤون الخارجية، فإن كل كيان (الدولة الاتحادية والمجتمعات والأقاليم) مسؤول عن </w:t>
      </w:r>
      <w:r w:rsidR="00635120">
        <w:rPr>
          <w:rFonts w:hint="cs"/>
          <w:rtl/>
        </w:rPr>
        <w:t>العنصر</w:t>
      </w:r>
      <w:r w:rsidR="00635120" w:rsidRPr="00635120">
        <w:rPr>
          <w:rFonts w:hint="cs"/>
          <w:rtl/>
        </w:rPr>
        <w:t xml:space="preserve"> الخارجي لاختصاصاته الداخلية. ولكل من الدولة الاتحادية والمجتمعات والأقاليم حكومتها الخاصة وبرلمانها الخاص، فيما عدا المجتمع والإقليم الفلمندي</w:t>
      </w:r>
      <w:r w:rsidR="00635120">
        <w:rPr>
          <w:rFonts w:hint="cs"/>
          <w:rtl/>
        </w:rPr>
        <w:t>ين</w:t>
      </w:r>
      <w:r w:rsidR="00635120" w:rsidRPr="00635120">
        <w:rPr>
          <w:rFonts w:hint="cs"/>
          <w:rtl/>
        </w:rPr>
        <w:t xml:space="preserve"> اللذين أدمجا </w:t>
      </w:r>
      <w:r w:rsidR="00635120">
        <w:rPr>
          <w:rFonts w:hint="cs"/>
          <w:rtl/>
        </w:rPr>
        <w:t>حكومتيهما وبرلمانيهما.</w:t>
      </w:r>
    </w:p>
    <w:p w:rsidR="00635120" w:rsidRPr="00635120" w:rsidRDefault="00635120" w:rsidP="0025503E">
      <w:pPr>
        <w:pStyle w:val="SingleTxt"/>
        <w:rPr>
          <w:rFonts w:hint="cs"/>
          <w:rtl/>
        </w:rPr>
      </w:pPr>
      <w:r w:rsidRPr="00635120">
        <w:rPr>
          <w:rFonts w:hint="cs"/>
          <w:rtl/>
        </w:rPr>
        <w:tab/>
        <w:t>ولا تشك</w:t>
      </w:r>
      <w:r w:rsidR="0025503E">
        <w:rPr>
          <w:rFonts w:hint="cs"/>
          <w:rtl/>
        </w:rPr>
        <w:t>ِّ</w:t>
      </w:r>
      <w:r w:rsidRPr="00635120">
        <w:rPr>
          <w:rFonts w:hint="cs"/>
          <w:rtl/>
        </w:rPr>
        <w:t>ل سياسة المساواة بين المرأة والرجل طريقة في ذاتها</w:t>
      </w:r>
      <w:r w:rsidR="0025503E">
        <w:rPr>
          <w:rFonts w:hint="cs"/>
          <w:rtl/>
        </w:rPr>
        <w:t>،</w:t>
      </w:r>
      <w:r w:rsidRPr="00635120">
        <w:rPr>
          <w:rFonts w:hint="cs"/>
          <w:rtl/>
        </w:rPr>
        <w:t xml:space="preserve"> وإنما هي </w:t>
      </w:r>
      <w:r w:rsidR="0025503E">
        <w:rPr>
          <w:rFonts w:hint="cs"/>
          <w:rtl/>
        </w:rPr>
        <w:t xml:space="preserve">ذات </w:t>
      </w:r>
      <w:r w:rsidRPr="00635120">
        <w:rPr>
          <w:rFonts w:hint="cs"/>
          <w:rtl/>
        </w:rPr>
        <w:t xml:space="preserve">طابع </w:t>
      </w:r>
      <w:r w:rsidR="0025503E">
        <w:rPr>
          <w:rFonts w:hint="cs"/>
          <w:rtl/>
        </w:rPr>
        <w:t>شامل.</w:t>
      </w:r>
      <w:r w:rsidRPr="00635120">
        <w:rPr>
          <w:rFonts w:hint="cs"/>
          <w:rtl/>
        </w:rPr>
        <w:t xml:space="preserve"> وقد تم تطبيق هذه السياسة في جميع مجالات العمل فيما يتعلق باختصاصات مختلف مستويات السلطة في بلجيكا. ويعكس هيكل هذا التقرير هذا الأمر الواقع.</w:t>
      </w:r>
    </w:p>
    <w:p w:rsidR="00635120" w:rsidRPr="00635120" w:rsidRDefault="00635120" w:rsidP="0025503E">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635120">
        <w:rPr>
          <w:rtl/>
        </w:rPr>
        <w:br w:type="page"/>
      </w:r>
      <w:r w:rsidRPr="00635120">
        <w:rPr>
          <w:rFonts w:hint="cs"/>
          <w:rtl/>
        </w:rPr>
        <w:tab/>
        <w:t>ثانيا -</w:t>
      </w:r>
      <w:r w:rsidRPr="00635120">
        <w:rPr>
          <w:rFonts w:hint="cs"/>
          <w:rtl/>
        </w:rPr>
        <w:tab/>
        <w:t>خصائص سياسة المساواة بين المرأة والرجل</w:t>
      </w:r>
    </w:p>
    <w:p w:rsidR="00635120" w:rsidRPr="00635120" w:rsidRDefault="00635120" w:rsidP="0025503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635120">
        <w:rPr>
          <w:rFonts w:hint="cs"/>
          <w:rtl/>
        </w:rPr>
        <w:tab/>
        <w:t>1 -</w:t>
      </w:r>
      <w:r w:rsidRPr="00635120">
        <w:rPr>
          <w:rFonts w:hint="cs"/>
          <w:rtl/>
        </w:rPr>
        <w:tab/>
        <w:t>على ال</w:t>
      </w:r>
      <w:r w:rsidR="0025503E">
        <w:rPr>
          <w:rFonts w:hint="cs"/>
          <w:rtl/>
        </w:rPr>
        <w:t>مستوى</w:t>
      </w:r>
      <w:r w:rsidRPr="00635120">
        <w:rPr>
          <w:rFonts w:hint="cs"/>
          <w:rtl/>
        </w:rPr>
        <w:t xml:space="preserve"> الاتحادي</w:t>
      </w:r>
    </w:p>
    <w:p w:rsidR="00635120" w:rsidRPr="00635120" w:rsidRDefault="00635120" w:rsidP="00635120">
      <w:pPr>
        <w:pStyle w:val="SingleTxt"/>
        <w:rPr>
          <w:rFonts w:hint="cs"/>
          <w:rtl/>
        </w:rPr>
      </w:pPr>
      <w:r w:rsidRPr="00635120">
        <w:rPr>
          <w:rFonts w:hint="cs"/>
          <w:rtl/>
        </w:rPr>
        <w:tab/>
        <w:t>تتسم الفترة 2002-2006 بالإرادة السياسية من أجل القيام على نحو جوهري بتعزيز الآليات المؤسسية المخصصة لمكافحة أشكال التمييز القائمة على الجنس وتعزيز المساواة بين الجنسين.</w:t>
      </w:r>
    </w:p>
    <w:p w:rsidR="00635120" w:rsidRPr="00635120" w:rsidRDefault="00635120" w:rsidP="0025503E">
      <w:pPr>
        <w:pStyle w:val="SingleTxt"/>
        <w:rPr>
          <w:rFonts w:hint="eastAsia"/>
          <w:rtl/>
        </w:rPr>
      </w:pPr>
      <w:r w:rsidRPr="00635120">
        <w:rPr>
          <w:rFonts w:hint="cs"/>
          <w:rtl/>
        </w:rPr>
        <w:tab/>
        <w:t>ومن ثم فقد تم إنشاء مؤسسة جديدة على المستوى الاتحادي بموجب القانون المؤرخ 16 كانون الأول/ديسمبر 2002؛ وهذه المؤسسة هي المعهد المعني بالمساواة بين المرأة والرجل. وهو عبارة عن جهاز مستقل للقانون العام مهمته ال</w:t>
      </w:r>
      <w:r w:rsidR="0025503E">
        <w:rPr>
          <w:rFonts w:hint="cs"/>
          <w:rtl/>
        </w:rPr>
        <w:t>محددة</w:t>
      </w:r>
      <w:r w:rsidRPr="00635120">
        <w:rPr>
          <w:rFonts w:hint="cs"/>
          <w:rtl/>
        </w:rPr>
        <w:t xml:space="preserve"> هي السهر على احترام المساواة بين المرأة والرجل، ومكافحة جميع أشكال التمييز وعدم المساواة القائمة على الجنس</w:t>
      </w:r>
      <w:r w:rsidR="0025503E">
        <w:rPr>
          <w:rFonts w:hint="cs"/>
          <w:rtl/>
        </w:rPr>
        <w:t>،</w:t>
      </w:r>
      <w:r w:rsidRPr="00635120">
        <w:rPr>
          <w:rFonts w:hint="cs"/>
          <w:rtl/>
        </w:rPr>
        <w:t xml:space="preserve"> واستحداث أدوات واستراتيجيات تقوم على نهج متكامل للبعد </w:t>
      </w:r>
      <w:r w:rsidR="0025503E">
        <w:rPr>
          <w:rFonts w:hint="cs"/>
          <w:rtl/>
        </w:rPr>
        <w:t>الجنساني</w:t>
      </w:r>
      <w:r w:rsidRPr="00635120">
        <w:rPr>
          <w:rFonts w:hint="cs"/>
          <w:rtl/>
        </w:rPr>
        <w:t>. ومن ثم فإن المعهد مؤهل لدعم وتنسيق الدراسات والأبحاث، وتوجيه توصيات إلى السلطات العامة</w:t>
      </w:r>
      <w:r w:rsidR="0025503E">
        <w:rPr>
          <w:rFonts w:hint="cs"/>
          <w:rtl/>
        </w:rPr>
        <w:t>،</w:t>
      </w:r>
      <w:r w:rsidRPr="00635120">
        <w:rPr>
          <w:rFonts w:hint="cs"/>
          <w:rtl/>
        </w:rPr>
        <w:t xml:space="preserve"> </w:t>
      </w:r>
      <w:r w:rsidR="0025503E">
        <w:rPr>
          <w:rFonts w:hint="cs"/>
          <w:rtl/>
        </w:rPr>
        <w:t>وا</w:t>
      </w:r>
      <w:r w:rsidRPr="00635120">
        <w:rPr>
          <w:rFonts w:hint="cs"/>
          <w:rtl/>
        </w:rPr>
        <w:t>لمساعدة في تحقيق العدالة لضحايا أشكال التمييز القائم على الجنس. وإلى جانب ذلك، تقوم هذه الهيئة العامة بتنظيم دعم للرابطات العاملة في مجال المساواة بين المرأة والرجل</w:t>
      </w:r>
      <w:r w:rsidR="0025503E">
        <w:rPr>
          <w:rFonts w:hint="cs"/>
          <w:rtl/>
        </w:rPr>
        <w:t>،</w:t>
      </w:r>
      <w:r w:rsidRPr="00635120">
        <w:rPr>
          <w:rFonts w:hint="cs"/>
          <w:rtl/>
        </w:rPr>
        <w:t xml:space="preserve"> وإعداد تشكيل شبكي مع مختلف الفعاليات في مجال المساواة بين المرأة والرجل. وقد انطلق المعهد في واقع الأمر في عام 2004؛ ومنح ميزانية مستقلة قدرها 000</w:t>
      </w:r>
      <w:r w:rsidR="0025503E">
        <w:rPr>
          <w:rFonts w:hint="eastAsia"/>
          <w:rtl/>
        </w:rPr>
        <w:t> 265 4 يورو في عام 2004 و</w:t>
      </w:r>
      <w:r w:rsidR="0025503E">
        <w:rPr>
          <w:rFonts w:hint="cs"/>
          <w:rtl/>
        </w:rPr>
        <w:t> </w:t>
      </w:r>
      <w:r w:rsidRPr="00635120">
        <w:rPr>
          <w:rFonts w:hint="eastAsia"/>
          <w:rtl/>
        </w:rPr>
        <w:t>000 3</w:t>
      </w:r>
      <w:r w:rsidR="0025503E">
        <w:rPr>
          <w:rFonts w:hint="cs"/>
          <w:rtl/>
        </w:rPr>
        <w:t>6</w:t>
      </w:r>
      <w:r w:rsidRPr="00635120">
        <w:rPr>
          <w:rFonts w:hint="eastAsia"/>
          <w:rtl/>
        </w:rPr>
        <w:t>7 4 يورو في عام 2005</w:t>
      </w:r>
      <w:r w:rsidR="0025503E">
        <w:rPr>
          <w:rFonts w:hint="cs"/>
          <w:rtl/>
        </w:rPr>
        <w:t>،</w:t>
      </w:r>
      <w:r w:rsidRPr="00635120">
        <w:rPr>
          <w:rFonts w:hint="eastAsia"/>
          <w:rtl/>
        </w:rPr>
        <w:t xml:space="preserve"> ويضم أعضاؤه نحو 30 شخصاً.</w:t>
      </w:r>
    </w:p>
    <w:p w:rsidR="00635120" w:rsidRPr="00635120" w:rsidRDefault="00635120" w:rsidP="00971410">
      <w:pPr>
        <w:pStyle w:val="SingleTxt"/>
        <w:rPr>
          <w:rFonts w:hint="cs"/>
          <w:rtl/>
        </w:rPr>
      </w:pPr>
      <w:r w:rsidRPr="00635120">
        <w:rPr>
          <w:rFonts w:hint="cs"/>
          <w:rtl/>
        </w:rPr>
        <w:tab/>
        <w:t xml:space="preserve">وإلى جانب ذلك، تمثلت أولوية ثانية في استحداث أدوات هيكلية فعّالة ترمي إلى إدماج مبدأ تعميم مراعاة المنظور الجنساني في السياسات ومجالات العمل </w:t>
      </w:r>
      <w:r w:rsidR="00971410">
        <w:rPr>
          <w:rFonts w:hint="cs"/>
          <w:rtl/>
        </w:rPr>
        <w:t xml:space="preserve">التي تخص </w:t>
      </w:r>
      <w:r w:rsidRPr="00635120">
        <w:rPr>
          <w:rFonts w:hint="cs"/>
          <w:rtl/>
        </w:rPr>
        <w:t>المستوى الاتحادي. وهكذا تم</w:t>
      </w:r>
      <w:r w:rsidR="00971410">
        <w:rPr>
          <w:rFonts w:hint="cs"/>
          <w:rtl/>
        </w:rPr>
        <w:t>،</w:t>
      </w:r>
      <w:r w:rsidRPr="00635120">
        <w:rPr>
          <w:rFonts w:hint="cs"/>
          <w:rtl/>
        </w:rPr>
        <w:t xml:space="preserve"> بناء على مبادرة من الوزير الاتحادي لتكافؤ الفرص، إعداد قانون طموح خلال الفترة المعنية وتم اعتماده أخيراً في 12 كانون الثاني/يناير 2007 (ونشر في الجريدة الرسمية البلجيكية في 13 شباط/فبراير 2007) بغية أن يتم إدراج التزام في صلب القانون بأن تأخذ الحكومة الاتحادية والإدارات العامة في الاعتبار بشكل منتظم مبدأ تعميم مراعاة المنظور الجنساني على مدى عملية اتخاذ القرار والتنفيذ</w:t>
      </w:r>
      <w:r w:rsidR="00971410">
        <w:rPr>
          <w:rFonts w:hint="cs"/>
          <w:rtl/>
        </w:rPr>
        <w:t>.</w:t>
      </w:r>
      <w:r w:rsidRPr="00635120">
        <w:rPr>
          <w:rFonts w:hint="cs"/>
          <w:rtl/>
        </w:rPr>
        <w:t xml:space="preserve"> و</w:t>
      </w:r>
      <w:r w:rsidR="00971410">
        <w:rPr>
          <w:rFonts w:hint="cs"/>
          <w:rtl/>
        </w:rPr>
        <w:t xml:space="preserve">تهدف </w:t>
      </w:r>
      <w:r w:rsidRPr="00635120">
        <w:rPr>
          <w:rFonts w:hint="cs"/>
          <w:rtl/>
        </w:rPr>
        <w:t xml:space="preserve">الأنشطة الأخرى المتعلقة بتنفيذ عملية تعميم مراعاة المنظور الجنساني إلى تنظيم </w:t>
      </w:r>
      <w:r w:rsidR="00971410">
        <w:rPr>
          <w:rFonts w:hint="cs"/>
          <w:rtl/>
        </w:rPr>
        <w:t>ال</w:t>
      </w:r>
      <w:r w:rsidRPr="00635120">
        <w:rPr>
          <w:rFonts w:hint="cs"/>
          <w:rtl/>
        </w:rPr>
        <w:t>دعم و</w:t>
      </w:r>
      <w:r w:rsidR="00971410">
        <w:rPr>
          <w:rFonts w:hint="cs"/>
          <w:rtl/>
        </w:rPr>
        <w:t>ال</w:t>
      </w:r>
      <w:r w:rsidRPr="00635120">
        <w:rPr>
          <w:rFonts w:hint="cs"/>
          <w:rtl/>
        </w:rPr>
        <w:t>تدري</w:t>
      </w:r>
      <w:r w:rsidR="00971410">
        <w:rPr>
          <w:rFonts w:hint="cs"/>
          <w:rtl/>
        </w:rPr>
        <w:t>ب،</w:t>
      </w:r>
      <w:r w:rsidRPr="00635120">
        <w:rPr>
          <w:rFonts w:hint="cs"/>
          <w:rtl/>
        </w:rPr>
        <w:t xml:space="preserve"> وإعداد كتيّبات مخصصة للفعاليات الرئيسية</w:t>
      </w:r>
      <w:r w:rsidR="00971410">
        <w:rPr>
          <w:rFonts w:hint="cs"/>
          <w:rtl/>
        </w:rPr>
        <w:t>،</w:t>
      </w:r>
      <w:r w:rsidRPr="00635120">
        <w:rPr>
          <w:rFonts w:hint="cs"/>
          <w:rtl/>
        </w:rPr>
        <w:t xml:space="preserve"> وكذلك </w:t>
      </w:r>
      <w:r w:rsidR="00971410">
        <w:rPr>
          <w:rFonts w:hint="cs"/>
          <w:rtl/>
        </w:rPr>
        <w:t xml:space="preserve">الاضطلاع بتدابير معينة، وبخاصة </w:t>
      </w:r>
      <w:r w:rsidRPr="00635120">
        <w:rPr>
          <w:rFonts w:hint="cs"/>
          <w:rtl/>
        </w:rPr>
        <w:t>في مجال الإحصاءات وال</w:t>
      </w:r>
      <w:r w:rsidR="00971410">
        <w:rPr>
          <w:rFonts w:hint="cs"/>
          <w:rtl/>
        </w:rPr>
        <w:t>مشتريات الحكومية</w:t>
      </w:r>
      <w:r w:rsidRPr="00635120">
        <w:rPr>
          <w:rFonts w:hint="cs"/>
          <w:rtl/>
        </w:rPr>
        <w:t>.</w:t>
      </w:r>
    </w:p>
    <w:p w:rsidR="00635120" w:rsidRPr="00635120" w:rsidRDefault="00635120" w:rsidP="000137D4">
      <w:pPr>
        <w:pStyle w:val="SingleTxt"/>
        <w:rPr>
          <w:rFonts w:hint="cs"/>
          <w:rtl/>
          <w:lang w:bidi="ar-EG"/>
        </w:rPr>
      </w:pPr>
      <w:r w:rsidRPr="00635120">
        <w:rPr>
          <w:rFonts w:hint="cs"/>
          <w:rtl/>
        </w:rPr>
        <w:tab/>
        <w:t>وتتألف أولوية ثالثة من القيام بعمل هام من أجل تحسين التشريعات القائمة في مجال مكافحة أنواع التمييز القائم على الجنس. ومن ذلك إقرار عدة قوانين في عام 2002 ترمي إلى إقرار التساوي في القوائم الانتخابية من أجل تعزيز وج</w:t>
      </w:r>
      <w:r w:rsidR="00971410">
        <w:rPr>
          <w:rFonts w:hint="cs"/>
          <w:rtl/>
        </w:rPr>
        <w:t>و</w:t>
      </w:r>
      <w:r w:rsidRPr="00635120">
        <w:rPr>
          <w:rFonts w:hint="cs"/>
          <w:rtl/>
        </w:rPr>
        <w:t>د المرأة في المجالس التشريعية الاتحادية والإقليمية والأوروبية. وإلى جانب ذلك، فإن هناك رغبة وطموحاً في القيام إلى حد بعيد بتعزيز الالتزام القانوني ب</w:t>
      </w:r>
      <w:r w:rsidR="00971410">
        <w:rPr>
          <w:rFonts w:hint="cs"/>
          <w:rtl/>
        </w:rPr>
        <w:t>رفع التقارير المتعلقة ب</w:t>
      </w:r>
      <w:r w:rsidRPr="00635120">
        <w:rPr>
          <w:rFonts w:hint="cs"/>
          <w:rtl/>
        </w:rPr>
        <w:t>تنفيذ منهاج عمل بيجين وإضفاء الطابع المؤسسي على إدراج المنظور الجنساني في جميع السياسات الاتحادية</w:t>
      </w:r>
      <w:r w:rsidR="00971410">
        <w:rPr>
          <w:rFonts w:hint="cs"/>
          <w:rtl/>
        </w:rPr>
        <w:t>،</w:t>
      </w:r>
      <w:r w:rsidRPr="00635120">
        <w:rPr>
          <w:rFonts w:hint="cs"/>
          <w:rtl/>
        </w:rPr>
        <w:t xml:space="preserve"> عن طريق القيام بإصلاحات متعمقة لقانون اتحادي </w:t>
      </w:r>
      <w:r w:rsidR="00971410">
        <w:rPr>
          <w:rFonts w:hint="cs"/>
          <w:rtl/>
        </w:rPr>
        <w:t xml:space="preserve">صدر في عام </w:t>
      </w:r>
      <w:r w:rsidRPr="00635120">
        <w:rPr>
          <w:rFonts w:hint="cs"/>
          <w:rtl/>
        </w:rPr>
        <w:t>1996</w:t>
      </w:r>
      <w:r w:rsidRPr="00635120">
        <w:rPr>
          <w:vertAlign w:val="superscript"/>
          <w:rtl/>
        </w:rPr>
        <w:t>(</w:t>
      </w:r>
      <w:r w:rsidRPr="00635120">
        <w:rPr>
          <w:vertAlign w:val="superscript"/>
          <w:rtl/>
        </w:rPr>
        <w:footnoteReference w:id="1"/>
      </w:r>
      <w:r w:rsidRPr="00635120">
        <w:rPr>
          <w:vertAlign w:val="superscript"/>
          <w:rtl/>
        </w:rPr>
        <w:t>)</w:t>
      </w:r>
      <w:r w:rsidRPr="00635120">
        <w:rPr>
          <w:rFonts w:hint="cs"/>
          <w:rtl/>
          <w:lang w:bidi="ar-EG"/>
        </w:rPr>
        <w:t>. وأخيراً، عملت الحكومة الاتحادية على اقتراح إصلاح للقوانين المناهضة للتمييز ليس من أجل زيادة فهمها والطابع التربوي لهذه القوانين فحسب</w:t>
      </w:r>
      <w:r w:rsidR="00971410">
        <w:rPr>
          <w:rFonts w:hint="cs"/>
          <w:rtl/>
          <w:lang w:bidi="ar-EG"/>
        </w:rPr>
        <w:t>،</w:t>
      </w:r>
      <w:r w:rsidRPr="00635120">
        <w:rPr>
          <w:rFonts w:hint="cs"/>
          <w:rtl/>
          <w:lang w:bidi="ar-EG"/>
        </w:rPr>
        <w:t xml:space="preserve"> وإنما أيضاً من أجل </w:t>
      </w:r>
      <w:r w:rsidR="00971410">
        <w:rPr>
          <w:rFonts w:hint="cs"/>
          <w:rtl/>
          <w:lang w:bidi="ar-EG"/>
        </w:rPr>
        <w:t xml:space="preserve">تحقيق الاتساق للحماية </w:t>
      </w:r>
      <w:r w:rsidRPr="00635120">
        <w:rPr>
          <w:rFonts w:hint="cs"/>
          <w:rtl/>
          <w:lang w:bidi="ar-EG"/>
        </w:rPr>
        <w:t>المقدمة لضحايا التمييز أ</w:t>
      </w:r>
      <w:r w:rsidR="000137D4">
        <w:rPr>
          <w:rFonts w:hint="cs"/>
          <w:rtl/>
          <w:lang w:bidi="ar-EG"/>
        </w:rPr>
        <w:t>يّا</w:t>
      </w:r>
      <w:r w:rsidRPr="00635120">
        <w:rPr>
          <w:rFonts w:hint="cs"/>
          <w:rtl/>
          <w:lang w:bidi="ar-EG"/>
        </w:rPr>
        <w:t xml:space="preserve"> ك</w:t>
      </w:r>
      <w:r w:rsidR="00971410">
        <w:rPr>
          <w:rFonts w:hint="cs"/>
          <w:rtl/>
          <w:lang w:bidi="ar-EG"/>
        </w:rPr>
        <w:t>ا</w:t>
      </w:r>
      <w:r w:rsidRPr="00635120">
        <w:rPr>
          <w:rFonts w:hint="cs"/>
          <w:rtl/>
          <w:lang w:bidi="ar-EG"/>
        </w:rPr>
        <w:t>ن الدافع إليه. وهذه الترسانة التشريعية الهامة موضع فحص حالياً من جانب المجالس التشريعية.</w:t>
      </w:r>
    </w:p>
    <w:p w:rsidR="00635120" w:rsidRPr="00635120" w:rsidRDefault="00635120" w:rsidP="00971410">
      <w:pPr>
        <w:pStyle w:val="SingleTxt"/>
        <w:rPr>
          <w:rFonts w:hint="cs"/>
          <w:rtl/>
          <w:lang w:bidi="ar-EG"/>
        </w:rPr>
      </w:pPr>
      <w:r w:rsidRPr="00635120">
        <w:rPr>
          <w:rFonts w:hint="cs"/>
          <w:rtl/>
          <w:lang w:bidi="ar-EG"/>
        </w:rPr>
        <w:tab/>
        <w:t>وتميّزت تلك الفترة أيضاً بوضع خطة عمل وطنية لمكافحة العنف بين ال</w:t>
      </w:r>
      <w:r w:rsidR="00971410">
        <w:rPr>
          <w:rFonts w:hint="cs"/>
          <w:rtl/>
          <w:lang w:bidi="ar-EG"/>
        </w:rPr>
        <w:t xml:space="preserve">قرناء، بالاشتراك بين </w:t>
      </w:r>
      <w:r w:rsidRPr="00635120">
        <w:rPr>
          <w:rFonts w:hint="cs"/>
          <w:rtl/>
          <w:lang w:bidi="ar-EG"/>
        </w:rPr>
        <w:t>الاتحاد والكيانات الاتحادية</w:t>
      </w:r>
      <w:r w:rsidR="00971410">
        <w:rPr>
          <w:rFonts w:hint="cs"/>
          <w:rtl/>
          <w:lang w:bidi="ar-EG"/>
        </w:rPr>
        <w:t>،</w:t>
      </w:r>
      <w:r w:rsidRPr="00635120">
        <w:rPr>
          <w:rFonts w:hint="cs"/>
          <w:rtl/>
          <w:lang w:bidi="ar-EG"/>
        </w:rPr>
        <w:t xml:space="preserve"> </w:t>
      </w:r>
      <w:r w:rsidR="00971410">
        <w:rPr>
          <w:rFonts w:hint="cs"/>
          <w:rtl/>
          <w:lang w:bidi="ar-EG"/>
        </w:rPr>
        <w:t xml:space="preserve">ويتولى تنسيقها </w:t>
      </w:r>
      <w:r w:rsidRPr="00635120">
        <w:rPr>
          <w:rFonts w:hint="cs"/>
          <w:rtl/>
          <w:lang w:bidi="ar-EG"/>
        </w:rPr>
        <w:t>معهد المساواة بين المرأة والرجل</w:t>
      </w:r>
      <w:r w:rsidR="00971410">
        <w:rPr>
          <w:rFonts w:hint="cs"/>
          <w:rtl/>
          <w:lang w:bidi="ar-EG"/>
        </w:rPr>
        <w:t>.</w:t>
      </w:r>
      <w:r w:rsidRPr="00635120">
        <w:rPr>
          <w:rFonts w:hint="cs"/>
          <w:rtl/>
          <w:lang w:bidi="ar-EG"/>
        </w:rPr>
        <w:t xml:space="preserve"> وتدور </w:t>
      </w:r>
      <w:r w:rsidR="00971410">
        <w:rPr>
          <w:rFonts w:hint="cs"/>
          <w:rtl/>
          <w:lang w:bidi="ar-EG"/>
        </w:rPr>
        <w:t xml:space="preserve">خطة العمل </w:t>
      </w:r>
      <w:r w:rsidRPr="00635120">
        <w:rPr>
          <w:rFonts w:hint="cs"/>
          <w:rtl/>
          <w:lang w:bidi="ar-EG"/>
        </w:rPr>
        <w:t>حول سبعة أهداف استراتيجية كبرى هي: التوعية</w:t>
      </w:r>
      <w:r w:rsidR="00971410">
        <w:rPr>
          <w:rFonts w:hint="cs"/>
          <w:rtl/>
          <w:lang w:bidi="ar-EG"/>
        </w:rPr>
        <w:t>،</w:t>
      </w:r>
      <w:r w:rsidRPr="00635120">
        <w:rPr>
          <w:rFonts w:hint="cs"/>
          <w:rtl/>
          <w:lang w:bidi="ar-EG"/>
        </w:rPr>
        <w:t xml:space="preserve"> والتدريب، وال</w:t>
      </w:r>
      <w:r w:rsidR="00971410">
        <w:rPr>
          <w:rFonts w:hint="cs"/>
          <w:rtl/>
          <w:lang w:bidi="ar-EG"/>
        </w:rPr>
        <w:t>منع</w:t>
      </w:r>
      <w:r w:rsidRPr="00635120">
        <w:rPr>
          <w:rFonts w:hint="cs"/>
          <w:rtl/>
          <w:lang w:bidi="ar-EG"/>
        </w:rPr>
        <w:t>، واستقبال الضحايا وحمايتهم، و</w:t>
      </w:r>
      <w:r w:rsidR="00971410">
        <w:rPr>
          <w:rFonts w:hint="cs"/>
          <w:rtl/>
          <w:lang w:bidi="ar-EG"/>
        </w:rPr>
        <w:t>القمع وتدابير التعويض</w:t>
      </w:r>
      <w:r w:rsidRPr="00635120">
        <w:rPr>
          <w:rFonts w:hint="cs"/>
          <w:rtl/>
          <w:lang w:bidi="ar-EG"/>
        </w:rPr>
        <w:t>، والتسجيل، والتقييم.</w:t>
      </w:r>
    </w:p>
    <w:p w:rsidR="00635120" w:rsidRPr="00635120" w:rsidRDefault="00635120" w:rsidP="00971410">
      <w:pPr>
        <w:pStyle w:val="SingleTxt"/>
        <w:rPr>
          <w:rFonts w:hint="cs"/>
          <w:rtl/>
          <w:lang w:bidi="ar-EG"/>
        </w:rPr>
      </w:pPr>
      <w:r w:rsidRPr="00635120">
        <w:rPr>
          <w:rFonts w:hint="cs"/>
          <w:rtl/>
          <w:lang w:bidi="ar-EG"/>
        </w:rPr>
        <w:tab/>
        <w:t>وأخيراً، تم اتخاذ عدة مبادرات بناءً على مبادرة من الوزير الاتحادي لتكافؤ الفرص ومعهد المساواة بين المرأة والرجل بغية أن يتم</w:t>
      </w:r>
      <w:r w:rsidR="00971410">
        <w:rPr>
          <w:rFonts w:hint="cs"/>
          <w:rtl/>
          <w:lang w:bidi="ar-EG"/>
        </w:rPr>
        <w:t>،</w:t>
      </w:r>
      <w:r w:rsidRPr="00635120">
        <w:rPr>
          <w:rFonts w:hint="cs"/>
          <w:rtl/>
          <w:lang w:bidi="ar-EG"/>
        </w:rPr>
        <w:t xml:space="preserve"> من ناحية</w:t>
      </w:r>
      <w:r w:rsidR="00971410">
        <w:rPr>
          <w:rFonts w:hint="cs"/>
          <w:rtl/>
          <w:lang w:bidi="ar-EG"/>
        </w:rPr>
        <w:t>،</w:t>
      </w:r>
      <w:r w:rsidRPr="00635120">
        <w:rPr>
          <w:rFonts w:hint="cs"/>
          <w:rtl/>
          <w:lang w:bidi="ar-EG"/>
        </w:rPr>
        <w:t xml:space="preserve"> توعية الرجل </w:t>
      </w:r>
      <w:r w:rsidR="00971410">
        <w:rPr>
          <w:rFonts w:hint="cs"/>
          <w:rtl/>
          <w:lang w:bidi="ar-EG"/>
        </w:rPr>
        <w:t xml:space="preserve">وتشجيعه بشكل محدد </w:t>
      </w:r>
      <w:r w:rsidRPr="00635120">
        <w:rPr>
          <w:rFonts w:hint="cs"/>
          <w:rtl/>
          <w:lang w:bidi="ar-EG"/>
        </w:rPr>
        <w:t>على أن يكون داعية للتغيير نحو القضاء على أنواع التمييز ضد المرأة و</w:t>
      </w:r>
      <w:r w:rsidR="00971410">
        <w:rPr>
          <w:rFonts w:hint="cs"/>
          <w:rtl/>
          <w:lang w:bidi="ar-EG"/>
        </w:rPr>
        <w:t>إنشاء</w:t>
      </w:r>
      <w:r w:rsidRPr="00635120">
        <w:rPr>
          <w:rFonts w:hint="cs"/>
          <w:rtl/>
          <w:lang w:bidi="ar-EG"/>
        </w:rPr>
        <w:t xml:space="preserve"> مجتمع يتسم بقدر أكبر من المساواة، و</w:t>
      </w:r>
      <w:r w:rsidR="00971410">
        <w:rPr>
          <w:rFonts w:hint="cs"/>
          <w:rtl/>
          <w:lang w:bidi="ar-EG"/>
        </w:rPr>
        <w:t>ب</w:t>
      </w:r>
      <w:r w:rsidRPr="00635120">
        <w:rPr>
          <w:rFonts w:hint="cs"/>
          <w:rtl/>
          <w:lang w:bidi="ar-EG"/>
        </w:rPr>
        <w:t xml:space="preserve">خاصة عن طريق دعوته إلى توقيع ميثاق من أجل التغيير. ومن ناحية أخرى، </w:t>
      </w:r>
      <w:r w:rsidR="00971410">
        <w:rPr>
          <w:rFonts w:hint="cs"/>
          <w:rtl/>
          <w:lang w:bidi="ar-EG"/>
        </w:rPr>
        <w:t xml:space="preserve">تركّزت </w:t>
      </w:r>
      <w:r w:rsidRPr="00635120">
        <w:rPr>
          <w:rFonts w:hint="cs"/>
          <w:rtl/>
          <w:lang w:bidi="ar-EG"/>
        </w:rPr>
        <w:t xml:space="preserve">عدة مشاريع </w:t>
      </w:r>
      <w:r w:rsidR="00971410">
        <w:rPr>
          <w:rFonts w:hint="cs"/>
          <w:rtl/>
          <w:lang w:bidi="ar-EG"/>
        </w:rPr>
        <w:t>في ا</w:t>
      </w:r>
      <w:r w:rsidRPr="00635120">
        <w:rPr>
          <w:rFonts w:hint="cs"/>
          <w:rtl/>
          <w:lang w:bidi="ar-EG"/>
        </w:rPr>
        <w:t>لرد على المصاعب ال</w:t>
      </w:r>
      <w:r w:rsidR="00971410">
        <w:rPr>
          <w:rFonts w:hint="cs"/>
          <w:rtl/>
          <w:lang w:bidi="ar-EG"/>
        </w:rPr>
        <w:t>نوعية</w:t>
      </w:r>
      <w:r w:rsidRPr="00635120">
        <w:rPr>
          <w:rFonts w:hint="cs"/>
          <w:rtl/>
          <w:lang w:bidi="ar-EG"/>
        </w:rPr>
        <w:t xml:space="preserve"> التي تواجهها المرأة </w:t>
      </w:r>
      <w:r w:rsidR="00971410">
        <w:rPr>
          <w:rFonts w:hint="cs"/>
          <w:rtl/>
          <w:lang w:bidi="ar-EG"/>
        </w:rPr>
        <w:t>ذات</w:t>
      </w:r>
      <w:r w:rsidR="00971410">
        <w:rPr>
          <w:rFonts w:hint="eastAsia"/>
          <w:rtl/>
          <w:lang w:bidi="ar-EG"/>
        </w:rPr>
        <w:t> </w:t>
      </w:r>
      <w:r w:rsidR="00971410">
        <w:rPr>
          <w:rFonts w:hint="cs"/>
          <w:rtl/>
          <w:lang w:bidi="ar-EG"/>
        </w:rPr>
        <w:t xml:space="preserve">الأصل الأجنبي </w:t>
      </w:r>
      <w:r w:rsidRPr="00635120">
        <w:rPr>
          <w:rFonts w:hint="cs"/>
          <w:rtl/>
          <w:lang w:bidi="ar-EG"/>
        </w:rPr>
        <w:t>(دراسة حول الزواج القسري و</w:t>
      </w:r>
      <w:r w:rsidR="00971410">
        <w:rPr>
          <w:rFonts w:hint="cs"/>
          <w:rtl/>
          <w:lang w:bidi="ar-EG"/>
        </w:rPr>
        <w:t>ختان الإناث،</w:t>
      </w:r>
      <w:r w:rsidRPr="00635120">
        <w:rPr>
          <w:rFonts w:hint="cs"/>
          <w:rtl/>
          <w:lang w:bidi="ar-EG"/>
        </w:rPr>
        <w:t xml:space="preserve"> وإنشاء مراكز للدعم القانوني</w:t>
      </w:r>
      <w:r w:rsidR="00971410">
        <w:rPr>
          <w:rFonts w:hint="cs"/>
          <w:rtl/>
          <w:lang w:bidi="ar-EG"/>
        </w:rPr>
        <w:t>،</w:t>
      </w:r>
      <w:r w:rsidRPr="00635120">
        <w:rPr>
          <w:rFonts w:hint="cs"/>
          <w:rtl/>
          <w:lang w:bidi="ar-EG"/>
        </w:rPr>
        <w:t xml:space="preserve"> و</w:t>
      </w:r>
      <w:r w:rsidR="00971410">
        <w:rPr>
          <w:rFonts w:hint="cs"/>
          <w:rtl/>
          <w:lang w:bidi="ar-EG"/>
        </w:rPr>
        <w:t xml:space="preserve">وضع </w:t>
      </w:r>
      <w:r w:rsidRPr="00635120">
        <w:rPr>
          <w:rFonts w:hint="cs"/>
          <w:rtl/>
          <w:lang w:bidi="ar-EG"/>
        </w:rPr>
        <w:t xml:space="preserve">كتيبات </w:t>
      </w:r>
      <w:r w:rsidR="00971410">
        <w:rPr>
          <w:rFonts w:hint="cs"/>
          <w:rtl/>
          <w:lang w:bidi="ar-EG"/>
        </w:rPr>
        <w:t xml:space="preserve">عن </w:t>
      </w:r>
      <w:r w:rsidRPr="00635120">
        <w:rPr>
          <w:rFonts w:hint="cs"/>
          <w:rtl/>
          <w:lang w:bidi="ar-EG"/>
        </w:rPr>
        <w:t>تطبيق القانون الدولي الخاص).</w:t>
      </w:r>
    </w:p>
    <w:p w:rsidR="00971410" w:rsidRPr="00971410" w:rsidRDefault="00971410" w:rsidP="00971410">
      <w:pPr>
        <w:pStyle w:val="SingleTxt"/>
        <w:spacing w:after="0" w:line="120" w:lineRule="exact"/>
        <w:rPr>
          <w:rFonts w:hint="cs"/>
          <w:b/>
          <w:bCs/>
          <w:sz w:val="12"/>
          <w:rtl/>
          <w:lang w:bidi="ar-EG"/>
        </w:rPr>
      </w:pPr>
    </w:p>
    <w:p w:rsidR="00635120" w:rsidRPr="00635120" w:rsidRDefault="00635120" w:rsidP="00E960B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635120">
        <w:rPr>
          <w:rFonts w:hint="cs"/>
          <w:rtl/>
        </w:rPr>
        <w:tab/>
        <w:t>2 -</w:t>
      </w:r>
      <w:r w:rsidRPr="00635120">
        <w:rPr>
          <w:rFonts w:hint="cs"/>
          <w:rtl/>
        </w:rPr>
        <w:tab/>
        <w:t xml:space="preserve">على </w:t>
      </w:r>
      <w:r w:rsidR="00E960BC">
        <w:rPr>
          <w:rFonts w:hint="cs"/>
          <w:rtl/>
        </w:rPr>
        <w:t>مستوى</w:t>
      </w:r>
      <w:r w:rsidRPr="00635120">
        <w:rPr>
          <w:rFonts w:hint="cs"/>
          <w:rtl/>
        </w:rPr>
        <w:t xml:space="preserve"> الكيانات الاتحادية</w:t>
      </w:r>
    </w:p>
    <w:p w:rsidR="00635120" w:rsidRPr="00635120" w:rsidRDefault="00E960BC" w:rsidP="00E960B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t xml:space="preserve">ألف - </w:t>
      </w:r>
      <w:r>
        <w:rPr>
          <w:rFonts w:hint="cs"/>
          <w:rtl/>
          <w:lang w:bidi="ar-EG"/>
        </w:rPr>
        <w:tab/>
        <w:t>الإقليم والمجتمع الفلمنديان</w:t>
      </w:r>
    </w:p>
    <w:p w:rsidR="00635120" w:rsidRPr="00635120" w:rsidRDefault="00635120" w:rsidP="00E3275E">
      <w:pPr>
        <w:pStyle w:val="SingleTxt"/>
        <w:rPr>
          <w:rFonts w:hint="cs"/>
          <w:rtl/>
          <w:lang w:bidi="ar-EG"/>
        </w:rPr>
      </w:pPr>
      <w:r w:rsidRPr="00635120">
        <w:rPr>
          <w:rFonts w:hint="cs"/>
          <w:rtl/>
          <w:lang w:bidi="ar-EG"/>
        </w:rPr>
        <w:tab/>
        <w:t xml:space="preserve">تم أولاً تعيين وزير مسؤول عن تكافؤ الفرص في </w:t>
      </w:r>
      <w:r w:rsidR="00E960BC">
        <w:rPr>
          <w:rFonts w:hint="cs"/>
          <w:rtl/>
          <w:lang w:bidi="ar-EG"/>
        </w:rPr>
        <w:t>ال</w:t>
      </w:r>
      <w:r w:rsidRPr="00635120">
        <w:rPr>
          <w:rFonts w:hint="cs"/>
          <w:rtl/>
          <w:lang w:bidi="ar-EG"/>
        </w:rPr>
        <w:t>حكومة الفلمن</w:t>
      </w:r>
      <w:r w:rsidR="00E960BC">
        <w:rPr>
          <w:rFonts w:hint="cs"/>
          <w:rtl/>
          <w:lang w:bidi="ar-EG"/>
        </w:rPr>
        <w:t xml:space="preserve">دية </w:t>
      </w:r>
      <w:r w:rsidRPr="00635120">
        <w:rPr>
          <w:rFonts w:hint="cs"/>
          <w:rtl/>
          <w:lang w:bidi="ar-EG"/>
        </w:rPr>
        <w:t xml:space="preserve">في حزيران/يونيه 1995، ومن ثم فإن سياسة تكافؤ الفرص وجدت منذ 11 سنة </w:t>
      </w:r>
      <w:r w:rsidR="00E960BC">
        <w:rPr>
          <w:rFonts w:hint="cs"/>
          <w:rtl/>
          <w:lang w:bidi="ar-EG"/>
        </w:rPr>
        <w:t>في الحكومة الفلمندية. وفي</w:t>
      </w:r>
      <w:r w:rsidR="00E960BC">
        <w:rPr>
          <w:rFonts w:hint="eastAsia"/>
          <w:rtl/>
          <w:lang w:bidi="ar-EG"/>
        </w:rPr>
        <w:t> </w:t>
      </w:r>
      <w:r w:rsidR="00E960BC">
        <w:rPr>
          <w:rFonts w:hint="cs"/>
          <w:rtl/>
          <w:lang w:bidi="ar-EG"/>
        </w:rPr>
        <w:t xml:space="preserve">هذه الحكومة </w:t>
      </w:r>
      <w:r w:rsidRPr="00635120">
        <w:rPr>
          <w:rFonts w:hint="cs"/>
          <w:rtl/>
          <w:lang w:bidi="ar-EG"/>
        </w:rPr>
        <w:t>التي تو</w:t>
      </w:r>
      <w:r w:rsidR="00E960BC">
        <w:rPr>
          <w:rFonts w:hint="cs"/>
          <w:rtl/>
          <w:lang w:bidi="ar-EG"/>
        </w:rPr>
        <w:t>ّ</w:t>
      </w:r>
      <w:r w:rsidRPr="00635120">
        <w:rPr>
          <w:rFonts w:hint="cs"/>
          <w:rtl/>
          <w:lang w:bidi="ar-EG"/>
        </w:rPr>
        <w:t>لت السلطة في تموز/يوليه 2004، أسندت اختصاصات سياسة تكافؤ الفرص إلى الوزير الفلمن</w:t>
      </w:r>
      <w:r w:rsidR="00E960BC">
        <w:rPr>
          <w:rFonts w:hint="cs"/>
          <w:rtl/>
          <w:lang w:bidi="ar-EG"/>
        </w:rPr>
        <w:t>د</w:t>
      </w:r>
      <w:r w:rsidRPr="00635120">
        <w:rPr>
          <w:rFonts w:hint="cs"/>
          <w:rtl/>
          <w:lang w:bidi="ar-EG"/>
        </w:rPr>
        <w:t>ي للحراك والاقتصاد الاجتماعي وتكافؤ الفرص. و</w:t>
      </w:r>
      <w:r w:rsidR="00E960BC">
        <w:rPr>
          <w:rFonts w:hint="cs"/>
          <w:rtl/>
          <w:lang w:bidi="ar-EG"/>
        </w:rPr>
        <w:t>يتولى هذا الوزير المسؤول عن تكافؤ الفرص، بوصفه مختصا بالتنسيق، تطبيق سياسة</w:t>
      </w:r>
      <w:r w:rsidRPr="00635120">
        <w:rPr>
          <w:rFonts w:hint="cs"/>
          <w:rtl/>
          <w:lang w:bidi="ar-EG"/>
        </w:rPr>
        <w:t xml:space="preserve"> تكافؤ الفرص </w:t>
      </w:r>
      <w:r w:rsidR="00DF5C20">
        <w:rPr>
          <w:rFonts w:hint="cs"/>
          <w:rtl/>
          <w:lang w:bidi="ar-EG"/>
        </w:rPr>
        <w:t xml:space="preserve">على الفلمنديين </w:t>
      </w:r>
      <w:r w:rsidRPr="00635120">
        <w:rPr>
          <w:rFonts w:hint="cs"/>
          <w:rtl/>
          <w:lang w:bidi="ar-EG"/>
        </w:rPr>
        <w:t>(أو تعميمها أفقياً) بحيث تشمل جميع مجالات ومستويات السياسة</w:t>
      </w:r>
      <w:r w:rsidR="00DF5C20">
        <w:rPr>
          <w:rFonts w:hint="cs"/>
          <w:rtl/>
          <w:lang w:bidi="ar-EG"/>
        </w:rPr>
        <w:t>. وإلى</w:t>
      </w:r>
      <w:r w:rsidR="00DF5C20">
        <w:rPr>
          <w:rFonts w:hint="eastAsia"/>
          <w:rtl/>
          <w:lang w:bidi="ar-EG"/>
        </w:rPr>
        <w:t> </w:t>
      </w:r>
      <w:r w:rsidRPr="00635120">
        <w:rPr>
          <w:rFonts w:hint="cs"/>
          <w:rtl/>
          <w:lang w:bidi="ar-EG"/>
        </w:rPr>
        <w:t xml:space="preserve">جانب ذلك، فإن هذا الوزير ينتهج سياسة نوعية </w:t>
      </w:r>
      <w:r w:rsidR="000137D4">
        <w:rPr>
          <w:rFonts w:hint="cs"/>
          <w:rtl/>
          <w:lang w:bidi="ar-EG"/>
        </w:rPr>
        <w:t>(</w:t>
      </w:r>
      <w:r w:rsidR="00DF5C20">
        <w:rPr>
          <w:rFonts w:hint="cs"/>
          <w:rtl/>
          <w:lang w:bidi="ar-EG"/>
        </w:rPr>
        <w:t>رأسية</w:t>
      </w:r>
      <w:r w:rsidR="000137D4">
        <w:rPr>
          <w:rFonts w:hint="cs"/>
          <w:rtl/>
          <w:lang w:bidi="ar-EG"/>
        </w:rPr>
        <w:t>)</w:t>
      </w:r>
      <w:r w:rsidR="00DF5C20">
        <w:rPr>
          <w:rFonts w:hint="cs"/>
          <w:rtl/>
          <w:lang w:bidi="ar-EG"/>
        </w:rPr>
        <w:t xml:space="preserve"> </w:t>
      </w:r>
      <w:r w:rsidRPr="00635120">
        <w:rPr>
          <w:rFonts w:hint="cs"/>
          <w:rtl/>
          <w:lang w:bidi="ar-EG"/>
        </w:rPr>
        <w:t>لتكافؤ الفرص بما لديه من أولويات وموارد. والمهمة الشاملة لتكافؤ الفرص في وحدة الف</w:t>
      </w:r>
      <w:r w:rsidR="00DF5C20">
        <w:rPr>
          <w:rFonts w:hint="cs"/>
          <w:rtl/>
          <w:lang w:bidi="ar-EG"/>
        </w:rPr>
        <w:t>لمنديين</w:t>
      </w:r>
      <w:r w:rsidRPr="00635120">
        <w:rPr>
          <w:rFonts w:hint="cs"/>
          <w:rtl/>
          <w:lang w:bidi="ar-EG"/>
        </w:rPr>
        <w:t>، التي تعمل كوحدة إدارية من وحدات الإدارة الأفقية</w:t>
      </w:r>
      <w:r w:rsidR="00DF5C20">
        <w:rPr>
          <w:rFonts w:hint="cs"/>
          <w:rtl/>
          <w:lang w:bidi="ar-EG"/>
        </w:rPr>
        <w:t xml:space="preserve"> المس</w:t>
      </w:r>
      <w:r w:rsidR="00E3275E">
        <w:rPr>
          <w:rFonts w:hint="cs"/>
          <w:rtl/>
          <w:lang w:bidi="ar-EG"/>
        </w:rPr>
        <w:t>مّ</w:t>
      </w:r>
      <w:r w:rsidR="00DF5C20">
        <w:rPr>
          <w:rFonts w:hint="cs"/>
          <w:rtl/>
          <w:lang w:bidi="ar-EG"/>
        </w:rPr>
        <w:t>اة</w:t>
      </w:r>
      <w:r w:rsidRPr="00635120">
        <w:rPr>
          <w:rFonts w:hint="cs"/>
          <w:rtl/>
          <w:lang w:bidi="ar-EG"/>
        </w:rPr>
        <w:t xml:space="preserve"> </w:t>
      </w:r>
      <w:r w:rsidR="00DF5C20">
        <w:rPr>
          <w:rFonts w:hint="cs"/>
          <w:rtl/>
          <w:lang w:bidi="ar-EG"/>
        </w:rPr>
        <w:t>’</w:t>
      </w:r>
      <w:r w:rsidRPr="00635120">
        <w:rPr>
          <w:rFonts w:hint="eastAsia"/>
          <w:rtl/>
          <w:lang w:bidi="ar-EG"/>
        </w:rPr>
        <w:t>خدمات لسياسة الحكومة العامة</w:t>
      </w:r>
      <w:r w:rsidR="00DF5C20">
        <w:rPr>
          <w:rFonts w:hint="cs"/>
          <w:rtl/>
          <w:lang w:bidi="ar-EG"/>
        </w:rPr>
        <w:t>‘</w:t>
      </w:r>
      <w:r w:rsidRPr="00635120">
        <w:rPr>
          <w:rFonts w:hint="cs"/>
          <w:rtl/>
          <w:lang w:bidi="ar-EG"/>
        </w:rPr>
        <w:t>، تتمثل في إعداد وتنفيذ وتقييم سياسة تكافؤ الفرص كما يستهدفها الوزير الفلمن</w:t>
      </w:r>
      <w:r w:rsidR="00DF5C20">
        <w:rPr>
          <w:rFonts w:hint="cs"/>
          <w:rtl/>
          <w:lang w:bidi="ar-EG"/>
        </w:rPr>
        <w:t>د</w:t>
      </w:r>
      <w:r w:rsidRPr="00635120">
        <w:rPr>
          <w:rFonts w:hint="cs"/>
          <w:rtl/>
          <w:lang w:bidi="ar-EG"/>
        </w:rPr>
        <w:t>ي المختص.</w:t>
      </w:r>
    </w:p>
    <w:p w:rsidR="00635120" w:rsidRPr="00635120" w:rsidRDefault="00635120" w:rsidP="00D13D02">
      <w:pPr>
        <w:pStyle w:val="SingleTxt"/>
        <w:rPr>
          <w:rFonts w:hint="cs"/>
          <w:rtl/>
          <w:lang w:bidi="ar-EG"/>
        </w:rPr>
      </w:pPr>
      <w:r w:rsidRPr="00635120">
        <w:rPr>
          <w:rFonts w:hint="cs"/>
          <w:rtl/>
          <w:lang w:bidi="ar-EG"/>
        </w:rPr>
        <w:tab/>
        <w:t>وتولي السياسة الفلمن</w:t>
      </w:r>
      <w:r w:rsidR="003A0BD4">
        <w:rPr>
          <w:rFonts w:hint="cs"/>
          <w:rtl/>
          <w:lang w:bidi="ar-EG"/>
        </w:rPr>
        <w:t>د</w:t>
      </w:r>
      <w:r w:rsidRPr="00635120">
        <w:rPr>
          <w:rFonts w:hint="cs"/>
          <w:rtl/>
          <w:lang w:bidi="ar-EG"/>
        </w:rPr>
        <w:t xml:space="preserve">ية لتكافؤ الفرص اهتماماً </w:t>
      </w:r>
      <w:r w:rsidR="003A0BD4">
        <w:rPr>
          <w:rFonts w:hint="cs"/>
          <w:rtl/>
          <w:lang w:bidi="ar-EG"/>
        </w:rPr>
        <w:t>ل</w:t>
      </w:r>
      <w:r w:rsidRPr="00635120">
        <w:rPr>
          <w:rFonts w:hint="cs"/>
          <w:rtl/>
          <w:lang w:bidi="ar-EG"/>
        </w:rPr>
        <w:t>لاختلافات بين الفئات الاجتماعية (التنوع)</w:t>
      </w:r>
      <w:r w:rsidR="003A0BD4">
        <w:rPr>
          <w:rFonts w:hint="cs"/>
          <w:rtl/>
          <w:lang w:bidi="ar-EG"/>
        </w:rPr>
        <w:t>،</w:t>
      </w:r>
      <w:r w:rsidRPr="00635120">
        <w:rPr>
          <w:rFonts w:hint="cs"/>
          <w:rtl/>
          <w:lang w:bidi="ar-EG"/>
        </w:rPr>
        <w:t xml:space="preserve"> والتنمية الفردية للأشخاص (التحرر) ضمن هذه الجماعات، مع عدم استبعاد أي شخص (عدم التمييز)</w:t>
      </w:r>
      <w:r w:rsidR="003A0BD4">
        <w:rPr>
          <w:rFonts w:hint="cs"/>
          <w:rtl/>
          <w:lang w:bidi="ar-EG"/>
        </w:rPr>
        <w:t>،</w:t>
      </w:r>
      <w:r w:rsidRPr="00635120">
        <w:rPr>
          <w:rFonts w:hint="cs"/>
          <w:rtl/>
          <w:lang w:bidi="ar-EG"/>
        </w:rPr>
        <w:t xml:space="preserve"> وشعور كل فرد بأنه مسؤول عن الترابط (التضامن)</w:t>
      </w:r>
      <w:r w:rsidR="003A0BD4">
        <w:rPr>
          <w:rFonts w:hint="cs"/>
          <w:rtl/>
          <w:lang w:bidi="ar-EG"/>
        </w:rPr>
        <w:t>.</w:t>
      </w:r>
      <w:r w:rsidRPr="00635120">
        <w:rPr>
          <w:rFonts w:hint="cs"/>
          <w:rtl/>
          <w:lang w:bidi="ar-EG"/>
        </w:rPr>
        <w:t xml:space="preserve"> وتسعى السياسة الفلمن</w:t>
      </w:r>
      <w:r w:rsidR="003A0BD4">
        <w:rPr>
          <w:rFonts w:hint="cs"/>
          <w:rtl/>
          <w:lang w:bidi="ar-EG"/>
        </w:rPr>
        <w:t>د</w:t>
      </w:r>
      <w:r w:rsidRPr="00635120">
        <w:rPr>
          <w:rFonts w:hint="cs"/>
          <w:rtl/>
          <w:lang w:bidi="ar-EG"/>
        </w:rPr>
        <w:t>ية لتكافؤ الفرص إلى التصدي لآليات التمييز</w:t>
      </w:r>
      <w:r w:rsidR="003A0BD4">
        <w:rPr>
          <w:rFonts w:hint="cs"/>
          <w:rtl/>
          <w:lang w:bidi="ar-EG"/>
        </w:rPr>
        <w:t>،</w:t>
      </w:r>
      <w:r w:rsidRPr="00635120">
        <w:rPr>
          <w:rFonts w:hint="cs"/>
          <w:rtl/>
          <w:lang w:bidi="ar-EG"/>
        </w:rPr>
        <w:t xml:space="preserve"> وتركّز في المقام الأول على التمييز القائم على الجنس وال</w:t>
      </w:r>
      <w:r w:rsidR="003A0BD4">
        <w:rPr>
          <w:rFonts w:hint="cs"/>
          <w:rtl/>
          <w:lang w:bidi="ar-EG"/>
        </w:rPr>
        <w:t>ميول الجنسية</w:t>
      </w:r>
      <w:r w:rsidRPr="00635120">
        <w:rPr>
          <w:rFonts w:hint="cs"/>
          <w:rtl/>
          <w:lang w:bidi="ar-EG"/>
        </w:rPr>
        <w:t xml:space="preserve"> وعدم الوصول إلى الجنس. وتود </w:t>
      </w:r>
      <w:r w:rsidR="00D13D02">
        <w:rPr>
          <w:rFonts w:hint="cs"/>
          <w:rtl/>
          <w:lang w:bidi="ar-EG"/>
        </w:rPr>
        <w:t>هذه السياسة أن</w:t>
      </w:r>
      <w:r w:rsidR="00D13D02">
        <w:rPr>
          <w:rFonts w:hint="eastAsia"/>
          <w:rtl/>
          <w:lang w:bidi="ar-EG"/>
        </w:rPr>
        <w:t> </w:t>
      </w:r>
      <w:r w:rsidRPr="00635120">
        <w:rPr>
          <w:rFonts w:hint="cs"/>
          <w:rtl/>
          <w:lang w:bidi="ar-EG"/>
        </w:rPr>
        <w:t>تجعل هذه الآليات مرئية وقابلة للنقاش، و</w:t>
      </w:r>
      <w:r w:rsidR="00D13D02">
        <w:rPr>
          <w:rFonts w:hint="cs"/>
          <w:rtl/>
          <w:lang w:bidi="ar-EG"/>
        </w:rPr>
        <w:t>أن تكافحها، وأن تمنع إيجاد آليات جديدة للتمييز.</w:t>
      </w:r>
      <w:r w:rsidRPr="00635120">
        <w:rPr>
          <w:rFonts w:hint="cs"/>
          <w:rtl/>
          <w:lang w:bidi="ar-EG"/>
        </w:rPr>
        <w:t xml:space="preserve"> وفي إطار هذا التقرير يتم فقط شرح المنظور الجنساني لسياسة تكافؤ الفرص.</w:t>
      </w:r>
    </w:p>
    <w:p w:rsidR="00635120" w:rsidRPr="00635120" w:rsidRDefault="00635120" w:rsidP="000137D4">
      <w:pPr>
        <w:pStyle w:val="SingleTxt"/>
        <w:rPr>
          <w:rFonts w:hint="cs"/>
          <w:rtl/>
          <w:lang w:bidi="ar-EG"/>
        </w:rPr>
      </w:pPr>
      <w:r w:rsidRPr="00635120">
        <w:rPr>
          <w:rFonts w:hint="cs"/>
          <w:rtl/>
          <w:lang w:bidi="ar-EG"/>
        </w:rPr>
        <w:tab/>
        <w:t xml:space="preserve">وبالنسبة للولاية الحالية للوزارة (2004-2009) تم تحديد أربعة مجالات للأولوية في سياسة تكافؤ الفرص، وهي </w:t>
      </w:r>
      <w:r w:rsidRPr="00D13D02">
        <w:rPr>
          <w:rFonts w:hint="cs"/>
          <w:i/>
          <w:iCs/>
          <w:rtl/>
          <w:lang w:bidi="ar-EG"/>
        </w:rPr>
        <w:t>التنشئة الاجتماعية، والتطور الوظيفي، والبيئة المعيشية، والمشاركة في السياسة</w:t>
      </w:r>
      <w:r w:rsidRPr="00635120">
        <w:rPr>
          <w:rFonts w:hint="cs"/>
          <w:rtl/>
          <w:lang w:bidi="ar-EG"/>
        </w:rPr>
        <w:t xml:space="preserve">. ومن الواضح أن ثلاثة من هذه المواضيع الأربعة تنطبق على </w:t>
      </w:r>
      <w:r w:rsidR="00D13D02">
        <w:rPr>
          <w:rFonts w:hint="cs"/>
          <w:rtl/>
          <w:lang w:bidi="ar-EG"/>
        </w:rPr>
        <w:t>ال</w:t>
      </w:r>
      <w:r w:rsidRPr="00635120">
        <w:rPr>
          <w:rFonts w:hint="cs"/>
          <w:rtl/>
          <w:lang w:bidi="ar-EG"/>
        </w:rPr>
        <w:t>مسألة الجنساني</w:t>
      </w:r>
      <w:r w:rsidR="00D13D02">
        <w:rPr>
          <w:rFonts w:hint="cs"/>
          <w:rtl/>
          <w:lang w:bidi="ar-EG"/>
        </w:rPr>
        <w:t>ة</w:t>
      </w:r>
      <w:r w:rsidRPr="00635120">
        <w:rPr>
          <w:rFonts w:hint="cs"/>
          <w:rtl/>
          <w:lang w:bidi="ar-EG"/>
        </w:rPr>
        <w:t xml:space="preserve">. </w:t>
      </w:r>
      <w:r w:rsidR="00D13D02">
        <w:rPr>
          <w:rFonts w:hint="cs"/>
          <w:rtl/>
          <w:lang w:bidi="ar-EG"/>
        </w:rPr>
        <w:t>ف</w:t>
      </w:r>
      <w:r w:rsidRPr="00635120">
        <w:rPr>
          <w:rFonts w:hint="cs"/>
          <w:rtl/>
          <w:lang w:bidi="ar-EG"/>
        </w:rPr>
        <w:t>التنشئة الاجتماعية تعني أن يجعل المرء نفسه مؤتلفاً مع المعايير والقيم السائدة. وهي عملية تحدث في مختلف قطاعات المجتمع: في المنزل، والشارع</w:t>
      </w:r>
      <w:r w:rsidR="000137D4">
        <w:rPr>
          <w:rFonts w:hint="cs"/>
          <w:rtl/>
          <w:lang w:bidi="ar-EG"/>
        </w:rPr>
        <w:t>،</w:t>
      </w:r>
      <w:r w:rsidR="00D13D02">
        <w:rPr>
          <w:rFonts w:hint="cs"/>
          <w:rtl/>
          <w:lang w:bidi="ar-EG"/>
        </w:rPr>
        <w:t xml:space="preserve"> والمدرسة، ومكان العمل</w:t>
      </w:r>
      <w:r w:rsidR="00D13D02">
        <w:rPr>
          <w:rFonts w:hint="eastAsia"/>
          <w:rtl/>
          <w:lang w:bidi="ar-EG"/>
        </w:rPr>
        <w:t xml:space="preserve"> ... </w:t>
      </w:r>
      <w:r w:rsidR="00D13D02">
        <w:rPr>
          <w:rFonts w:hint="cs"/>
          <w:rtl/>
          <w:lang w:bidi="ar-EG"/>
        </w:rPr>
        <w:t>.</w:t>
      </w:r>
    </w:p>
    <w:p w:rsidR="00E215AB" w:rsidRDefault="00635120" w:rsidP="00D13D02">
      <w:pPr>
        <w:pStyle w:val="SingleTxt"/>
        <w:rPr>
          <w:rFonts w:hint="cs"/>
          <w:rtl/>
          <w:lang w:bidi="ar-EG"/>
        </w:rPr>
      </w:pPr>
      <w:r w:rsidRPr="00635120">
        <w:rPr>
          <w:rFonts w:hint="cs"/>
          <w:rtl/>
          <w:lang w:bidi="ar-EG"/>
        </w:rPr>
        <w:tab/>
        <w:t>وتهدف سياسة تكافؤ الفرص إلى تخليص هذه العمليات من ا</w:t>
      </w:r>
      <w:r w:rsidR="00D13D02">
        <w:rPr>
          <w:rFonts w:hint="cs"/>
          <w:rtl/>
          <w:lang w:bidi="ar-EG"/>
        </w:rPr>
        <w:t>لأفكار الجامدة</w:t>
      </w:r>
      <w:r w:rsidRPr="00635120">
        <w:rPr>
          <w:rFonts w:hint="cs"/>
          <w:rtl/>
          <w:lang w:bidi="ar-EG"/>
        </w:rPr>
        <w:t xml:space="preserve"> والتقييدية التي تؤدي إلى عدم تكافؤ الفرص. </w:t>
      </w:r>
    </w:p>
    <w:p w:rsidR="00635120" w:rsidRPr="00635120" w:rsidRDefault="00E215AB" w:rsidP="00D13D02">
      <w:pPr>
        <w:pStyle w:val="SingleTxt"/>
        <w:rPr>
          <w:rFonts w:hint="cs"/>
          <w:rtl/>
          <w:lang w:bidi="ar-EG"/>
        </w:rPr>
      </w:pPr>
      <w:r>
        <w:rPr>
          <w:rFonts w:hint="cs"/>
          <w:rtl/>
          <w:lang w:bidi="ar-EG"/>
        </w:rPr>
        <w:tab/>
      </w:r>
      <w:r w:rsidR="00635120" w:rsidRPr="00635120">
        <w:rPr>
          <w:rFonts w:hint="cs"/>
          <w:rtl/>
          <w:lang w:bidi="ar-EG"/>
        </w:rPr>
        <w:t xml:space="preserve">ويتسم الاستعداد </w:t>
      </w:r>
      <w:r w:rsidR="00635120" w:rsidRPr="00D13D02">
        <w:rPr>
          <w:rFonts w:hint="cs"/>
          <w:i/>
          <w:iCs/>
          <w:rtl/>
          <w:lang w:bidi="ar-EG"/>
        </w:rPr>
        <w:t>لمستقبل وظيفي</w:t>
      </w:r>
      <w:r w:rsidR="00635120" w:rsidRPr="00635120">
        <w:rPr>
          <w:rFonts w:hint="cs"/>
          <w:rtl/>
          <w:lang w:bidi="ar-EG"/>
        </w:rPr>
        <w:t xml:space="preserve"> وبداية هذا المستقبل وتطوره بأوجه من عدم المساواة. ونشير في هذا السياق إلى الفوارق في الأجور بين الرجل والمرأة، والتمثيل الزائد للمرأة في قطاع الرعاية الصحية وللرجل في قطاع تكنولوجيا المعلومات والاتصالات، والتمثيل الناقص للمرأة في المناصب الإدارية، إلخ. وتود سياسة تكافؤ الفرص المساعدة في تحديد آليات التمييز والقضاء عليها.</w:t>
      </w:r>
    </w:p>
    <w:p w:rsidR="00E215AB" w:rsidRDefault="00635120" w:rsidP="000137D4">
      <w:pPr>
        <w:pStyle w:val="SingleTxt"/>
        <w:rPr>
          <w:rFonts w:hint="cs"/>
          <w:rtl/>
          <w:lang w:bidi="ar-EG"/>
        </w:rPr>
      </w:pPr>
      <w:r w:rsidRPr="00635120">
        <w:rPr>
          <w:rFonts w:hint="cs"/>
          <w:rtl/>
          <w:lang w:bidi="ar-EG"/>
        </w:rPr>
        <w:tab/>
        <w:t>وبالنسبة للوقت الحالي، ف</w:t>
      </w:r>
      <w:r w:rsidR="00D13D02">
        <w:rPr>
          <w:rFonts w:hint="cs"/>
          <w:rtl/>
          <w:lang w:bidi="ar-EG"/>
        </w:rPr>
        <w:t xml:space="preserve">إن تمثيل </w:t>
      </w:r>
      <w:r w:rsidRPr="00635120">
        <w:rPr>
          <w:rFonts w:hint="cs"/>
          <w:rtl/>
          <w:lang w:bidi="ar-EG"/>
        </w:rPr>
        <w:t>المرأة ناقص في الخريطة السياسية. وتهدف سياسة تكافؤ الفرص إلى</w:t>
      </w:r>
      <w:r w:rsidR="00D13D02">
        <w:rPr>
          <w:rFonts w:hint="cs"/>
          <w:rtl/>
          <w:lang w:bidi="ar-EG"/>
        </w:rPr>
        <w:t xml:space="preserve"> تحقيق</w:t>
      </w:r>
      <w:r w:rsidRPr="00635120">
        <w:rPr>
          <w:rFonts w:hint="cs"/>
          <w:rtl/>
          <w:lang w:bidi="ar-EG"/>
        </w:rPr>
        <w:t xml:space="preserve"> </w:t>
      </w:r>
      <w:r w:rsidRPr="00D13D02">
        <w:rPr>
          <w:rFonts w:hint="cs"/>
          <w:i/>
          <w:iCs/>
          <w:rtl/>
          <w:lang w:bidi="ar-EG"/>
        </w:rPr>
        <w:t>المشاركة</w:t>
      </w:r>
      <w:r w:rsidRPr="00635120">
        <w:rPr>
          <w:rFonts w:hint="cs"/>
          <w:rtl/>
          <w:lang w:bidi="ar-EG"/>
        </w:rPr>
        <w:t xml:space="preserve"> التناسبية للرجل والمرأة في السياسة.</w:t>
      </w:r>
    </w:p>
    <w:p w:rsidR="00635120" w:rsidRPr="00635120" w:rsidRDefault="00E215AB" w:rsidP="00E215AB">
      <w:pPr>
        <w:pStyle w:val="SingleTxt"/>
        <w:rPr>
          <w:rFonts w:hint="cs"/>
          <w:rtl/>
          <w:lang w:bidi="ar-EG"/>
        </w:rPr>
      </w:pPr>
      <w:r>
        <w:rPr>
          <w:rFonts w:hint="cs"/>
          <w:rtl/>
          <w:lang w:bidi="ar-EG"/>
        </w:rPr>
        <w:tab/>
      </w:r>
      <w:r w:rsidR="00635120" w:rsidRPr="00635120">
        <w:rPr>
          <w:rFonts w:hint="cs"/>
          <w:rtl/>
          <w:lang w:bidi="ar-EG"/>
        </w:rPr>
        <w:t>ويحدث التمييز في كثير من مجالات الحياة الاجتماعية. وهذا هو السبب في أن من المهم أن تعمل السياسة الفلمن</w:t>
      </w:r>
      <w:r w:rsidR="00D13D02">
        <w:rPr>
          <w:rFonts w:hint="cs"/>
          <w:rtl/>
          <w:lang w:bidi="ar-EG"/>
        </w:rPr>
        <w:t>د</w:t>
      </w:r>
      <w:r w:rsidR="00635120" w:rsidRPr="00635120">
        <w:rPr>
          <w:rFonts w:hint="cs"/>
          <w:rtl/>
          <w:lang w:bidi="ar-EG"/>
        </w:rPr>
        <w:t>ية لتكافؤ الفرص بحيث تشمل جميع مجالات السياسة أيضاً. والوزير الفلمن</w:t>
      </w:r>
      <w:r w:rsidR="00D13D02">
        <w:rPr>
          <w:rFonts w:hint="cs"/>
          <w:rtl/>
          <w:lang w:bidi="ar-EG"/>
        </w:rPr>
        <w:t>د</w:t>
      </w:r>
      <w:r w:rsidR="00635120" w:rsidRPr="00635120">
        <w:rPr>
          <w:rFonts w:hint="cs"/>
          <w:rtl/>
          <w:lang w:bidi="ar-EG"/>
        </w:rPr>
        <w:t>ي المسؤول عن تكافؤ الفرص م</w:t>
      </w:r>
      <w:r w:rsidR="00D13D02">
        <w:rPr>
          <w:rFonts w:hint="cs"/>
          <w:rtl/>
          <w:lang w:bidi="ar-EG"/>
        </w:rPr>
        <w:t>ناط به تنسيق تش</w:t>
      </w:r>
      <w:r w:rsidR="000137D4">
        <w:rPr>
          <w:rFonts w:hint="cs"/>
          <w:rtl/>
          <w:lang w:bidi="ar-EG"/>
        </w:rPr>
        <w:t>ج</w:t>
      </w:r>
      <w:r w:rsidR="00D13D02">
        <w:rPr>
          <w:rFonts w:hint="cs"/>
          <w:rtl/>
          <w:lang w:bidi="ar-EG"/>
        </w:rPr>
        <w:t>ي</w:t>
      </w:r>
      <w:r w:rsidR="000137D4">
        <w:rPr>
          <w:rFonts w:hint="cs"/>
          <w:rtl/>
          <w:lang w:bidi="ar-EG"/>
        </w:rPr>
        <w:t>ع</w:t>
      </w:r>
      <w:r w:rsidR="00D13D02">
        <w:rPr>
          <w:rFonts w:hint="cs"/>
          <w:rtl/>
          <w:lang w:bidi="ar-EG"/>
        </w:rPr>
        <w:t xml:space="preserve"> ودعم </w:t>
      </w:r>
      <w:r w:rsidR="00635120" w:rsidRPr="00635120">
        <w:rPr>
          <w:rFonts w:hint="cs"/>
          <w:rtl/>
          <w:lang w:bidi="ar-EG"/>
        </w:rPr>
        <w:t>صن</w:t>
      </w:r>
      <w:r w:rsidR="00D13D02">
        <w:rPr>
          <w:rFonts w:hint="cs"/>
          <w:rtl/>
          <w:lang w:bidi="ar-EG"/>
        </w:rPr>
        <w:t>ّ</w:t>
      </w:r>
      <w:r w:rsidR="00635120" w:rsidRPr="00635120">
        <w:rPr>
          <w:rFonts w:hint="cs"/>
          <w:rtl/>
          <w:lang w:bidi="ar-EG"/>
        </w:rPr>
        <w:t xml:space="preserve">اع السياسة في مجالات أخرى من مجالات السياسة في اتخاذ مبادرات لتعزيز تكافؤ الفرص. </w:t>
      </w:r>
      <w:r w:rsidR="00D13D02">
        <w:rPr>
          <w:rFonts w:hint="cs"/>
          <w:rtl/>
          <w:lang w:bidi="ar-EG"/>
        </w:rPr>
        <w:t xml:space="preserve">وكان العمل في الماضي على تحقيق ذلك يتم من خلال لجنة مشتركة بين الإدارات لتكافؤ الفرص. </w:t>
      </w:r>
      <w:r w:rsidR="00635120" w:rsidRPr="00635120">
        <w:rPr>
          <w:rFonts w:hint="cs"/>
          <w:rtl/>
          <w:lang w:bidi="ar-EG"/>
        </w:rPr>
        <w:t xml:space="preserve">غير أن هذا النهج لم يكتب له قدر كبير من النجاح دائماً. وهذا هو السبب في أن الوزير اتخذ </w:t>
      </w:r>
      <w:r w:rsidR="00D13D02">
        <w:rPr>
          <w:rFonts w:hint="cs"/>
          <w:rtl/>
          <w:lang w:bidi="ar-EG"/>
        </w:rPr>
        <w:t>ال</w:t>
      </w:r>
      <w:r w:rsidR="00635120" w:rsidRPr="00635120">
        <w:rPr>
          <w:rFonts w:hint="cs"/>
          <w:rtl/>
          <w:lang w:bidi="ar-EG"/>
        </w:rPr>
        <w:t xml:space="preserve">تدابير </w:t>
      </w:r>
      <w:r w:rsidR="00D13D02">
        <w:rPr>
          <w:rFonts w:hint="cs"/>
          <w:rtl/>
          <w:lang w:bidi="ar-EG"/>
        </w:rPr>
        <w:t>ال</w:t>
      </w:r>
      <w:r w:rsidR="00635120" w:rsidRPr="00635120">
        <w:rPr>
          <w:rFonts w:hint="cs"/>
          <w:rtl/>
          <w:lang w:bidi="ar-EG"/>
        </w:rPr>
        <w:t>ضرورية لرسم سياسة لتنسيق تكافؤ الفرص على نحو يحقق المزيد من النجاح. وفي 22 تموز/يوليه 2005، وافقت الحكومة الفلمن</w:t>
      </w:r>
      <w:r w:rsidR="00D13D02">
        <w:rPr>
          <w:rFonts w:hint="cs"/>
          <w:rtl/>
          <w:lang w:bidi="ar-EG"/>
        </w:rPr>
        <w:t>د</w:t>
      </w:r>
      <w:r w:rsidR="00635120" w:rsidRPr="00635120">
        <w:rPr>
          <w:rFonts w:hint="cs"/>
          <w:rtl/>
          <w:lang w:bidi="ar-EG"/>
        </w:rPr>
        <w:t xml:space="preserve">ية من حيث المبدأ على تطبيق </w:t>
      </w:r>
      <w:r w:rsidR="00635120" w:rsidRPr="00D13D02">
        <w:rPr>
          <w:rFonts w:hint="cs"/>
          <w:i/>
          <w:iCs/>
          <w:rtl/>
          <w:lang w:bidi="ar-EG"/>
        </w:rPr>
        <w:t>أسلوب التنسيق المفتوح</w:t>
      </w:r>
      <w:r w:rsidR="00635120" w:rsidRPr="00635120">
        <w:rPr>
          <w:rFonts w:hint="cs"/>
          <w:rtl/>
          <w:lang w:bidi="ar-EG"/>
        </w:rPr>
        <w:t xml:space="preserve"> بوصفه أسلوب عمل للسياسة الفلمن</w:t>
      </w:r>
      <w:r w:rsidR="00D13D02">
        <w:rPr>
          <w:rFonts w:hint="cs"/>
          <w:rtl/>
          <w:lang w:bidi="ar-EG"/>
        </w:rPr>
        <w:t>د</w:t>
      </w:r>
      <w:r w:rsidR="00635120" w:rsidRPr="00635120">
        <w:rPr>
          <w:rFonts w:hint="cs"/>
          <w:rtl/>
          <w:lang w:bidi="ar-EG"/>
        </w:rPr>
        <w:t>ية لتكافؤ الفرص (انظر أدناه).</w:t>
      </w:r>
    </w:p>
    <w:p w:rsidR="00635120" w:rsidRDefault="00635120" w:rsidP="00D13D02">
      <w:pPr>
        <w:pStyle w:val="SingleTxt"/>
        <w:rPr>
          <w:rFonts w:hint="cs"/>
          <w:rtl/>
          <w:lang w:bidi="ar-EG"/>
        </w:rPr>
      </w:pPr>
      <w:r w:rsidRPr="00635120">
        <w:rPr>
          <w:rFonts w:hint="cs"/>
          <w:rtl/>
          <w:lang w:bidi="ar-EG"/>
        </w:rPr>
        <w:tab/>
        <w:t>وإلى جانب الأنشطة التنسيقية، فإن السياسة الفلمن</w:t>
      </w:r>
      <w:r w:rsidR="00D13D02">
        <w:rPr>
          <w:rFonts w:hint="cs"/>
          <w:rtl/>
          <w:lang w:bidi="ar-EG"/>
        </w:rPr>
        <w:t>د</w:t>
      </w:r>
      <w:r w:rsidRPr="00635120">
        <w:rPr>
          <w:rFonts w:hint="cs"/>
          <w:rtl/>
          <w:lang w:bidi="ar-EG"/>
        </w:rPr>
        <w:t xml:space="preserve">ية لتكافؤ الفرص تعمل أيضاً على تطوير </w:t>
      </w:r>
      <w:r w:rsidRPr="00635120">
        <w:rPr>
          <w:rFonts w:hint="eastAsia"/>
          <w:rtl/>
          <w:lang w:bidi="ar-EG"/>
        </w:rPr>
        <w:t>”</w:t>
      </w:r>
      <w:r w:rsidRPr="00D13D02">
        <w:rPr>
          <w:rFonts w:hint="eastAsia"/>
          <w:i/>
          <w:iCs/>
          <w:rtl/>
          <w:lang w:bidi="ar-EG"/>
        </w:rPr>
        <w:t>أنشطتها الرأسية الخاصة</w:t>
      </w:r>
      <w:r w:rsidRPr="00635120">
        <w:rPr>
          <w:rFonts w:hint="eastAsia"/>
          <w:rtl/>
          <w:lang w:bidi="ar-EG"/>
        </w:rPr>
        <w:t xml:space="preserve">“. </w:t>
      </w:r>
      <w:r w:rsidRPr="00635120">
        <w:rPr>
          <w:rFonts w:hint="cs"/>
          <w:rtl/>
          <w:lang w:bidi="ar-EG"/>
        </w:rPr>
        <w:t xml:space="preserve">وهذا معناه أن يتم تطوير الخبرة الفنية التي توفر رؤية </w:t>
      </w:r>
      <w:r w:rsidR="00D13D02">
        <w:rPr>
          <w:rFonts w:hint="cs"/>
          <w:rtl/>
          <w:lang w:bidi="ar-EG"/>
        </w:rPr>
        <w:t>ل</w:t>
      </w:r>
      <w:r w:rsidRPr="00635120">
        <w:rPr>
          <w:rFonts w:hint="cs"/>
          <w:rtl/>
          <w:lang w:bidi="ar-EG"/>
        </w:rPr>
        <w:t>حالة المجموعات المستهدفة في سياسة تكافؤ الفرص، وفي ما يواجهونه من مشكلات، وفي الحلول الممكنة. ويتم تعزيز المجتمع المدني أيضاً. والمجتمع المدني مدافع هام عن مصالح المجموعات المستهدفة وي</w:t>
      </w:r>
      <w:r w:rsidR="00D13D02">
        <w:rPr>
          <w:rFonts w:hint="cs"/>
          <w:rtl/>
          <w:lang w:bidi="ar-EG"/>
        </w:rPr>
        <w:t xml:space="preserve">قوم بالوساطة </w:t>
      </w:r>
      <w:r w:rsidRPr="00635120">
        <w:rPr>
          <w:rFonts w:hint="cs"/>
          <w:rtl/>
          <w:lang w:bidi="ar-EG"/>
        </w:rPr>
        <w:t>بينها وبين راسمي ا</w:t>
      </w:r>
      <w:r w:rsidR="00D13D02">
        <w:rPr>
          <w:rFonts w:hint="cs"/>
          <w:rtl/>
          <w:lang w:bidi="ar-EG"/>
        </w:rPr>
        <w:t>لسياسات. وبالإضافة إلى ذلك، يتم</w:t>
      </w:r>
      <w:r w:rsidR="00D13D02">
        <w:rPr>
          <w:rFonts w:hint="eastAsia"/>
          <w:rtl/>
          <w:lang w:bidi="ar-EG"/>
        </w:rPr>
        <w:t> </w:t>
      </w:r>
      <w:r w:rsidRPr="00635120">
        <w:rPr>
          <w:rFonts w:hint="cs"/>
          <w:rtl/>
          <w:lang w:bidi="ar-EG"/>
        </w:rPr>
        <w:t>الارتفاع بوعي الجمهور الواسع من خلال نشر المعلومات وشن الحملات. ويتم أيضاً استحداث صلات هيكلية مع السلطات المحلية و</w:t>
      </w:r>
      <w:r w:rsidR="00D13D02">
        <w:rPr>
          <w:rFonts w:hint="cs"/>
          <w:rtl/>
          <w:lang w:bidi="ar-EG"/>
        </w:rPr>
        <w:t>سلطات الأقاليم</w:t>
      </w:r>
      <w:r w:rsidR="000137D4">
        <w:rPr>
          <w:rFonts w:hint="cs"/>
          <w:rtl/>
          <w:lang w:bidi="ar-EG"/>
        </w:rPr>
        <w:t>،</w:t>
      </w:r>
      <w:r w:rsidR="00D13D02">
        <w:rPr>
          <w:rFonts w:hint="cs"/>
          <w:rtl/>
          <w:lang w:bidi="ar-EG"/>
        </w:rPr>
        <w:t xml:space="preserve"> </w:t>
      </w:r>
      <w:r w:rsidRPr="00635120">
        <w:rPr>
          <w:rFonts w:hint="cs"/>
          <w:rtl/>
          <w:lang w:bidi="ar-EG"/>
        </w:rPr>
        <w:t>بغية إدراج وتنسيق سياسة لتكافؤ الفرص داخل مختلف مستويات الحكومة. وأخيراً، نحن نتوافق مع المستويات الاتحادية والدولية بقدر الإمكان.</w:t>
      </w:r>
    </w:p>
    <w:p w:rsidR="00D13D02" w:rsidRPr="00D13D02" w:rsidRDefault="00D13D02" w:rsidP="00D13D02">
      <w:pPr>
        <w:pStyle w:val="SingleTxt"/>
        <w:spacing w:after="0" w:line="120" w:lineRule="exact"/>
        <w:rPr>
          <w:rFonts w:hint="cs"/>
          <w:sz w:val="12"/>
          <w:rtl/>
          <w:lang w:bidi="ar-EG"/>
        </w:rPr>
      </w:pPr>
    </w:p>
    <w:p w:rsidR="00635120" w:rsidRPr="00635120" w:rsidRDefault="00635120" w:rsidP="00D13D0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sidRPr="00635120">
        <w:rPr>
          <w:rFonts w:hint="cs"/>
          <w:rtl/>
          <w:lang w:bidi="ar-EG"/>
        </w:rPr>
        <w:tab/>
        <w:t>باء -</w:t>
      </w:r>
      <w:r w:rsidRPr="00635120">
        <w:rPr>
          <w:rFonts w:hint="cs"/>
          <w:rtl/>
          <w:lang w:bidi="ar-EG"/>
        </w:rPr>
        <w:tab/>
        <w:t>المجتمع الفرنسي</w:t>
      </w:r>
    </w:p>
    <w:p w:rsidR="00635120" w:rsidRPr="00635120" w:rsidRDefault="00635120" w:rsidP="00D13D02">
      <w:pPr>
        <w:pStyle w:val="SingleTxt"/>
        <w:rPr>
          <w:rFonts w:hint="cs"/>
          <w:rtl/>
          <w:lang w:bidi="ar-EG"/>
        </w:rPr>
      </w:pPr>
      <w:r w:rsidRPr="00635120">
        <w:rPr>
          <w:rFonts w:hint="cs"/>
          <w:rtl/>
          <w:lang w:bidi="ar-EG"/>
        </w:rPr>
        <w:tab/>
        <w:t>جعلت حكومة المجتمع الفرنسي من تكافؤ الفرص بين الرجل والمرأة إحدى أولوياتها: وي</w:t>
      </w:r>
      <w:r w:rsidR="00D13D02">
        <w:rPr>
          <w:rFonts w:hint="cs"/>
          <w:rtl/>
          <w:lang w:bidi="ar-EG"/>
        </w:rPr>
        <w:t xml:space="preserve">جري الاضطلاع تدريجيا بتدابير </w:t>
      </w:r>
      <w:r w:rsidRPr="00635120">
        <w:rPr>
          <w:rFonts w:hint="cs"/>
          <w:rtl/>
          <w:lang w:bidi="ar-EG"/>
        </w:rPr>
        <w:t>لصالح المساواة بين الجنسين في عدد متزايد من المجالات.</w:t>
      </w:r>
    </w:p>
    <w:p w:rsidR="00635120" w:rsidRPr="00635120" w:rsidRDefault="00635120" w:rsidP="003F4910">
      <w:pPr>
        <w:pStyle w:val="SingleTxt"/>
        <w:rPr>
          <w:rFonts w:hint="cs"/>
          <w:rtl/>
          <w:lang w:bidi="ar-EG"/>
        </w:rPr>
      </w:pPr>
      <w:r w:rsidRPr="00635120">
        <w:rPr>
          <w:rFonts w:hint="cs"/>
          <w:rtl/>
          <w:lang w:bidi="ar-EG"/>
        </w:rPr>
        <w:tab/>
        <w:t xml:space="preserve">ومن ثم فإن برنامج العمل الحكومي </w:t>
      </w:r>
      <w:r w:rsidR="003F4910">
        <w:rPr>
          <w:rFonts w:hint="cs"/>
          <w:rtl/>
          <w:lang w:bidi="ar-EG"/>
        </w:rPr>
        <w:t>ل</w:t>
      </w:r>
      <w:r w:rsidRPr="00635120">
        <w:rPr>
          <w:rFonts w:hint="cs"/>
          <w:rtl/>
          <w:lang w:bidi="ar-EG"/>
        </w:rPr>
        <w:t xml:space="preserve">تعزيز المساواة بين المرأة والرجل يجسد مبدأ </w:t>
      </w:r>
      <w:r w:rsidRPr="003F4910">
        <w:rPr>
          <w:rFonts w:hint="cs"/>
          <w:i/>
          <w:iCs/>
          <w:rtl/>
          <w:lang w:bidi="ar-EG"/>
        </w:rPr>
        <w:t>تعميم مراعاة المنظور الجنساني</w:t>
      </w:r>
      <w:r w:rsidRPr="00635120">
        <w:rPr>
          <w:rFonts w:hint="cs"/>
          <w:rtl/>
          <w:lang w:bidi="ar-EG"/>
        </w:rPr>
        <w:t xml:space="preserve"> لأنه يتيح لكل وزارة، في إطار صلاحياتها، الارتقاء بتعزيز المساواة بين الرجل والمرأة من خلال مبادرات عملية.</w:t>
      </w:r>
    </w:p>
    <w:p w:rsidR="00635120" w:rsidRPr="00635120" w:rsidRDefault="00635120" w:rsidP="003F4910">
      <w:pPr>
        <w:pStyle w:val="SingleTxt"/>
        <w:rPr>
          <w:rFonts w:hint="cs"/>
          <w:rtl/>
          <w:lang w:bidi="ar-EG"/>
        </w:rPr>
      </w:pPr>
      <w:r w:rsidRPr="00635120">
        <w:rPr>
          <w:rFonts w:hint="cs"/>
          <w:rtl/>
          <w:lang w:bidi="ar-EG"/>
        </w:rPr>
        <w:tab/>
        <w:t xml:space="preserve">ويعمل هذا البرنامج على أن تقوم كل وزارة بتقدير قيمة هذه الموضوعات الثلاثة في المجالات التي تتعلق بصلاحياتها والاستجابة </w:t>
      </w:r>
      <w:r w:rsidR="003F4910">
        <w:rPr>
          <w:rFonts w:hint="cs"/>
          <w:rtl/>
          <w:lang w:bidi="ar-EG"/>
        </w:rPr>
        <w:t>ل</w:t>
      </w:r>
      <w:r w:rsidRPr="00635120">
        <w:rPr>
          <w:rFonts w:hint="cs"/>
          <w:rtl/>
          <w:lang w:bidi="ar-EG"/>
        </w:rPr>
        <w:t xml:space="preserve">لأهداف </w:t>
      </w:r>
      <w:r w:rsidR="003F4910">
        <w:rPr>
          <w:rFonts w:hint="cs"/>
          <w:rtl/>
          <w:lang w:bidi="ar-EG"/>
        </w:rPr>
        <w:t>ال</w:t>
      </w:r>
      <w:r w:rsidRPr="00635120">
        <w:rPr>
          <w:rFonts w:hint="cs"/>
          <w:rtl/>
          <w:lang w:bidi="ar-EG"/>
        </w:rPr>
        <w:t>مشتركة: مكافحة الأ</w:t>
      </w:r>
      <w:r w:rsidR="003F4910">
        <w:rPr>
          <w:rFonts w:hint="cs"/>
          <w:rtl/>
          <w:lang w:bidi="ar-EG"/>
        </w:rPr>
        <w:t xml:space="preserve">فكار الجامدة </w:t>
      </w:r>
      <w:r w:rsidRPr="00635120">
        <w:rPr>
          <w:rFonts w:hint="cs"/>
          <w:rtl/>
          <w:lang w:bidi="ar-EG"/>
        </w:rPr>
        <w:t>وأنواع العنف ا</w:t>
      </w:r>
      <w:r w:rsidR="003F4910">
        <w:rPr>
          <w:rFonts w:hint="cs"/>
          <w:rtl/>
          <w:lang w:bidi="ar-EG"/>
        </w:rPr>
        <w:t>لقائم على الجنس</w:t>
      </w:r>
      <w:r w:rsidRPr="00635120">
        <w:rPr>
          <w:rFonts w:hint="cs"/>
          <w:rtl/>
          <w:lang w:bidi="ar-EG"/>
        </w:rPr>
        <w:t>، وتعزيز المساواة واختلاط الجنسين في ميدان التعليم، وتعزيز المزيج الاجتماعي والثقافي، و</w:t>
      </w:r>
      <w:r w:rsidR="003F4910">
        <w:rPr>
          <w:rFonts w:hint="cs"/>
          <w:rtl/>
          <w:lang w:bidi="ar-EG"/>
        </w:rPr>
        <w:t xml:space="preserve">مكافحة </w:t>
      </w:r>
      <w:r w:rsidRPr="00635120">
        <w:rPr>
          <w:rFonts w:hint="cs"/>
          <w:rtl/>
          <w:lang w:bidi="ar-EG"/>
        </w:rPr>
        <w:t xml:space="preserve">أشكال التمييز، وضمان الوصول إلى مختلف الخدمات (التعليم، والصحة، إلخ) </w:t>
      </w:r>
      <w:r w:rsidR="003F4910">
        <w:rPr>
          <w:rFonts w:hint="cs"/>
          <w:rtl/>
          <w:lang w:bidi="ar-EG"/>
        </w:rPr>
        <w:t>ل</w:t>
      </w:r>
      <w:r w:rsidRPr="00635120">
        <w:rPr>
          <w:rFonts w:hint="cs"/>
          <w:rtl/>
          <w:lang w:bidi="ar-EG"/>
        </w:rPr>
        <w:t xml:space="preserve">لجميع </w:t>
      </w:r>
      <w:r w:rsidR="003F4910">
        <w:rPr>
          <w:rFonts w:hint="cs"/>
          <w:rtl/>
          <w:lang w:bidi="ar-EG"/>
        </w:rPr>
        <w:t xml:space="preserve">في </w:t>
      </w:r>
      <w:r w:rsidRPr="00635120">
        <w:rPr>
          <w:rFonts w:hint="cs"/>
          <w:rtl/>
          <w:lang w:bidi="ar-EG"/>
        </w:rPr>
        <w:t>جميع الأعمار، إلخ.</w:t>
      </w:r>
    </w:p>
    <w:p w:rsidR="00635120" w:rsidRPr="00635120" w:rsidRDefault="00635120" w:rsidP="003F4910">
      <w:pPr>
        <w:pStyle w:val="SingleTxt"/>
        <w:rPr>
          <w:rFonts w:hint="cs"/>
          <w:rtl/>
          <w:lang w:bidi="ar-EG"/>
        </w:rPr>
      </w:pPr>
      <w:r w:rsidRPr="00635120">
        <w:rPr>
          <w:rFonts w:hint="cs"/>
          <w:rtl/>
          <w:lang w:bidi="ar-EG"/>
        </w:rPr>
        <w:tab/>
        <w:t xml:space="preserve">ويحدد </w:t>
      </w:r>
      <w:r w:rsidR="003F4910">
        <w:rPr>
          <w:rFonts w:hint="cs"/>
          <w:rtl/>
          <w:lang w:bidi="ar-EG"/>
        </w:rPr>
        <w:t xml:space="preserve">البرنامج </w:t>
      </w:r>
      <w:r w:rsidRPr="00635120">
        <w:rPr>
          <w:rFonts w:hint="cs"/>
          <w:rtl/>
          <w:lang w:bidi="ar-EG"/>
        </w:rPr>
        <w:t>ستة أهداف شاملة في ميدان تعزيز المساواة بين المرأة والرجل:</w:t>
      </w:r>
    </w:p>
    <w:p w:rsidR="00635120" w:rsidRPr="00635120" w:rsidRDefault="00635120" w:rsidP="003F491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sidRPr="00635120">
        <w:rPr>
          <w:rFonts w:hint="cs"/>
          <w:rtl/>
          <w:lang w:bidi="ar-EG"/>
        </w:rPr>
        <w:tab/>
        <w:t>•</w:t>
      </w:r>
      <w:r w:rsidRPr="00635120">
        <w:rPr>
          <w:rFonts w:hint="cs"/>
          <w:rtl/>
          <w:lang w:bidi="ar-EG"/>
        </w:rPr>
        <w:tab/>
      </w:r>
      <w:r w:rsidRPr="003F4910">
        <w:rPr>
          <w:rFonts w:hint="cs"/>
          <w:i/>
          <w:iCs/>
          <w:rtl/>
          <w:lang w:bidi="ar-EG"/>
        </w:rPr>
        <w:t>مكافحة الأ</w:t>
      </w:r>
      <w:r w:rsidR="003F4910" w:rsidRPr="003F4910">
        <w:rPr>
          <w:rFonts w:hint="cs"/>
          <w:i/>
          <w:iCs/>
          <w:rtl/>
          <w:lang w:bidi="ar-EG"/>
        </w:rPr>
        <w:t>فكار الجامدة القائمة على الجنس</w:t>
      </w:r>
    </w:p>
    <w:p w:rsidR="00635120" w:rsidRPr="00635120" w:rsidRDefault="00635120" w:rsidP="003F491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sidRPr="00635120">
        <w:rPr>
          <w:rFonts w:hint="cs"/>
          <w:rtl/>
          <w:lang w:bidi="ar-EG"/>
        </w:rPr>
        <w:tab/>
        <w:t>•</w:t>
      </w:r>
      <w:r w:rsidRPr="00635120">
        <w:rPr>
          <w:rFonts w:hint="cs"/>
          <w:rtl/>
          <w:lang w:bidi="ar-EG"/>
        </w:rPr>
        <w:tab/>
      </w:r>
      <w:r w:rsidRPr="003F4910">
        <w:rPr>
          <w:rFonts w:hint="cs"/>
          <w:i/>
          <w:iCs/>
          <w:rtl/>
          <w:lang w:bidi="ar-EG"/>
        </w:rPr>
        <w:t>مكافحة العنف بين ال</w:t>
      </w:r>
      <w:r w:rsidR="003F4910" w:rsidRPr="003F4910">
        <w:rPr>
          <w:rFonts w:hint="cs"/>
          <w:i/>
          <w:iCs/>
          <w:rtl/>
          <w:lang w:bidi="ar-EG"/>
        </w:rPr>
        <w:t>قرناء</w:t>
      </w:r>
    </w:p>
    <w:p w:rsidR="00635120" w:rsidRPr="00635120" w:rsidRDefault="00635120" w:rsidP="003F491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sidRPr="00635120">
        <w:rPr>
          <w:rFonts w:hint="cs"/>
          <w:rtl/>
          <w:lang w:bidi="ar-EG"/>
        </w:rPr>
        <w:tab/>
        <w:t>•</w:t>
      </w:r>
      <w:r w:rsidRPr="00635120">
        <w:rPr>
          <w:rFonts w:hint="cs"/>
          <w:rtl/>
          <w:lang w:bidi="ar-EG"/>
        </w:rPr>
        <w:tab/>
      </w:r>
      <w:r w:rsidRPr="003F4910">
        <w:rPr>
          <w:rFonts w:hint="cs"/>
          <w:i/>
          <w:iCs/>
          <w:rtl/>
          <w:lang w:bidi="ar-EG"/>
        </w:rPr>
        <w:t>تعزيز المساواة والاختلاط بين الجنسين في التعليم الإلزامي والعالي</w:t>
      </w:r>
    </w:p>
    <w:p w:rsidR="00635120" w:rsidRPr="00635120" w:rsidRDefault="00635120" w:rsidP="003F491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sidRPr="00635120">
        <w:rPr>
          <w:rFonts w:hint="cs"/>
          <w:rtl/>
          <w:lang w:bidi="ar-EG"/>
        </w:rPr>
        <w:tab/>
        <w:t>•</w:t>
      </w:r>
      <w:r w:rsidRPr="00635120">
        <w:rPr>
          <w:rFonts w:hint="cs"/>
          <w:rtl/>
          <w:lang w:bidi="ar-EG"/>
        </w:rPr>
        <w:tab/>
      </w:r>
      <w:r w:rsidRPr="003F4910">
        <w:rPr>
          <w:rFonts w:hint="cs"/>
          <w:i/>
          <w:iCs/>
          <w:rtl/>
          <w:lang w:bidi="ar-EG"/>
        </w:rPr>
        <w:t>تعزيز الدراسات والأبحاث المتعلقة بالجنس</w:t>
      </w:r>
      <w:r w:rsidR="003F4910" w:rsidRPr="003F4910">
        <w:rPr>
          <w:rFonts w:hint="cs"/>
          <w:i/>
          <w:iCs/>
          <w:rtl/>
          <w:lang w:bidi="ar-EG"/>
        </w:rPr>
        <w:t>انية</w:t>
      </w:r>
    </w:p>
    <w:p w:rsidR="00635120" w:rsidRPr="00635120" w:rsidRDefault="00635120" w:rsidP="00E3275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sidRPr="00635120">
        <w:rPr>
          <w:rFonts w:hint="cs"/>
          <w:rtl/>
          <w:lang w:bidi="ar-EG"/>
        </w:rPr>
        <w:tab/>
        <w:t>•</w:t>
      </w:r>
      <w:r w:rsidRPr="00635120">
        <w:rPr>
          <w:rFonts w:hint="cs"/>
          <w:rtl/>
          <w:lang w:bidi="ar-EG"/>
        </w:rPr>
        <w:tab/>
      </w:r>
      <w:r w:rsidRPr="003F4910">
        <w:rPr>
          <w:rFonts w:hint="cs"/>
          <w:i/>
          <w:iCs/>
          <w:rtl/>
          <w:lang w:bidi="ar-EG"/>
        </w:rPr>
        <w:t>كفالة المشاركة المت</w:t>
      </w:r>
      <w:r w:rsidR="003F4910" w:rsidRPr="003F4910">
        <w:rPr>
          <w:rFonts w:hint="cs"/>
          <w:i/>
          <w:iCs/>
          <w:rtl/>
          <w:lang w:bidi="ar-EG"/>
        </w:rPr>
        <w:t>واز</w:t>
      </w:r>
      <w:r w:rsidR="00E3275E">
        <w:rPr>
          <w:rFonts w:hint="cs"/>
          <w:i/>
          <w:iCs/>
          <w:rtl/>
          <w:lang w:bidi="ar-EG"/>
        </w:rPr>
        <w:t>ن</w:t>
      </w:r>
      <w:r w:rsidR="003F4910" w:rsidRPr="003F4910">
        <w:rPr>
          <w:rFonts w:hint="cs"/>
          <w:i/>
          <w:iCs/>
          <w:rtl/>
          <w:lang w:bidi="ar-EG"/>
        </w:rPr>
        <w:t>ة</w:t>
      </w:r>
      <w:r w:rsidRPr="003F4910">
        <w:rPr>
          <w:rFonts w:hint="cs"/>
          <w:i/>
          <w:iCs/>
          <w:rtl/>
          <w:lang w:bidi="ar-EG"/>
        </w:rPr>
        <w:t xml:space="preserve"> للمرأة والرجل في اتخاذ القرار</w:t>
      </w:r>
    </w:p>
    <w:p w:rsidR="00635120" w:rsidRPr="00635120" w:rsidRDefault="00635120" w:rsidP="003F491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sidRPr="00635120">
        <w:rPr>
          <w:rFonts w:hint="cs"/>
          <w:rtl/>
          <w:lang w:bidi="ar-EG"/>
        </w:rPr>
        <w:tab/>
        <w:t>•</w:t>
      </w:r>
      <w:r w:rsidRPr="00635120">
        <w:rPr>
          <w:rFonts w:hint="cs"/>
          <w:rtl/>
          <w:lang w:bidi="ar-EG"/>
        </w:rPr>
        <w:tab/>
      </w:r>
      <w:r w:rsidRPr="000137D4">
        <w:rPr>
          <w:rFonts w:hint="cs"/>
          <w:i/>
          <w:iCs/>
          <w:rtl/>
          <w:lang w:bidi="ar-EG"/>
        </w:rPr>
        <w:t>إقامة نظام داخلي متماسك من الإحصاءات الم</w:t>
      </w:r>
      <w:r w:rsidR="003F4910" w:rsidRPr="000137D4">
        <w:rPr>
          <w:rFonts w:hint="cs"/>
          <w:i/>
          <w:iCs/>
          <w:rtl/>
          <w:lang w:bidi="ar-EG"/>
        </w:rPr>
        <w:t>وزّعة</w:t>
      </w:r>
      <w:r w:rsidRPr="000137D4">
        <w:rPr>
          <w:rFonts w:hint="cs"/>
          <w:i/>
          <w:iCs/>
          <w:rtl/>
          <w:lang w:bidi="ar-EG"/>
        </w:rPr>
        <w:t xml:space="preserve"> حسب الجنس </w:t>
      </w:r>
      <w:r w:rsidR="003F4910" w:rsidRPr="000137D4">
        <w:rPr>
          <w:rFonts w:hint="cs"/>
          <w:i/>
          <w:iCs/>
          <w:rtl/>
          <w:lang w:bidi="ar-EG"/>
        </w:rPr>
        <w:t xml:space="preserve">لجميع الجهات المختصة في </w:t>
      </w:r>
      <w:r w:rsidRPr="000137D4">
        <w:rPr>
          <w:rFonts w:hint="cs"/>
          <w:i/>
          <w:iCs/>
          <w:rtl/>
          <w:lang w:bidi="ar-EG"/>
        </w:rPr>
        <w:t>المجتمع الفرنسي</w:t>
      </w:r>
    </w:p>
    <w:p w:rsidR="00635120" w:rsidRPr="00635120" w:rsidRDefault="00635120" w:rsidP="003F4910">
      <w:pPr>
        <w:pStyle w:val="SingleTxt"/>
        <w:rPr>
          <w:rFonts w:hint="cs"/>
          <w:rtl/>
          <w:lang w:bidi="ar-EG"/>
        </w:rPr>
      </w:pPr>
      <w:r w:rsidRPr="00635120">
        <w:rPr>
          <w:rFonts w:hint="cs"/>
          <w:rtl/>
          <w:lang w:bidi="ar-EG"/>
        </w:rPr>
        <w:tab/>
        <w:t xml:space="preserve">ومن المقرر أن يتم تقييم سنوي لهذا البرنامج </w:t>
      </w:r>
      <w:r w:rsidR="003F4910">
        <w:rPr>
          <w:rFonts w:hint="cs"/>
          <w:rtl/>
          <w:lang w:bidi="ar-EG"/>
        </w:rPr>
        <w:t xml:space="preserve">يتضمن </w:t>
      </w:r>
      <w:r w:rsidRPr="00635120">
        <w:rPr>
          <w:rFonts w:hint="cs"/>
          <w:rtl/>
          <w:lang w:bidi="ar-EG"/>
        </w:rPr>
        <w:t>مؤشرات للتنفيذ والنتائج.</w:t>
      </w:r>
    </w:p>
    <w:p w:rsidR="003F4910" w:rsidRPr="003F4910" w:rsidRDefault="003F4910" w:rsidP="003F4910">
      <w:pPr>
        <w:pStyle w:val="SingleTxt"/>
        <w:spacing w:after="0" w:line="120" w:lineRule="exact"/>
        <w:rPr>
          <w:rFonts w:hint="cs"/>
          <w:b/>
          <w:bCs/>
          <w:sz w:val="12"/>
          <w:rtl/>
          <w:lang w:bidi="ar-EG"/>
        </w:rPr>
      </w:pPr>
    </w:p>
    <w:p w:rsidR="00635120" w:rsidRPr="00635120" w:rsidRDefault="00635120" w:rsidP="003F491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sidRPr="00635120">
        <w:rPr>
          <w:rFonts w:hint="cs"/>
          <w:rtl/>
          <w:lang w:bidi="ar-EG"/>
        </w:rPr>
        <w:tab/>
        <w:t>جيم -</w:t>
      </w:r>
      <w:r w:rsidRPr="00635120">
        <w:rPr>
          <w:rFonts w:hint="cs"/>
          <w:rtl/>
          <w:lang w:bidi="ar-EG"/>
        </w:rPr>
        <w:tab/>
        <w:t>إقليم بروكسل العاصمة</w:t>
      </w:r>
    </w:p>
    <w:p w:rsidR="00635120" w:rsidRPr="00635120" w:rsidRDefault="00635120" w:rsidP="003F4910">
      <w:pPr>
        <w:pStyle w:val="SingleTxt"/>
        <w:rPr>
          <w:rFonts w:hint="cs"/>
          <w:rtl/>
          <w:lang w:bidi="ar-EG"/>
        </w:rPr>
      </w:pPr>
      <w:r w:rsidRPr="00635120">
        <w:rPr>
          <w:rFonts w:hint="cs"/>
          <w:rtl/>
          <w:lang w:bidi="ar-EG"/>
        </w:rPr>
        <w:tab/>
        <w:t xml:space="preserve">تم في الإعلان الصادر عن حكومة بروكسل في عام 2001، </w:t>
      </w:r>
      <w:r w:rsidR="003F4910">
        <w:rPr>
          <w:rFonts w:hint="cs"/>
          <w:rtl/>
          <w:lang w:bidi="ar-EG"/>
        </w:rPr>
        <w:t>ال</w:t>
      </w:r>
      <w:r w:rsidRPr="00635120">
        <w:rPr>
          <w:rFonts w:hint="cs"/>
          <w:rtl/>
          <w:lang w:bidi="ar-EG"/>
        </w:rPr>
        <w:t>تركيز على التزام الحكومة ب</w:t>
      </w:r>
      <w:r w:rsidR="003F4910">
        <w:rPr>
          <w:rFonts w:hint="cs"/>
          <w:rtl/>
          <w:lang w:bidi="ar-EG"/>
        </w:rPr>
        <w:t>توفير الاحترام ل</w:t>
      </w:r>
      <w:r w:rsidRPr="00635120">
        <w:rPr>
          <w:rFonts w:hint="cs"/>
          <w:rtl/>
          <w:lang w:bidi="ar-EG"/>
        </w:rPr>
        <w:t>مبدأ تكافؤ الفرص. وتم في عام 2001</w:t>
      </w:r>
      <w:r w:rsidR="003F4910">
        <w:rPr>
          <w:rFonts w:hint="cs"/>
          <w:rtl/>
          <w:lang w:bidi="ar-EG"/>
        </w:rPr>
        <w:t>،</w:t>
      </w:r>
      <w:r w:rsidRPr="00635120">
        <w:rPr>
          <w:rFonts w:hint="cs"/>
          <w:rtl/>
          <w:lang w:bidi="ar-EG"/>
        </w:rPr>
        <w:t xml:space="preserve"> في إطار هذا المنظور</w:t>
      </w:r>
      <w:r w:rsidR="003F4910">
        <w:rPr>
          <w:rFonts w:hint="cs"/>
          <w:rtl/>
          <w:lang w:bidi="ar-EG"/>
        </w:rPr>
        <w:t>،</w:t>
      </w:r>
      <w:r w:rsidRPr="00635120">
        <w:rPr>
          <w:rFonts w:hint="cs"/>
          <w:rtl/>
          <w:lang w:bidi="ar-EG"/>
        </w:rPr>
        <w:t xml:space="preserve"> إنشاء </w:t>
      </w:r>
      <w:r w:rsidR="003F4910">
        <w:rPr>
          <w:rFonts w:hint="cs"/>
          <w:rtl/>
          <w:lang w:bidi="ar-EG"/>
        </w:rPr>
        <w:t>وحدة</w:t>
      </w:r>
      <w:r w:rsidR="00E3275E">
        <w:rPr>
          <w:rFonts w:hint="cs"/>
          <w:rtl/>
          <w:lang w:bidi="ar-EG"/>
        </w:rPr>
        <w:t xml:space="preserve"> </w:t>
      </w:r>
      <w:r w:rsidRPr="00635120">
        <w:rPr>
          <w:rFonts w:hint="eastAsia"/>
          <w:rtl/>
          <w:lang w:bidi="ar-EG"/>
        </w:rPr>
        <w:t>”لتكافؤ الفرص</w:t>
      </w:r>
      <w:r w:rsidRPr="00635120">
        <w:rPr>
          <w:rFonts w:hint="cs"/>
          <w:rtl/>
          <w:lang w:bidi="ar-EG"/>
        </w:rPr>
        <w:t>“ في إدارة السلطات المحلية، المكلفة بتنفيذ هذا المبدأ من خلال مشروعات تستهدف السلطات المحلية.</w:t>
      </w:r>
    </w:p>
    <w:p w:rsidR="00635120" w:rsidRPr="00635120" w:rsidRDefault="00635120" w:rsidP="003F4910">
      <w:pPr>
        <w:pStyle w:val="SingleTxt"/>
        <w:rPr>
          <w:rFonts w:hint="cs"/>
          <w:rtl/>
          <w:lang w:bidi="ar-EG"/>
        </w:rPr>
      </w:pPr>
      <w:r w:rsidRPr="00635120">
        <w:rPr>
          <w:rFonts w:hint="cs"/>
          <w:rtl/>
          <w:lang w:bidi="ar-EG"/>
        </w:rPr>
        <w:tab/>
        <w:t>ويعمل الإعلان الحكومي لعام 2004 على ت</w:t>
      </w:r>
      <w:r w:rsidR="003F4910">
        <w:rPr>
          <w:rFonts w:hint="cs"/>
          <w:rtl/>
          <w:lang w:bidi="ar-EG"/>
        </w:rPr>
        <w:t>وسيع</w:t>
      </w:r>
      <w:r w:rsidRPr="00635120">
        <w:rPr>
          <w:rFonts w:hint="cs"/>
          <w:rtl/>
          <w:lang w:bidi="ar-EG"/>
        </w:rPr>
        <w:t xml:space="preserve"> وتنظيم إرادة العمل هذه لصالح تكافؤ الفرص، في منظور لتعميم مراعاة المنظور الجنساني والتنوع.</w:t>
      </w:r>
    </w:p>
    <w:p w:rsidR="00635120" w:rsidRPr="00635120" w:rsidRDefault="00635120" w:rsidP="00635120">
      <w:pPr>
        <w:pStyle w:val="SingleTxt"/>
        <w:rPr>
          <w:rFonts w:hint="cs"/>
          <w:rtl/>
          <w:lang w:bidi="ar-EG"/>
        </w:rPr>
      </w:pPr>
      <w:r w:rsidRPr="00635120">
        <w:rPr>
          <w:rFonts w:hint="cs"/>
          <w:rtl/>
          <w:lang w:bidi="ar-EG"/>
        </w:rPr>
        <w:tab/>
        <w:t>وأشار الإعلان الحكومي</w:t>
      </w:r>
      <w:r w:rsidR="003F4910">
        <w:rPr>
          <w:rFonts w:hint="cs"/>
          <w:rtl/>
          <w:lang w:bidi="ar-EG"/>
        </w:rPr>
        <w:t>،</w:t>
      </w:r>
      <w:r w:rsidRPr="00635120">
        <w:rPr>
          <w:rFonts w:hint="cs"/>
          <w:rtl/>
          <w:lang w:bidi="ar-EG"/>
        </w:rPr>
        <w:t xml:space="preserve"> مثلما أشار إعلان السياسة العامة للحكومة الإقليمية الجديدة</w:t>
      </w:r>
      <w:r w:rsidR="003F4910">
        <w:rPr>
          <w:rFonts w:hint="cs"/>
          <w:rtl/>
          <w:lang w:bidi="ar-EG"/>
        </w:rPr>
        <w:t>،</w:t>
      </w:r>
      <w:r w:rsidRPr="00635120">
        <w:rPr>
          <w:rFonts w:hint="cs"/>
          <w:rtl/>
          <w:lang w:bidi="ar-EG"/>
        </w:rPr>
        <w:t xml:space="preserve"> بشكل واضح إلى سياسة تعمل لصالح تكافؤ الفرص:</w:t>
      </w:r>
    </w:p>
    <w:p w:rsidR="00635120" w:rsidRPr="00635120" w:rsidRDefault="000137D4" w:rsidP="000137D4">
      <w:pPr>
        <w:pStyle w:val="SingleTxt"/>
        <w:ind w:left="1930" w:hanging="663"/>
        <w:rPr>
          <w:rFonts w:hint="eastAsia"/>
          <w:rtl/>
          <w:lang w:bidi="ar-EG"/>
        </w:rPr>
      </w:pPr>
      <w:r>
        <w:rPr>
          <w:rFonts w:hint="cs"/>
          <w:rtl/>
          <w:lang w:bidi="ar-EG"/>
        </w:rPr>
        <w:tab/>
      </w:r>
      <w:r w:rsidR="00635120" w:rsidRPr="00635120">
        <w:rPr>
          <w:rFonts w:hint="cs"/>
          <w:rtl/>
          <w:lang w:bidi="ar-EG"/>
        </w:rPr>
        <w:tab/>
      </w:r>
      <w:r w:rsidR="00635120" w:rsidRPr="00635120">
        <w:rPr>
          <w:rFonts w:hint="eastAsia"/>
          <w:rtl/>
          <w:lang w:bidi="ar-EG"/>
        </w:rPr>
        <w:t xml:space="preserve">”يسهر الإقليم على تعزيز المساواة بين الرجل والمرأة عبر مجموع سياساته. </w:t>
      </w:r>
      <w:r w:rsidR="00635120" w:rsidRPr="00635120">
        <w:rPr>
          <w:rFonts w:hint="cs"/>
          <w:rtl/>
          <w:lang w:bidi="ar-EG"/>
        </w:rPr>
        <w:t xml:space="preserve">وتحقيقاً لذلك، </w:t>
      </w:r>
      <w:r w:rsidR="003F4910">
        <w:rPr>
          <w:rFonts w:hint="cs"/>
          <w:rtl/>
          <w:lang w:bidi="ar-EG"/>
        </w:rPr>
        <w:t xml:space="preserve">سيضطلع بدراسات استقصائية وإحصائية حسب الجنس في إطار </w:t>
      </w:r>
      <w:r w:rsidR="00635120" w:rsidRPr="00635120">
        <w:rPr>
          <w:rFonts w:hint="cs"/>
          <w:rtl/>
          <w:lang w:bidi="ar-EG"/>
        </w:rPr>
        <w:t>جميع صلاحياته الإقليمية. و</w:t>
      </w:r>
      <w:r w:rsidR="003F4910">
        <w:rPr>
          <w:rFonts w:hint="cs"/>
          <w:rtl/>
          <w:lang w:bidi="ar-EG"/>
        </w:rPr>
        <w:t xml:space="preserve">سيقوم في إطار الخدمة العامة </w:t>
      </w:r>
      <w:r w:rsidR="00635120" w:rsidRPr="00635120">
        <w:rPr>
          <w:rFonts w:hint="cs"/>
          <w:rtl/>
          <w:lang w:bidi="ar-EG"/>
        </w:rPr>
        <w:t xml:space="preserve">بتعيين مسؤول عن المساواة </w:t>
      </w:r>
      <w:r w:rsidR="003F4910">
        <w:rPr>
          <w:rFonts w:hint="cs"/>
          <w:rtl/>
          <w:lang w:bidi="ar-EG"/>
        </w:rPr>
        <w:t xml:space="preserve">وسيحرص، في جميع الحالات، على </w:t>
      </w:r>
      <w:r w:rsidR="00635120" w:rsidRPr="00635120">
        <w:rPr>
          <w:rFonts w:hint="cs"/>
          <w:rtl/>
          <w:lang w:bidi="ar-EG"/>
        </w:rPr>
        <w:t xml:space="preserve">إقامة التوازن في التمثيل بين الرجل والمرأة. وتلتزم الحكومة أيضاً بأن تقدم </w:t>
      </w:r>
      <w:r w:rsidR="003F4910">
        <w:rPr>
          <w:rFonts w:hint="cs"/>
          <w:rtl/>
          <w:lang w:bidi="ar-EG"/>
        </w:rPr>
        <w:t xml:space="preserve">إلى </w:t>
      </w:r>
      <w:r w:rsidR="00635120" w:rsidRPr="00635120">
        <w:rPr>
          <w:rFonts w:hint="cs"/>
          <w:rtl/>
          <w:lang w:bidi="ar-EG"/>
        </w:rPr>
        <w:t>البرلمان تقرير</w:t>
      </w:r>
      <w:r w:rsidR="003F4910">
        <w:rPr>
          <w:rFonts w:hint="cs"/>
          <w:rtl/>
          <w:lang w:bidi="ar-EG"/>
        </w:rPr>
        <w:t>اً</w:t>
      </w:r>
      <w:r w:rsidR="00635120" w:rsidRPr="00635120">
        <w:rPr>
          <w:rFonts w:hint="cs"/>
          <w:rtl/>
          <w:lang w:bidi="ar-EG"/>
        </w:rPr>
        <w:t xml:space="preserve"> سنوي</w:t>
      </w:r>
      <w:r w:rsidR="003F4910">
        <w:rPr>
          <w:rFonts w:hint="cs"/>
          <w:rtl/>
          <w:lang w:bidi="ar-EG"/>
        </w:rPr>
        <w:t>ا</w:t>
      </w:r>
      <w:r>
        <w:rPr>
          <w:rFonts w:hint="cs"/>
          <w:rtl/>
          <w:lang w:bidi="ar-EG"/>
        </w:rPr>
        <w:t xml:space="preserve"> عن سياسة تكافؤ الفرص بين</w:t>
      </w:r>
      <w:r>
        <w:rPr>
          <w:rFonts w:hint="eastAsia"/>
          <w:rtl/>
          <w:lang w:bidi="ar-EG"/>
        </w:rPr>
        <w:t> </w:t>
      </w:r>
      <w:r w:rsidR="00635120" w:rsidRPr="00635120">
        <w:rPr>
          <w:rFonts w:hint="cs"/>
          <w:rtl/>
          <w:lang w:bidi="ar-EG"/>
        </w:rPr>
        <w:t>الرجل</w:t>
      </w:r>
      <w:r w:rsidR="003F4910">
        <w:rPr>
          <w:rFonts w:hint="cs"/>
          <w:rtl/>
          <w:lang w:bidi="ar-EG"/>
        </w:rPr>
        <w:t xml:space="preserve"> </w:t>
      </w:r>
      <w:r>
        <w:rPr>
          <w:rFonts w:hint="cs"/>
          <w:rtl/>
          <w:lang w:bidi="ar-EG"/>
        </w:rPr>
        <w:t>و</w:t>
      </w:r>
      <w:r w:rsidR="003F4910" w:rsidRPr="00635120">
        <w:rPr>
          <w:rFonts w:hint="cs"/>
          <w:rtl/>
          <w:lang w:bidi="ar-EG"/>
        </w:rPr>
        <w:t>المرأة</w:t>
      </w:r>
      <w:r w:rsidR="00635120" w:rsidRPr="00635120">
        <w:rPr>
          <w:rFonts w:hint="eastAsia"/>
          <w:rtl/>
          <w:lang w:bidi="ar-EG"/>
        </w:rPr>
        <w:t>“.</w:t>
      </w:r>
    </w:p>
    <w:p w:rsidR="00635120" w:rsidRPr="00635120" w:rsidRDefault="00635120" w:rsidP="003F4910">
      <w:pPr>
        <w:pStyle w:val="SingleTxt"/>
        <w:rPr>
          <w:rFonts w:hint="cs"/>
          <w:rtl/>
          <w:lang w:bidi="ar-EG"/>
        </w:rPr>
      </w:pPr>
      <w:r w:rsidRPr="00635120">
        <w:rPr>
          <w:rFonts w:hint="cs"/>
          <w:rtl/>
          <w:lang w:bidi="ar-EG"/>
        </w:rPr>
        <w:tab/>
        <w:t xml:space="preserve">وصدر </w:t>
      </w:r>
      <w:r w:rsidR="003F4910">
        <w:rPr>
          <w:rFonts w:hint="cs"/>
          <w:rtl/>
          <w:lang w:bidi="ar-EG"/>
        </w:rPr>
        <w:t>أ</w:t>
      </w:r>
      <w:r w:rsidRPr="00635120">
        <w:rPr>
          <w:rFonts w:hint="cs"/>
          <w:rtl/>
          <w:lang w:bidi="ar-EG"/>
        </w:rPr>
        <w:t xml:space="preserve">مر في نيسان/أبريل 2006 يلزم كل وزارة إقليمية بأن تقدم </w:t>
      </w:r>
      <w:r w:rsidR="003F4910">
        <w:rPr>
          <w:rFonts w:hint="cs"/>
          <w:rtl/>
          <w:lang w:bidi="ar-EG"/>
        </w:rPr>
        <w:t xml:space="preserve">إلى </w:t>
      </w:r>
      <w:r w:rsidRPr="00635120">
        <w:rPr>
          <w:rFonts w:hint="cs"/>
          <w:rtl/>
          <w:lang w:bidi="ar-EG"/>
        </w:rPr>
        <w:t>البرلمان سنوياً كشفاً بالسياسة التي تنتهجها في مجال المساواة</w:t>
      </w:r>
      <w:r w:rsidR="00E3275E">
        <w:rPr>
          <w:rFonts w:hint="cs"/>
          <w:rtl/>
          <w:lang w:bidi="ar-EG"/>
        </w:rPr>
        <w:t xml:space="preserve"> في إطار جميع صلاحياته</w:t>
      </w:r>
      <w:r w:rsidRPr="00635120">
        <w:rPr>
          <w:rFonts w:hint="cs"/>
          <w:rtl/>
          <w:lang w:bidi="ar-EG"/>
        </w:rPr>
        <w:t>.</w:t>
      </w:r>
    </w:p>
    <w:p w:rsidR="00635120" w:rsidRPr="00635120" w:rsidRDefault="00635120" w:rsidP="003F4910">
      <w:pPr>
        <w:pStyle w:val="SingleTxt"/>
        <w:rPr>
          <w:rFonts w:hint="cs"/>
          <w:rtl/>
          <w:lang w:bidi="ar-EG"/>
        </w:rPr>
      </w:pPr>
      <w:r w:rsidRPr="00635120">
        <w:rPr>
          <w:rFonts w:hint="cs"/>
          <w:rtl/>
          <w:lang w:bidi="ar-EG"/>
        </w:rPr>
        <w:tab/>
        <w:t>ومن المهم تأكيد أن هذه الصلاحيات تشمل م</w:t>
      </w:r>
      <w:r w:rsidR="003F4910">
        <w:rPr>
          <w:rFonts w:hint="cs"/>
          <w:rtl/>
          <w:lang w:bidi="ar-EG"/>
        </w:rPr>
        <w:t>جالات عادية</w:t>
      </w:r>
      <w:r w:rsidRPr="00635120">
        <w:rPr>
          <w:rFonts w:hint="cs"/>
          <w:rtl/>
          <w:lang w:bidi="ar-EG"/>
        </w:rPr>
        <w:t xml:space="preserve"> ولكن أيضاً مجالات شملها قليل من البحث حتى الآن في ميدان المساواة؛ والإشراف على السلطات العامة، والأمن، والعمالة، والبيئة، والحراك، والنقل والإسكان، والعمل ابتداءً من الآن على ا</w:t>
      </w:r>
      <w:r w:rsidR="003F4910">
        <w:rPr>
          <w:rFonts w:hint="cs"/>
          <w:rtl/>
          <w:lang w:bidi="ar-EG"/>
        </w:rPr>
        <w:t xml:space="preserve">لعودة إلى تناول موضوعات مألوفة أكثر من غيرها، </w:t>
      </w:r>
      <w:r w:rsidRPr="00635120">
        <w:rPr>
          <w:rFonts w:hint="cs"/>
          <w:rtl/>
          <w:lang w:bidi="ar-EG"/>
        </w:rPr>
        <w:t>مثل مكان المرأة في عملية اتخاذ القرار، بما في ذلك في مجال السياسة، ومكافحة عدم الأمان في الحياة العامة</w:t>
      </w:r>
      <w:r w:rsidR="003F4910">
        <w:rPr>
          <w:rFonts w:hint="cs"/>
          <w:rtl/>
          <w:lang w:bidi="ar-EG"/>
        </w:rPr>
        <w:t>،</w:t>
      </w:r>
      <w:r w:rsidRPr="00635120">
        <w:rPr>
          <w:rFonts w:hint="cs"/>
          <w:rtl/>
          <w:lang w:bidi="ar-EG"/>
        </w:rPr>
        <w:t xml:space="preserve"> والعنف بين </w:t>
      </w:r>
      <w:r w:rsidR="003F4910">
        <w:rPr>
          <w:rFonts w:hint="cs"/>
          <w:rtl/>
          <w:lang w:bidi="ar-EG"/>
        </w:rPr>
        <w:t>القرناء ... .</w:t>
      </w:r>
    </w:p>
    <w:p w:rsidR="00635120" w:rsidRDefault="00635120" w:rsidP="002501C2">
      <w:pPr>
        <w:pStyle w:val="SingleTxt"/>
        <w:rPr>
          <w:rFonts w:hint="cs"/>
          <w:rtl/>
          <w:lang w:bidi="ar-EG"/>
        </w:rPr>
      </w:pPr>
      <w:r w:rsidRPr="00635120">
        <w:rPr>
          <w:rFonts w:hint="cs"/>
          <w:rtl/>
          <w:lang w:bidi="ar-EG"/>
        </w:rPr>
        <w:tab/>
        <w:t xml:space="preserve">ومنذ عام 2004، تم تخصيص ميزانيات خاصة ومطردة الزيادة </w:t>
      </w:r>
      <w:r w:rsidR="002501C2">
        <w:rPr>
          <w:rFonts w:hint="cs"/>
          <w:rtl/>
          <w:lang w:bidi="ar-EG"/>
        </w:rPr>
        <w:t>ل</w:t>
      </w:r>
      <w:r w:rsidRPr="00635120">
        <w:rPr>
          <w:rFonts w:hint="cs"/>
          <w:rtl/>
          <w:lang w:bidi="ar-EG"/>
        </w:rPr>
        <w:t>سياسة المساواة هذه.</w:t>
      </w:r>
    </w:p>
    <w:p w:rsidR="002501C2" w:rsidRPr="002501C2" w:rsidRDefault="002501C2" w:rsidP="002501C2">
      <w:pPr>
        <w:pStyle w:val="SingleTxt"/>
        <w:spacing w:after="0" w:line="120" w:lineRule="exact"/>
        <w:rPr>
          <w:rFonts w:hint="cs"/>
          <w:sz w:val="12"/>
          <w:rtl/>
          <w:lang w:bidi="ar-EG"/>
        </w:rPr>
      </w:pPr>
    </w:p>
    <w:p w:rsidR="00635120" w:rsidRDefault="00635120" w:rsidP="002501C2">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635120">
        <w:rPr>
          <w:rFonts w:hint="cs"/>
          <w:rtl/>
        </w:rPr>
        <w:tab/>
        <w:t>ثالثا -</w:t>
      </w:r>
      <w:r w:rsidRPr="00635120">
        <w:rPr>
          <w:rFonts w:hint="cs"/>
          <w:rtl/>
        </w:rPr>
        <w:tab/>
        <w:t>مجموعة التدابير الرامية إلى تنفيذ مختلف مواد الاتفاقية والرد على التوصيات المقدمة من اللجنة المعنية بالقضاء على التمييز ضد المرأة</w:t>
      </w:r>
    </w:p>
    <w:p w:rsidR="002501C2" w:rsidRPr="002501C2" w:rsidRDefault="002501C2" w:rsidP="002501C2">
      <w:pPr>
        <w:pStyle w:val="SingleTxt"/>
        <w:spacing w:after="0" w:line="120" w:lineRule="exact"/>
        <w:rPr>
          <w:rFonts w:hint="cs"/>
          <w:sz w:val="12"/>
          <w:rtl/>
        </w:rPr>
      </w:pPr>
    </w:p>
    <w:p w:rsidR="00635120" w:rsidRPr="00635120" w:rsidRDefault="0039161D" w:rsidP="0039161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00635120" w:rsidRPr="00635120">
        <w:rPr>
          <w:rFonts w:hint="cs"/>
          <w:rtl/>
          <w:lang w:bidi="ar-EG"/>
        </w:rPr>
        <w:t>المادة 1</w:t>
      </w:r>
    </w:p>
    <w:p w:rsidR="00635120" w:rsidRPr="00635120" w:rsidRDefault="00635120" w:rsidP="00194684">
      <w:pPr>
        <w:pStyle w:val="SingleTxt"/>
        <w:rPr>
          <w:rFonts w:hint="cs"/>
          <w:rtl/>
          <w:lang w:bidi="ar-EG"/>
        </w:rPr>
      </w:pPr>
      <w:r w:rsidRPr="00635120">
        <w:rPr>
          <w:rFonts w:hint="cs"/>
          <w:rtl/>
          <w:lang w:bidi="ar-EG"/>
        </w:rPr>
        <w:tab/>
        <w:t>لدى بلجيكا ترسانة من التدابير ذات الطابع الدستوري والتشريعي والتنظيمي والمراسيم الرامية إلى مكافحة التمييز القائم على الجنس</w:t>
      </w:r>
      <w:r w:rsidR="002501C2">
        <w:rPr>
          <w:rFonts w:hint="cs"/>
          <w:rtl/>
          <w:lang w:bidi="ar-EG"/>
        </w:rPr>
        <w:t>،</w:t>
      </w:r>
      <w:r w:rsidRPr="00635120">
        <w:rPr>
          <w:rFonts w:hint="cs"/>
          <w:rtl/>
          <w:lang w:bidi="ar-EG"/>
        </w:rPr>
        <w:t xml:space="preserve"> وكفالة احترام مبدأ المساواة بين المرأة </w:t>
      </w:r>
      <w:r w:rsidR="002501C2">
        <w:rPr>
          <w:rFonts w:hint="cs"/>
          <w:rtl/>
          <w:lang w:bidi="ar-EG"/>
        </w:rPr>
        <w:t>و</w:t>
      </w:r>
      <w:r w:rsidR="002501C2" w:rsidRPr="00635120">
        <w:rPr>
          <w:rFonts w:hint="cs"/>
          <w:rtl/>
          <w:lang w:bidi="ar-EG"/>
        </w:rPr>
        <w:t xml:space="preserve">الرجل </w:t>
      </w:r>
      <w:r w:rsidRPr="00635120">
        <w:rPr>
          <w:rFonts w:hint="cs"/>
          <w:rtl/>
          <w:lang w:bidi="ar-EG"/>
        </w:rPr>
        <w:t>في مختلف ميادين الحياة الاقتصادية والاجتماعية والثقافية والسياسية في البلد.</w:t>
      </w:r>
    </w:p>
    <w:p w:rsidR="00635120" w:rsidRDefault="00635120" w:rsidP="000137D4">
      <w:pPr>
        <w:pStyle w:val="SingleTxt"/>
        <w:rPr>
          <w:rFonts w:hint="cs"/>
          <w:rtl/>
          <w:lang w:bidi="ar-EG"/>
        </w:rPr>
      </w:pPr>
      <w:r w:rsidRPr="00635120">
        <w:rPr>
          <w:rFonts w:hint="cs"/>
          <w:rtl/>
          <w:lang w:bidi="ar-EG"/>
        </w:rPr>
        <w:tab/>
        <w:t xml:space="preserve">وبصفة عامة، فإن الأحكام القائمة تحظر أنواع التمييز المباشر وغير المباشر، والتحرش الجنسي، والتحرش القائم على الجنس، وكذلك التحريض على ممارسة التمييز القائم على الجنس. وتقضي القوانين المختلفة السارية بحق </w:t>
      </w:r>
      <w:r w:rsidR="002501C2">
        <w:rPr>
          <w:rFonts w:hint="cs"/>
          <w:rtl/>
          <w:lang w:bidi="ar-EG"/>
        </w:rPr>
        <w:t xml:space="preserve">الضحايا في الانتصاف القضائي، </w:t>
      </w:r>
      <w:r w:rsidRPr="00635120">
        <w:rPr>
          <w:rFonts w:hint="cs"/>
          <w:rtl/>
          <w:lang w:bidi="ar-EG"/>
        </w:rPr>
        <w:t>وفرض جزاءات على مرتكبي التمييز.</w:t>
      </w:r>
    </w:p>
    <w:p w:rsidR="002501C2" w:rsidRPr="002501C2" w:rsidRDefault="002501C2" w:rsidP="002501C2">
      <w:pPr>
        <w:pStyle w:val="SingleTxt"/>
        <w:spacing w:after="0" w:line="120" w:lineRule="exact"/>
        <w:rPr>
          <w:rFonts w:hint="cs"/>
          <w:sz w:val="12"/>
          <w:rtl/>
          <w:lang w:bidi="ar-EG"/>
        </w:rPr>
      </w:pPr>
    </w:p>
    <w:p w:rsidR="00635120" w:rsidRPr="00635120" w:rsidRDefault="0039161D" w:rsidP="0039161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00635120" w:rsidRPr="00635120">
        <w:rPr>
          <w:rFonts w:hint="cs"/>
          <w:rtl/>
          <w:lang w:bidi="ar-EG"/>
        </w:rPr>
        <w:t>المادة 2</w:t>
      </w:r>
    </w:p>
    <w:p w:rsidR="00635120" w:rsidRPr="00635120" w:rsidRDefault="00635120" w:rsidP="002501C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635120">
        <w:rPr>
          <w:rFonts w:hint="cs"/>
          <w:rtl/>
        </w:rPr>
        <w:tab/>
        <w:t>أولا -</w:t>
      </w:r>
      <w:r w:rsidRPr="00635120">
        <w:rPr>
          <w:rFonts w:hint="cs"/>
          <w:rtl/>
        </w:rPr>
        <w:tab/>
        <w:t>على المستوى الاتحادي</w:t>
      </w:r>
    </w:p>
    <w:p w:rsidR="00635120" w:rsidRPr="00635120" w:rsidRDefault="002501C2" w:rsidP="002501C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635120" w:rsidRPr="00635120">
        <w:rPr>
          <w:rFonts w:hint="cs"/>
          <w:rtl/>
          <w:lang w:bidi="ar-EG"/>
        </w:rPr>
        <w:t>1 -</w:t>
      </w:r>
      <w:r w:rsidR="00635120" w:rsidRPr="00635120">
        <w:rPr>
          <w:rFonts w:hint="cs"/>
          <w:rtl/>
          <w:lang w:bidi="ar-EG"/>
        </w:rPr>
        <w:tab/>
        <w:t>الالتزامات الدولية لبلجيكا في ميدان مكافحة أنواع التمييز القائم على الجنس</w:t>
      </w:r>
    </w:p>
    <w:p w:rsidR="00635120" w:rsidRPr="00635120" w:rsidRDefault="00635120" w:rsidP="000137D4">
      <w:pPr>
        <w:pStyle w:val="SingleTxt"/>
        <w:ind w:left="1930" w:hanging="663"/>
        <w:rPr>
          <w:rFonts w:hint="cs"/>
          <w:rtl/>
          <w:lang w:bidi="ar-EG"/>
        </w:rPr>
      </w:pPr>
      <w:r w:rsidRPr="002501C2">
        <w:rPr>
          <w:rFonts w:hint="cs"/>
          <w:rtl/>
          <w:lang w:bidi="ar-EG"/>
        </w:rPr>
        <w:t>1</w:t>
      </w:r>
      <w:r w:rsidR="000137D4">
        <w:rPr>
          <w:rFonts w:hint="cs"/>
          <w:rtl/>
          <w:lang w:bidi="ar-EG"/>
        </w:rPr>
        <w:t>-</w:t>
      </w:r>
      <w:r w:rsidRPr="002501C2">
        <w:rPr>
          <w:rFonts w:hint="cs"/>
          <w:rtl/>
          <w:lang w:bidi="ar-EG"/>
        </w:rPr>
        <w:t>1</w:t>
      </w:r>
      <w:r w:rsidRPr="00635120">
        <w:rPr>
          <w:rFonts w:hint="cs"/>
          <w:i/>
          <w:iCs/>
          <w:rtl/>
          <w:lang w:bidi="ar-EG"/>
        </w:rPr>
        <w:tab/>
        <w:t>رفع التحفظ المق</w:t>
      </w:r>
      <w:r w:rsidR="002501C2">
        <w:rPr>
          <w:rFonts w:hint="cs"/>
          <w:i/>
          <w:iCs/>
          <w:rtl/>
          <w:lang w:bidi="ar-EG"/>
        </w:rPr>
        <w:t>د</w:t>
      </w:r>
      <w:r w:rsidRPr="00635120">
        <w:rPr>
          <w:rFonts w:hint="cs"/>
          <w:i/>
          <w:iCs/>
          <w:rtl/>
          <w:lang w:bidi="ar-EG"/>
        </w:rPr>
        <w:t>م على الفقرتين 2 و 3 من المادة 15 من اتفاقية القضاء على جميع أشكال التمييز ضد المرأة</w:t>
      </w:r>
    </w:p>
    <w:p w:rsidR="00635120" w:rsidRPr="00635120" w:rsidRDefault="00635120" w:rsidP="00635120">
      <w:pPr>
        <w:pStyle w:val="SingleTxt"/>
        <w:rPr>
          <w:rFonts w:hint="cs"/>
          <w:rtl/>
          <w:lang w:bidi="ar-EG"/>
        </w:rPr>
      </w:pPr>
      <w:r w:rsidRPr="00635120">
        <w:rPr>
          <w:rFonts w:hint="cs"/>
          <w:rtl/>
          <w:lang w:bidi="ar-EG"/>
        </w:rPr>
        <w:tab/>
        <w:t>في 8 تموز/يوليه 2002، أخطرت الحكومة البلجيكية رسمياً الأمين العام بقرارها رفع هذا التحفظ.</w:t>
      </w:r>
    </w:p>
    <w:p w:rsidR="00635120" w:rsidRPr="00635120" w:rsidRDefault="002501C2" w:rsidP="000137D4">
      <w:pPr>
        <w:pStyle w:val="SingleTxt"/>
        <w:ind w:left="1930" w:hanging="663"/>
        <w:rPr>
          <w:rFonts w:hint="cs"/>
          <w:rtl/>
          <w:lang w:bidi="ar-EG"/>
        </w:rPr>
      </w:pPr>
      <w:r w:rsidRPr="002501C2">
        <w:rPr>
          <w:rFonts w:hint="cs"/>
          <w:rtl/>
          <w:lang w:bidi="ar-EG"/>
        </w:rPr>
        <w:t>1-2</w:t>
      </w:r>
      <w:r w:rsidR="00635120" w:rsidRPr="00635120">
        <w:rPr>
          <w:rFonts w:hint="cs"/>
          <w:i/>
          <w:iCs/>
          <w:rtl/>
          <w:lang w:bidi="ar-EG"/>
        </w:rPr>
        <w:tab/>
        <w:t>التصديق على البروتوكول الاختياري الملحق باتفاقية القضاء على جميع أشكال التمييز ضد المرأة</w:t>
      </w:r>
    </w:p>
    <w:p w:rsidR="00635120" w:rsidRPr="00635120" w:rsidRDefault="00635120" w:rsidP="00635120">
      <w:pPr>
        <w:pStyle w:val="SingleTxt"/>
        <w:rPr>
          <w:rFonts w:hint="cs"/>
          <w:rtl/>
          <w:lang w:bidi="ar-EG"/>
        </w:rPr>
      </w:pPr>
      <w:r w:rsidRPr="00635120">
        <w:rPr>
          <w:rFonts w:hint="cs"/>
          <w:rtl/>
          <w:lang w:bidi="ar-EG"/>
        </w:rPr>
        <w:tab/>
        <w:t>صدَّقت بلجيكا على البروتوكول الاختياري الملحق باتفاقية القضاء على جميع أشكال التمييز ضد المرأة في 17 حزيران/يونيه 2004 وأصبح ساريا في 17 أيلول/سبتمبر 2004.</w:t>
      </w:r>
    </w:p>
    <w:p w:rsidR="00635120" w:rsidRPr="00635120" w:rsidRDefault="00635120" w:rsidP="00635120">
      <w:pPr>
        <w:pStyle w:val="SingleTxt"/>
        <w:rPr>
          <w:rFonts w:hint="cs"/>
          <w:rtl/>
          <w:lang w:bidi="ar-EG"/>
        </w:rPr>
      </w:pPr>
      <w:r w:rsidRPr="00635120">
        <w:rPr>
          <w:rFonts w:hint="cs"/>
          <w:rtl/>
          <w:lang w:bidi="ar-EG"/>
        </w:rPr>
        <w:tab/>
        <w:t>ولم تقدم أي رسالة حتى يومنا هذا إلى السلطات البلجيكية.</w:t>
      </w:r>
    </w:p>
    <w:p w:rsidR="00635120" w:rsidRPr="00635120" w:rsidRDefault="00635120" w:rsidP="000137D4">
      <w:pPr>
        <w:pStyle w:val="SingleTxt"/>
        <w:ind w:left="1930" w:hanging="663"/>
        <w:rPr>
          <w:rFonts w:hint="cs"/>
          <w:i/>
          <w:iCs/>
          <w:rtl/>
          <w:lang w:bidi="ar-EG"/>
        </w:rPr>
      </w:pPr>
      <w:r w:rsidRPr="002501C2">
        <w:rPr>
          <w:rFonts w:hint="cs"/>
          <w:rtl/>
          <w:lang w:bidi="ar-EG"/>
        </w:rPr>
        <w:t>1</w:t>
      </w:r>
      <w:r w:rsidR="000137D4">
        <w:rPr>
          <w:rFonts w:hint="cs"/>
          <w:rtl/>
          <w:lang w:bidi="ar-EG"/>
        </w:rPr>
        <w:t>-</w:t>
      </w:r>
      <w:r w:rsidRPr="002501C2">
        <w:rPr>
          <w:rFonts w:hint="cs"/>
          <w:rtl/>
          <w:lang w:bidi="ar-EG"/>
        </w:rPr>
        <w:t xml:space="preserve">3 </w:t>
      </w:r>
      <w:r w:rsidRPr="00635120">
        <w:rPr>
          <w:rFonts w:hint="cs"/>
          <w:i/>
          <w:iCs/>
          <w:rtl/>
          <w:lang w:bidi="ar-EG"/>
        </w:rPr>
        <w:tab/>
        <w:t xml:space="preserve">التصديق على البروتوكول </w:t>
      </w:r>
      <w:r w:rsidR="002501C2">
        <w:rPr>
          <w:rFonts w:hint="cs"/>
          <w:i/>
          <w:iCs/>
          <w:rtl/>
          <w:lang w:bidi="ar-EG"/>
        </w:rPr>
        <w:t xml:space="preserve">الإضافي </w:t>
      </w:r>
      <w:r w:rsidRPr="00635120">
        <w:rPr>
          <w:rFonts w:hint="cs"/>
          <w:i/>
          <w:iCs/>
          <w:rtl/>
          <w:lang w:bidi="ar-EG"/>
        </w:rPr>
        <w:t>المؤرخ 25 أيار/مايو 2000 وا</w:t>
      </w:r>
      <w:r w:rsidR="002501C2">
        <w:rPr>
          <w:rFonts w:hint="cs"/>
          <w:i/>
          <w:iCs/>
          <w:rtl/>
          <w:lang w:bidi="ar-EG"/>
        </w:rPr>
        <w:t xml:space="preserve">لملحق باتفاقية حقوق الطفل، والمتعلق بمشاركة الأطفال في النـزاعات المسلحة، وذلك </w:t>
      </w:r>
      <w:r w:rsidR="000137D4">
        <w:rPr>
          <w:rFonts w:hint="cs"/>
          <w:i/>
          <w:iCs/>
          <w:rtl/>
          <w:lang w:bidi="ar-EG"/>
        </w:rPr>
        <w:t>في 6</w:t>
      </w:r>
      <w:r w:rsidR="000137D4">
        <w:rPr>
          <w:rFonts w:hint="eastAsia"/>
          <w:i/>
          <w:iCs/>
          <w:rtl/>
          <w:lang w:bidi="ar-EG"/>
        </w:rPr>
        <w:t> </w:t>
      </w:r>
      <w:r w:rsidRPr="00635120">
        <w:rPr>
          <w:rFonts w:hint="cs"/>
          <w:i/>
          <w:iCs/>
          <w:rtl/>
          <w:lang w:bidi="ar-EG"/>
        </w:rPr>
        <w:t>أيار/مايو 2002.</w:t>
      </w:r>
    </w:p>
    <w:p w:rsidR="00635120" w:rsidRPr="00635120" w:rsidRDefault="00635120" w:rsidP="000137D4">
      <w:pPr>
        <w:pStyle w:val="SingleTxt"/>
        <w:ind w:left="1930" w:hanging="663"/>
        <w:rPr>
          <w:rFonts w:hint="cs"/>
          <w:i/>
          <w:iCs/>
          <w:rtl/>
          <w:lang w:bidi="ar-EG"/>
        </w:rPr>
      </w:pPr>
      <w:r w:rsidRPr="002501C2">
        <w:rPr>
          <w:rFonts w:hint="cs"/>
          <w:rtl/>
          <w:lang w:bidi="ar-EG"/>
        </w:rPr>
        <w:t>1</w:t>
      </w:r>
      <w:r w:rsidR="000137D4">
        <w:rPr>
          <w:rFonts w:hint="cs"/>
          <w:rtl/>
          <w:lang w:bidi="ar-EG"/>
        </w:rPr>
        <w:t>-</w:t>
      </w:r>
      <w:r w:rsidRPr="002501C2">
        <w:rPr>
          <w:rFonts w:hint="cs"/>
          <w:rtl/>
          <w:lang w:bidi="ar-EG"/>
        </w:rPr>
        <w:t xml:space="preserve">4 </w:t>
      </w:r>
      <w:r w:rsidRPr="00635120">
        <w:rPr>
          <w:rFonts w:hint="cs"/>
          <w:i/>
          <w:iCs/>
          <w:rtl/>
          <w:lang w:bidi="ar-EG"/>
        </w:rPr>
        <w:tab/>
        <w:t>التصديق على اتفاقية الأمم المتحدة لمكافحة الجريمة المنظمة العابرة للحدود الوطنية وكذلك البروتوكول الاختياري الملحق بها والرامي إلى منع وقمع الاتجار بالأشخاص، وبخاصة النساء والأطفال، والمعاقبة عليه، وذ</w:t>
      </w:r>
      <w:r w:rsidR="002501C2">
        <w:rPr>
          <w:rFonts w:hint="cs"/>
          <w:i/>
          <w:iCs/>
          <w:rtl/>
          <w:lang w:bidi="ar-EG"/>
        </w:rPr>
        <w:t>لك</w:t>
      </w:r>
      <w:r w:rsidRPr="00635120">
        <w:rPr>
          <w:rFonts w:hint="cs"/>
          <w:i/>
          <w:iCs/>
          <w:rtl/>
          <w:lang w:bidi="ar-EG"/>
        </w:rPr>
        <w:t xml:space="preserve"> في 11 آب/أغسطس 2004.</w:t>
      </w:r>
    </w:p>
    <w:p w:rsidR="00635120" w:rsidRPr="00635120" w:rsidRDefault="00635120" w:rsidP="000137D4">
      <w:pPr>
        <w:pStyle w:val="SingleTxt"/>
        <w:rPr>
          <w:rFonts w:hint="cs"/>
          <w:rtl/>
          <w:lang w:bidi="ar-EG"/>
        </w:rPr>
      </w:pPr>
      <w:r w:rsidRPr="002501C2">
        <w:rPr>
          <w:rFonts w:hint="cs"/>
          <w:rtl/>
          <w:lang w:bidi="ar-EG"/>
        </w:rPr>
        <w:t>1</w:t>
      </w:r>
      <w:r w:rsidR="000137D4">
        <w:rPr>
          <w:rFonts w:hint="cs"/>
          <w:rtl/>
          <w:lang w:bidi="ar-EG"/>
        </w:rPr>
        <w:t>-</w:t>
      </w:r>
      <w:r w:rsidRPr="002501C2">
        <w:rPr>
          <w:rFonts w:hint="cs"/>
          <w:rtl/>
          <w:lang w:bidi="ar-EG"/>
        </w:rPr>
        <w:t xml:space="preserve">5 </w:t>
      </w:r>
      <w:r w:rsidRPr="00635120">
        <w:rPr>
          <w:rFonts w:hint="cs"/>
          <w:i/>
          <w:iCs/>
          <w:rtl/>
          <w:lang w:bidi="ar-EG"/>
        </w:rPr>
        <w:tab/>
        <w:t>توقيع البروتوكول السابع الملحق بالاتفاقية الأوروبية لحقوق الإنسان</w:t>
      </w:r>
    </w:p>
    <w:p w:rsidR="00635120" w:rsidRPr="00635120" w:rsidRDefault="00635120" w:rsidP="002501C2">
      <w:pPr>
        <w:pStyle w:val="SingleTxt"/>
        <w:rPr>
          <w:rFonts w:hint="cs"/>
          <w:rtl/>
          <w:lang w:bidi="ar-EG"/>
        </w:rPr>
      </w:pPr>
      <w:r w:rsidRPr="00635120">
        <w:rPr>
          <w:rFonts w:hint="cs"/>
          <w:rtl/>
          <w:lang w:bidi="ar-EG"/>
        </w:rPr>
        <w:tab/>
        <w:t xml:space="preserve">على الصعيد الأوروبي، وقَّعت بلجيكا في 11 أيار/مايو 2005 البروتوكول السابع الملحق بالاتفاقية الأوروبية لحماية حقوق الإنسان والحريات الأساسية، </w:t>
      </w:r>
      <w:r w:rsidR="002501C2">
        <w:rPr>
          <w:rFonts w:hint="cs"/>
          <w:rtl/>
          <w:lang w:bidi="ar-EG"/>
        </w:rPr>
        <w:t>الذي</w:t>
      </w:r>
      <w:r w:rsidRPr="00635120">
        <w:rPr>
          <w:rFonts w:hint="cs"/>
          <w:rtl/>
          <w:lang w:bidi="ar-EG"/>
        </w:rPr>
        <w:t xml:space="preserve"> تكفل </w:t>
      </w:r>
      <w:r w:rsidR="002501C2">
        <w:rPr>
          <w:rFonts w:hint="cs"/>
          <w:rtl/>
          <w:lang w:bidi="ar-EG"/>
        </w:rPr>
        <w:t>ال</w:t>
      </w:r>
      <w:r w:rsidRPr="00635120">
        <w:rPr>
          <w:rFonts w:hint="cs"/>
          <w:rtl/>
          <w:lang w:bidi="ar-EG"/>
        </w:rPr>
        <w:t>ماد</w:t>
      </w:r>
      <w:r w:rsidR="002501C2">
        <w:rPr>
          <w:rFonts w:hint="cs"/>
          <w:rtl/>
          <w:lang w:bidi="ar-EG"/>
        </w:rPr>
        <w:t>ة</w:t>
      </w:r>
      <w:r w:rsidRPr="00635120">
        <w:rPr>
          <w:rFonts w:hint="cs"/>
          <w:rtl/>
          <w:lang w:bidi="ar-EG"/>
        </w:rPr>
        <w:t xml:space="preserve"> الخامسة </w:t>
      </w:r>
      <w:r w:rsidR="002501C2">
        <w:rPr>
          <w:rFonts w:hint="cs"/>
          <w:rtl/>
          <w:lang w:bidi="ar-EG"/>
        </w:rPr>
        <w:t xml:space="preserve">منه </w:t>
      </w:r>
      <w:r w:rsidRPr="00635120">
        <w:rPr>
          <w:rFonts w:hint="cs"/>
          <w:rtl/>
          <w:lang w:bidi="ar-EG"/>
        </w:rPr>
        <w:t>مبدأ المساواة بين الزوجين فيما يتعلق بحقوقهما ومسؤولياتهما ذات الطابع المدني فيما بينهما وفي علاقاتهما مع الأطفال من حيث الزواج وأثناء الزواج و</w:t>
      </w:r>
      <w:r w:rsidR="002501C2">
        <w:rPr>
          <w:rFonts w:hint="cs"/>
          <w:rtl/>
          <w:lang w:bidi="ar-EG"/>
        </w:rPr>
        <w:t>عند فسخه</w:t>
      </w:r>
      <w:r w:rsidRPr="00635120">
        <w:rPr>
          <w:rFonts w:hint="cs"/>
          <w:rtl/>
          <w:lang w:bidi="ar-EG"/>
        </w:rPr>
        <w:t>. وتم إقرار مشروع القانون المتعلق بال</w:t>
      </w:r>
      <w:r w:rsidR="002501C2">
        <w:rPr>
          <w:rFonts w:hint="cs"/>
          <w:rtl/>
          <w:lang w:bidi="ar-EG"/>
        </w:rPr>
        <w:t xml:space="preserve">موافقة </w:t>
      </w:r>
      <w:r w:rsidRPr="00635120">
        <w:rPr>
          <w:rFonts w:hint="cs"/>
          <w:rtl/>
          <w:lang w:bidi="ar-EG"/>
        </w:rPr>
        <w:t>على البروتوكول السابع الملحق بالاتفاقية الأوروبية لحقوق الإنسان في الجلسة العامة لمجلس الشيوخ في 14 كانون الأول/ديسمبر 2006 وفي الجلسة العامة لمجلس النواب في 18 كانون الثاني/يناير 2007.</w:t>
      </w:r>
    </w:p>
    <w:p w:rsidR="00635120" w:rsidRPr="00635120" w:rsidRDefault="00635120" w:rsidP="000137D4">
      <w:pPr>
        <w:pStyle w:val="SingleTxt"/>
        <w:rPr>
          <w:rFonts w:hint="cs"/>
          <w:rtl/>
          <w:lang w:bidi="ar-EG"/>
        </w:rPr>
      </w:pPr>
      <w:r w:rsidRPr="0033602F">
        <w:rPr>
          <w:rFonts w:hint="cs"/>
          <w:rtl/>
          <w:lang w:bidi="ar-EG"/>
        </w:rPr>
        <w:t>1</w:t>
      </w:r>
      <w:r w:rsidR="000137D4">
        <w:rPr>
          <w:rFonts w:hint="cs"/>
          <w:rtl/>
          <w:lang w:bidi="ar-EG"/>
        </w:rPr>
        <w:t>-</w:t>
      </w:r>
      <w:r w:rsidRPr="0033602F">
        <w:rPr>
          <w:rFonts w:hint="cs"/>
          <w:rtl/>
          <w:lang w:bidi="ar-EG"/>
        </w:rPr>
        <w:t xml:space="preserve">6 </w:t>
      </w:r>
      <w:r w:rsidRPr="00635120">
        <w:rPr>
          <w:rFonts w:hint="cs"/>
          <w:i/>
          <w:iCs/>
          <w:rtl/>
          <w:lang w:bidi="ar-EG"/>
        </w:rPr>
        <w:tab/>
        <w:t>توقيع البروتوكول الثاني عشر الملحق بالاتفاقية الأوروبية لحقوق الإنسان</w:t>
      </w:r>
    </w:p>
    <w:p w:rsidR="00635120" w:rsidRDefault="00635120" w:rsidP="0033602F">
      <w:pPr>
        <w:pStyle w:val="SingleTxt"/>
        <w:rPr>
          <w:rFonts w:hint="cs"/>
          <w:rtl/>
          <w:lang w:bidi="ar-EG"/>
        </w:rPr>
      </w:pPr>
      <w:r w:rsidRPr="00635120">
        <w:rPr>
          <w:rFonts w:hint="cs"/>
          <w:rtl/>
          <w:lang w:bidi="ar-EG"/>
        </w:rPr>
        <w:tab/>
      </w:r>
      <w:r w:rsidR="0033602F">
        <w:rPr>
          <w:rFonts w:hint="cs"/>
          <w:rtl/>
          <w:lang w:bidi="ar-EG"/>
        </w:rPr>
        <w:t xml:space="preserve">صدّقت عدة كيانات اتحادية </w:t>
      </w:r>
      <w:r w:rsidRPr="00635120">
        <w:rPr>
          <w:rFonts w:hint="cs"/>
          <w:rtl/>
          <w:lang w:bidi="ar-EG"/>
        </w:rPr>
        <w:t>على البروتوكول الثاني عشر الملحق بالاتفاقية الأوروبية لحماية حقوق الإنسان والحريات الأساسية</w:t>
      </w:r>
      <w:r w:rsidR="0033602F">
        <w:rPr>
          <w:rFonts w:hint="cs"/>
          <w:rtl/>
          <w:lang w:bidi="ar-EG"/>
        </w:rPr>
        <w:t>.</w:t>
      </w:r>
      <w:r w:rsidRPr="00635120">
        <w:rPr>
          <w:rFonts w:hint="cs"/>
          <w:rtl/>
          <w:lang w:bidi="ar-EG"/>
        </w:rPr>
        <w:t xml:space="preserve"> ومن المقرر أن تصدق عليه بلجيكا في عام 2007.</w:t>
      </w:r>
    </w:p>
    <w:p w:rsidR="0033602F" w:rsidRPr="0033602F" w:rsidRDefault="0033602F" w:rsidP="0033602F">
      <w:pPr>
        <w:pStyle w:val="SingleTxt"/>
        <w:spacing w:after="0" w:line="120" w:lineRule="exact"/>
        <w:rPr>
          <w:rFonts w:hint="cs"/>
          <w:sz w:val="12"/>
          <w:rtl/>
          <w:lang w:bidi="ar-EG"/>
        </w:rPr>
      </w:pPr>
    </w:p>
    <w:p w:rsidR="00635120" w:rsidRPr="00635120" w:rsidRDefault="00635120" w:rsidP="0033602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sidRPr="00635120">
        <w:rPr>
          <w:rFonts w:hint="cs"/>
          <w:rtl/>
          <w:lang w:bidi="ar-EG"/>
        </w:rPr>
        <w:tab/>
        <w:t>2 -</w:t>
      </w:r>
      <w:r w:rsidRPr="00635120">
        <w:rPr>
          <w:rFonts w:hint="cs"/>
          <w:rtl/>
          <w:lang w:bidi="ar-EG"/>
        </w:rPr>
        <w:tab/>
        <w:t>تعديل الدستور</w:t>
      </w:r>
    </w:p>
    <w:p w:rsidR="00635120" w:rsidRPr="00635120" w:rsidRDefault="00635120" w:rsidP="0033602F">
      <w:pPr>
        <w:pStyle w:val="SingleTxt"/>
        <w:rPr>
          <w:rFonts w:hint="cs"/>
          <w:rtl/>
          <w:lang w:bidi="ar-EG"/>
        </w:rPr>
      </w:pPr>
      <w:r w:rsidRPr="00635120">
        <w:rPr>
          <w:rFonts w:hint="cs"/>
          <w:rtl/>
          <w:lang w:bidi="ar-EG"/>
        </w:rPr>
        <w:tab/>
        <w:t xml:space="preserve">تم إدراج حكم نوعي يكفل مبدأ المساواة بين الرجل والمرأة في المادة 10 من الدستور البلجيكي </w:t>
      </w:r>
      <w:r w:rsidR="0033602F">
        <w:rPr>
          <w:rFonts w:hint="cs"/>
          <w:rtl/>
          <w:lang w:bidi="ar-EG"/>
        </w:rPr>
        <w:t>في</w:t>
      </w:r>
      <w:r w:rsidRPr="00635120">
        <w:rPr>
          <w:rFonts w:hint="cs"/>
          <w:rtl/>
          <w:lang w:bidi="ar-EG"/>
        </w:rPr>
        <w:t xml:space="preserve"> 21 شباط/فبراير 2002.</w:t>
      </w:r>
    </w:p>
    <w:p w:rsidR="00635120" w:rsidRDefault="00635120" w:rsidP="00E3275E">
      <w:pPr>
        <w:pStyle w:val="SingleTxt"/>
        <w:rPr>
          <w:rFonts w:hint="cs"/>
          <w:rtl/>
          <w:lang w:bidi="ar-EG"/>
        </w:rPr>
      </w:pPr>
      <w:r w:rsidRPr="00635120">
        <w:rPr>
          <w:rFonts w:hint="cs"/>
          <w:rtl/>
          <w:lang w:bidi="ar-EG"/>
        </w:rPr>
        <w:tab/>
        <w:t>وإلى جانب ذلك، فإن مادة جديدة من الدستور البلجيكي تح</w:t>
      </w:r>
      <w:r w:rsidR="003122F1">
        <w:rPr>
          <w:rFonts w:hint="cs"/>
          <w:rtl/>
          <w:lang w:bidi="ar-EG"/>
        </w:rPr>
        <w:t>مل ال</w:t>
      </w:r>
      <w:r w:rsidRPr="00635120">
        <w:rPr>
          <w:rFonts w:hint="cs"/>
          <w:rtl/>
          <w:lang w:bidi="ar-EG"/>
        </w:rPr>
        <w:t xml:space="preserve">رقم 11 مكرراً تلزم المشرع باعتماد تدابير تهدف إلى </w:t>
      </w:r>
      <w:r w:rsidR="003122F1">
        <w:rPr>
          <w:rFonts w:hint="cs"/>
          <w:rtl/>
          <w:lang w:bidi="ar-EG"/>
        </w:rPr>
        <w:t xml:space="preserve">ضمان </w:t>
      </w:r>
      <w:r w:rsidRPr="00635120">
        <w:rPr>
          <w:rFonts w:hint="cs"/>
          <w:rtl/>
          <w:lang w:bidi="ar-EG"/>
        </w:rPr>
        <w:t>هذه المساواة، و</w:t>
      </w:r>
      <w:r w:rsidR="003122F1">
        <w:rPr>
          <w:rFonts w:hint="cs"/>
          <w:rtl/>
          <w:lang w:bidi="ar-EG"/>
        </w:rPr>
        <w:t>ب</w:t>
      </w:r>
      <w:r w:rsidRPr="00635120">
        <w:rPr>
          <w:rFonts w:hint="cs"/>
          <w:rtl/>
          <w:lang w:bidi="ar-EG"/>
        </w:rPr>
        <w:t>خاصة بما يكفل تساوي فرص وصول الرجل والمرأة إلى المناصب الانتخابية والعامة، وهكذا تم منذ عام 2002 اعتماد تشريعات مختلفة بغية ضمان المساواة في الإد</w:t>
      </w:r>
      <w:r w:rsidR="003122F1">
        <w:rPr>
          <w:rFonts w:hint="cs"/>
          <w:rtl/>
          <w:lang w:bidi="ar-EG"/>
        </w:rPr>
        <w:t>راج في القوائم الانتخابية (راجع</w:t>
      </w:r>
      <w:r w:rsidR="003122F1">
        <w:rPr>
          <w:rFonts w:hint="eastAsia"/>
          <w:rtl/>
          <w:lang w:bidi="ar-EG"/>
        </w:rPr>
        <w:t> </w:t>
      </w:r>
      <w:r w:rsidRPr="00635120">
        <w:rPr>
          <w:rFonts w:hint="cs"/>
          <w:rtl/>
          <w:lang w:bidi="ar-EG"/>
        </w:rPr>
        <w:t>المادة 7). وأخيراً، فإن هذا ال</w:t>
      </w:r>
      <w:r w:rsidR="003122F1">
        <w:rPr>
          <w:rFonts w:hint="cs"/>
          <w:rtl/>
          <w:lang w:bidi="ar-EG"/>
        </w:rPr>
        <w:t>حكم</w:t>
      </w:r>
      <w:r w:rsidRPr="00635120">
        <w:rPr>
          <w:rFonts w:hint="cs"/>
          <w:rtl/>
          <w:lang w:bidi="ar-EG"/>
        </w:rPr>
        <w:t xml:space="preserve"> ذاته يقضي بأن تقوم السلطة التنفيذية من مختلف مستويات السلطة بتعيين أشخاص من بين الجنسين.</w:t>
      </w:r>
    </w:p>
    <w:p w:rsidR="003122F1" w:rsidRPr="003122F1" w:rsidRDefault="003122F1" w:rsidP="003122F1">
      <w:pPr>
        <w:pStyle w:val="SingleTxt"/>
        <w:spacing w:after="0" w:line="120" w:lineRule="exact"/>
        <w:rPr>
          <w:rFonts w:hint="cs"/>
          <w:sz w:val="12"/>
          <w:rtl/>
          <w:lang w:bidi="ar-EG"/>
        </w:rPr>
      </w:pPr>
    </w:p>
    <w:p w:rsidR="00635120" w:rsidRPr="00635120" w:rsidRDefault="00635120" w:rsidP="003122F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sidRPr="00635120">
        <w:rPr>
          <w:rFonts w:hint="cs"/>
          <w:rtl/>
          <w:lang w:bidi="ar-EG"/>
        </w:rPr>
        <w:tab/>
        <w:t>3 -</w:t>
      </w:r>
      <w:r w:rsidRPr="00635120">
        <w:rPr>
          <w:rFonts w:hint="cs"/>
          <w:rtl/>
          <w:lang w:bidi="ar-EG"/>
        </w:rPr>
        <w:tab/>
        <w:t>التدابير التشريعية الرامية إلى مكافحة أنواع التمييز القائم على الجنس والمعتمدة منذ عام 2002</w:t>
      </w:r>
    </w:p>
    <w:p w:rsidR="00635120" w:rsidRPr="00635120" w:rsidRDefault="00635120" w:rsidP="000137D4">
      <w:pPr>
        <w:pStyle w:val="SingleTxt"/>
        <w:ind w:left="1930" w:hanging="663"/>
        <w:rPr>
          <w:rFonts w:hint="cs"/>
          <w:rtl/>
          <w:lang w:bidi="ar-EG"/>
        </w:rPr>
      </w:pPr>
      <w:r w:rsidRPr="003122F1">
        <w:rPr>
          <w:rFonts w:hint="cs"/>
          <w:rtl/>
          <w:lang w:bidi="ar-EG"/>
        </w:rPr>
        <w:t>3</w:t>
      </w:r>
      <w:r w:rsidR="000137D4">
        <w:rPr>
          <w:rFonts w:hint="cs"/>
          <w:rtl/>
          <w:lang w:bidi="ar-EG"/>
        </w:rPr>
        <w:t>-</w:t>
      </w:r>
      <w:r w:rsidRPr="003122F1">
        <w:rPr>
          <w:rFonts w:hint="cs"/>
          <w:rtl/>
          <w:lang w:bidi="ar-EG"/>
        </w:rPr>
        <w:t xml:space="preserve">1 </w:t>
      </w:r>
      <w:r w:rsidRPr="00635120">
        <w:rPr>
          <w:rFonts w:hint="cs"/>
          <w:i/>
          <w:iCs/>
          <w:rtl/>
          <w:lang w:bidi="ar-EG"/>
        </w:rPr>
        <w:tab/>
      </w:r>
      <w:r w:rsidRPr="003122F1">
        <w:rPr>
          <w:rFonts w:hint="cs"/>
          <w:rtl/>
          <w:lang w:bidi="ar-EG"/>
        </w:rPr>
        <w:t>القانون المؤرخ 25 شباط/فبراير 2003 الرامي إلى مكافحة التمييز والمعدل للقانون الصادر</w:t>
      </w:r>
      <w:r w:rsidR="003122F1" w:rsidRPr="003122F1">
        <w:rPr>
          <w:rFonts w:hint="cs"/>
          <w:rtl/>
          <w:lang w:bidi="ar-EG"/>
        </w:rPr>
        <w:t xml:space="preserve"> في</w:t>
      </w:r>
      <w:r w:rsidRPr="003122F1">
        <w:rPr>
          <w:rFonts w:hint="cs"/>
          <w:rtl/>
          <w:lang w:bidi="ar-EG"/>
        </w:rPr>
        <w:t xml:space="preserve"> 15 شباط/فبراير 199</w:t>
      </w:r>
      <w:r w:rsidR="003122F1" w:rsidRPr="003122F1">
        <w:rPr>
          <w:rFonts w:hint="cs"/>
          <w:rtl/>
          <w:lang w:bidi="ar-EG"/>
        </w:rPr>
        <w:t>3</w:t>
      </w:r>
      <w:r w:rsidRPr="003122F1">
        <w:rPr>
          <w:rFonts w:hint="cs"/>
          <w:rtl/>
          <w:lang w:bidi="ar-EG"/>
        </w:rPr>
        <w:t xml:space="preserve"> </w:t>
      </w:r>
      <w:r w:rsidR="003122F1" w:rsidRPr="003122F1">
        <w:rPr>
          <w:rFonts w:hint="cs"/>
          <w:rtl/>
          <w:lang w:bidi="ar-EG"/>
        </w:rPr>
        <w:t>المنشئ ل</w:t>
      </w:r>
      <w:r w:rsidRPr="003122F1">
        <w:rPr>
          <w:rFonts w:hint="cs"/>
          <w:rtl/>
          <w:lang w:bidi="ar-EG"/>
        </w:rPr>
        <w:t>مركز لتكافؤ الفرص ومكافحة العنصرية (ا</w:t>
      </w:r>
      <w:r w:rsidR="003122F1" w:rsidRPr="003122F1">
        <w:rPr>
          <w:rFonts w:hint="cs"/>
          <w:rtl/>
          <w:lang w:bidi="ar-EG"/>
        </w:rPr>
        <w:t xml:space="preserve">لجريدة الرسمية الصادرة في </w:t>
      </w:r>
      <w:r w:rsidRPr="003122F1">
        <w:rPr>
          <w:rFonts w:hint="cs"/>
          <w:rtl/>
          <w:lang w:bidi="ar-EG"/>
        </w:rPr>
        <w:t>17 آذار/مارس 2003)</w:t>
      </w:r>
      <w:r w:rsidRPr="00635120">
        <w:rPr>
          <w:rFonts w:hint="cs"/>
          <w:rtl/>
          <w:lang w:bidi="ar-EG"/>
        </w:rPr>
        <w:t>.</w:t>
      </w:r>
    </w:p>
    <w:p w:rsidR="00635120" w:rsidRPr="00635120" w:rsidRDefault="00635120" w:rsidP="003122F1">
      <w:pPr>
        <w:pStyle w:val="SingleTxt"/>
        <w:rPr>
          <w:rFonts w:hint="cs"/>
          <w:rtl/>
          <w:lang w:bidi="ar-EG"/>
        </w:rPr>
      </w:pPr>
      <w:r w:rsidRPr="00635120">
        <w:rPr>
          <w:rFonts w:hint="cs"/>
          <w:rtl/>
          <w:lang w:bidi="ar-EG"/>
        </w:rPr>
        <w:tab/>
        <w:t>ويمكن اعتبار القانون المؤرخ 25 شباط/فبراير 2003</w:t>
      </w:r>
      <w:r w:rsidRPr="00635120">
        <w:rPr>
          <w:vertAlign w:val="superscript"/>
          <w:rtl/>
          <w:lang w:bidi="ar-EG"/>
        </w:rPr>
        <w:t>(</w:t>
      </w:r>
      <w:r w:rsidRPr="00635120">
        <w:rPr>
          <w:vertAlign w:val="superscript"/>
          <w:rtl/>
        </w:rPr>
        <w:footnoteReference w:id="2"/>
      </w:r>
      <w:r w:rsidRPr="00635120">
        <w:rPr>
          <w:vertAlign w:val="superscript"/>
          <w:rtl/>
          <w:lang w:bidi="ar-EG"/>
        </w:rPr>
        <w:t>)</w:t>
      </w:r>
      <w:r w:rsidRPr="00635120">
        <w:rPr>
          <w:rFonts w:hint="cs"/>
          <w:rtl/>
          <w:lang w:bidi="ar-EG"/>
        </w:rPr>
        <w:t xml:space="preserve"> قانوناً مناهضاً للتمييز </w:t>
      </w:r>
      <w:r w:rsidR="003122F1">
        <w:rPr>
          <w:rFonts w:hint="cs"/>
          <w:rtl/>
          <w:lang w:bidi="ar-EG"/>
        </w:rPr>
        <w:t>ذا</w:t>
      </w:r>
      <w:r w:rsidR="003122F1">
        <w:rPr>
          <w:rFonts w:hint="eastAsia"/>
          <w:rtl/>
          <w:lang w:bidi="ar-EG"/>
        </w:rPr>
        <w:t> </w:t>
      </w:r>
      <w:r w:rsidR="003122F1">
        <w:rPr>
          <w:rFonts w:hint="cs"/>
          <w:rtl/>
          <w:lang w:bidi="ar-EG"/>
        </w:rPr>
        <w:t xml:space="preserve">نطاق </w:t>
      </w:r>
      <w:r w:rsidRPr="00635120">
        <w:rPr>
          <w:rFonts w:hint="cs"/>
          <w:rtl/>
          <w:lang w:bidi="ar-EG"/>
        </w:rPr>
        <w:t>عام عقب الإلغاء الجزئي لبعض الأحكام بموجب قرار صادر عن محكمة التحكيم في 6 تشرين الأول/أكتوبر 2004، بحظر أي حصر لدوافع التمييز المشمولة بالقانون المذكور.</w:t>
      </w:r>
    </w:p>
    <w:p w:rsidR="00635120" w:rsidRPr="00635120" w:rsidRDefault="00635120" w:rsidP="00635120">
      <w:pPr>
        <w:pStyle w:val="SingleTxt"/>
        <w:rPr>
          <w:rFonts w:hint="cs"/>
          <w:rtl/>
          <w:lang w:bidi="ar-EG"/>
        </w:rPr>
      </w:pPr>
      <w:r w:rsidRPr="00635120">
        <w:rPr>
          <w:rFonts w:hint="cs"/>
          <w:rtl/>
          <w:lang w:bidi="ar-EG"/>
        </w:rPr>
        <w:tab/>
        <w:t>ويحظر هذا القانون بصفة خاصة أنواع التمييز المباشر وغير المباشر القائم على الجنس</w:t>
      </w:r>
      <w:r w:rsidR="00E3275E">
        <w:rPr>
          <w:rFonts w:hint="cs"/>
          <w:rtl/>
          <w:lang w:bidi="ar-EG"/>
        </w:rPr>
        <w:t>،</w:t>
      </w:r>
      <w:r w:rsidRPr="00635120">
        <w:rPr>
          <w:rFonts w:hint="cs"/>
          <w:rtl/>
          <w:lang w:bidi="ar-EG"/>
        </w:rPr>
        <w:t xml:space="preserve"> والتحرش</w:t>
      </w:r>
      <w:r w:rsidR="003122F1">
        <w:rPr>
          <w:rFonts w:hint="cs"/>
          <w:rtl/>
          <w:lang w:bidi="ar-EG"/>
        </w:rPr>
        <w:t>،</w:t>
      </w:r>
      <w:r w:rsidRPr="00635120">
        <w:rPr>
          <w:rFonts w:hint="cs"/>
          <w:rtl/>
          <w:lang w:bidi="ar-EG"/>
        </w:rPr>
        <w:t xml:space="preserve"> والتحريض على ممارسة التمييز في الميادين التالية:</w:t>
      </w:r>
    </w:p>
    <w:p w:rsidR="00635120" w:rsidRPr="00635120" w:rsidRDefault="00635120" w:rsidP="00E215A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sidRPr="00635120">
        <w:rPr>
          <w:rFonts w:hint="cs"/>
          <w:rtl/>
          <w:lang w:bidi="ar-EG"/>
        </w:rPr>
        <w:tab/>
      </w:r>
      <w:r w:rsidR="00E215AB">
        <w:rPr>
          <w:rFonts w:hint="cs"/>
          <w:rtl/>
          <w:lang w:bidi="ar-EG"/>
        </w:rPr>
        <w:t>•</w:t>
      </w:r>
      <w:r w:rsidRPr="00635120">
        <w:rPr>
          <w:rFonts w:hint="cs"/>
          <w:rtl/>
          <w:lang w:bidi="ar-EG"/>
        </w:rPr>
        <w:tab/>
        <w:t xml:space="preserve">شروط الحصول على عمل </w:t>
      </w:r>
      <w:r w:rsidR="003122F1">
        <w:rPr>
          <w:rFonts w:hint="cs"/>
          <w:rtl/>
          <w:lang w:bidi="ar-EG"/>
        </w:rPr>
        <w:t xml:space="preserve">بأجر </w:t>
      </w:r>
      <w:r w:rsidRPr="00635120">
        <w:rPr>
          <w:rFonts w:hint="cs"/>
          <w:rtl/>
          <w:lang w:bidi="ar-EG"/>
        </w:rPr>
        <w:t xml:space="preserve">أو بدون </w:t>
      </w:r>
      <w:r w:rsidR="003122F1">
        <w:rPr>
          <w:rFonts w:hint="cs"/>
          <w:rtl/>
          <w:lang w:bidi="ar-EG"/>
        </w:rPr>
        <w:t>أجر</w:t>
      </w:r>
      <w:r w:rsidRPr="00635120">
        <w:rPr>
          <w:rFonts w:hint="cs"/>
          <w:rtl/>
          <w:lang w:bidi="ar-EG"/>
        </w:rPr>
        <w:t xml:space="preserve"> أو مستقل، بما في ذلك معايير الاختيار الوظيفي وشروط التعيين، أيّاً كان فرع النشاط وعلى جميع مستويات الهرم الوظيفي، بما في ذلك </w:t>
      </w:r>
      <w:r w:rsidR="003122F1">
        <w:rPr>
          <w:rFonts w:hint="cs"/>
          <w:rtl/>
          <w:lang w:bidi="ar-EG"/>
        </w:rPr>
        <w:t>الترقية</w:t>
      </w:r>
      <w:r w:rsidRPr="00635120">
        <w:rPr>
          <w:rFonts w:hint="cs"/>
          <w:rtl/>
          <w:lang w:bidi="ar-EG"/>
        </w:rPr>
        <w:t xml:space="preserve"> وشروط التوظيف والعمل، بما في ذلك شروط الفصل </w:t>
      </w:r>
      <w:r w:rsidR="003122F1">
        <w:rPr>
          <w:rFonts w:hint="cs"/>
          <w:rtl/>
          <w:lang w:bidi="ar-EG"/>
        </w:rPr>
        <w:t>من العمل والمكافأة</w:t>
      </w:r>
      <w:r w:rsidRPr="00635120">
        <w:rPr>
          <w:rFonts w:hint="cs"/>
          <w:rtl/>
          <w:lang w:bidi="ar-EG"/>
        </w:rPr>
        <w:t>، سواء في القطاع الخاص أو العام؛</w:t>
      </w:r>
    </w:p>
    <w:p w:rsidR="00635120" w:rsidRPr="00635120" w:rsidRDefault="00635120" w:rsidP="00E215A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sidRPr="00635120">
        <w:rPr>
          <w:rFonts w:hint="cs"/>
          <w:rtl/>
          <w:lang w:bidi="ar-EG"/>
        </w:rPr>
        <w:tab/>
      </w:r>
      <w:r w:rsidR="00E215AB">
        <w:rPr>
          <w:rFonts w:hint="cs"/>
          <w:rtl/>
          <w:lang w:bidi="ar-EG"/>
        </w:rPr>
        <w:t>•</w:t>
      </w:r>
      <w:r w:rsidRPr="00635120">
        <w:rPr>
          <w:rFonts w:hint="cs"/>
          <w:rtl/>
          <w:lang w:bidi="ar-EG"/>
        </w:rPr>
        <w:tab/>
        <w:t>تعيين أو ترقية موظف أو تكليف موظف بأداء خدمة ما؛</w:t>
      </w:r>
    </w:p>
    <w:p w:rsidR="00635120" w:rsidRPr="00635120" w:rsidRDefault="00635120" w:rsidP="00E215A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sidRPr="00635120">
        <w:rPr>
          <w:rFonts w:hint="cs"/>
          <w:rtl/>
          <w:lang w:bidi="ar-EG"/>
        </w:rPr>
        <w:tab/>
      </w:r>
      <w:r w:rsidR="00E215AB">
        <w:rPr>
          <w:rFonts w:hint="cs"/>
          <w:rtl/>
          <w:lang w:bidi="ar-EG"/>
        </w:rPr>
        <w:t>•</w:t>
      </w:r>
      <w:r w:rsidRPr="00635120">
        <w:rPr>
          <w:rFonts w:hint="cs"/>
          <w:rtl/>
          <w:lang w:bidi="ar-EG"/>
        </w:rPr>
        <w:tab/>
      </w:r>
      <w:r w:rsidR="003122F1">
        <w:rPr>
          <w:rFonts w:hint="cs"/>
          <w:rtl/>
          <w:lang w:bidi="ar-EG"/>
        </w:rPr>
        <w:t xml:space="preserve">القيد </w:t>
      </w:r>
      <w:r w:rsidRPr="00635120">
        <w:rPr>
          <w:rFonts w:hint="cs"/>
          <w:rtl/>
          <w:lang w:bidi="ar-EG"/>
        </w:rPr>
        <w:t>في وثيقة رسمية أو في محضر؛</w:t>
      </w:r>
    </w:p>
    <w:p w:rsidR="00635120" w:rsidRPr="00635120" w:rsidRDefault="00635120" w:rsidP="00E215A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sidRPr="00635120">
        <w:rPr>
          <w:rFonts w:hint="cs"/>
          <w:rtl/>
          <w:lang w:bidi="ar-EG"/>
        </w:rPr>
        <w:tab/>
      </w:r>
      <w:r w:rsidR="00E215AB">
        <w:rPr>
          <w:rFonts w:hint="cs"/>
          <w:rtl/>
          <w:lang w:bidi="ar-EG"/>
        </w:rPr>
        <w:t>•</w:t>
      </w:r>
      <w:r w:rsidRPr="00635120">
        <w:rPr>
          <w:rFonts w:hint="cs"/>
          <w:rtl/>
          <w:lang w:bidi="ar-EG"/>
        </w:rPr>
        <w:tab/>
        <w:t>الوصول إلى نشاط اقتصادي أو اجتماعي أو ثقافي أو سياسي أو المشاركة فيه أو أي ممارسة أخرى لهذا النشاط المتاح للعامة.</w:t>
      </w:r>
    </w:p>
    <w:p w:rsidR="00635120" w:rsidRPr="00635120" w:rsidRDefault="00635120" w:rsidP="00635120">
      <w:pPr>
        <w:pStyle w:val="SingleTxt"/>
        <w:rPr>
          <w:rFonts w:hint="cs"/>
          <w:rtl/>
          <w:lang w:bidi="ar-EG"/>
        </w:rPr>
      </w:pPr>
      <w:r w:rsidRPr="00635120">
        <w:rPr>
          <w:rFonts w:hint="cs"/>
          <w:rtl/>
          <w:lang w:bidi="ar-EG"/>
        </w:rPr>
        <w:tab/>
        <w:t>وكل شخص يري أنه ضحية للتمييز لديه إمكانية رفع دعوى مدنية و/أو جنائية.</w:t>
      </w:r>
    </w:p>
    <w:p w:rsidR="00635120" w:rsidRPr="00635120" w:rsidRDefault="00635120" w:rsidP="00635120">
      <w:pPr>
        <w:pStyle w:val="SingleTxt"/>
        <w:rPr>
          <w:rFonts w:hint="cs"/>
          <w:rtl/>
          <w:lang w:bidi="ar-EG"/>
        </w:rPr>
      </w:pPr>
      <w:r w:rsidRPr="00635120">
        <w:rPr>
          <w:rFonts w:hint="cs"/>
          <w:rtl/>
          <w:lang w:bidi="ar-EG"/>
        </w:rPr>
        <w:tab/>
        <w:t>والجزاءات المدنية التي نص عليها القانون هي كالآتي:</w:t>
      </w:r>
    </w:p>
    <w:p w:rsidR="00635120" w:rsidRPr="00635120" w:rsidRDefault="00635120" w:rsidP="00635120">
      <w:pPr>
        <w:pStyle w:val="SingleTxt"/>
        <w:rPr>
          <w:rFonts w:hint="cs"/>
          <w:b/>
          <w:bCs/>
          <w:rtl/>
          <w:lang w:bidi="ar-EG"/>
        </w:rPr>
      </w:pPr>
      <w:r w:rsidRPr="00635120">
        <w:rPr>
          <w:rFonts w:hint="cs"/>
          <w:b/>
          <w:bCs/>
          <w:rtl/>
          <w:lang w:bidi="ar-EG"/>
        </w:rPr>
        <w:t>(1)</w:t>
      </w:r>
      <w:r w:rsidRPr="00635120">
        <w:rPr>
          <w:rFonts w:hint="cs"/>
          <w:b/>
          <w:bCs/>
          <w:rtl/>
          <w:lang w:bidi="ar-EG"/>
        </w:rPr>
        <w:tab/>
        <w:t>البطلان</w:t>
      </w:r>
    </w:p>
    <w:p w:rsidR="00635120" w:rsidRDefault="00635120" w:rsidP="00635120">
      <w:pPr>
        <w:pStyle w:val="SingleTxt"/>
        <w:rPr>
          <w:rFonts w:hint="cs"/>
          <w:rtl/>
          <w:lang w:bidi="ar-EG"/>
        </w:rPr>
      </w:pPr>
      <w:r w:rsidRPr="00635120">
        <w:rPr>
          <w:rFonts w:hint="cs"/>
          <w:rtl/>
          <w:lang w:bidi="ar-EG"/>
        </w:rPr>
        <w:tab/>
        <w:t>شروط العقد المناقضة لأحكام القانون تعتبر باطلة.</w:t>
      </w:r>
    </w:p>
    <w:p w:rsidR="003122F1" w:rsidRPr="003122F1" w:rsidRDefault="003122F1" w:rsidP="003122F1">
      <w:pPr>
        <w:pStyle w:val="SingleTxt"/>
        <w:spacing w:after="0" w:line="120" w:lineRule="exact"/>
        <w:rPr>
          <w:rFonts w:hint="cs"/>
          <w:sz w:val="12"/>
          <w:rtl/>
          <w:lang w:bidi="ar-EG"/>
        </w:rPr>
      </w:pPr>
    </w:p>
    <w:p w:rsidR="00635120" w:rsidRPr="00635120" w:rsidRDefault="00635120" w:rsidP="00635120">
      <w:pPr>
        <w:pStyle w:val="SingleTxt"/>
        <w:rPr>
          <w:rFonts w:hint="cs"/>
          <w:b/>
          <w:bCs/>
          <w:rtl/>
          <w:lang w:bidi="ar-EG"/>
        </w:rPr>
      </w:pPr>
      <w:r w:rsidRPr="00635120">
        <w:rPr>
          <w:rFonts w:hint="cs"/>
          <w:b/>
          <w:bCs/>
          <w:rtl/>
          <w:lang w:bidi="ar-EG"/>
        </w:rPr>
        <w:t>(2)</w:t>
      </w:r>
      <w:r w:rsidRPr="00635120">
        <w:rPr>
          <w:rFonts w:hint="cs"/>
          <w:b/>
          <w:bCs/>
          <w:rtl/>
          <w:lang w:bidi="ar-EG"/>
        </w:rPr>
        <w:tab/>
        <w:t>دعوى الإيقاف</w:t>
      </w:r>
    </w:p>
    <w:p w:rsidR="00635120" w:rsidRDefault="00635120" w:rsidP="003122F1">
      <w:pPr>
        <w:pStyle w:val="SingleTxt"/>
        <w:rPr>
          <w:rFonts w:hint="cs"/>
          <w:rtl/>
          <w:lang w:bidi="ar-EG"/>
        </w:rPr>
      </w:pPr>
      <w:r w:rsidRPr="00635120">
        <w:rPr>
          <w:rFonts w:hint="cs"/>
          <w:rtl/>
          <w:lang w:bidi="ar-EG"/>
        </w:rPr>
        <w:tab/>
        <w:t xml:space="preserve">بناءً على طلب ضحية التمييز أو إحدى الجماعات المؤهلة لتمثيل الضحية، </w:t>
      </w:r>
      <w:r w:rsidR="003122F1">
        <w:rPr>
          <w:rFonts w:hint="cs"/>
          <w:rtl/>
          <w:lang w:bidi="ar-EG"/>
        </w:rPr>
        <w:t xml:space="preserve">ينص على </w:t>
      </w:r>
      <w:r w:rsidRPr="00635120">
        <w:rPr>
          <w:rFonts w:hint="cs"/>
          <w:rtl/>
          <w:lang w:bidi="ar-EG"/>
        </w:rPr>
        <w:t>إمكانية رفع دعوى بعرض الأمر سواءً على مح</w:t>
      </w:r>
      <w:r w:rsidR="003122F1">
        <w:rPr>
          <w:rFonts w:hint="cs"/>
          <w:rtl/>
          <w:lang w:bidi="ar-EG"/>
        </w:rPr>
        <w:t>كمة أول درجة أو محكمة عمالية أو</w:t>
      </w:r>
      <w:r w:rsidR="003122F1">
        <w:rPr>
          <w:rFonts w:hint="eastAsia"/>
          <w:rtl/>
          <w:lang w:bidi="ar-EG"/>
        </w:rPr>
        <w:t> </w:t>
      </w:r>
      <w:r w:rsidRPr="00635120">
        <w:rPr>
          <w:rFonts w:hint="cs"/>
          <w:rtl/>
          <w:lang w:bidi="ar-EG"/>
        </w:rPr>
        <w:t>محكمة تجارية حسب نوع المخالفة. وترفع الدعو</w:t>
      </w:r>
      <w:r w:rsidR="003122F1">
        <w:rPr>
          <w:rFonts w:hint="cs"/>
          <w:rtl/>
          <w:lang w:bidi="ar-EG"/>
        </w:rPr>
        <w:t>ى</w:t>
      </w:r>
      <w:r w:rsidRPr="00635120">
        <w:rPr>
          <w:rFonts w:hint="cs"/>
          <w:rtl/>
          <w:lang w:bidi="ar-EG"/>
        </w:rPr>
        <w:t xml:space="preserve"> من خلال تقديم طلب من أربع نسخ. و</w:t>
      </w:r>
      <w:r w:rsidR="003122F1">
        <w:rPr>
          <w:rFonts w:hint="cs"/>
          <w:rtl/>
          <w:lang w:bidi="ar-EG"/>
        </w:rPr>
        <w:t xml:space="preserve">يقتضي قبول الدعوى أن </w:t>
      </w:r>
      <w:r w:rsidRPr="00635120">
        <w:rPr>
          <w:rFonts w:hint="cs"/>
          <w:rtl/>
          <w:lang w:bidi="ar-EG"/>
        </w:rPr>
        <w:t xml:space="preserve">تشمل بيان الأيام والأشهر والسنين؛ واسم ولقب الطالب وعنوان إقامته؛ واسم وعنوان الشخص الطبيعي أو المعنوي </w:t>
      </w:r>
      <w:r w:rsidR="003122F1">
        <w:rPr>
          <w:rFonts w:hint="cs"/>
          <w:rtl/>
          <w:lang w:bidi="ar-EG"/>
        </w:rPr>
        <w:t xml:space="preserve">الذي تقام </w:t>
      </w:r>
      <w:r w:rsidRPr="00635120">
        <w:rPr>
          <w:rFonts w:hint="cs"/>
          <w:rtl/>
          <w:lang w:bidi="ar-EG"/>
        </w:rPr>
        <w:t xml:space="preserve">ضده الدعوى؛ وموضوع </w:t>
      </w:r>
      <w:r w:rsidR="003122F1">
        <w:rPr>
          <w:rFonts w:hint="cs"/>
          <w:rtl/>
          <w:lang w:bidi="ar-EG"/>
        </w:rPr>
        <w:t>الطلب وأوجه تقديمه</w:t>
      </w:r>
      <w:r w:rsidRPr="00635120">
        <w:rPr>
          <w:rFonts w:hint="cs"/>
          <w:rtl/>
          <w:lang w:bidi="ar-EG"/>
        </w:rPr>
        <w:t>.</w:t>
      </w:r>
    </w:p>
    <w:p w:rsidR="003122F1" w:rsidRPr="003122F1" w:rsidRDefault="003122F1" w:rsidP="003122F1">
      <w:pPr>
        <w:pStyle w:val="SingleTxt"/>
        <w:spacing w:after="0" w:line="120" w:lineRule="exact"/>
        <w:rPr>
          <w:rFonts w:hint="cs"/>
          <w:sz w:val="12"/>
          <w:rtl/>
          <w:lang w:bidi="ar-EG"/>
        </w:rPr>
      </w:pPr>
    </w:p>
    <w:p w:rsidR="00635120" w:rsidRPr="00635120" w:rsidRDefault="00635120" w:rsidP="00635120">
      <w:pPr>
        <w:pStyle w:val="SingleTxt"/>
        <w:rPr>
          <w:rFonts w:hint="cs"/>
          <w:b/>
          <w:bCs/>
          <w:rtl/>
          <w:lang w:bidi="ar-EG"/>
        </w:rPr>
      </w:pPr>
      <w:r w:rsidRPr="00635120">
        <w:rPr>
          <w:rFonts w:hint="cs"/>
          <w:b/>
          <w:bCs/>
          <w:rtl/>
          <w:lang w:bidi="ar-EG"/>
        </w:rPr>
        <w:t>(3)</w:t>
      </w:r>
      <w:r w:rsidRPr="00635120">
        <w:rPr>
          <w:rFonts w:hint="cs"/>
          <w:b/>
          <w:bCs/>
          <w:rtl/>
          <w:lang w:bidi="ar-EG"/>
        </w:rPr>
        <w:tab/>
        <w:t>لصق إعلان قرار المحكمة</w:t>
      </w:r>
    </w:p>
    <w:p w:rsidR="00635120" w:rsidRPr="00635120" w:rsidRDefault="00635120" w:rsidP="00635120">
      <w:pPr>
        <w:pStyle w:val="SingleTxt"/>
        <w:rPr>
          <w:rFonts w:hint="cs"/>
          <w:rtl/>
          <w:lang w:bidi="ar-EG"/>
        </w:rPr>
      </w:pPr>
      <w:r w:rsidRPr="00635120">
        <w:rPr>
          <w:rFonts w:hint="cs"/>
          <w:rtl/>
          <w:lang w:bidi="ar-EG"/>
        </w:rPr>
        <w:tab/>
        <w:t>وإلى جانب ذلك، يمكن أن يقوم التعويض عن الضرر على القانون العام. ومن ناحية أخرى، ينص القانون على ثلاث حالات يكون العامل فيها مشمولاً بالحماية ضد الفصل</w:t>
      </w:r>
      <w:r w:rsidR="003122F1">
        <w:rPr>
          <w:rFonts w:hint="cs"/>
          <w:rtl/>
          <w:lang w:bidi="ar-EG"/>
        </w:rPr>
        <w:t xml:space="preserve"> من</w:t>
      </w:r>
      <w:r w:rsidR="003122F1">
        <w:rPr>
          <w:rFonts w:hint="eastAsia"/>
          <w:rtl/>
          <w:lang w:bidi="ar-EG"/>
        </w:rPr>
        <w:t> </w:t>
      </w:r>
      <w:r w:rsidR="003122F1">
        <w:rPr>
          <w:rFonts w:hint="cs"/>
          <w:rtl/>
          <w:lang w:bidi="ar-EG"/>
        </w:rPr>
        <w:t>العمل</w:t>
      </w:r>
      <w:r w:rsidRPr="00635120">
        <w:rPr>
          <w:rFonts w:hint="cs"/>
          <w:rtl/>
          <w:lang w:bidi="ar-EG"/>
        </w:rPr>
        <w:t>:</w:t>
      </w:r>
    </w:p>
    <w:p w:rsidR="00635120" w:rsidRPr="00635120" w:rsidRDefault="00635120" w:rsidP="00E215A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sidRPr="00635120">
        <w:rPr>
          <w:rFonts w:hint="cs"/>
          <w:rtl/>
          <w:lang w:bidi="ar-EG"/>
        </w:rPr>
        <w:tab/>
      </w:r>
      <w:r w:rsidR="00E215AB">
        <w:rPr>
          <w:rFonts w:hint="cs"/>
          <w:rtl/>
          <w:lang w:bidi="ar-EG"/>
        </w:rPr>
        <w:t>•</w:t>
      </w:r>
      <w:r w:rsidR="00C97F63">
        <w:rPr>
          <w:rFonts w:hint="cs"/>
          <w:rtl/>
          <w:lang w:bidi="ar-EG"/>
        </w:rPr>
        <w:tab/>
      </w:r>
      <w:r w:rsidRPr="00635120">
        <w:rPr>
          <w:rFonts w:hint="cs"/>
          <w:rtl/>
          <w:lang w:bidi="ar-EG"/>
        </w:rPr>
        <w:t>عندما يقدم العامل شكوى مسب</w:t>
      </w:r>
      <w:r w:rsidR="003122F1">
        <w:rPr>
          <w:rFonts w:hint="cs"/>
          <w:rtl/>
          <w:lang w:bidi="ar-EG"/>
        </w:rPr>
        <w:t>ّ</w:t>
      </w:r>
      <w:r w:rsidRPr="00635120">
        <w:rPr>
          <w:rFonts w:hint="cs"/>
          <w:rtl/>
          <w:lang w:bidi="ar-EG"/>
        </w:rPr>
        <w:t>بة</w:t>
      </w:r>
      <w:r w:rsidR="003122F1">
        <w:rPr>
          <w:rFonts w:hint="cs"/>
          <w:rtl/>
          <w:lang w:bidi="ar-EG"/>
        </w:rPr>
        <w:t>،</w:t>
      </w:r>
      <w:r w:rsidRPr="00635120">
        <w:rPr>
          <w:rFonts w:hint="cs"/>
          <w:rtl/>
          <w:lang w:bidi="ar-EG"/>
        </w:rPr>
        <w:t xml:space="preserve"> سواءً على مستوى المؤسسة وفقاً للإجراءات المعمول بها أو </w:t>
      </w:r>
      <w:r w:rsidR="003122F1">
        <w:rPr>
          <w:rFonts w:hint="cs"/>
          <w:rtl/>
          <w:lang w:bidi="ar-EG"/>
        </w:rPr>
        <w:t xml:space="preserve">إلى هيئة مراقبة </w:t>
      </w:r>
      <w:r w:rsidRPr="00635120">
        <w:rPr>
          <w:rFonts w:hint="cs"/>
          <w:rtl/>
          <w:lang w:bidi="ar-EG"/>
        </w:rPr>
        <w:t xml:space="preserve">القوانين الاجتماعية، وأن تكون الشكوى قائمة على أساس التمييز أو العنصرية </w:t>
      </w:r>
      <w:r w:rsidR="003122F1">
        <w:rPr>
          <w:rFonts w:hint="cs"/>
          <w:rtl/>
          <w:lang w:bidi="ar-EG"/>
        </w:rPr>
        <w:t xml:space="preserve">من جانب </w:t>
      </w:r>
      <w:r w:rsidRPr="00635120">
        <w:rPr>
          <w:rFonts w:hint="cs"/>
          <w:rtl/>
          <w:lang w:bidi="ar-EG"/>
        </w:rPr>
        <w:t>رب العمل وتتعلق ب</w:t>
      </w:r>
      <w:r w:rsidR="003122F1">
        <w:rPr>
          <w:rFonts w:hint="cs"/>
          <w:rtl/>
          <w:lang w:bidi="ar-EG"/>
        </w:rPr>
        <w:t xml:space="preserve">فرص الترقية، وشروط العمل، </w:t>
      </w:r>
      <w:r w:rsidRPr="00635120">
        <w:rPr>
          <w:rFonts w:hint="cs"/>
          <w:rtl/>
          <w:lang w:bidi="ar-EG"/>
        </w:rPr>
        <w:t>بما في ذلك شروط الفصل</w:t>
      </w:r>
      <w:r w:rsidR="003122F1">
        <w:rPr>
          <w:rFonts w:hint="cs"/>
          <w:rtl/>
          <w:lang w:bidi="ar-EG"/>
        </w:rPr>
        <w:t xml:space="preserve"> من العمل</w:t>
      </w:r>
      <w:r w:rsidRPr="00635120">
        <w:rPr>
          <w:rFonts w:hint="cs"/>
          <w:rtl/>
          <w:lang w:bidi="ar-EG"/>
        </w:rPr>
        <w:t>. وينبغي أن تكون الشكوى مسببة وكتابية وتتضمن أسباب التمييز.</w:t>
      </w:r>
    </w:p>
    <w:p w:rsidR="00635120" w:rsidRPr="00635120" w:rsidRDefault="00E215AB" w:rsidP="00C97F6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sidR="00635120" w:rsidRPr="00635120">
        <w:rPr>
          <w:rFonts w:hint="cs"/>
          <w:rtl/>
          <w:lang w:bidi="ar-EG"/>
        </w:rPr>
        <w:tab/>
        <w:t xml:space="preserve">عندما تقوم </w:t>
      </w:r>
      <w:r w:rsidR="00C97F63">
        <w:rPr>
          <w:rFonts w:hint="cs"/>
          <w:rtl/>
          <w:lang w:bidi="ar-EG"/>
        </w:rPr>
        <w:t xml:space="preserve">هيئة مراقبة </w:t>
      </w:r>
      <w:r w:rsidR="00635120" w:rsidRPr="00635120">
        <w:rPr>
          <w:rFonts w:hint="cs"/>
          <w:rtl/>
          <w:lang w:bidi="ar-EG"/>
        </w:rPr>
        <w:t xml:space="preserve">القوانين الاجتماعية بإجراء تحقيق بشأن العنصرية والتمييز في مؤسسة، حتى </w:t>
      </w:r>
      <w:r w:rsidR="00C97F63">
        <w:rPr>
          <w:rFonts w:hint="cs"/>
          <w:rtl/>
          <w:lang w:bidi="ar-EG"/>
        </w:rPr>
        <w:t>و</w:t>
      </w:r>
      <w:r w:rsidR="00635120" w:rsidRPr="00635120">
        <w:rPr>
          <w:rFonts w:hint="cs"/>
          <w:rtl/>
          <w:lang w:bidi="ar-EG"/>
        </w:rPr>
        <w:t>لو لم تكن هناك شكوى رسمية مسببة يستند إليها التحقيق.</w:t>
      </w:r>
    </w:p>
    <w:p w:rsidR="00C97F63" w:rsidRDefault="00E215AB" w:rsidP="00C97F6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sidR="00635120" w:rsidRPr="00635120">
        <w:rPr>
          <w:rFonts w:hint="cs"/>
          <w:rtl/>
          <w:lang w:bidi="ar-EG"/>
        </w:rPr>
        <w:tab/>
        <w:t>عندما يكون العامل قد رفع أو يرفع دعوى أمام القضاء فيما يتعلق بفرص الترقية</w:t>
      </w:r>
      <w:r w:rsidR="00C97F63">
        <w:rPr>
          <w:rFonts w:hint="cs"/>
          <w:rtl/>
          <w:lang w:bidi="ar-EG"/>
        </w:rPr>
        <w:t>،</w:t>
      </w:r>
      <w:r w:rsidR="000137D4">
        <w:rPr>
          <w:rFonts w:hint="cs"/>
          <w:rtl/>
          <w:lang w:bidi="ar-EG"/>
        </w:rPr>
        <w:t xml:space="preserve"> أو</w:t>
      </w:r>
      <w:r w:rsidR="000137D4">
        <w:rPr>
          <w:rFonts w:hint="eastAsia"/>
          <w:rtl/>
          <w:lang w:bidi="ar-EG"/>
        </w:rPr>
        <w:t> </w:t>
      </w:r>
      <w:r w:rsidR="00635120" w:rsidRPr="00635120">
        <w:rPr>
          <w:rFonts w:hint="cs"/>
          <w:rtl/>
          <w:lang w:bidi="ar-EG"/>
        </w:rPr>
        <w:t>شروط العمل</w:t>
      </w:r>
      <w:r w:rsidR="00C97F63">
        <w:rPr>
          <w:rFonts w:hint="cs"/>
          <w:rtl/>
          <w:lang w:bidi="ar-EG"/>
        </w:rPr>
        <w:t>،</w:t>
      </w:r>
      <w:r w:rsidR="00635120" w:rsidRPr="00635120">
        <w:rPr>
          <w:rFonts w:hint="cs"/>
          <w:rtl/>
          <w:lang w:bidi="ar-EG"/>
        </w:rPr>
        <w:t xml:space="preserve"> أو شروط الفصل </w:t>
      </w:r>
      <w:r w:rsidR="00C97F63">
        <w:rPr>
          <w:rFonts w:hint="cs"/>
          <w:rtl/>
          <w:lang w:bidi="ar-EG"/>
        </w:rPr>
        <w:t xml:space="preserve">من العمل، </w:t>
      </w:r>
      <w:r w:rsidR="00635120" w:rsidRPr="00635120">
        <w:rPr>
          <w:rFonts w:hint="cs"/>
          <w:rtl/>
          <w:lang w:bidi="ar-EG"/>
        </w:rPr>
        <w:t>أو فيما يتعلق بفحوى قانون مناهضة العنصرية وكراهية الأجانب.</w:t>
      </w:r>
    </w:p>
    <w:p w:rsidR="00635120" w:rsidRPr="00635120" w:rsidRDefault="00635120" w:rsidP="00635120">
      <w:pPr>
        <w:pStyle w:val="SingleTxt"/>
        <w:rPr>
          <w:rFonts w:hint="cs"/>
          <w:rtl/>
          <w:lang w:bidi="ar-EG"/>
        </w:rPr>
      </w:pPr>
      <w:r w:rsidRPr="00635120">
        <w:rPr>
          <w:rFonts w:hint="cs"/>
          <w:rtl/>
          <w:lang w:bidi="ar-EG"/>
        </w:rPr>
        <w:t>وفي هذه الحالة لا يستطيع رب العمل إنهاء العقد إلا لدوافع خارجة عن الشكوى أو الدعوى المرفوعة أمام القضاء.</w:t>
      </w:r>
    </w:p>
    <w:p w:rsidR="00635120" w:rsidRPr="00635120" w:rsidRDefault="00635120" w:rsidP="00C97F63">
      <w:pPr>
        <w:pStyle w:val="SingleTxt"/>
        <w:rPr>
          <w:rFonts w:hint="cs"/>
          <w:rtl/>
          <w:lang w:bidi="ar-EG"/>
        </w:rPr>
      </w:pPr>
      <w:r w:rsidRPr="00635120">
        <w:rPr>
          <w:rFonts w:hint="cs"/>
          <w:rtl/>
          <w:lang w:bidi="ar-EG"/>
        </w:rPr>
        <w:tab/>
        <w:t xml:space="preserve">وإذا ما تم فصل العامل </w:t>
      </w:r>
      <w:r w:rsidR="00C97F63">
        <w:rPr>
          <w:rFonts w:hint="cs"/>
          <w:rtl/>
          <w:lang w:bidi="ar-EG"/>
        </w:rPr>
        <w:t xml:space="preserve">من العمل </w:t>
      </w:r>
      <w:r w:rsidRPr="00635120">
        <w:rPr>
          <w:rFonts w:hint="cs"/>
          <w:rtl/>
          <w:lang w:bidi="ar-EG"/>
        </w:rPr>
        <w:t xml:space="preserve">فإن عبء إثبات أن الدافع لا يرجع إلى التمييز يقع على رب العمل؛ ونفس الشيء أيضاً إذا ما تم تعديل شروط العمل بإجراء انفرادي </w:t>
      </w:r>
      <w:r w:rsidR="00C97F63">
        <w:rPr>
          <w:rFonts w:hint="cs"/>
          <w:rtl/>
          <w:lang w:bidi="ar-EG"/>
        </w:rPr>
        <w:t xml:space="preserve">في غضون </w:t>
      </w:r>
      <w:r w:rsidRPr="00635120">
        <w:rPr>
          <w:rFonts w:hint="cs"/>
          <w:rtl/>
          <w:lang w:bidi="ar-EG"/>
        </w:rPr>
        <w:t xml:space="preserve">12 شهراً عقب التقدم بالشكوى. وإذا قام رب العمل رغم كل شيء بفصل العامل، يمكن لهذا الأخير أن يلتمس إعادته إلى المؤسسة. وينبغي أن يقدم الطلب في شكل التماس مقدم إلى رب العمل بخطاب موصى عليه خلال 30 يوماً من إبلاغ الإخطار </w:t>
      </w:r>
      <w:r w:rsidR="00C97F63">
        <w:rPr>
          <w:rFonts w:hint="cs"/>
          <w:rtl/>
          <w:lang w:bidi="ar-EG"/>
        </w:rPr>
        <w:t>بالفصل</w:t>
      </w:r>
      <w:r w:rsidR="00E3275E">
        <w:rPr>
          <w:rFonts w:hint="cs"/>
          <w:rtl/>
          <w:lang w:bidi="ar-EG"/>
        </w:rPr>
        <w:t>،</w:t>
      </w:r>
      <w:r w:rsidR="00C97F63">
        <w:rPr>
          <w:rFonts w:hint="cs"/>
          <w:rtl/>
          <w:lang w:bidi="ar-EG"/>
        </w:rPr>
        <w:t xml:space="preserve"> </w:t>
      </w:r>
      <w:r w:rsidRPr="00635120">
        <w:rPr>
          <w:rFonts w:hint="cs"/>
          <w:rtl/>
          <w:lang w:bidi="ar-EG"/>
        </w:rPr>
        <w:t>أو الفصل دون إخطار</w:t>
      </w:r>
      <w:r w:rsidR="00C97F63">
        <w:rPr>
          <w:rFonts w:hint="cs"/>
          <w:rtl/>
          <w:lang w:bidi="ar-EG"/>
        </w:rPr>
        <w:t>،</w:t>
      </w:r>
      <w:r w:rsidRPr="00635120">
        <w:rPr>
          <w:rFonts w:hint="cs"/>
          <w:rtl/>
          <w:lang w:bidi="ar-EG"/>
        </w:rPr>
        <w:t xml:space="preserve"> أو التعديل الانفرادي لشروط العمل. وينبغي لرب العمل أن يبدي رأيه في </w:t>
      </w:r>
      <w:r w:rsidR="00C97F63">
        <w:rPr>
          <w:rFonts w:hint="cs"/>
          <w:rtl/>
          <w:lang w:bidi="ar-EG"/>
        </w:rPr>
        <w:t xml:space="preserve">غضون </w:t>
      </w:r>
      <w:r w:rsidRPr="00635120">
        <w:rPr>
          <w:rFonts w:hint="cs"/>
          <w:rtl/>
          <w:lang w:bidi="ar-EG"/>
        </w:rPr>
        <w:t xml:space="preserve">30 يوماً عقب إرسال الالتماس. وإذا لم تتم عودة العامل إلى العمل، فإنه ينبغي لرب العمل أن يدفع للعامل حسب اختياره تعويضاً يعادل مبلغاً </w:t>
      </w:r>
      <w:r w:rsidR="00C97F63">
        <w:rPr>
          <w:rFonts w:hint="cs"/>
          <w:rtl/>
          <w:lang w:bidi="ar-EG"/>
        </w:rPr>
        <w:t>مقطوعاً</w:t>
      </w:r>
      <w:r w:rsidRPr="00635120">
        <w:rPr>
          <w:rFonts w:hint="cs"/>
          <w:rtl/>
          <w:lang w:bidi="ar-EG"/>
        </w:rPr>
        <w:t xml:space="preserve"> يوازي الأجر الإجمالي لمدة ستة أشهر، </w:t>
      </w:r>
      <w:r w:rsidR="00C97F63">
        <w:rPr>
          <w:rFonts w:hint="cs"/>
          <w:rtl/>
          <w:lang w:bidi="ar-EG"/>
        </w:rPr>
        <w:t xml:space="preserve">أو تعويضا </w:t>
      </w:r>
      <w:r w:rsidRPr="00635120">
        <w:rPr>
          <w:rFonts w:hint="cs"/>
          <w:rtl/>
          <w:lang w:bidi="ar-EG"/>
        </w:rPr>
        <w:t xml:space="preserve">يعادل الضرر </w:t>
      </w:r>
      <w:r w:rsidR="00C97F63">
        <w:rPr>
          <w:rFonts w:hint="cs"/>
          <w:rtl/>
          <w:lang w:bidi="ar-EG"/>
        </w:rPr>
        <w:t xml:space="preserve">الحقيقي </w:t>
      </w:r>
      <w:r w:rsidRPr="00635120">
        <w:rPr>
          <w:rFonts w:hint="cs"/>
          <w:rtl/>
          <w:lang w:bidi="ar-EG"/>
        </w:rPr>
        <w:t>الذي تسبب فيه ذلك للعامل، وفي هذه الحالة يتحتم على العامل إثبات حجم الضرر الذي تعرض له. وهذا التعويض لا يستحق إلا إذا لم تتم عودة العامل وإ</w:t>
      </w:r>
      <w:r w:rsidR="00C97F63">
        <w:rPr>
          <w:rFonts w:hint="cs"/>
          <w:rtl/>
          <w:lang w:bidi="ar-EG"/>
        </w:rPr>
        <w:t xml:space="preserve">لاّ </w:t>
      </w:r>
      <w:r w:rsidR="000137D4">
        <w:rPr>
          <w:rFonts w:hint="cs"/>
          <w:rtl/>
          <w:lang w:bidi="ar-EG"/>
        </w:rPr>
        <w:t xml:space="preserve">إذا </w:t>
      </w:r>
      <w:r w:rsidR="00C97F63">
        <w:rPr>
          <w:rFonts w:hint="cs"/>
          <w:rtl/>
          <w:lang w:bidi="ar-EG"/>
        </w:rPr>
        <w:t xml:space="preserve">اعتبر </w:t>
      </w:r>
      <w:r w:rsidRPr="00635120">
        <w:rPr>
          <w:rFonts w:hint="cs"/>
          <w:rtl/>
          <w:lang w:bidi="ar-EG"/>
        </w:rPr>
        <w:t xml:space="preserve">الفصل </w:t>
      </w:r>
      <w:r w:rsidR="00C97F63">
        <w:rPr>
          <w:rFonts w:hint="cs"/>
          <w:rtl/>
          <w:lang w:bidi="ar-EG"/>
        </w:rPr>
        <w:t xml:space="preserve">من العمل </w:t>
      </w:r>
      <w:r w:rsidRPr="00635120">
        <w:rPr>
          <w:rFonts w:hint="cs"/>
          <w:rtl/>
          <w:lang w:bidi="ar-EG"/>
        </w:rPr>
        <w:t xml:space="preserve">أو تعديل شروط العمل </w:t>
      </w:r>
      <w:r w:rsidR="00C97F63">
        <w:rPr>
          <w:rFonts w:hint="cs"/>
          <w:rtl/>
          <w:lang w:bidi="ar-EG"/>
        </w:rPr>
        <w:t xml:space="preserve">مخالفا </w:t>
      </w:r>
      <w:r w:rsidRPr="00635120">
        <w:rPr>
          <w:rFonts w:hint="cs"/>
          <w:rtl/>
          <w:lang w:bidi="ar-EG"/>
        </w:rPr>
        <w:t>لأحكام القانون.</w:t>
      </w:r>
    </w:p>
    <w:p w:rsidR="00635120" w:rsidRPr="00635120" w:rsidRDefault="00635120" w:rsidP="00C70FDF">
      <w:pPr>
        <w:pStyle w:val="SingleTxt"/>
        <w:rPr>
          <w:rFonts w:hint="cs"/>
          <w:rtl/>
          <w:lang w:bidi="ar-EG"/>
        </w:rPr>
      </w:pPr>
      <w:r w:rsidRPr="00635120">
        <w:rPr>
          <w:rFonts w:hint="cs"/>
          <w:rtl/>
          <w:lang w:bidi="ar-EG"/>
        </w:rPr>
        <w:tab/>
        <w:t>وفيما يتعلق با</w:t>
      </w:r>
      <w:r w:rsidR="00C97F63">
        <w:rPr>
          <w:rFonts w:hint="cs"/>
          <w:rtl/>
          <w:lang w:bidi="ar-EG"/>
        </w:rPr>
        <w:t>لعقوبات الجنائية، ي</w:t>
      </w:r>
      <w:r w:rsidRPr="00635120">
        <w:rPr>
          <w:rFonts w:hint="cs"/>
          <w:rtl/>
          <w:lang w:bidi="ar-EG"/>
        </w:rPr>
        <w:t xml:space="preserve">نص القانون على الحكم بالسجن لمدة </w:t>
      </w:r>
      <w:r w:rsidR="00C97F63">
        <w:rPr>
          <w:rFonts w:hint="cs"/>
          <w:rtl/>
          <w:lang w:bidi="ar-EG"/>
        </w:rPr>
        <w:t xml:space="preserve">تتراوح بين شهر وسنة </w:t>
      </w:r>
      <w:r w:rsidRPr="00635120">
        <w:rPr>
          <w:rFonts w:hint="cs"/>
          <w:rtl/>
          <w:lang w:bidi="ar-EG"/>
        </w:rPr>
        <w:t xml:space="preserve">و/أو بغرامة تتراوح بين 50 يورو و 000 1 يورو </w:t>
      </w:r>
      <w:r w:rsidR="00C97F63">
        <w:rPr>
          <w:rFonts w:hint="cs"/>
          <w:rtl/>
          <w:lang w:bidi="ar-EG"/>
        </w:rPr>
        <w:t xml:space="preserve">على </w:t>
      </w:r>
      <w:r w:rsidRPr="00635120">
        <w:rPr>
          <w:rFonts w:hint="cs"/>
          <w:rtl/>
          <w:lang w:bidi="ar-EG"/>
        </w:rPr>
        <w:t xml:space="preserve">كل من يحرض على التمييز أو الكراهية أو العنف تجاه شخص أو جماعة أو </w:t>
      </w:r>
      <w:r w:rsidR="00C70FDF">
        <w:rPr>
          <w:rFonts w:hint="cs"/>
          <w:rtl/>
          <w:lang w:bidi="ar-EG"/>
        </w:rPr>
        <w:t>مجتمع أو أفراده، بسبب الجنس، أو</w:t>
      </w:r>
      <w:r w:rsidR="00C70FDF">
        <w:rPr>
          <w:rFonts w:hint="eastAsia"/>
          <w:rtl/>
          <w:lang w:bidi="ar-EG"/>
        </w:rPr>
        <w:t> </w:t>
      </w:r>
      <w:r w:rsidRPr="00635120">
        <w:rPr>
          <w:rFonts w:hint="cs"/>
          <w:rtl/>
          <w:lang w:bidi="ar-EG"/>
        </w:rPr>
        <w:t>ال</w:t>
      </w:r>
      <w:r w:rsidR="00C70FDF">
        <w:rPr>
          <w:rFonts w:hint="cs"/>
          <w:rtl/>
          <w:lang w:bidi="ar-EG"/>
        </w:rPr>
        <w:t>ميول الجنسية</w:t>
      </w:r>
      <w:r w:rsidRPr="00635120">
        <w:rPr>
          <w:rFonts w:hint="cs"/>
          <w:rtl/>
          <w:lang w:bidi="ar-EG"/>
        </w:rPr>
        <w:t>، أو الحالة المدنية، أو المولد، أو الثروة</w:t>
      </w:r>
      <w:r w:rsidR="000137D4">
        <w:rPr>
          <w:rFonts w:hint="cs"/>
          <w:rtl/>
          <w:lang w:bidi="ar-EG"/>
        </w:rPr>
        <w:t>، أو السن، أو المعتقد الديني أو</w:t>
      </w:r>
      <w:r w:rsidR="000137D4">
        <w:rPr>
          <w:rFonts w:hint="eastAsia"/>
          <w:rtl/>
          <w:lang w:bidi="ar-EG"/>
        </w:rPr>
        <w:t> </w:t>
      </w:r>
      <w:r w:rsidRPr="00635120">
        <w:rPr>
          <w:rFonts w:hint="cs"/>
          <w:rtl/>
          <w:lang w:bidi="ar-EG"/>
        </w:rPr>
        <w:t xml:space="preserve">الفلسفي، أو الحالة الصحية الفعلية أو المستقبلية، أو الإعاقة أو سمة </w:t>
      </w:r>
      <w:r w:rsidR="00C70FDF">
        <w:rPr>
          <w:rFonts w:hint="cs"/>
          <w:rtl/>
          <w:lang w:bidi="ar-EG"/>
        </w:rPr>
        <w:t xml:space="preserve">من السمات </w:t>
      </w:r>
      <w:r w:rsidRPr="00635120">
        <w:rPr>
          <w:rFonts w:hint="cs"/>
          <w:rtl/>
          <w:lang w:bidi="ar-EG"/>
        </w:rPr>
        <w:t>البدنية.</w:t>
      </w:r>
    </w:p>
    <w:p w:rsidR="00635120" w:rsidRPr="00635120" w:rsidRDefault="00635120" w:rsidP="000137D4">
      <w:pPr>
        <w:pStyle w:val="SingleTxt"/>
        <w:ind w:left="1930" w:hanging="663"/>
        <w:rPr>
          <w:rFonts w:hint="cs"/>
          <w:i/>
          <w:iCs/>
          <w:rtl/>
          <w:lang w:bidi="ar-EG"/>
        </w:rPr>
      </w:pPr>
      <w:r w:rsidRPr="00C70FDF">
        <w:rPr>
          <w:rFonts w:hint="cs"/>
          <w:rtl/>
          <w:lang w:bidi="ar-EG"/>
        </w:rPr>
        <w:t>3</w:t>
      </w:r>
      <w:r w:rsidR="000137D4">
        <w:rPr>
          <w:rFonts w:hint="cs"/>
          <w:rtl/>
          <w:lang w:bidi="ar-EG"/>
        </w:rPr>
        <w:t>-</w:t>
      </w:r>
      <w:r w:rsidRPr="00C70FDF">
        <w:rPr>
          <w:rFonts w:hint="cs"/>
          <w:rtl/>
          <w:lang w:bidi="ar-EG"/>
        </w:rPr>
        <w:t xml:space="preserve">2 </w:t>
      </w:r>
      <w:r w:rsidRPr="00635120">
        <w:rPr>
          <w:rFonts w:hint="cs"/>
          <w:i/>
          <w:iCs/>
          <w:rtl/>
          <w:lang w:bidi="ar-EG"/>
        </w:rPr>
        <w:tab/>
        <w:t xml:space="preserve">القانونان الصادر أحدهما في 5 آذار/مارس 2002 </w:t>
      </w:r>
      <w:r w:rsidR="00C70FDF">
        <w:rPr>
          <w:rFonts w:hint="cs"/>
          <w:i/>
          <w:iCs/>
          <w:rtl/>
          <w:lang w:bidi="ar-EG"/>
        </w:rPr>
        <w:t>والمتعلق بمبدأ عدم التمييز فيما</w:t>
      </w:r>
      <w:r w:rsidR="00C70FDF">
        <w:rPr>
          <w:rFonts w:hint="eastAsia"/>
          <w:i/>
          <w:iCs/>
          <w:rtl/>
          <w:lang w:bidi="ar-EG"/>
        </w:rPr>
        <w:t> </w:t>
      </w:r>
      <w:r w:rsidRPr="00635120">
        <w:rPr>
          <w:rFonts w:hint="cs"/>
          <w:i/>
          <w:iCs/>
          <w:rtl/>
          <w:lang w:bidi="ar-EG"/>
        </w:rPr>
        <w:t xml:space="preserve">يتصل بالعمال </w:t>
      </w:r>
      <w:r w:rsidR="00C70FDF">
        <w:rPr>
          <w:rFonts w:hint="cs"/>
          <w:i/>
          <w:iCs/>
          <w:rtl/>
          <w:lang w:bidi="ar-EG"/>
        </w:rPr>
        <w:t>المؤقتين</w:t>
      </w:r>
      <w:r w:rsidRPr="00635120">
        <w:rPr>
          <w:rFonts w:hint="cs"/>
          <w:i/>
          <w:iCs/>
          <w:rtl/>
          <w:lang w:bidi="ar-EG"/>
        </w:rPr>
        <w:t xml:space="preserve"> (ا</w:t>
      </w:r>
      <w:r w:rsidR="00C70FDF">
        <w:rPr>
          <w:rFonts w:hint="cs"/>
          <w:i/>
          <w:iCs/>
          <w:rtl/>
          <w:lang w:bidi="ar-EG"/>
        </w:rPr>
        <w:t xml:space="preserve">لجريدة الرسمية الصادرة </w:t>
      </w:r>
      <w:r w:rsidRPr="00635120">
        <w:rPr>
          <w:rFonts w:hint="cs"/>
          <w:i/>
          <w:iCs/>
          <w:rtl/>
          <w:lang w:bidi="ar-EG"/>
        </w:rPr>
        <w:t xml:space="preserve">في 13 آذار/مارس 2002، والآخر الصادر في 5 حزيران/يونيه </w:t>
      </w:r>
      <w:r w:rsidR="00C70FDF">
        <w:rPr>
          <w:rFonts w:hint="cs"/>
          <w:i/>
          <w:iCs/>
          <w:rtl/>
          <w:lang w:bidi="ar-EG"/>
        </w:rPr>
        <w:t xml:space="preserve">2002 </w:t>
      </w:r>
      <w:r w:rsidRPr="00635120">
        <w:rPr>
          <w:rFonts w:hint="cs"/>
          <w:i/>
          <w:iCs/>
          <w:rtl/>
          <w:lang w:bidi="ar-EG"/>
        </w:rPr>
        <w:t>والمتعلق بمبدأ عدم التمييز فيما يتعلق بالعمال الذين يعملون بعقد محدد المدة (</w:t>
      </w:r>
      <w:r w:rsidR="00C70FDF">
        <w:rPr>
          <w:rFonts w:hint="cs"/>
          <w:i/>
          <w:iCs/>
          <w:rtl/>
          <w:lang w:bidi="ar-EG"/>
        </w:rPr>
        <w:t>ال</w:t>
      </w:r>
      <w:r w:rsidR="000137D4">
        <w:rPr>
          <w:rFonts w:hint="cs"/>
          <w:i/>
          <w:iCs/>
          <w:rtl/>
          <w:lang w:bidi="ar-EG"/>
        </w:rPr>
        <w:t>ج</w:t>
      </w:r>
      <w:r w:rsidR="00C70FDF">
        <w:rPr>
          <w:rFonts w:hint="cs"/>
          <w:i/>
          <w:iCs/>
          <w:rtl/>
          <w:lang w:bidi="ar-EG"/>
        </w:rPr>
        <w:t xml:space="preserve">ريدة الرسمية الصادرة </w:t>
      </w:r>
      <w:r w:rsidRPr="00635120">
        <w:rPr>
          <w:rFonts w:hint="cs"/>
          <w:i/>
          <w:iCs/>
          <w:rtl/>
          <w:lang w:bidi="ar-EG"/>
        </w:rPr>
        <w:t>في 26 حزيران/</w:t>
      </w:r>
      <w:r w:rsidR="00C70FDF">
        <w:rPr>
          <w:rFonts w:hint="cs"/>
          <w:i/>
          <w:iCs/>
          <w:rtl/>
          <w:lang w:bidi="ar-EG"/>
        </w:rPr>
        <w:t xml:space="preserve"> </w:t>
      </w:r>
      <w:r w:rsidRPr="00635120">
        <w:rPr>
          <w:rFonts w:hint="cs"/>
          <w:i/>
          <w:iCs/>
          <w:rtl/>
          <w:lang w:bidi="ar-EG"/>
        </w:rPr>
        <w:t>يونيه 2002).</w:t>
      </w:r>
    </w:p>
    <w:p w:rsidR="00635120" w:rsidRPr="00635120" w:rsidRDefault="00635120" w:rsidP="00C70FDF">
      <w:pPr>
        <w:pStyle w:val="SingleTxt"/>
        <w:rPr>
          <w:rFonts w:hint="cs"/>
          <w:rtl/>
          <w:lang w:bidi="ar-EG"/>
        </w:rPr>
      </w:pPr>
      <w:r w:rsidRPr="00635120">
        <w:rPr>
          <w:rFonts w:hint="cs"/>
          <w:rtl/>
          <w:lang w:bidi="ar-EG"/>
        </w:rPr>
        <w:tab/>
        <w:t>وهذان القانونان حلا على التوالي في التشريعات البلجيكية محل توجيه المجلس المؤرخ 15 كانون الأول/ديسمبر 1987 (</w:t>
      </w:r>
      <w:r w:rsidRPr="00635120">
        <w:rPr>
          <w:lang w:bidi="ar-EG"/>
        </w:rPr>
        <w:t>97/81/CE</w:t>
      </w:r>
      <w:r w:rsidRPr="00635120">
        <w:rPr>
          <w:rFonts w:hint="cs"/>
          <w:rtl/>
          <w:lang w:bidi="ar-EG"/>
        </w:rPr>
        <w:t xml:space="preserve">) فيما يتعلق بالاتفاق الإطاري في ميدان العمل </w:t>
      </w:r>
      <w:r w:rsidR="00C70FDF">
        <w:rPr>
          <w:rFonts w:hint="cs"/>
          <w:rtl/>
          <w:lang w:bidi="ar-EG"/>
        </w:rPr>
        <w:t xml:space="preserve">المؤقت، </w:t>
      </w:r>
      <w:r w:rsidRPr="00635120">
        <w:rPr>
          <w:rFonts w:hint="cs"/>
          <w:rtl/>
          <w:lang w:bidi="ar-EG"/>
        </w:rPr>
        <w:t xml:space="preserve">وتوجيه المجلس المؤرخ </w:t>
      </w:r>
      <w:r w:rsidR="00E3275E">
        <w:rPr>
          <w:rFonts w:hint="cs"/>
          <w:rtl/>
          <w:lang w:bidi="ar-EG"/>
        </w:rPr>
        <w:t>2</w:t>
      </w:r>
      <w:r w:rsidR="00C70FDF">
        <w:rPr>
          <w:rFonts w:hint="cs"/>
          <w:rtl/>
          <w:lang w:bidi="ar-EG"/>
        </w:rPr>
        <w:t>8</w:t>
      </w:r>
      <w:r w:rsidRPr="00635120">
        <w:rPr>
          <w:rFonts w:hint="cs"/>
          <w:rtl/>
          <w:lang w:bidi="ar-EG"/>
        </w:rPr>
        <w:t xml:space="preserve"> حزيران/يونيه 1999 (</w:t>
      </w:r>
      <w:r w:rsidRPr="00635120">
        <w:rPr>
          <w:lang w:bidi="ar-EG"/>
        </w:rPr>
        <w:t>1999/70/CE</w:t>
      </w:r>
      <w:r w:rsidRPr="00635120">
        <w:rPr>
          <w:rFonts w:hint="cs"/>
          <w:rtl/>
          <w:lang w:bidi="ar-EG"/>
        </w:rPr>
        <w:t>) والمتعلق بالاتفاق الإطاري للعمل بعقد محدد المدة</w:t>
      </w:r>
      <w:r w:rsidR="00C70FDF">
        <w:rPr>
          <w:rFonts w:hint="cs"/>
          <w:rtl/>
          <w:lang w:bidi="ar-EG"/>
        </w:rPr>
        <w:t xml:space="preserve">، وقد </w:t>
      </w:r>
      <w:r w:rsidRPr="00635120">
        <w:rPr>
          <w:rFonts w:hint="cs"/>
          <w:rtl/>
          <w:lang w:bidi="ar-EG"/>
        </w:rPr>
        <w:t>تم إقرارهما على صعيد الاتحاد الأوروبي.</w:t>
      </w:r>
    </w:p>
    <w:p w:rsidR="00635120" w:rsidRPr="00635120" w:rsidRDefault="00635120" w:rsidP="003D341C">
      <w:pPr>
        <w:pStyle w:val="SingleTxt"/>
        <w:rPr>
          <w:rFonts w:hint="cs"/>
          <w:rtl/>
          <w:lang w:bidi="ar-EG"/>
        </w:rPr>
      </w:pPr>
      <w:r w:rsidRPr="00635120">
        <w:rPr>
          <w:rFonts w:hint="cs"/>
          <w:rtl/>
          <w:lang w:bidi="ar-EG"/>
        </w:rPr>
        <w:tab/>
        <w:t>وينص القانون الصادر في 5 آذار/مارس 2002</w:t>
      </w:r>
      <w:r w:rsidR="003D341C">
        <w:rPr>
          <w:rFonts w:hint="cs"/>
          <w:rtl/>
          <w:lang w:bidi="ar-EG"/>
        </w:rPr>
        <w:t>،</w:t>
      </w:r>
      <w:r w:rsidRPr="00635120">
        <w:rPr>
          <w:rFonts w:hint="cs"/>
          <w:rtl/>
          <w:lang w:bidi="ar-EG"/>
        </w:rPr>
        <w:t xml:space="preserve"> فيما يتعلق بشروط العمل، على أ</w:t>
      </w:r>
      <w:r w:rsidR="003D341C">
        <w:rPr>
          <w:rFonts w:hint="cs"/>
          <w:rtl/>
          <w:lang w:bidi="ar-EG"/>
        </w:rPr>
        <w:t>لاّ</w:t>
      </w:r>
      <w:r w:rsidR="003D341C">
        <w:rPr>
          <w:rFonts w:hint="eastAsia"/>
          <w:rtl/>
          <w:lang w:bidi="ar-EG"/>
        </w:rPr>
        <w:t xml:space="preserve"> يحصل </w:t>
      </w:r>
      <w:r w:rsidRPr="00635120">
        <w:rPr>
          <w:rFonts w:hint="cs"/>
          <w:rtl/>
          <w:lang w:bidi="ar-EG"/>
        </w:rPr>
        <w:t>العمال ال</w:t>
      </w:r>
      <w:r w:rsidR="003D341C">
        <w:rPr>
          <w:rFonts w:hint="cs"/>
          <w:rtl/>
          <w:lang w:bidi="ar-EG"/>
        </w:rPr>
        <w:t xml:space="preserve">مؤقتون على معاملة أقل من </w:t>
      </w:r>
      <w:r w:rsidRPr="00635120">
        <w:rPr>
          <w:rFonts w:hint="cs"/>
          <w:rtl/>
          <w:lang w:bidi="ar-EG"/>
        </w:rPr>
        <w:t>العمال ال</w:t>
      </w:r>
      <w:r w:rsidR="003D341C">
        <w:rPr>
          <w:rFonts w:hint="cs"/>
          <w:rtl/>
          <w:lang w:bidi="ar-EG"/>
        </w:rPr>
        <w:t xml:space="preserve">متفرغين </w:t>
      </w:r>
      <w:r w:rsidRPr="00635120">
        <w:rPr>
          <w:rFonts w:hint="cs"/>
          <w:rtl/>
          <w:lang w:bidi="ar-EG"/>
        </w:rPr>
        <w:t xml:space="preserve">الموجودين في حالة مماثلة لدافع وحيد هو أنهم يعملون </w:t>
      </w:r>
      <w:r w:rsidR="003D341C">
        <w:rPr>
          <w:rFonts w:hint="cs"/>
          <w:rtl/>
          <w:lang w:bidi="ar-EG"/>
        </w:rPr>
        <w:t xml:space="preserve">بشكل مؤقت </w:t>
      </w:r>
      <w:r w:rsidRPr="00635120">
        <w:rPr>
          <w:rFonts w:hint="cs"/>
          <w:rtl/>
          <w:lang w:bidi="ar-EG"/>
        </w:rPr>
        <w:t>أو لمدة محددة، ما لم تكن هناك أسباب موضوعية تبرر اختلاف المعاملة.</w:t>
      </w:r>
    </w:p>
    <w:p w:rsidR="00635120" w:rsidRPr="00635120" w:rsidRDefault="00635120" w:rsidP="0095311E">
      <w:pPr>
        <w:pStyle w:val="SingleTxt"/>
        <w:rPr>
          <w:rFonts w:hint="cs"/>
          <w:rtl/>
          <w:lang w:bidi="ar-EG"/>
        </w:rPr>
      </w:pPr>
      <w:r w:rsidRPr="00635120">
        <w:rPr>
          <w:rFonts w:hint="cs"/>
          <w:rtl/>
          <w:lang w:bidi="ar-EG"/>
        </w:rPr>
        <w:tab/>
        <w:t>وبالمثل، ينص القانون الصادر في 5 حزيران/يونيه 2002 على أ</w:t>
      </w:r>
      <w:r w:rsidR="0095311E">
        <w:rPr>
          <w:rFonts w:hint="cs"/>
          <w:rtl/>
          <w:lang w:bidi="ar-EG"/>
        </w:rPr>
        <w:t>لاّ</w:t>
      </w:r>
      <w:r w:rsidRPr="00635120">
        <w:rPr>
          <w:rFonts w:hint="cs"/>
          <w:rtl/>
          <w:lang w:bidi="ar-EG"/>
        </w:rPr>
        <w:t xml:space="preserve"> </w:t>
      </w:r>
      <w:r w:rsidR="0095311E">
        <w:rPr>
          <w:rFonts w:hint="cs"/>
          <w:rtl/>
          <w:lang w:bidi="ar-EG"/>
        </w:rPr>
        <w:t xml:space="preserve">يحصل </w:t>
      </w:r>
      <w:r w:rsidRPr="00635120">
        <w:rPr>
          <w:rFonts w:hint="cs"/>
          <w:rtl/>
          <w:lang w:bidi="ar-EG"/>
        </w:rPr>
        <w:t>العمال المرتبط</w:t>
      </w:r>
      <w:r w:rsidR="0095311E">
        <w:rPr>
          <w:rFonts w:hint="cs"/>
          <w:rtl/>
          <w:lang w:bidi="ar-EG"/>
        </w:rPr>
        <w:t>و</w:t>
      </w:r>
      <w:r w:rsidRPr="00635120">
        <w:rPr>
          <w:rFonts w:hint="cs"/>
          <w:rtl/>
          <w:lang w:bidi="ar-EG"/>
        </w:rPr>
        <w:t xml:space="preserve">ن بعقد عمل محدد المدة </w:t>
      </w:r>
      <w:r w:rsidR="0095311E">
        <w:rPr>
          <w:rFonts w:hint="cs"/>
          <w:rtl/>
          <w:lang w:bidi="ar-EG"/>
        </w:rPr>
        <w:t xml:space="preserve">على معاملة أقل من </w:t>
      </w:r>
      <w:r w:rsidRPr="00635120">
        <w:rPr>
          <w:rFonts w:hint="cs"/>
          <w:rtl/>
          <w:lang w:bidi="ar-EG"/>
        </w:rPr>
        <w:t>العمال الذين يعملون بعقد غير محدد المدة والذين هم في وضع مماثل، فيما يتعلق بشروط العمل، بدافع وحيد هو أنهم يعملون بموجب عقد محدد المدة، ما لم تكن هناك أسباب موضوعية تبرر اختلاف المعاملة.</w:t>
      </w:r>
    </w:p>
    <w:p w:rsidR="00635120" w:rsidRPr="00635120" w:rsidRDefault="00635120" w:rsidP="0095311E">
      <w:pPr>
        <w:pStyle w:val="SingleTxt"/>
        <w:rPr>
          <w:rFonts w:hint="cs"/>
          <w:rtl/>
          <w:lang w:bidi="ar-EG"/>
        </w:rPr>
      </w:pPr>
      <w:r w:rsidRPr="00635120">
        <w:rPr>
          <w:rFonts w:hint="cs"/>
          <w:rtl/>
          <w:lang w:bidi="ar-EG"/>
        </w:rPr>
        <w:tab/>
        <w:t>ويتم تحديد الأقدمية، فيما يتعلق بشروط العمل الخاصة بالنسبة لهؤلاء العمال، على أساس المعايير نفسها بالنسبة للعمال بعقود غير محددة المدة، إلا عندما تكون مدد الأقدمية المختلفة تبررها ظروف موضوعية.</w:t>
      </w:r>
    </w:p>
    <w:p w:rsidR="00635120" w:rsidRDefault="00635120" w:rsidP="00E3275E">
      <w:pPr>
        <w:pStyle w:val="SingleTxt"/>
        <w:rPr>
          <w:rFonts w:hint="cs"/>
          <w:rtl/>
          <w:lang w:bidi="ar-EG"/>
        </w:rPr>
      </w:pPr>
      <w:r w:rsidRPr="00635120">
        <w:rPr>
          <w:rFonts w:hint="cs"/>
          <w:rtl/>
          <w:lang w:bidi="ar-EG"/>
        </w:rPr>
        <w:tab/>
        <w:t>وفضلاً عن ذلك، يلزم هذا القانون رب العمل بإبلاغ العمال بعقود محددة المدة ب</w:t>
      </w:r>
      <w:r w:rsidR="0095311E">
        <w:rPr>
          <w:rFonts w:hint="cs"/>
          <w:rtl/>
          <w:lang w:bidi="ar-EG"/>
        </w:rPr>
        <w:t>ال</w:t>
      </w:r>
      <w:r w:rsidRPr="00635120">
        <w:rPr>
          <w:rFonts w:hint="cs"/>
          <w:rtl/>
          <w:lang w:bidi="ar-EG"/>
        </w:rPr>
        <w:t xml:space="preserve">وظائف </w:t>
      </w:r>
      <w:r w:rsidR="0095311E">
        <w:rPr>
          <w:rFonts w:hint="cs"/>
          <w:rtl/>
          <w:lang w:bidi="ar-EG"/>
        </w:rPr>
        <w:t>ال</w:t>
      </w:r>
      <w:r w:rsidRPr="00635120">
        <w:rPr>
          <w:rFonts w:hint="cs"/>
          <w:rtl/>
          <w:lang w:bidi="ar-EG"/>
        </w:rPr>
        <w:t xml:space="preserve">شاغرة في المؤسسة، من أجل أن يكفل لهم نفس فرص </w:t>
      </w:r>
      <w:r w:rsidR="0095311E">
        <w:rPr>
          <w:rFonts w:hint="cs"/>
          <w:rtl/>
          <w:lang w:bidi="ar-EG"/>
        </w:rPr>
        <w:t>ا</w:t>
      </w:r>
      <w:r w:rsidRPr="00635120">
        <w:rPr>
          <w:rFonts w:hint="cs"/>
          <w:rtl/>
          <w:lang w:bidi="ar-EG"/>
        </w:rPr>
        <w:t xml:space="preserve">لحصول على وظيفة شاغرة </w:t>
      </w:r>
      <w:r w:rsidR="0095311E">
        <w:rPr>
          <w:rFonts w:hint="cs"/>
          <w:rtl/>
          <w:lang w:bidi="ar-EG"/>
        </w:rPr>
        <w:t>المتاحة ل</w:t>
      </w:r>
      <w:r w:rsidRPr="00635120">
        <w:rPr>
          <w:rFonts w:hint="cs"/>
          <w:rtl/>
          <w:lang w:bidi="ar-EG"/>
        </w:rPr>
        <w:t>لعمال الآخرين.</w:t>
      </w:r>
    </w:p>
    <w:p w:rsidR="0095311E" w:rsidRPr="00635120" w:rsidRDefault="0095311E" w:rsidP="0095311E">
      <w:pPr>
        <w:pStyle w:val="SingleTxt"/>
        <w:rPr>
          <w:rFonts w:hint="cs"/>
          <w:rtl/>
          <w:lang w:bidi="ar-EG"/>
        </w:rPr>
      </w:pPr>
      <w:r>
        <w:rPr>
          <w:rFonts w:hint="cs"/>
          <w:rtl/>
          <w:lang w:bidi="ar-EG"/>
        </w:rPr>
        <w:tab/>
        <w:t>وبمقتضى هذين القانونين لا يمكن تحديد حقوق العمال المؤقتين أو العمال بعقود محددة المدة بما يتناسب مع مدة العمل إلاّ إذا كان ذلك مناسبا.</w:t>
      </w:r>
    </w:p>
    <w:p w:rsidR="00635120" w:rsidRDefault="00635120" w:rsidP="0095311E">
      <w:pPr>
        <w:pStyle w:val="SingleTxt"/>
        <w:rPr>
          <w:rFonts w:hint="cs"/>
          <w:rtl/>
          <w:lang w:bidi="ar-EG"/>
        </w:rPr>
      </w:pPr>
      <w:r w:rsidRPr="00635120">
        <w:rPr>
          <w:rFonts w:hint="cs"/>
          <w:rtl/>
          <w:lang w:bidi="ar-EG"/>
        </w:rPr>
        <w:tab/>
        <w:t xml:space="preserve">وإلى جانب ذلك، يوجد </w:t>
      </w:r>
      <w:r w:rsidR="0095311E">
        <w:rPr>
          <w:rFonts w:hint="cs"/>
          <w:rtl/>
          <w:lang w:bidi="ar-EG"/>
        </w:rPr>
        <w:t>أ</w:t>
      </w:r>
      <w:r w:rsidRPr="00635120">
        <w:rPr>
          <w:rFonts w:hint="cs"/>
          <w:rtl/>
          <w:lang w:bidi="ar-EG"/>
        </w:rPr>
        <w:t>مران ملكيان ي</w:t>
      </w:r>
      <w:r w:rsidR="0095311E">
        <w:rPr>
          <w:rFonts w:hint="cs"/>
          <w:rtl/>
          <w:lang w:bidi="ar-EG"/>
        </w:rPr>
        <w:t>عطيان ا</w:t>
      </w:r>
      <w:r w:rsidRPr="00635120">
        <w:rPr>
          <w:rFonts w:hint="cs"/>
          <w:rtl/>
          <w:lang w:bidi="ar-EG"/>
        </w:rPr>
        <w:t xml:space="preserve">لمفتشين الاجتماعيين والمراقبين الاجتماعيين </w:t>
      </w:r>
      <w:r w:rsidR="0095311E">
        <w:rPr>
          <w:rFonts w:hint="cs"/>
          <w:rtl/>
          <w:lang w:bidi="ar-EG"/>
        </w:rPr>
        <w:t xml:space="preserve">التابعين لهيئة مراقبة </w:t>
      </w:r>
      <w:r w:rsidRPr="00635120">
        <w:rPr>
          <w:rFonts w:hint="cs"/>
          <w:rtl/>
          <w:lang w:bidi="ar-EG"/>
        </w:rPr>
        <w:t>القوانين الاجتماعية صلاحيات الإشراف على القانون الصادر في 25 شباط/فبراير 200</w:t>
      </w:r>
      <w:r w:rsidR="0095311E">
        <w:rPr>
          <w:rFonts w:hint="cs"/>
          <w:rtl/>
          <w:lang w:bidi="ar-EG"/>
        </w:rPr>
        <w:t>3</w:t>
      </w:r>
      <w:r w:rsidRPr="00635120">
        <w:rPr>
          <w:rFonts w:hint="cs"/>
          <w:rtl/>
          <w:lang w:bidi="ar-EG"/>
        </w:rPr>
        <w:t xml:space="preserve"> واحترام هذا القانون الذي يرمي إلى مكافحة التمييز</w:t>
      </w:r>
      <w:r w:rsidR="0095311E">
        <w:rPr>
          <w:rFonts w:hint="cs"/>
          <w:rtl/>
          <w:lang w:bidi="ar-EG"/>
        </w:rPr>
        <w:t>،</w:t>
      </w:r>
      <w:r w:rsidRPr="00635120">
        <w:rPr>
          <w:rFonts w:hint="cs"/>
          <w:rtl/>
          <w:lang w:bidi="ar-EG"/>
        </w:rPr>
        <w:t xml:space="preserve"> وكذلك بالنسبة للقانون الصادر في 30 تموز/يوليه 1981 الذي يرمي إلى </w:t>
      </w:r>
      <w:r w:rsidR="0095311E">
        <w:rPr>
          <w:rFonts w:hint="cs"/>
          <w:rtl/>
          <w:lang w:bidi="ar-EG"/>
        </w:rPr>
        <w:t xml:space="preserve">قمع </w:t>
      </w:r>
      <w:r w:rsidRPr="00635120">
        <w:rPr>
          <w:rFonts w:hint="cs"/>
          <w:rtl/>
          <w:lang w:bidi="ar-EG"/>
        </w:rPr>
        <w:t>بعض الأعمال المدفوعة بالعنصرية أو كره الأجانب هو و</w:t>
      </w:r>
      <w:r w:rsidR="0095311E">
        <w:rPr>
          <w:rFonts w:hint="cs"/>
          <w:rtl/>
          <w:lang w:bidi="ar-EG"/>
        </w:rPr>
        <w:t>أوامره</w:t>
      </w:r>
      <w:r w:rsidRPr="00635120">
        <w:rPr>
          <w:rFonts w:hint="cs"/>
          <w:rtl/>
          <w:lang w:bidi="ar-EG"/>
        </w:rPr>
        <w:t xml:space="preserve"> التنفيذية. ويتعلق الأمر با</w:t>
      </w:r>
      <w:r w:rsidR="0095311E">
        <w:rPr>
          <w:rFonts w:hint="cs"/>
          <w:rtl/>
          <w:lang w:bidi="ar-EG"/>
        </w:rPr>
        <w:t>لأمر</w:t>
      </w:r>
      <w:r w:rsidRPr="00635120">
        <w:rPr>
          <w:rFonts w:hint="cs"/>
          <w:rtl/>
          <w:lang w:bidi="ar-EG"/>
        </w:rPr>
        <w:t xml:space="preserve"> الملكي الصادر في 15 تموز/يوليه 2005 بشأن تعيين الموظفين المكل</w:t>
      </w:r>
      <w:r w:rsidR="0095311E">
        <w:rPr>
          <w:rFonts w:hint="cs"/>
          <w:rtl/>
          <w:lang w:bidi="ar-EG"/>
        </w:rPr>
        <w:t>ّ</w:t>
      </w:r>
      <w:r w:rsidRPr="00635120">
        <w:rPr>
          <w:rFonts w:hint="cs"/>
          <w:rtl/>
          <w:lang w:bidi="ar-EG"/>
        </w:rPr>
        <w:t xml:space="preserve">فين بمراقبة </w:t>
      </w:r>
      <w:r w:rsidR="0095311E">
        <w:rPr>
          <w:rFonts w:hint="cs"/>
          <w:rtl/>
          <w:lang w:bidi="ar-EG"/>
        </w:rPr>
        <w:t xml:space="preserve">احترام </w:t>
      </w:r>
      <w:r w:rsidRPr="00635120">
        <w:rPr>
          <w:rFonts w:hint="cs"/>
          <w:rtl/>
          <w:lang w:bidi="ar-EG"/>
        </w:rPr>
        <w:t>القانون الصادر في 25 شباط/فبراير 2003 الذي يهدف إلى مكافحة التمييز و</w:t>
      </w:r>
      <w:r w:rsidR="0095311E">
        <w:rPr>
          <w:rFonts w:hint="cs"/>
          <w:rtl/>
          <w:lang w:bidi="ar-EG"/>
        </w:rPr>
        <w:t xml:space="preserve">الذي يعدِّل </w:t>
      </w:r>
      <w:r w:rsidRPr="00635120">
        <w:rPr>
          <w:rFonts w:hint="cs"/>
          <w:rtl/>
          <w:lang w:bidi="ar-EG"/>
        </w:rPr>
        <w:t>القانون الصادر في 15 شباط/فبراير 1993</w:t>
      </w:r>
      <w:r w:rsidR="0095311E">
        <w:rPr>
          <w:rFonts w:hint="cs"/>
          <w:rtl/>
          <w:lang w:bidi="ar-EG"/>
        </w:rPr>
        <w:t xml:space="preserve"> المنشئ ل</w:t>
      </w:r>
      <w:r w:rsidRPr="00635120">
        <w:rPr>
          <w:rFonts w:hint="cs"/>
          <w:rtl/>
          <w:lang w:bidi="ar-EG"/>
        </w:rPr>
        <w:t>مركز ل</w:t>
      </w:r>
      <w:r w:rsidR="0095311E">
        <w:rPr>
          <w:rFonts w:hint="cs"/>
          <w:rtl/>
          <w:lang w:bidi="ar-EG"/>
        </w:rPr>
        <w:t>تكافؤ الفرص ومكافحة العنصرية هو</w:t>
      </w:r>
      <w:r w:rsidR="0095311E">
        <w:rPr>
          <w:rFonts w:hint="eastAsia"/>
          <w:rtl/>
          <w:lang w:bidi="ar-EG"/>
        </w:rPr>
        <w:t> </w:t>
      </w:r>
      <w:r w:rsidRPr="00635120">
        <w:rPr>
          <w:rFonts w:hint="cs"/>
          <w:rtl/>
          <w:lang w:bidi="ar-EG"/>
        </w:rPr>
        <w:t>و</w:t>
      </w:r>
      <w:r w:rsidR="0095311E">
        <w:rPr>
          <w:rFonts w:hint="cs"/>
          <w:rtl/>
          <w:lang w:bidi="ar-EG"/>
        </w:rPr>
        <w:t>أوامره</w:t>
      </w:r>
      <w:r w:rsidRPr="00635120">
        <w:rPr>
          <w:rFonts w:hint="cs"/>
          <w:rtl/>
          <w:lang w:bidi="ar-EG"/>
        </w:rPr>
        <w:t xml:space="preserve"> التنفيذية</w:t>
      </w:r>
      <w:r w:rsidR="0095311E">
        <w:rPr>
          <w:rFonts w:hint="cs"/>
          <w:rtl/>
          <w:lang w:bidi="ar-EG"/>
        </w:rPr>
        <w:t>،</w:t>
      </w:r>
      <w:r w:rsidRPr="00635120">
        <w:rPr>
          <w:rFonts w:hint="cs"/>
          <w:rtl/>
          <w:lang w:bidi="ar-EG"/>
        </w:rPr>
        <w:t xml:space="preserve"> وكذلك ا</w:t>
      </w:r>
      <w:r w:rsidR="0095311E">
        <w:rPr>
          <w:rFonts w:hint="cs"/>
          <w:rtl/>
          <w:lang w:bidi="ar-EG"/>
        </w:rPr>
        <w:t xml:space="preserve">لأمر </w:t>
      </w:r>
      <w:r w:rsidRPr="00635120">
        <w:rPr>
          <w:rFonts w:hint="cs"/>
          <w:rtl/>
          <w:lang w:bidi="ar-EG"/>
        </w:rPr>
        <w:t>الملكي الصادر في 15 تموز/يوليه 2005 الذي يعي</w:t>
      </w:r>
      <w:r w:rsidR="0095311E">
        <w:rPr>
          <w:rFonts w:hint="cs"/>
          <w:rtl/>
          <w:lang w:bidi="ar-EG"/>
        </w:rPr>
        <w:t>ِّ</w:t>
      </w:r>
      <w:r w:rsidRPr="00635120">
        <w:rPr>
          <w:rFonts w:hint="cs"/>
          <w:rtl/>
          <w:lang w:bidi="ar-EG"/>
        </w:rPr>
        <w:t xml:space="preserve">ن </w:t>
      </w:r>
      <w:r w:rsidR="0095311E">
        <w:rPr>
          <w:rFonts w:hint="cs"/>
          <w:rtl/>
          <w:lang w:bidi="ar-EG"/>
        </w:rPr>
        <w:t>ال</w:t>
      </w:r>
      <w:r w:rsidRPr="00635120">
        <w:rPr>
          <w:rFonts w:hint="cs"/>
          <w:rtl/>
          <w:lang w:bidi="ar-EG"/>
        </w:rPr>
        <w:t xml:space="preserve">موظفين </w:t>
      </w:r>
      <w:r w:rsidR="0095311E">
        <w:rPr>
          <w:rFonts w:hint="cs"/>
          <w:rtl/>
          <w:lang w:bidi="ar-EG"/>
        </w:rPr>
        <w:t>ال</w:t>
      </w:r>
      <w:r w:rsidRPr="00635120">
        <w:rPr>
          <w:rFonts w:hint="cs"/>
          <w:rtl/>
          <w:lang w:bidi="ar-EG"/>
        </w:rPr>
        <w:t>مكل</w:t>
      </w:r>
      <w:r w:rsidR="0095311E">
        <w:rPr>
          <w:rFonts w:hint="cs"/>
          <w:rtl/>
          <w:lang w:bidi="ar-EG"/>
        </w:rPr>
        <w:t>ّ</w:t>
      </w:r>
      <w:r w:rsidRPr="00635120">
        <w:rPr>
          <w:rFonts w:hint="cs"/>
          <w:rtl/>
          <w:lang w:bidi="ar-EG"/>
        </w:rPr>
        <w:t xml:space="preserve">فين بالإشراف على </w:t>
      </w:r>
      <w:r w:rsidR="0095311E">
        <w:rPr>
          <w:rFonts w:hint="cs"/>
          <w:rtl/>
          <w:lang w:bidi="ar-EG"/>
        </w:rPr>
        <w:t xml:space="preserve">احترام </w:t>
      </w:r>
      <w:r w:rsidRPr="00635120">
        <w:rPr>
          <w:rFonts w:hint="cs"/>
          <w:rtl/>
          <w:lang w:bidi="ar-EG"/>
        </w:rPr>
        <w:t xml:space="preserve">القانون الصادر في 30 تموز/يوليه 1981 الذي يرمي إلى </w:t>
      </w:r>
      <w:r w:rsidR="0095311E">
        <w:rPr>
          <w:rFonts w:hint="cs"/>
          <w:rtl/>
          <w:lang w:bidi="ar-EG"/>
        </w:rPr>
        <w:t xml:space="preserve">قمع </w:t>
      </w:r>
      <w:r w:rsidRPr="00635120">
        <w:rPr>
          <w:rFonts w:hint="cs"/>
          <w:rtl/>
          <w:lang w:bidi="ar-EG"/>
        </w:rPr>
        <w:t>بعض الأعمال المدفوعة بالعنصرية أو كره الأجانب و</w:t>
      </w:r>
      <w:r w:rsidR="0095311E">
        <w:rPr>
          <w:rFonts w:hint="cs"/>
          <w:rtl/>
          <w:lang w:bidi="ar-EG"/>
        </w:rPr>
        <w:t>أوامره</w:t>
      </w:r>
      <w:r w:rsidRPr="00635120">
        <w:rPr>
          <w:rFonts w:hint="cs"/>
          <w:rtl/>
          <w:lang w:bidi="ar-EG"/>
        </w:rPr>
        <w:t xml:space="preserve"> التنفيذية</w:t>
      </w:r>
      <w:r w:rsidRPr="00635120">
        <w:rPr>
          <w:vertAlign w:val="superscript"/>
          <w:rtl/>
          <w:lang w:bidi="ar-EG"/>
        </w:rPr>
        <w:t>(</w:t>
      </w:r>
      <w:r w:rsidRPr="00635120">
        <w:rPr>
          <w:vertAlign w:val="superscript"/>
          <w:rtl/>
        </w:rPr>
        <w:footnoteReference w:id="3"/>
      </w:r>
      <w:r w:rsidRPr="00635120">
        <w:rPr>
          <w:vertAlign w:val="superscript"/>
          <w:rtl/>
          <w:lang w:bidi="ar-EG"/>
        </w:rPr>
        <w:t>)</w:t>
      </w:r>
      <w:r w:rsidRPr="00635120">
        <w:rPr>
          <w:rFonts w:hint="cs"/>
          <w:rtl/>
          <w:lang w:bidi="ar-EG"/>
        </w:rPr>
        <w:t>.</w:t>
      </w:r>
    </w:p>
    <w:p w:rsidR="0095311E" w:rsidRDefault="0095311E" w:rsidP="0095311E">
      <w:pPr>
        <w:pStyle w:val="SingleTxt"/>
        <w:rPr>
          <w:rFonts w:hint="cs"/>
          <w:rtl/>
          <w:lang w:bidi="ar-EG"/>
        </w:rPr>
      </w:pPr>
    </w:p>
    <w:p w:rsidR="0095311E" w:rsidRPr="00635120" w:rsidRDefault="0095311E" w:rsidP="0095311E">
      <w:pPr>
        <w:pStyle w:val="SingleTxt"/>
        <w:rPr>
          <w:rFonts w:hint="cs"/>
          <w:rtl/>
          <w:lang w:bidi="ar-EG"/>
        </w:rPr>
      </w:pPr>
    </w:p>
    <w:p w:rsidR="00635120" w:rsidRPr="00635120" w:rsidRDefault="00635120" w:rsidP="000137D4">
      <w:pPr>
        <w:pStyle w:val="SingleTxt"/>
        <w:ind w:left="1930" w:hanging="663"/>
        <w:rPr>
          <w:rFonts w:hint="cs"/>
          <w:rtl/>
          <w:lang w:bidi="ar-EG"/>
        </w:rPr>
      </w:pPr>
      <w:r w:rsidRPr="0095311E">
        <w:rPr>
          <w:rFonts w:hint="cs"/>
          <w:rtl/>
          <w:lang w:bidi="ar-EG"/>
        </w:rPr>
        <w:t>3</w:t>
      </w:r>
      <w:r w:rsidR="000137D4">
        <w:rPr>
          <w:rFonts w:hint="cs"/>
          <w:rtl/>
          <w:lang w:bidi="ar-EG"/>
        </w:rPr>
        <w:t>-</w:t>
      </w:r>
      <w:r w:rsidRPr="0095311E">
        <w:rPr>
          <w:rFonts w:hint="cs"/>
          <w:rtl/>
          <w:lang w:bidi="ar-EG"/>
        </w:rPr>
        <w:t xml:space="preserve">3 </w:t>
      </w:r>
      <w:r w:rsidRPr="00635120">
        <w:rPr>
          <w:rFonts w:hint="cs"/>
          <w:i/>
          <w:iCs/>
          <w:rtl/>
          <w:lang w:bidi="ar-EG"/>
        </w:rPr>
        <w:tab/>
      </w:r>
      <w:r w:rsidRPr="000137D4">
        <w:rPr>
          <w:rFonts w:hint="cs"/>
          <w:i/>
          <w:iCs/>
          <w:rtl/>
          <w:lang w:bidi="ar-EG"/>
        </w:rPr>
        <w:t xml:space="preserve">القانون الصادر في 12 كانون الثاني/يناير 2007 والرامي إلى مراقبة تطبيق قرارات المؤتمر العالمي المعني بالمرأة المنعقد في بيجين في أيلول/سبتمبر 1995 وإدراج البعد </w:t>
      </w:r>
      <w:r w:rsidR="0095311E" w:rsidRPr="000137D4">
        <w:rPr>
          <w:rFonts w:hint="cs"/>
          <w:i/>
          <w:iCs/>
          <w:rtl/>
          <w:lang w:bidi="ar-EG"/>
        </w:rPr>
        <w:t xml:space="preserve">الجنساني </w:t>
      </w:r>
      <w:r w:rsidRPr="000137D4">
        <w:rPr>
          <w:rFonts w:hint="cs"/>
          <w:i/>
          <w:iCs/>
          <w:rtl/>
          <w:lang w:bidi="ar-EG"/>
        </w:rPr>
        <w:t>في جميع السياسات الاتحادية</w:t>
      </w:r>
      <w:r w:rsidRPr="000137D4">
        <w:rPr>
          <w:rFonts w:hint="cs"/>
          <w:rtl/>
          <w:lang w:bidi="ar-EG"/>
        </w:rPr>
        <w:t xml:space="preserve">، والمنشور في الجريدة الرسمية </w:t>
      </w:r>
      <w:r w:rsidR="0095311E" w:rsidRPr="000137D4">
        <w:rPr>
          <w:rFonts w:hint="cs"/>
          <w:rtl/>
          <w:lang w:bidi="ar-EG"/>
        </w:rPr>
        <w:t>الصادرة في 13</w:t>
      </w:r>
      <w:r w:rsidR="0095311E" w:rsidRPr="000137D4">
        <w:rPr>
          <w:rFonts w:hint="eastAsia"/>
          <w:rtl/>
          <w:lang w:bidi="ar-EG"/>
        </w:rPr>
        <w:t> </w:t>
      </w:r>
      <w:r w:rsidRPr="000137D4">
        <w:rPr>
          <w:rFonts w:hint="cs"/>
          <w:rtl/>
          <w:lang w:bidi="ar-EG"/>
        </w:rPr>
        <w:t>شباط/فبراير 2007</w:t>
      </w:r>
      <w:r w:rsidRPr="0095311E">
        <w:rPr>
          <w:rFonts w:hint="cs"/>
          <w:rtl/>
          <w:lang w:bidi="ar-EG"/>
        </w:rPr>
        <w:t>.</w:t>
      </w:r>
    </w:p>
    <w:p w:rsidR="00635120" w:rsidRPr="00635120" w:rsidRDefault="00635120" w:rsidP="00635120">
      <w:pPr>
        <w:pStyle w:val="SingleTxt"/>
        <w:rPr>
          <w:rFonts w:hint="cs"/>
          <w:rtl/>
          <w:lang w:bidi="ar-EG"/>
        </w:rPr>
      </w:pPr>
      <w:r w:rsidRPr="00635120">
        <w:rPr>
          <w:rFonts w:hint="cs"/>
          <w:rtl/>
          <w:lang w:bidi="ar-EG"/>
        </w:rPr>
        <w:tab/>
        <w:t>وهذا القانون الذي تم إعداده بمبادرة من الوزير الاتحادي لتكافؤ الفرص خلال الفترة المشمولة بالبحث ينص على:</w:t>
      </w:r>
    </w:p>
    <w:p w:rsidR="00635120" w:rsidRPr="00635120" w:rsidRDefault="0030451F" w:rsidP="0095311E">
      <w:pPr>
        <w:pStyle w:val="SingleTxt"/>
        <w:rPr>
          <w:rFonts w:hint="cs"/>
          <w:rtl/>
          <w:lang w:bidi="ar-EG"/>
        </w:rPr>
      </w:pPr>
      <w:r>
        <w:rPr>
          <w:rtl/>
          <w:lang w:bidi="ar-EG"/>
        </w:rPr>
        <w:tab/>
      </w:r>
      <w:r w:rsidR="00635120" w:rsidRPr="00635120">
        <w:rPr>
          <w:rFonts w:hint="cs"/>
          <w:rtl/>
          <w:lang w:bidi="ar-EG"/>
        </w:rPr>
        <w:t>1 -</w:t>
      </w:r>
      <w:r w:rsidR="00635120" w:rsidRPr="00635120">
        <w:rPr>
          <w:rFonts w:hint="cs"/>
          <w:rtl/>
          <w:lang w:bidi="ar-EG"/>
        </w:rPr>
        <w:tab/>
        <w:t>تقييم أثر البعد الجنس</w:t>
      </w:r>
      <w:r w:rsidR="0095311E">
        <w:rPr>
          <w:rFonts w:hint="cs"/>
          <w:rtl/>
          <w:lang w:bidi="ar-EG"/>
        </w:rPr>
        <w:t>ان</w:t>
      </w:r>
      <w:r w:rsidR="00635120" w:rsidRPr="00635120">
        <w:rPr>
          <w:rFonts w:hint="cs"/>
          <w:rtl/>
          <w:lang w:bidi="ar-EG"/>
        </w:rPr>
        <w:t>ي بالنسبة لكل مشروع قانون تشريعي وتنظيمي تتخذه الحكومة بغية تفادي أو تصحيح الآثار ا</w:t>
      </w:r>
      <w:r w:rsidR="0095311E">
        <w:rPr>
          <w:rFonts w:hint="cs"/>
          <w:rtl/>
          <w:lang w:bidi="ar-EG"/>
        </w:rPr>
        <w:t xml:space="preserve">لسلبية </w:t>
      </w:r>
      <w:r w:rsidR="00635120" w:rsidRPr="00635120">
        <w:rPr>
          <w:rFonts w:hint="cs"/>
          <w:rtl/>
          <w:lang w:bidi="ar-EG"/>
        </w:rPr>
        <w:t>المحتملة على الحالة المتعلقة بالمرأة والرجل وأخذ احتياجاتهما النوعية في الاعتبار؛</w:t>
      </w:r>
    </w:p>
    <w:p w:rsidR="00635120" w:rsidRDefault="0030451F" w:rsidP="0030451F">
      <w:pPr>
        <w:pStyle w:val="SingleTxt"/>
        <w:rPr>
          <w:rFonts w:hint="cs"/>
          <w:rtl/>
          <w:lang w:bidi="ar-EG"/>
        </w:rPr>
      </w:pPr>
      <w:r>
        <w:rPr>
          <w:rtl/>
          <w:lang w:bidi="ar-EG"/>
        </w:rPr>
        <w:tab/>
      </w:r>
      <w:r w:rsidR="00635120" w:rsidRPr="00635120">
        <w:rPr>
          <w:rFonts w:hint="cs"/>
          <w:rtl/>
          <w:lang w:bidi="ar-EG"/>
        </w:rPr>
        <w:t>2 -</w:t>
      </w:r>
      <w:r w:rsidR="00635120" w:rsidRPr="00635120">
        <w:rPr>
          <w:rFonts w:hint="cs"/>
          <w:rtl/>
          <w:lang w:bidi="ar-EG"/>
        </w:rPr>
        <w:tab/>
      </w:r>
      <w:r w:rsidR="00635120" w:rsidRPr="00635120">
        <w:rPr>
          <w:rFonts w:hint="eastAsia"/>
          <w:rtl/>
          <w:lang w:bidi="ar-EG"/>
        </w:rPr>
        <w:t>”الميزنة الجنسانية</w:t>
      </w:r>
      <w:r w:rsidR="00635120" w:rsidRPr="00635120">
        <w:rPr>
          <w:rFonts w:hint="cs"/>
          <w:rtl/>
          <w:lang w:bidi="ar-EG"/>
        </w:rPr>
        <w:t xml:space="preserve">“: ينبغي أن يصحب أي مشروع للميزانية العامة للنفقات بمذكرة </w:t>
      </w:r>
      <w:r>
        <w:rPr>
          <w:rFonts w:hint="cs"/>
          <w:rtl/>
          <w:lang w:bidi="ar-EG"/>
        </w:rPr>
        <w:t xml:space="preserve">جنسانية </w:t>
      </w:r>
      <w:r w:rsidR="00635120" w:rsidRPr="00635120">
        <w:rPr>
          <w:rFonts w:hint="cs"/>
          <w:rtl/>
          <w:lang w:bidi="ar-EG"/>
        </w:rPr>
        <w:t xml:space="preserve">توضح لكل إدارة </w:t>
      </w:r>
      <w:r>
        <w:rPr>
          <w:rFonts w:hint="cs"/>
          <w:rtl/>
          <w:lang w:bidi="ar-EG"/>
        </w:rPr>
        <w:t>الاعتمادات المرصودة ل</w:t>
      </w:r>
      <w:r w:rsidR="00635120" w:rsidRPr="00635120">
        <w:rPr>
          <w:rFonts w:hint="cs"/>
          <w:rtl/>
          <w:lang w:bidi="ar-EG"/>
        </w:rPr>
        <w:t>لأعمال المواتية للمساواة بين الرجل والمرأة؛</w:t>
      </w:r>
    </w:p>
    <w:p w:rsidR="004D3C2E" w:rsidRDefault="00E215AB" w:rsidP="004D3C2E">
      <w:pPr>
        <w:pStyle w:val="SingleTxt"/>
        <w:rPr>
          <w:rFonts w:hint="cs"/>
          <w:rtl/>
          <w:lang w:bidi="ar-EG"/>
        </w:rPr>
      </w:pPr>
      <w:r>
        <w:rPr>
          <w:rFonts w:hint="cs"/>
          <w:rtl/>
          <w:lang w:bidi="ar-EG"/>
        </w:rPr>
        <w:tab/>
      </w:r>
      <w:r w:rsidR="004D3C2E">
        <w:rPr>
          <w:rFonts w:hint="cs"/>
          <w:rtl/>
          <w:lang w:bidi="ar-EG"/>
        </w:rPr>
        <w:t>3 -</w:t>
      </w:r>
      <w:r w:rsidR="004D3C2E">
        <w:rPr>
          <w:rFonts w:hint="cs"/>
          <w:rtl/>
          <w:lang w:bidi="ar-EG"/>
        </w:rPr>
        <w:tab/>
      </w:r>
      <w:r w:rsidR="004D3C2E">
        <w:rPr>
          <w:rFonts w:hint="eastAsia"/>
          <w:rtl/>
          <w:lang w:bidi="ar-EG"/>
        </w:rPr>
        <w:t>”تعميم مراعاة المنظور الجنساني</w:t>
      </w:r>
      <w:r w:rsidR="004D3C2E">
        <w:rPr>
          <w:rFonts w:hint="cs"/>
          <w:rtl/>
          <w:lang w:bidi="ar-EG"/>
        </w:rPr>
        <w:t>“ في الإحصاءات: ينبغي أن تحرص الدوائر العامة على أن تكون الإحصاءات التي تنتهجها موزعة حسب الجنس وإنشاء مؤشرات تتعلق بالجنس.</w:t>
      </w:r>
    </w:p>
    <w:p w:rsidR="004D3C2E" w:rsidRDefault="00E215AB" w:rsidP="004D3C2E">
      <w:pPr>
        <w:pStyle w:val="SingleTxt"/>
        <w:rPr>
          <w:rFonts w:hint="cs"/>
          <w:rtl/>
          <w:lang w:bidi="ar-EG"/>
        </w:rPr>
      </w:pPr>
      <w:r>
        <w:rPr>
          <w:rFonts w:hint="cs"/>
          <w:rtl/>
          <w:lang w:bidi="ar-EG"/>
        </w:rPr>
        <w:tab/>
      </w:r>
      <w:r w:rsidR="004D3C2E">
        <w:rPr>
          <w:rFonts w:hint="cs"/>
          <w:rtl/>
          <w:lang w:bidi="ar-EG"/>
        </w:rPr>
        <w:t>4 -</w:t>
      </w:r>
      <w:r w:rsidR="004D3C2E">
        <w:rPr>
          <w:rFonts w:hint="cs"/>
          <w:rtl/>
          <w:lang w:bidi="ar-EG"/>
        </w:rPr>
        <w:tab/>
        <w:t>تحديد أهداف استراتيجية في بداية الدورة التشريعية تعزز المساواة بين الرجل والمرأة في إعلان الحكومة، ومذكرات السياسات العامة لكل وزير ومتابعة أوجه التقدم الذي تحقق؛</w:t>
      </w:r>
    </w:p>
    <w:p w:rsidR="004D3C2E" w:rsidRDefault="00E215AB" w:rsidP="004D3C2E">
      <w:pPr>
        <w:pStyle w:val="SingleTxt"/>
        <w:rPr>
          <w:rFonts w:hint="cs"/>
          <w:rtl/>
          <w:lang w:bidi="ar-EG"/>
        </w:rPr>
      </w:pPr>
      <w:r>
        <w:rPr>
          <w:rFonts w:hint="cs"/>
          <w:rtl/>
          <w:lang w:bidi="ar-EG"/>
        </w:rPr>
        <w:tab/>
      </w:r>
      <w:r w:rsidR="004D3C2E">
        <w:rPr>
          <w:rFonts w:hint="cs"/>
          <w:rtl/>
          <w:lang w:bidi="ar-EG"/>
        </w:rPr>
        <w:t>5 -</w:t>
      </w:r>
      <w:r w:rsidR="004D3C2E">
        <w:rPr>
          <w:rFonts w:hint="cs"/>
          <w:rtl/>
          <w:lang w:bidi="ar-EG"/>
        </w:rPr>
        <w:tab/>
        <w:t>تحسين نظام تقديم التقارير إلى البرلمان في إطار تطبيق منهاج عمل بيجين: ومن ثم يعمل القانون بطريقة جوهرية على تحسين الالتزام بتقديم التقارير المنصوص عليه في القانون الصادر في 6 آذار/مارس 1996؛</w:t>
      </w:r>
    </w:p>
    <w:p w:rsidR="004D3C2E" w:rsidRDefault="00E215AB" w:rsidP="004D3C2E">
      <w:pPr>
        <w:pStyle w:val="SingleTxt"/>
        <w:rPr>
          <w:rFonts w:hint="cs"/>
          <w:rtl/>
          <w:lang w:bidi="ar-EG"/>
        </w:rPr>
      </w:pPr>
      <w:r>
        <w:rPr>
          <w:rFonts w:hint="cs"/>
          <w:rtl/>
          <w:lang w:bidi="ar-EG"/>
        </w:rPr>
        <w:tab/>
      </w:r>
      <w:r w:rsidR="004D3C2E">
        <w:rPr>
          <w:rFonts w:hint="cs"/>
          <w:rtl/>
          <w:lang w:bidi="ar-EG"/>
        </w:rPr>
        <w:t>6 -</w:t>
      </w:r>
      <w:r w:rsidR="004D3C2E">
        <w:rPr>
          <w:rFonts w:hint="cs"/>
          <w:rtl/>
          <w:lang w:bidi="ar-EG"/>
        </w:rPr>
        <w:tab/>
        <w:t>إنشاء فريق للتنسيق مشترك بين الإدارات يتألف من شخصيات رفيعة المستوى معيَّنة من قِبَل الدواوين الوزارية والإدارات الاتحادية بغية إضفاء الطابع المؤسسي على عملية إدراج البعد الجنساني؛</w:t>
      </w:r>
    </w:p>
    <w:p w:rsidR="004D3C2E" w:rsidRDefault="00E215AB" w:rsidP="004D3C2E">
      <w:pPr>
        <w:pStyle w:val="SingleTxt"/>
        <w:rPr>
          <w:rFonts w:hint="cs"/>
          <w:rtl/>
          <w:lang w:bidi="ar-EG"/>
        </w:rPr>
      </w:pPr>
      <w:r>
        <w:rPr>
          <w:rFonts w:hint="cs"/>
          <w:rtl/>
          <w:lang w:bidi="ar-EG"/>
        </w:rPr>
        <w:tab/>
      </w:r>
      <w:r w:rsidR="004D3C2E">
        <w:rPr>
          <w:rFonts w:hint="cs"/>
          <w:rtl/>
          <w:lang w:bidi="ar-EG"/>
        </w:rPr>
        <w:t>7 -</w:t>
      </w:r>
      <w:r w:rsidR="004D3C2E">
        <w:rPr>
          <w:rFonts w:hint="cs"/>
          <w:rtl/>
          <w:lang w:bidi="ar-EG"/>
        </w:rPr>
        <w:tab/>
        <w:t>مناط بالمعهد المعني بالمساواة بين المرأة والرجل مواكبة ودعم عملية إدراج البعد الجنساني في السياسات والتدابير والإجراءات العامة.</w:t>
      </w:r>
    </w:p>
    <w:p w:rsidR="004D3C2E" w:rsidRDefault="004D3C2E" w:rsidP="004D3C2E">
      <w:pPr>
        <w:pStyle w:val="SingleTxt"/>
        <w:rPr>
          <w:rFonts w:hint="cs"/>
          <w:rtl/>
          <w:lang w:bidi="ar-EG"/>
        </w:rPr>
      </w:pPr>
      <w:r>
        <w:rPr>
          <w:rFonts w:hint="cs"/>
          <w:rtl/>
          <w:lang w:bidi="ar-EG"/>
        </w:rPr>
        <w:tab/>
        <w:t>والتدابير المطلوبة للتنفيذ بموجب القانون في طور الإعداد.</w:t>
      </w:r>
    </w:p>
    <w:p w:rsidR="004D3C2E" w:rsidRPr="009C1AF8" w:rsidRDefault="004D3C2E" w:rsidP="004D3C2E">
      <w:pPr>
        <w:pStyle w:val="H1"/>
        <w:spacing w:line="120" w:lineRule="exact"/>
        <w:rPr>
          <w:rFonts w:hint="cs"/>
          <w:sz w:val="10"/>
          <w:rtl/>
        </w:rPr>
      </w:pPr>
    </w:p>
    <w:p w:rsidR="004D3C2E" w:rsidRDefault="004D3C2E" w:rsidP="00E215A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Pr="00D44AED">
        <w:rPr>
          <w:rFonts w:hint="cs"/>
          <w:rtl/>
        </w:rPr>
        <w:t xml:space="preserve">ثانيا </w:t>
      </w:r>
      <w:r>
        <w:rPr>
          <w:rFonts w:hint="cs"/>
          <w:rtl/>
        </w:rPr>
        <w:t>-</w:t>
      </w:r>
      <w:r w:rsidRPr="00D44AED">
        <w:rPr>
          <w:rFonts w:hint="cs"/>
          <w:rtl/>
        </w:rPr>
        <w:tab/>
        <w:t>الكيانات الاتحادية</w:t>
      </w:r>
    </w:p>
    <w:p w:rsidR="004D3C2E" w:rsidRPr="00D44AED" w:rsidRDefault="004D3C2E" w:rsidP="00E215A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D44AED">
        <w:rPr>
          <w:rFonts w:hint="cs"/>
          <w:rtl/>
        </w:rPr>
        <w:tab/>
        <w:t>ألف -</w:t>
      </w:r>
      <w:r w:rsidRPr="00D44AED">
        <w:rPr>
          <w:rFonts w:hint="cs"/>
          <w:rtl/>
        </w:rPr>
        <w:tab/>
      </w:r>
      <w:r>
        <w:rPr>
          <w:rFonts w:hint="cs"/>
          <w:rtl/>
        </w:rPr>
        <w:t>الإقليم والمجتمع الفلمنديان</w:t>
      </w:r>
    </w:p>
    <w:p w:rsidR="004D3C2E" w:rsidRDefault="004D3C2E" w:rsidP="004D3C2E">
      <w:pPr>
        <w:pStyle w:val="SingleTxt"/>
        <w:rPr>
          <w:rFonts w:hint="cs"/>
          <w:rtl/>
          <w:lang w:bidi="ar-EG"/>
        </w:rPr>
      </w:pPr>
      <w:r>
        <w:rPr>
          <w:rFonts w:hint="cs"/>
          <w:rtl/>
          <w:lang w:bidi="ar-EG"/>
        </w:rPr>
        <w:tab/>
        <w:t>منذ التقرير الأخير المقدم في عام 2002، لم يتم التصويت على قوانين جنسانية جديدة في الإقليم الفلمندي. غير أن الحكومة تعمل على إصدار مرسومين جديدين سوف يزيدان من الجهود المناهضة للتمييز ضد المرأة.</w:t>
      </w:r>
    </w:p>
    <w:p w:rsidR="00E215AB" w:rsidRDefault="004D3C2E" w:rsidP="004D3C2E">
      <w:pPr>
        <w:pStyle w:val="SingleTxt"/>
        <w:rPr>
          <w:rFonts w:hint="cs"/>
          <w:rtl/>
          <w:lang w:bidi="ar-EG"/>
        </w:rPr>
      </w:pPr>
      <w:r>
        <w:rPr>
          <w:rFonts w:hint="cs"/>
          <w:rtl/>
          <w:lang w:bidi="ar-EG"/>
        </w:rPr>
        <w:tab/>
        <w:t>وفي عام 2005، شرع الوزير الفلمندي لتكافؤ الفرص في مبادرة لتوحيد المرسومين القائمين الخاصين بالحصص (مرسوم عام 1997 الخاص بنظام الحصص في المجالس الاستشارية ومرسوم عام 1998 بشأن نظام الحصص في الهيئات الإدارية للحكومة الفلمندية في مرسوم واحد جديد. وقد طرحت أسئلة كثيرة في السنوات الماضية بشأن تنفيذ القانونين القائمين، تتعلق في معظمها بإيضاح التنفيذ. وجرت مناقشات واسعة فيما بين الهيئات الاستشارية والإدارية حول تنفيذ مرسومي الحصص أو عدم تنفيذهما، وهو ما يمكن أن يعتبر نوعاً من المقاومة تتعلق بالتنفيذ. غير أنه من ناحية أخرى، حدثت عملية ضخمة لإعادة تنظيم الوزارة الفلمندية في السنوات الماضية وصلت إلى نهايتها في نيسان/أبريل 2006. ونظراً لعملية إعادة التنظيم هذه، تعيّن تكييف مرسومي الحصص ليتوافقا مع الهيئات الاستشارية والإدارية الجديدة التي أنشئت.</w:t>
      </w:r>
    </w:p>
    <w:p w:rsidR="004D3C2E" w:rsidRDefault="00E215AB" w:rsidP="00E215AB">
      <w:pPr>
        <w:pStyle w:val="SingleTxt"/>
        <w:rPr>
          <w:rFonts w:hint="cs"/>
          <w:rtl/>
          <w:lang w:bidi="ar-EG"/>
        </w:rPr>
      </w:pPr>
      <w:r>
        <w:rPr>
          <w:rFonts w:hint="cs"/>
          <w:rtl/>
          <w:lang w:bidi="ar-EG"/>
        </w:rPr>
        <w:tab/>
      </w:r>
      <w:r w:rsidR="004D3C2E">
        <w:rPr>
          <w:rFonts w:hint="cs"/>
          <w:rtl/>
          <w:lang w:bidi="ar-EG"/>
        </w:rPr>
        <w:t>وسوف يؤدي إنشاء قواعد جديدة ومتماثلة لكل من الهيئات الاستشارية والإدارية إلى قدر أكبر من الشفافية والتنفيذ الأفضل. ويمر مشروع القانون بمرحلته الأخيرة ومن المحتمل اعتماده والبدء في تنفيذه في ربيع عام 2007.</w:t>
      </w:r>
    </w:p>
    <w:p w:rsidR="004D3C2E" w:rsidRDefault="004D3C2E" w:rsidP="004D3C2E">
      <w:pPr>
        <w:pStyle w:val="SingleTxt"/>
        <w:rPr>
          <w:rFonts w:hint="cs"/>
          <w:rtl/>
          <w:lang w:bidi="ar-EG"/>
        </w:rPr>
      </w:pPr>
      <w:r>
        <w:rPr>
          <w:rFonts w:hint="cs"/>
          <w:rtl/>
          <w:lang w:bidi="ar-EG"/>
        </w:rPr>
        <w:tab/>
        <w:t>وتتعلق المبادرة القانونية الثانية بنقل توجيهات الاتحاد الأوروبي في ميدان مكافحة التمييز. ويشمل التوجيه الأحدث بصفة خاصة (2004/113) تدابير عامة من المقرر اتخاذها بشأن الجنسانية، مما يتيح الفرصة لوضع مبادرة شاملة.</w:t>
      </w:r>
    </w:p>
    <w:p w:rsidR="004D3C2E" w:rsidRDefault="004D3C2E" w:rsidP="004D3C2E">
      <w:pPr>
        <w:pStyle w:val="SingleTxt"/>
        <w:rPr>
          <w:rFonts w:hint="cs"/>
          <w:rtl/>
          <w:lang w:bidi="ar-EG"/>
        </w:rPr>
      </w:pPr>
      <w:r>
        <w:rPr>
          <w:rFonts w:hint="cs"/>
          <w:rtl/>
          <w:lang w:bidi="ar-EG"/>
        </w:rPr>
        <w:tab/>
        <w:t xml:space="preserve">وفي إطار عملية نقل التوجيهات الأوروبية تقوم السيدة كاثلين مان بريمبت، الوزيرة الفلمندية المسؤولة عن تكافؤ الفرص، بإعداد قانون برلماني فلمندي بشأن المساواة في المعاملة. وسوف يعمل هذا القانون البرلماني الفلمندي على سد الثغرات التي ما زالت قائمة بعد نقل التوجيهات الأوروبية الثلاثة (التوجيه </w:t>
      </w:r>
      <w:r>
        <w:rPr>
          <w:lang w:bidi="ar-EG"/>
        </w:rPr>
        <w:t>2000/43/EC</w:t>
      </w:r>
      <w:r>
        <w:rPr>
          <w:rFonts w:hint="cs"/>
          <w:rtl/>
          <w:lang w:bidi="ar-EG"/>
        </w:rPr>
        <w:t xml:space="preserve">، والتوجيه </w:t>
      </w:r>
      <w:r>
        <w:rPr>
          <w:lang w:bidi="ar-EG"/>
        </w:rPr>
        <w:t>2000/78/EC</w:t>
      </w:r>
      <w:r>
        <w:rPr>
          <w:rFonts w:hint="cs"/>
          <w:rtl/>
          <w:lang w:bidi="ar-EG"/>
        </w:rPr>
        <w:t xml:space="preserve">، والتوجيه </w:t>
      </w:r>
      <w:r>
        <w:rPr>
          <w:lang w:bidi="ar-EG"/>
        </w:rPr>
        <w:t>2004/113/EC</w:t>
      </w:r>
      <w:r>
        <w:rPr>
          <w:rFonts w:hint="cs"/>
          <w:rtl/>
          <w:lang w:bidi="ar-EG"/>
        </w:rPr>
        <w:t>) إلى الاختصاص الفلمندي.</w:t>
      </w:r>
    </w:p>
    <w:p w:rsidR="004D3C2E" w:rsidRDefault="004D3C2E" w:rsidP="004D3C2E">
      <w:pPr>
        <w:pStyle w:val="SingleTxt"/>
        <w:rPr>
          <w:rFonts w:hint="cs"/>
          <w:rtl/>
          <w:lang w:bidi="ar-EG"/>
        </w:rPr>
      </w:pPr>
      <w:r>
        <w:rPr>
          <w:rFonts w:hint="cs"/>
          <w:rtl/>
          <w:lang w:bidi="ar-EG"/>
        </w:rPr>
        <w:tab/>
        <w:t>ولدى الإقليم الفلمندي القانونان البرلمانيان الفلمنديان التاليان:</w:t>
      </w:r>
    </w:p>
    <w:p w:rsidR="004D3C2E" w:rsidRDefault="004D3C2E" w:rsidP="00E215A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rFonts w:hint="cs"/>
          <w:rtl/>
          <w:lang w:bidi="ar-EG"/>
        </w:rPr>
        <w:tab/>
        <w:t>القانون البرلماني الفلمندي المؤرخ 8 أيار/مايو 2002 بشأن المشاركة التناسبية في سوق العمل؛</w:t>
      </w:r>
    </w:p>
    <w:p w:rsidR="004D3C2E" w:rsidRDefault="00E215AB" w:rsidP="004D3C2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4D3C2E">
        <w:rPr>
          <w:rFonts w:hint="cs"/>
          <w:rtl/>
          <w:lang w:bidi="ar-EG"/>
        </w:rPr>
        <w:tab/>
        <w:t>القانون البرلماني الفلمندي المؤرخ 28 حزيران/يونيه 2002 بشأن تكافؤ الفرص التعليمية.</w:t>
      </w:r>
    </w:p>
    <w:p w:rsidR="004D3C2E" w:rsidRDefault="00E215AB" w:rsidP="004D3C2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4D3C2E">
        <w:rPr>
          <w:rFonts w:hint="cs"/>
          <w:rtl/>
          <w:lang w:bidi="ar-EG"/>
        </w:rPr>
        <w:tab/>
        <w:t>والمقصود بالقانون البرلماني الفلمندي بشأن المساواة في المعاملة ملء الفجوات التي نشأت نتيجة للتوجيه الجديد الصادر عن الاتحاد الأوروبي لعام 2004 (تاريخ متأخر عن التنظيم الحالي) وتحقيق حل متكامل للاختصاصات الفلمندية جميعها.</w:t>
      </w:r>
    </w:p>
    <w:p w:rsidR="004D3C2E" w:rsidRDefault="004D3C2E" w:rsidP="004D3C2E">
      <w:pPr>
        <w:pStyle w:val="SingleTxt"/>
        <w:rPr>
          <w:rFonts w:hint="cs"/>
          <w:rtl/>
          <w:lang w:bidi="ar-EG"/>
        </w:rPr>
      </w:pPr>
      <w:r>
        <w:rPr>
          <w:rFonts w:hint="cs"/>
          <w:rtl/>
          <w:lang w:bidi="ar-EG"/>
        </w:rPr>
        <w:tab/>
        <w:t>وسوف يتم إنشاء أساس قانوني لخطة فلمندية بشأن المساواة في المعاملة يحدد معالم تدابير السياسة التي تعتزم الحكومة الفلمندية تخطيطها في الأجلين القصير والطويل، وكذلك أحكام تقييم السياسة المنتهجة.</w:t>
      </w:r>
    </w:p>
    <w:p w:rsidR="004D3C2E" w:rsidRPr="00FE0AB7" w:rsidRDefault="004D3C2E" w:rsidP="004D3C2E">
      <w:pPr>
        <w:pStyle w:val="H1"/>
        <w:spacing w:line="120" w:lineRule="exact"/>
        <w:rPr>
          <w:rFonts w:hint="cs"/>
          <w:sz w:val="10"/>
          <w:rtl/>
        </w:rPr>
      </w:pPr>
    </w:p>
    <w:p w:rsidR="004D3C2E" w:rsidRPr="00D44AED" w:rsidRDefault="004D3C2E" w:rsidP="004D3C2E">
      <w:pPr>
        <w:pStyle w:val="H1"/>
        <w:spacing w:after="120"/>
        <w:rPr>
          <w:rFonts w:hint="cs"/>
          <w:sz w:val="34"/>
          <w:rtl/>
        </w:rPr>
      </w:pPr>
      <w:r w:rsidRPr="00D44AED">
        <w:rPr>
          <w:rFonts w:hint="cs"/>
          <w:sz w:val="34"/>
          <w:rtl/>
        </w:rPr>
        <w:tab/>
        <w:t>باء -</w:t>
      </w:r>
      <w:r w:rsidRPr="00D44AED">
        <w:rPr>
          <w:rFonts w:hint="cs"/>
          <w:sz w:val="34"/>
          <w:rtl/>
        </w:rPr>
        <w:tab/>
        <w:t>المجتمع الفرنسي</w:t>
      </w:r>
    </w:p>
    <w:p w:rsidR="004D3C2E" w:rsidRDefault="004D3C2E" w:rsidP="004D3C2E">
      <w:pPr>
        <w:pStyle w:val="SingleTxt"/>
        <w:rPr>
          <w:rFonts w:hint="cs"/>
          <w:rtl/>
          <w:lang w:bidi="ar-EG"/>
        </w:rPr>
      </w:pPr>
      <w:r>
        <w:rPr>
          <w:rFonts w:hint="cs"/>
          <w:rtl/>
          <w:lang w:bidi="ar-EG"/>
        </w:rPr>
        <w:tab/>
        <w:t>ينص مرسوم المجتمع الفرنسي المؤرخ 19 أيار/مايو 2004 والمتعلق بتنفيذ مبدأ المساواة في المعاملة على حظر أي تمييز، وبخاصة التمييز القائم على الجنس. والمزمع تعديل هذا المرسوم في عام 2007 بغية تأكيد أفضل حماية للمواطنين في مواجهة أعمال التمييز المباشر وغير المباشر (وبخاصة وجود نظام فعّال للجزاءات، وحماية ضد التدابير الثأرية ...).</w:t>
      </w:r>
    </w:p>
    <w:p w:rsidR="004D3C2E" w:rsidRDefault="004D3C2E" w:rsidP="004D3C2E">
      <w:pPr>
        <w:pStyle w:val="SingleTxt"/>
        <w:rPr>
          <w:rFonts w:hint="cs"/>
          <w:rtl/>
          <w:lang w:bidi="ar-EG"/>
        </w:rPr>
      </w:pPr>
      <w:r>
        <w:rPr>
          <w:rFonts w:hint="cs"/>
          <w:rtl/>
          <w:lang w:bidi="ar-EG"/>
        </w:rPr>
        <w:tab/>
        <w:t>ومن المقرر القيام بتقييم للمرسوم المنقح في ظرف سنتين بعد دخوله حيّز النفاذ.</w:t>
      </w:r>
    </w:p>
    <w:p w:rsidR="004D3C2E" w:rsidRPr="00FE0AB7" w:rsidRDefault="004D3C2E" w:rsidP="004D3C2E">
      <w:pPr>
        <w:pStyle w:val="H1"/>
        <w:spacing w:line="120" w:lineRule="exact"/>
        <w:rPr>
          <w:rFonts w:hint="cs"/>
          <w:sz w:val="10"/>
          <w:rtl/>
        </w:rPr>
      </w:pPr>
    </w:p>
    <w:p w:rsidR="004D3C2E" w:rsidRPr="00D44AED" w:rsidRDefault="004D3C2E" w:rsidP="004D3C2E">
      <w:pPr>
        <w:pStyle w:val="H1"/>
        <w:spacing w:after="120"/>
        <w:rPr>
          <w:rFonts w:hint="cs"/>
          <w:sz w:val="34"/>
          <w:rtl/>
        </w:rPr>
      </w:pPr>
      <w:r w:rsidRPr="00D44AED">
        <w:rPr>
          <w:rFonts w:hint="cs"/>
          <w:sz w:val="34"/>
          <w:rtl/>
        </w:rPr>
        <w:tab/>
        <w:t>جيم -</w:t>
      </w:r>
      <w:r w:rsidRPr="00D44AED">
        <w:rPr>
          <w:rFonts w:hint="cs"/>
          <w:sz w:val="34"/>
          <w:rtl/>
        </w:rPr>
        <w:tab/>
        <w:t>إقليم بروكسل العاصمة</w:t>
      </w:r>
    </w:p>
    <w:p w:rsidR="004D3C2E" w:rsidRPr="00F624BA" w:rsidRDefault="004D3C2E" w:rsidP="004D3C2E">
      <w:pPr>
        <w:pStyle w:val="H1"/>
        <w:spacing w:after="120"/>
        <w:rPr>
          <w:rFonts w:hint="cs"/>
          <w:sz w:val="30"/>
          <w:szCs w:val="30"/>
          <w:rtl/>
          <w:lang w:bidi="ar-EG"/>
        </w:rPr>
      </w:pPr>
      <w:r w:rsidRPr="00F624BA">
        <w:rPr>
          <w:rFonts w:hint="cs"/>
          <w:sz w:val="30"/>
          <w:szCs w:val="30"/>
          <w:rtl/>
          <w:lang w:bidi="ar-EG"/>
        </w:rPr>
        <w:tab/>
        <w:t>1 -</w:t>
      </w:r>
      <w:r w:rsidRPr="00F624BA">
        <w:rPr>
          <w:rFonts w:hint="cs"/>
          <w:sz w:val="30"/>
          <w:szCs w:val="30"/>
          <w:rtl/>
          <w:lang w:bidi="ar-EG"/>
        </w:rPr>
        <w:tab/>
        <w:t>التصديق على الصكوك الدولية</w:t>
      </w:r>
    </w:p>
    <w:p w:rsidR="004D3C2E" w:rsidRDefault="004D3C2E" w:rsidP="004D3C2E">
      <w:pPr>
        <w:pStyle w:val="SingleTxt"/>
        <w:rPr>
          <w:rFonts w:hint="cs"/>
          <w:rtl/>
          <w:lang w:bidi="ar-EG"/>
        </w:rPr>
      </w:pPr>
      <w:r>
        <w:rPr>
          <w:rFonts w:hint="cs"/>
          <w:rtl/>
          <w:lang w:bidi="ar-EG"/>
        </w:rPr>
        <w:tab/>
        <w:t>قام إقليم بروكسل بالتصديق على ما يلي:</w:t>
      </w:r>
    </w:p>
    <w:p w:rsidR="004D3C2E" w:rsidRDefault="004D3C2E" w:rsidP="004D3C2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البروتوكول الاختياري الملحق باتفاقية القضاء على جميع أشكال التمييز ضد المرأة بواسطة الأمر المؤرخ 7 شباط/فبراير 2002 الذي يعلن قبول البروتوكول الاختياري الملحق باتفاقية القضاء على جميع أشكال التمييز ضد المرأة، المعتمد في نيويورك يوم 6 تشرين الأول/أكتوبر 1999</w:t>
      </w:r>
      <w:r w:rsidRPr="00972311">
        <w:rPr>
          <w:vertAlign w:val="superscript"/>
          <w:rtl/>
          <w:lang w:bidi="ar-EG"/>
        </w:rPr>
        <w:t>(</w:t>
      </w:r>
      <w:r>
        <w:rPr>
          <w:rStyle w:val="FootnoteReference"/>
          <w:rtl/>
        </w:rPr>
        <w:footnoteReference w:id="4"/>
      </w:r>
      <w:r w:rsidRPr="00972311">
        <w:rPr>
          <w:vertAlign w:val="superscript"/>
          <w:rtl/>
          <w:lang w:bidi="ar-EG"/>
        </w:rPr>
        <w:t>)</w:t>
      </w:r>
      <w:r>
        <w:rPr>
          <w:rFonts w:hint="cs"/>
          <w:rtl/>
          <w:lang w:bidi="ar-EG"/>
        </w:rPr>
        <w:t>؛</w:t>
      </w:r>
    </w:p>
    <w:p w:rsidR="004D3C2E" w:rsidRDefault="004D3C2E" w:rsidP="004D3C2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البروتوكول الإضافي الملحق باتفاقية الأمم المتحدة لمكافحة الجريمة المنظمة العابرة للحدود الوطنية والرامي إلى منع وقمع الاتجار بالأشخاص، وبخاصة النساء والأطفال، والمعاقبة عليه</w:t>
      </w:r>
      <w:r w:rsidRPr="00972311">
        <w:rPr>
          <w:vertAlign w:val="superscript"/>
          <w:rtl/>
          <w:lang w:bidi="ar-EG"/>
        </w:rPr>
        <w:t>(</w:t>
      </w:r>
      <w:r>
        <w:rPr>
          <w:rStyle w:val="FootnoteReference"/>
          <w:rtl/>
        </w:rPr>
        <w:footnoteReference w:id="5"/>
      </w:r>
      <w:r w:rsidRPr="00972311">
        <w:rPr>
          <w:vertAlign w:val="superscript"/>
          <w:rtl/>
          <w:lang w:bidi="ar-EG"/>
        </w:rPr>
        <w:t>)</w:t>
      </w:r>
      <w:r>
        <w:rPr>
          <w:rFonts w:hint="cs"/>
          <w:rtl/>
          <w:lang w:bidi="ar-EG"/>
        </w:rPr>
        <w:t>؛</w:t>
      </w:r>
    </w:p>
    <w:p w:rsidR="004D3C2E" w:rsidRDefault="004D3C2E" w:rsidP="004D3C2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البروتوكول رقم 12 الملحق بالاتفاقية الأوروبية لحماية حقوق الإنسان والحريات الأساسية، المعدِّل والموسِّع لنطاق تطبيق المادة 14 من الاتفاقية الأوروبية لحقوق الإنسان</w:t>
      </w:r>
      <w:r w:rsidRPr="00363531">
        <w:rPr>
          <w:vertAlign w:val="superscript"/>
          <w:rtl/>
          <w:lang w:bidi="ar-EG"/>
        </w:rPr>
        <w:t>(</w:t>
      </w:r>
      <w:r>
        <w:rPr>
          <w:rStyle w:val="FootnoteReference"/>
          <w:rtl/>
        </w:rPr>
        <w:footnoteReference w:id="6"/>
      </w:r>
      <w:r w:rsidRPr="00363531">
        <w:rPr>
          <w:vertAlign w:val="superscript"/>
          <w:rtl/>
          <w:lang w:bidi="ar-EG"/>
        </w:rPr>
        <w:t>)</w:t>
      </w:r>
      <w:r>
        <w:rPr>
          <w:rFonts w:hint="cs"/>
          <w:rtl/>
          <w:lang w:bidi="ar-EG"/>
        </w:rPr>
        <w:t>،بغية توسيع نطاق حماية ضحايا التمييز، وبخاصة التمييز القائم على أساس الجنس. ويسمح البروتوكول سواء بحق الانتصاف الذاتي أو الانتصاف أمام المحكمة الأوروبية لحقوق الإنسان، وبذلك ييسّر الانتصاف القضائي</w:t>
      </w:r>
      <w:r w:rsidRPr="00363531">
        <w:rPr>
          <w:vertAlign w:val="superscript"/>
          <w:rtl/>
          <w:lang w:bidi="ar-EG"/>
        </w:rPr>
        <w:t>(</w:t>
      </w:r>
      <w:r>
        <w:rPr>
          <w:rStyle w:val="FootnoteReference"/>
          <w:rtl/>
        </w:rPr>
        <w:footnoteReference w:id="7"/>
      </w:r>
      <w:r w:rsidRPr="00363531">
        <w:rPr>
          <w:vertAlign w:val="superscript"/>
          <w:rtl/>
          <w:lang w:bidi="ar-EG"/>
        </w:rPr>
        <w:t>)</w:t>
      </w:r>
      <w:r>
        <w:rPr>
          <w:rFonts w:hint="cs"/>
          <w:rtl/>
          <w:lang w:bidi="ar-EG"/>
        </w:rPr>
        <w:t>.</w:t>
      </w:r>
    </w:p>
    <w:p w:rsidR="004D3C2E" w:rsidRPr="00F624BA" w:rsidRDefault="004D3C2E" w:rsidP="004D3C2E">
      <w:pPr>
        <w:pStyle w:val="H1"/>
        <w:spacing w:after="120"/>
        <w:rPr>
          <w:rFonts w:hint="cs"/>
          <w:b w:val="0"/>
          <w:bCs w:val="0"/>
          <w:sz w:val="30"/>
          <w:rtl/>
          <w:lang w:bidi="ar-EG"/>
        </w:rPr>
      </w:pPr>
      <w:r>
        <w:rPr>
          <w:rFonts w:hint="cs"/>
          <w:sz w:val="30"/>
          <w:szCs w:val="30"/>
          <w:rtl/>
          <w:lang w:bidi="ar-EG"/>
        </w:rPr>
        <w:tab/>
      </w:r>
      <w:r w:rsidRPr="00F624BA">
        <w:rPr>
          <w:rFonts w:hint="cs"/>
          <w:sz w:val="30"/>
          <w:szCs w:val="30"/>
          <w:rtl/>
          <w:lang w:bidi="ar-EG"/>
        </w:rPr>
        <w:t>2 -</w:t>
      </w:r>
      <w:r w:rsidRPr="00F624BA">
        <w:rPr>
          <w:rFonts w:hint="cs"/>
          <w:sz w:val="30"/>
          <w:szCs w:val="30"/>
          <w:rtl/>
          <w:lang w:bidi="ar-EG"/>
        </w:rPr>
        <w:tab/>
        <w:t>بيانات</w:t>
      </w:r>
      <w:r w:rsidRPr="00F624BA">
        <w:rPr>
          <w:rFonts w:hint="cs"/>
          <w:b w:val="0"/>
          <w:bCs w:val="0"/>
          <w:sz w:val="30"/>
          <w:rtl/>
          <w:lang w:bidi="ar-EG"/>
        </w:rPr>
        <w:t xml:space="preserve"> </w:t>
      </w:r>
      <w:r>
        <w:rPr>
          <w:rFonts w:hint="cs"/>
          <w:sz w:val="30"/>
          <w:szCs w:val="30"/>
          <w:rtl/>
          <w:lang w:bidi="ar-EG"/>
        </w:rPr>
        <w:t>و</w:t>
      </w:r>
      <w:r w:rsidRPr="00F624BA">
        <w:rPr>
          <w:rFonts w:hint="cs"/>
          <w:sz w:val="30"/>
          <w:szCs w:val="30"/>
          <w:rtl/>
          <w:lang w:bidi="ar-EG"/>
        </w:rPr>
        <w:t>ق</w:t>
      </w:r>
      <w:r>
        <w:rPr>
          <w:rFonts w:hint="cs"/>
          <w:sz w:val="30"/>
          <w:szCs w:val="30"/>
          <w:rtl/>
          <w:lang w:bidi="ar-EG"/>
        </w:rPr>
        <w:t>ائ</w:t>
      </w:r>
      <w:r w:rsidRPr="00F624BA">
        <w:rPr>
          <w:rFonts w:hint="cs"/>
          <w:sz w:val="30"/>
          <w:szCs w:val="30"/>
          <w:rtl/>
          <w:lang w:bidi="ar-EG"/>
        </w:rPr>
        <w:t>عية</w:t>
      </w:r>
    </w:p>
    <w:p w:rsidR="004D3C2E" w:rsidRDefault="004D3C2E" w:rsidP="004D3C2E">
      <w:pPr>
        <w:pStyle w:val="SingleTxt"/>
        <w:rPr>
          <w:rFonts w:hint="cs"/>
          <w:rtl/>
          <w:lang w:bidi="ar-EG"/>
        </w:rPr>
      </w:pPr>
      <w:r>
        <w:rPr>
          <w:rFonts w:hint="cs"/>
          <w:rtl/>
          <w:lang w:bidi="ar-EG"/>
        </w:rPr>
        <w:tab/>
        <w:t>بغية تأكيد الانتصاف القضائي الفعال على أساس القانون المؤرخ 25 شباط/فبراير 2003</w:t>
      </w:r>
      <w:r w:rsidRPr="00363531">
        <w:rPr>
          <w:vertAlign w:val="superscript"/>
          <w:rtl/>
          <w:lang w:bidi="ar-EG"/>
        </w:rPr>
        <w:t>(</w:t>
      </w:r>
      <w:r>
        <w:rPr>
          <w:rStyle w:val="FootnoteReference"/>
          <w:rtl/>
        </w:rPr>
        <w:footnoteReference w:id="8"/>
      </w:r>
      <w:r w:rsidRPr="00363531">
        <w:rPr>
          <w:vertAlign w:val="superscript"/>
          <w:rtl/>
          <w:lang w:bidi="ar-EG"/>
        </w:rPr>
        <w:t>)</w:t>
      </w:r>
      <w:r>
        <w:rPr>
          <w:rFonts w:hint="cs"/>
          <w:rtl/>
          <w:lang w:bidi="ar-EG"/>
        </w:rPr>
        <w:t xml:space="preserve"> المذكور آنفاً، أنشأت حكومة بروكسل في عام 2001 داخل مكتب بروكسل الإقليمي للعمالة منفذا لمكافحة التمييز من أجل طالبي العمل من ضحايا التمييز ويفيد أرباب العمل بحقوقهم وواجباتهم في هذا المجال.</w:t>
      </w:r>
    </w:p>
    <w:p w:rsidR="004D3C2E" w:rsidRDefault="004D3C2E" w:rsidP="004D3C2E">
      <w:pPr>
        <w:pStyle w:val="SingleTxt"/>
        <w:rPr>
          <w:rFonts w:hint="cs"/>
          <w:rtl/>
          <w:lang w:bidi="ar-EG"/>
        </w:rPr>
      </w:pPr>
      <w:r>
        <w:rPr>
          <w:rFonts w:hint="cs"/>
          <w:rtl/>
          <w:lang w:bidi="ar-EG"/>
        </w:rPr>
        <w:tab/>
        <w:t>ويختص منفذ العمل بجميع أنواع التمييز. ومن متوسط ما مجموعه 200 حالة يتم بحثها في السنة، يصنف ما يقرب من 5 في المائة على أنها حالات تمييز على أساس الجنس.</w:t>
      </w:r>
    </w:p>
    <w:p w:rsidR="004D3C2E" w:rsidRDefault="004D3C2E" w:rsidP="004D3C2E">
      <w:pPr>
        <w:pStyle w:val="SingleTxt"/>
        <w:rPr>
          <w:rFonts w:hint="cs"/>
          <w:rtl/>
          <w:lang w:bidi="ar-EG"/>
        </w:rPr>
      </w:pPr>
      <w:r>
        <w:rPr>
          <w:rFonts w:hint="cs"/>
          <w:rtl/>
          <w:lang w:bidi="ar-EG"/>
        </w:rPr>
        <w:tab/>
        <w:t>ومنذ عام 2002، تم اتخاذ عدة مبادرات بشأن معرفة ونشر الحق في المساواة في إقليم بروكسل، وبخاصة تم تنظيم دورات دراسية بشأن الحق في المساواة من أجل موظفي المجتمع والإقليم. وتأخذ هذه الدورات الدراسية في الاعتبار التشريعات المطبقة في إقليم بروكسل العاصمة، سواء كانت صادرة عن المشرع البلجيكي أو الدولي.</w:t>
      </w:r>
    </w:p>
    <w:p w:rsidR="004D3C2E" w:rsidRPr="0066410E" w:rsidRDefault="004D3C2E" w:rsidP="004D3C2E">
      <w:pPr>
        <w:pStyle w:val="HCh"/>
        <w:spacing w:line="120" w:lineRule="exact"/>
        <w:rPr>
          <w:rFonts w:hint="cs"/>
          <w:sz w:val="10"/>
          <w:rtl/>
        </w:rPr>
      </w:pPr>
    </w:p>
    <w:p w:rsidR="004D3C2E" w:rsidRDefault="004D3C2E" w:rsidP="004D3C2E">
      <w:pPr>
        <w:pStyle w:val="HCh"/>
        <w:rPr>
          <w:rFonts w:hint="cs"/>
          <w:rtl/>
        </w:rPr>
      </w:pPr>
      <w:r>
        <w:rPr>
          <w:rFonts w:hint="cs"/>
          <w:rtl/>
        </w:rPr>
        <w:tab/>
      </w:r>
      <w:r w:rsidRPr="00F624BA">
        <w:rPr>
          <w:rFonts w:hint="cs"/>
          <w:rtl/>
        </w:rPr>
        <w:t>المادة 3</w:t>
      </w:r>
    </w:p>
    <w:p w:rsidR="004D3C2E" w:rsidRDefault="004D3C2E" w:rsidP="004D3C2E">
      <w:pPr>
        <w:pStyle w:val="H1"/>
        <w:rPr>
          <w:rFonts w:hint="cs"/>
          <w:rtl/>
        </w:rPr>
      </w:pPr>
      <w:r>
        <w:rPr>
          <w:rFonts w:hint="cs"/>
          <w:rtl/>
        </w:rPr>
        <w:tab/>
      </w:r>
      <w:r w:rsidRPr="00F624BA">
        <w:rPr>
          <w:rFonts w:hint="cs"/>
          <w:rtl/>
        </w:rPr>
        <w:t>أولا -</w:t>
      </w:r>
      <w:r w:rsidRPr="00F624BA">
        <w:rPr>
          <w:rFonts w:hint="cs"/>
          <w:rtl/>
        </w:rPr>
        <w:tab/>
      </w:r>
      <w:r>
        <w:rPr>
          <w:rFonts w:hint="cs"/>
          <w:rtl/>
        </w:rPr>
        <w:t xml:space="preserve">على </w:t>
      </w:r>
      <w:r w:rsidRPr="00F624BA">
        <w:rPr>
          <w:rFonts w:hint="cs"/>
          <w:rtl/>
        </w:rPr>
        <w:t>المستوى الاتحادي</w:t>
      </w:r>
    </w:p>
    <w:p w:rsidR="004D3C2E" w:rsidRPr="00F624BA" w:rsidRDefault="004D3C2E" w:rsidP="004D3C2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Pr="00F624BA">
        <w:rPr>
          <w:rFonts w:hint="cs"/>
          <w:rtl/>
        </w:rPr>
        <w:t>1 -</w:t>
      </w:r>
      <w:r w:rsidRPr="00F624BA">
        <w:rPr>
          <w:rFonts w:hint="cs"/>
          <w:rtl/>
        </w:rPr>
        <w:tab/>
        <w:t>الهيئات المكلفة بتعزيز المساواة بين المرأة والرجل</w:t>
      </w:r>
    </w:p>
    <w:p w:rsidR="004D3C2E" w:rsidRPr="00F26B56" w:rsidRDefault="004D3C2E" w:rsidP="004D3C2E">
      <w:pPr>
        <w:pStyle w:val="H1"/>
        <w:spacing w:line="120" w:lineRule="exact"/>
        <w:rPr>
          <w:rFonts w:hint="cs"/>
          <w:sz w:val="12"/>
          <w:rtl/>
        </w:rPr>
      </w:pPr>
    </w:p>
    <w:p w:rsidR="004D3C2E" w:rsidRPr="00E35EC2" w:rsidRDefault="004D3C2E" w:rsidP="00E215AB">
      <w:pPr>
        <w:pStyle w:val="H1"/>
        <w:spacing w:after="120"/>
        <w:rPr>
          <w:rFonts w:hint="cs"/>
          <w:sz w:val="30"/>
          <w:szCs w:val="30"/>
          <w:rtl/>
        </w:rPr>
      </w:pPr>
      <w:r>
        <w:rPr>
          <w:rFonts w:hint="cs"/>
          <w:rtl/>
        </w:rPr>
        <w:tab/>
      </w:r>
      <w:r w:rsidR="00E215AB">
        <w:rPr>
          <w:rFonts w:hint="cs"/>
          <w:b w:val="0"/>
          <w:bCs w:val="0"/>
          <w:rtl/>
        </w:rPr>
        <w:t>1-1-</w:t>
      </w:r>
      <w:r w:rsidR="00E215AB">
        <w:rPr>
          <w:rFonts w:hint="cs"/>
          <w:b w:val="0"/>
          <w:bCs w:val="0"/>
          <w:i/>
          <w:iCs/>
          <w:sz w:val="30"/>
          <w:szCs w:val="30"/>
          <w:rtl/>
        </w:rPr>
        <w:t xml:space="preserve">  </w:t>
      </w:r>
      <w:r w:rsidRPr="00E35EC2">
        <w:rPr>
          <w:rFonts w:hint="cs"/>
          <w:b w:val="0"/>
          <w:bCs w:val="0"/>
          <w:i/>
          <w:iCs/>
          <w:sz w:val="30"/>
          <w:szCs w:val="30"/>
          <w:rtl/>
        </w:rPr>
        <w:t>المعهد المعني بالمساواة بين المرأة والرجل</w:t>
      </w:r>
    </w:p>
    <w:p w:rsidR="004D3C2E" w:rsidRDefault="004D3C2E" w:rsidP="004D3C2E">
      <w:pPr>
        <w:pStyle w:val="SingleTxt"/>
        <w:rPr>
          <w:rFonts w:hint="cs"/>
          <w:rtl/>
          <w:lang w:bidi="ar-EG"/>
        </w:rPr>
      </w:pPr>
      <w:r>
        <w:rPr>
          <w:rFonts w:hint="cs"/>
          <w:rtl/>
          <w:lang w:bidi="ar-EG"/>
        </w:rPr>
        <w:tab/>
        <w:t>أنشئ المعهد المعني بالمساواة بين المرأة والرجل بموجب القانون المؤرخ 16 كانون الأول/ديسمبر 2002</w:t>
      </w:r>
      <w:r w:rsidRPr="00102301">
        <w:rPr>
          <w:vertAlign w:val="superscript"/>
          <w:rtl/>
          <w:lang w:bidi="ar-EG"/>
        </w:rPr>
        <w:t>(</w:t>
      </w:r>
      <w:r>
        <w:rPr>
          <w:rStyle w:val="FootnoteReference"/>
          <w:rtl/>
        </w:rPr>
        <w:footnoteReference w:id="9"/>
      </w:r>
      <w:r w:rsidRPr="00102301">
        <w:rPr>
          <w:vertAlign w:val="superscript"/>
          <w:rtl/>
          <w:lang w:bidi="ar-EG"/>
        </w:rPr>
        <w:t>)</w:t>
      </w:r>
      <w:r>
        <w:rPr>
          <w:rFonts w:hint="cs"/>
          <w:rtl/>
          <w:lang w:bidi="ar-EG"/>
        </w:rPr>
        <w:t>، وهو هيئة عامة مستقلة ذاتياً ومكرسة بالكامل لمكافحة جميع أشكال التمييز القائم على أساس الجنس وتحقيق وتعزيز المساواة بين المرأة والرجل. ومنذ وصول الإدارة في عام 2004، تم إعداد خطة للتنمية للفترة 2005-2007 تجمع كل هذه المهام القانونية حول الأهداف الاستراتيجية الخمسة التالية:</w:t>
      </w:r>
    </w:p>
    <w:p w:rsidR="004D3C2E" w:rsidRDefault="004D3C2E" w:rsidP="004D3C2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المهمة المتمثلة في تقديم المساعدة القانونية إلى ضحايا التمييز القائم على الجنس؛</w:t>
      </w:r>
    </w:p>
    <w:p w:rsidR="004D3C2E" w:rsidRDefault="004D3C2E" w:rsidP="004D3C2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تنفيذ تعميم مراعاة المنظور الجنساني؛</w:t>
      </w:r>
    </w:p>
    <w:p w:rsidR="004D3C2E" w:rsidRDefault="004D3C2E" w:rsidP="004D3C2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البحث؛</w:t>
      </w:r>
    </w:p>
    <w:p w:rsidR="004D3C2E" w:rsidRDefault="004D3C2E" w:rsidP="004D3C2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دعم الفعاليات على أرض الواقع؛</w:t>
      </w:r>
    </w:p>
    <w:p w:rsidR="004D3C2E" w:rsidRDefault="004D3C2E" w:rsidP="004D3C2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إعداد وتطبيق قرارات الحكومة ومتابعة السياسات الأوروبية والدولية.</w:t>
      </w:r>
    </w:p>
    <w:p w:rsidR="004D3C2E" w:rsidRDefault="004D3C2E" w:rsidP="00E215AB">
      <w:pPr>
        <w:pStyle w:val="SingleTxt"/>
        <w:rPr>
          <w:rFonts w:hint="cs"/>
          <w:rtl/>
          <w:lang w:bidi="ar-EG"/>
        </w:rPr>
      </w:pPr>
      <w:r w:rsidRPr="00F624BA">
        <w:rPr>
          <w:rFonts w:hint="cs"/>
          <w:rtl/>
        </w:rPr>
        <w:tab/>
      </w:r>
      <w:r w:rsidRPr="00E35EC2">
        <w:rPr>
          <w:rFonts w:hint="cs"/>
          <w:rtl/>
        </w:rPr>
        <w:t xml:space="preserve">يقوم بإدارة المعهد مجلس إدارة </w:t>
      </w:r>
      <w:r>
        <w:rPr>
          <w:rFonts w:hint="cs"/>
          <w:rtl/>
        </w:rPr>
        <w:t>ثنائي</w:t>
      </w:r>
      <w:r w:rsidRPr="00E35EC2">
        <w:rPr>
          <w:rFonts w:hint="cs"/>
          <w:rtl/>
        </w:rPr>
        <w:t xml:space="preserve"> ويمارس مهامه تحت رقابة الوزير المسؤول عن السياسة الاتحادية لتكافؤ الفرص.</w:t>
      </w:r>
    </w:p>
    <w:p w:rsidR="004D3C2E" w:rsidRPr="00F624BA" w:rsidRDefault="00E215AB" w:rsidP="00E215AB">
      <w:pPr>
        <w:pStyle w:val="SingleTxt"/>
        <w:rPr>
          <w:rFonts w:hint="cs"/>
          <w:i/>
          <w:iCs/>
          <w:rtl/>
          <w:lang w:bidi="ar-EG"/>
        </w:rPr>
      </w:pPr>
      <w:r>
        <w:rPr>
          <w:rFonts w:hint="cs"/>
          <w:i/>
          <w:iCs/>
          <w:rtl/>
          <w:lang w:bidi="ar-EG"/>
        </w:rPr>
        <w:t xml:space="preserve">1-1-1- </w:t>
      </w:r>
      <w:r>
        <w:rPr>
          <w:rFonts w:hint="cs"/>
          <w:rtl/>
          <w:lang w:bidi="ar-EG"/>
        </w:rPr>
        <w:t xml:space="preserve"> </w:t>
      </w:r>
      <w:r w:rsidR="004D3C2E" w:rsidRPr="0066410E">
        <w:rPr>
          <w:rFonts w:hint="cs"/>
          <w:rtl/>
          <w:lang w:bidi="ar-EG"/>
        </w:rPr>
        <w:t>مهمة تقديم المساعدة القانونية إلى الضحايا</w:t>
      </w:r>
    </w:p>
    <w:p w:rsidR="004D3C2E" w:rsidRDefault="004D3C2E" w:rsidP="004D3C2E">
      <w:pPr>
        <w:pStyle w:val="SingleTxt"/>
        <w:rPr>
          <w:rFonts w:hint="cs"/>
          <w:rtl/>
          <w:lang w:bidi="ar-EG"/>
        </w:rPr>
      </w:pPr>
      <w:r>
        <w:rPr>
          <w:rFonts w:hint="cs"/>
          <w:rtl/>
          <w:lang w:bidi="ar-EG"/>
        </w:rPr>
        <w:tab/>
        <w:t>ينظر المعهد منذ عام 2004، فيما يتعلق بتنفيذ مهمته القانونية المتمثلة في تقديم المعونة إلى ضحايا التمييز، في شكاوى ومطالب الحصول على المشورة في مجال المساواة بين الرجل والمرأة من جانب المواطنين. وفي عام 2006، تم التقدم بعدد 262 شكوى، منها 164 شكوى قدمتها نساء.</w:t>
      </w:r>
    </w:p>
    <w:p w:rsidR="004D3C2E" w:rsidRDefault="004D3C2E" w:rsidP="004D3C2E">
      <w:pPr>
        <w:pStyle w:val="SingleTxt"/>
        <w:rPr>
          <w:rFonts w:hint="cs"/>
          <w:rtl/>
          <w:lang w:bidi="ar-EG"/>
        </w:rPr>
      </w:pPr>
      <w:r>
        <w:rPr>
          <w:rFonts w:hint="cs"/>
          <w:rtl/>
          <w:lang w:bidi="ar-EG"/>
        </w:rPr>
        <w:tab/>
        <w:t>وبغية تحسين الطابع المهني لمعالجة الشكاوى، وضعت قاعدة للبيانات وأصبحت منذ أول تشرين الثاني/نوفمبر 2006 في مرحلة الاختبار. وهذه القاعدة تتيح ما يلي بالتالي:</w:t>
      </w:r>
    </w:p>
    <w:p w:rsidR="004D3C2E" w:rsidRDefault="004D3C2E" w:rsidP="004D3C2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معاملة الشكاوى بقدر رشيد وفعّال على نحو أكبر؛</w:t>
      </w:r>
    </w:p>
    <w:p w:rsidR="004D3C2E" w:rsidRDefault="004D3C2E" w:rsidP="004D3C2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إنشاء قاعدة لتقديم تقرير سنوي عن الأنشطة؛ بموجب البيانات المسجلة، يمكن للمعهد أن تتوافر لديه نظرة منهجية عن عدد الشكاوى، ولغة الشكوى وتوزيعها الجغرافي، وطبيعتها، ومراحل المعالجة، والإحالة إلى السلطات المختصة، وإغلاق الملفات؛</w:t>
      </w:r>
    </w:p>
    <w:p w:rsidR="004D3C2E" w:rsidRDefault="004D3C2E" w:rsidP="004D3C2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تحسين الكشف عن أنواع التمييز داخل المجتمع وحلها؛</w:t>
      </w:r>
    </w:p>
    <w:p w:rsidR="004D3C2E" w:rsidRDefault="004D3C2E" w:rsidP="004D3C2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الأخذ بمؤشرات مماثلة على الصعيدين الأوروبي والدولي؛</w:t>
      </w:r>
    </w:p>
    <w:p w:rsidR="004D3C2E" w:rsidRDefault="004D3C2E" w:rsidP="004D3C2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وضع استراتيجية بشأن العدالة في مجال التمييز القائم على الجنس؛</w:t>
      </w:r>
    </w:p>
    <w:p w:rsidR="004D3C2E" w:rsidRDefault="004D3C2E" w:rsidP="004D3C2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إبلاغ معلومات مفيدة إلى الأشخاص والمؤسسات التي تجري تحقيقاً (اجتماعياً أو قانونياً أو غير ذلك) حول تطور المساواة بين الرجل والمرأة في بلجيكا.</w:t>
      </w:r>
    </w:p>
    <w:p w:rsidR="004D3C2E" w:rsidRDefault="004D3C2E" w:rsidP="004D3C2E">
      <w:pPr>
        <w:pStyle w:val="SingleTxt"/>
        <w:rPr>
          <w:rFonts w:hint="cs"/>
          <w:rtl/>
          <w:lang w:bidi="ar-EG"/>
        </w:rPr>
      </w:pPr>
      <w:r>
        <w:rPr>
          <w:rFonts w:hint="cs"/>
          <w:rtl/>
          <w:lang w:bidi="ar-EG"/>
        </w:rPr>
        <w:tab/>
        <w:t>وفي إطار مهمة تقديم المساعدة القانونية هذه، قدم المعهد أيضاً في عامي 2004 و</w:t>
      </w:r>
      <w:r>
        <w:rPr>
          <w:rFonts w:hint="eastAsia"/>
          <w:rtl/>
          <w:lang w:bidi="ar-EG"/>
        </w:rPr>
        <w:t> </w:t>
      </w:r>
      <w:r>
        <w:rPr>
          <w:rFonts w:hint="cs"/>
          <w:rtl/>
          <w:lang w:bidi="ar-EG"/>
        </w:rPr>
        <w:t>2005 الدعم إلى الإجراءات العملية الرامية إلى توفير الحماية القانونية للمرأة الأصلية، من خلال تمويل دليل مخصص للحماية القانونية للمرأة الأصلية مخصص للمهنيين الذين يواجهون هذه المشكلة على الطبيعة.</w:t>
      </w:r>
    </w:p>
    <w:p w:rsidR="004D3C2E" w:rsidRPr="00E215AB" w:rsidRDefault="004D3C2E" w:rsidP="004D3C2E">
      <w:pPr>
        <w:pStyle w:val="SingleTxt"/>
        <w:rPr>
          <w:rFonts w:hint="cs"/>
          <w:rtl/>
          <w:lang w:bidi="ar-EG"/>
        </w:rPr>
      </w:pPr>
      <w:r w:rsidRPr="0066410E">
        <w:rPr>
          <w:rFonts w:hint="cs"/>
          <w:b/>
          <w:bCs/>
          <w:rtl/>
          <w:lang w:bidi="ar-EG"/>
        </w:rPr>
        <w:tab/>
      </w:r>
      <w:r w:rsidRPr="00E215AB">
        <w:rPr>
          <w:rFonts w:hint="cs"/>
          <w:rtl/>
          <w:lang w:bidi="ar-EG"/>
        </w:rPr>
        <w:t>وإلى جانب ذلك تم إطلاق مشروع ممتد على سنتين بالتعاون مع ديوان الوزير المكلف على المستوى الاتحادي بسياسة تكافؤ الفرص والمركز المعني بتكافؤ الفرص ومكافحة العنصرية: ويتعلق الأمر بإنشاء شبكة للدعم القانوني الموجّه إلى المرأة الأصلية. وتم تحقيق هذا المشروع عن طريق المركز الفلمندي للأقليات ورابطة حقوق الأجانب. وسوف يكفل عنصر التدريب بالتعاون مع المجتمعات والأقاليم.</w:t>
      </w:r>
    </w:p>
    <w:p w:rsidR="004D3C2E" w:rsidRDefault="004D3C2E" w:rsidP="004D3C2E">
      <w:pPr>
        <w:pStyle w:val="SingleTxt"/>
        <w:rPr>
          <w:rFonts w:hint="cs"/>
          <w:rtl/>
          <w:lang w:bidi="ar-EG"/>
        </w:rPr>
      </w:pPr>
      <w:r>
        <w:rPr>
          <w:rFonts w:hint="cs"/>
          <w:rtl/>
          <w:lang w:bidi="ar-EG"/>
        </w:rPr>
        <w:tab/>
        <w:t>وتم أيضاً تمويل تدريب من المعهد في مراكش بالمغرب في الفترة من 12 إلى 20</w:t>
      </w:r>
      <w:r>
        <w:rPr>
          <w:rFonts w:hint="eastAsia"/>
          <w:rtl/>
          <w:lang w:bidi="ar-EG"/>
        </w:rPr>
        <w:t> </w:t>
      </w:r>
      <w:r>
        <w:rPr>
          <w:rFonts w:hint="cs"/>
          <w:rtl/>
          <w:lang w:bidi="ar-EG"/>
        </w:rPr>
        <w:t>تشرين الثاني/نوفمبر 2005 حول المدونة. وقدم المعهد إلى جانب ذلك دعماً مالياً لإنشاء مراكز معاونة للمرأة من أصل أجنبي.</w:t>
      </w:r>
    </w:p>
    <w:p w:rsidR="004D3C2E" w:rsidRPr="00E215AB" w:rsidRDefault="004D3C2E" w:rsidP="004D3C2E">
      <w:pPr>
        <w:pStyle w:val="SingleTxt"/>
        <w:rPr>
          <w:rFonts w:hint="cs"/>
          <w:rtl/>
          <w:lang w:bidi="ar-EG"/>
        </w:rPr>
      </w:pPr>
      <w:r w:rsidRPr="009E74A5">
        <w:rPr>
          <w:rFonts w:hint="cs"/>
          <w:rtl/>
          <w:lang w:bidi="ar-EG"/>
        </w:rPr>
        <w:t>1/1/2</w:t>
      </w:r>
      <w:r>
        <w:rPr>
          <w:rFonts w:hint="cs"/>
          <w:i/>
          <w:iCs/>
          <w:rtl/>
          <w:lang w:bidi="ar-EG"/>
        </w:rPr>
        <w:t xml:space="preserve"> </w:t>
      </w:r>
      <w:r w:rsidRPr="00E215AB">
        <w:rPr>
          <w:rFonts w:hint="cs"/>
          <w:rtl/>
          <w:lang w:bidi="ar-EG"/>
        </w:rPr>
        <w:t>-</w:t>
      </w:r>
      <w:r w:rsidR="00E215AB" w:rsidRPr="00E215AB">
        <w:rPr>
          <w:rFonts w:hint="cs"/>
          <w:rtl/>
          <w:lang w:bidi="ar-EG"/>
        </w:rPr>
        <w:t xml:space="preserve">  </w:t>
      </w:r>
      <w:r w:rsidRPr="00E215AB">
        <w:rPr>
          <w:rFonts w:hint="cs"/>
          <w:rtl/>
          <w:lang w:bidi="ar-EG"/>
        </w:rPr>
        <w:t>الأنشطة المرتبطة بتطوير وتنفيذ تعميم مراعاة المنظور الجنساني</w:t>
      </w:r>
    </w:p>
    <w:p w:rsidR="004D3C2E" w:rsidRDefault="004D3C2E" w:rsidP="004D3C2E">
      <w:pPr>
        <w:pStyle w:val="SingleTxt"/>
        <w:rPr>
          <w:rFonts w:hint="cs"/>
          <w:rtl/>
          <w:lang w:bidi="ar-EG"/>
        </w:rPr>
      </w:pPr>
      <w:r>
        <w:rPr>
          <w:rFonts w:hint="cs"/>
          <w:rtl/>
          <w:lang w:bidi="ar-EG"/>
        </w:rPr>
        <w:tab/>
        <w:t>إن المعهد المعني بالمساواة بين المرأة والرجل مكلف على وجه التحديد بإعداد صكوك واستراتيجيات تقوم على نهج متكامل للبُعد الجنساني في السياسات الاتحادية.</w:t>
      </w:r>
    </w:p>
    <w:p w:rsidR="004D3C2E" w:rsidRDefault="004D3C2E" w:rsidP="004D3C2E">
      <w:pPr>
        <w:pStyle w:val="SingleTxt"/>
        <w:rPr>
          <w:rFonts w:hint="cs"/>
          <w:rtl/>
          <w:lang w:bidi="ar-EG"/>
        </w:rPr>
      </w:pPr>
      <w:r>
        <w:rPr>
          <w:rFonts w:hint="cs"/>
          <w:rtl/>
          <w:lang w:bidi="ar-EG"/>
        </w:rPr>
        <w:tab/>
        <w:t>وتحقيقاً لذلك، فإنه يعكف منذ إنشائه على ما يلي:</w:t>
      </w:r>
    </w:p>
    <w:p w:rsidR="004D3C2E" w:rsidRDefault="004D3C2E" w:rsidP="004D3C2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eastAsia"/>
          <w:rtl/>
          <w:lang w:bidi="ar-EG"/>
        </w:rPr>
      </w:pPr>
      <w:r>
        <w:rPr>
          <w:rFonts w:hint="cs"/>
          <w:rtl/>
          <w:lang w:bidi="ar-EG"/>
        </w:rPr>
        <w:tab/>
        <w:t>•</w:t>
      </w:r>
      <w:r>
        <w:rPr>
          <w:rFonts w:hint="cs"/>
          <w:rtl/>
          <w:lang w:bidi="ar-EG"/>
        </w:rPr>
        <w:tab/>
        <w:t xml:space="preserve">وضع خطة عمل اتحادية بعنوان </w:t>
      </w:r>
      <w:r>
        <w:rPr>
          <w:rFonts w:hint="eastAsia"/>
          <w:rtl/>
          <w:lang w:bidi="ar-EG"/>
        </w:rPr>
        <w:t xml:space="preserve">”إحصاءات ومؤشرات </w:t>
      </w:r>
      <w:r>
        <w:rPr>
          <w:rFonts w:hint="cs"/>
          <w:rtl/>
          <w:lang w:bidi="ar-EG"/>
        </w:rPr>
        <w:t>جنسانية“: والهدف هو الإعداد الدائم لترسانة من الأرقام الدقيقة من أجل تشخيص السياسة الاتحادية لتكافؤ الفرص والإشراف عليها وتقييمها. وتتولى هذه الخطة صياغة مقترحات عملية بشأن الطريقة التي يمكن بها تنفيذ مبدأ تعميم مراعاة المنظور الجنساني بشكل هيكلي في كل مؤسسة اتحادية عامة في مجال ’</w:t>
      </w:r>
      <w:r>
        <w:rPr>
          <w:rFonts w:hint="eastAsia"/>
          <w:rtl/>
          <w:lang w:bidi="ar-EG"/>
        </w:rPr>
        <w:t>الإحصاءا</w:t>
      </w:r>
      <w:r>
        <w:rPr>
          <w:rFonts w:hint="cs"/>
          <w:rtl/>
          <w:lang w:bidi="ar-EG"/>
        </w:rPr>
        <w:t>ت</w:t>
      </w:r>
      <w:r>
        <w:rPr>
          <w:rFonts w:hint="eastAsia"/>
          <w:rtl/>
          <w:lang w:bidi="ar-EG"/>
        </w:rPr>
        <w:t xml:space="preserve"> والمؤشرات</w:t>
      </w:r>
      <w:r>
        <w:rPr>
          <w:rFonts w:hint="cs"/>
          <w:rtl/>
          <w:lang w:bidi="ar-EG"/>
        </w:rPr>
        <w:t>‘</w:t>
      </w:r>
      <w:r>
        <w:rPr>
          <w:rFonts w:hint="eastAsia"/>
          <w:rtl/>
          <w:lang w:bidi="ar-EG"/>
        </w:rPr>
        <w:t>، والطريقة التي يتم بها التنسيق بينها ودعمها ونشرها وتقييمها.</w:t>
      </w:r>
    </w:p>
    <w:p w:rsidR="004D3C2E" w:rsidRDefault="004D3C2E" w:rsidP="004D3C2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إجراءات للتوعية العامة.</w:t>
      </w:r>
    </w:p>
    <w:p w:rsidR="004D3C2E" w:rsidRDefault="004D3C2E" w:rsidP="004D3C2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eastAsia"/>
          <w:rtl/>
          <w:lang w:bidi="ar-EG"/>
        </w:rPr>
      </w:pPr>
      <w:r>
        <w:rPr>
          <w:rFonts w:hint="cs"/>
          <w:rtl/>
          <w:lang w:bidi="ar-EG"/>
        </w:rPr>
        <w:tab/>
        <w:t>•</w:t>
      </w:r>
      <w:r>
        <w:rPr>
          <w:rFonts w:hint="cs"/>
          <w:rtl/>
          <w:lang w:bidi="ar-EG"/>
        </w:rPr>
        <w:tab/>
        <w:t xml:space="preserve">تدريبات أساسية على </w:t>
      </w:r>
      <w:r>
        <w:rPr>
          <w:rFonts w:hint="eastAsia"/>
          <w:rtl/>
          <w:lang w:bidi="ar-EG"/>
        </w:rPr>
        <w:t>”تعميم مراعاة المنظور الجنساني</w:t>
      </w:r>
      <w:r>
        <w:rPr>
          <w:rFonts w:hint="cs"/>
          <w:rtl/>
          <w:lang w:bidi="ar-EG"/>
        </w:rPr>
        <w:t>“</w:t>
      </w:r>
      <w:r>
        <w:rPr>
          <w:rFonts w:hint="eastAsia"/>
          <w:rtl/>
          <w:lang w:bidi="ar-EG"/>
        </w:rPr>
        <w:t xml:space="preserve"> وتدريب مخصص للإدارات الاتحادية.</w:t>
      </w:r>
    </w:p>
    <w:p w:rsidR="004D3C2E" w:rsidRDefault="004D3C2E" w:rsidP="004D3C2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استحداث ميثاق من جانب الأحزاب السياسية الديمقراطية بغية أن تمثل المساواة بين الرجل والمرأة أولوية هيكلية.</w:t>
      </w:r>
    </w:p>
    <w:p w:rsidR="004D3C2E" w:rsidRDefault="004D3C2E" w:rsidP="004D3C2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المساهمة في تنفيذ تعميم مراعاة المنظور الجنساني في الخدمة العامة الاتحادية، بما في ذلك إعداد تدابير إيجابية في الخدمة العامة الاتحادية.</w:t>
      </w:r>
    </w:p>
    <w:p w:rsidR="004D3C2E" w:rsidRDefault="004D3C2E" w:rsidP="004D3C2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إنشاء </w:t>
      </w:r>
      <w:r w:rsidRPr="00EF1DA7">
        <w:rPr>
          <w:rFonts w:hint="cs"/>
          <w:i/>
          <w:iCs/>
          <w:rtl/>
          <w:lang w:bidi="ar-EG"/>
        </w:rPr>
        <w:t>شبكة من المنسقات</w:t>
      </w:r>
      <w:r>
        <w:rPr>
          <w:rFonts w:hint="cs"/>
          <w:rtl/>
          <w:lang w:bidi="ar-EG"/>
        </w:rPr>
        <w:t xml:space="preserve"> على مستوى الأقاليم والاشتراك في تمويلها على أن تكلف المنسقات بتنشيط مكافحة العنف تجاه المرأة وتعزيز المساواة بين الرجل والمرأة، على المستوى الاجتماعي والاقتصادي، في الحياة الاجتماعية وفي الوصول إلى مراكز اتخاذ القرار.</w:t>
      </w:r>
    </w:p>
    <w:p w:rsidR="004D3C2E" w:rsidRDefault="004D3C2E" w:rsidP="00E215AB">
      <w:pPr>
        <w:pStyle w:val="SingleTxt"/>
        <w:rPr>
          <w:rFonts w:hint="cs"/>
          <w:rtl/>
          <w:lang w:bidi="ar-EG"/>
        </w:rPr>
      </w:pPr>
      <w:r>
        <w:rPr>
          <w:rFonts w:hint="cs"/>
          <w:rtl/>
          <w:lang w:bidi="ar-EG"/>
        </w:rPr>
        <w:tab/>
        <w:t>وإلى جانب ذلك، يرتبط المعهد بإجراء بعض الأعمال النوعية في المجال الرئيسي للعمالة:</w:t>
      </w:r>
      <w:r w:rsidR="00E215AB">
        <w:rPr>
          <w:rFonts w:hint="cs"/>
          <w:rtl/>
          <w:lang w:bidi="ar-EG"/>
        </w:rPr>
        <w:t xml:space="preserve"> </w:t>
      </w:r>
      <w:r>
        <w:rPr>
          <w:rFonts w:hint="eastAsia"/>
          <w:rtl/>
          <w:lang w:bidi="ar-EG"/>
        </w:rPr>
        <w:t>”أيضاً</w:t>
      </w:r>
      <w:r>
        <w:rPr>
          <w:rFonts w:hint="cs"/>
          <w:rtl/>
          <w:lang w:bidi="ar-EG"/>
        </w:rPr>
        <w:t>“</w:t>
      </w:r>
    </w:p>
    <w:p w:rsidR="004D3C2E" w:rsidRDefault="004D3C2E" w:rsidP="004D3C2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مشروع </w:t>
      </w:r>
      <w:r>
        <w:rPr>
          <w:lang w:bidi="ar-EG"/>
        </w:rPr>
        <w:t>EVA</w:t>
      </w:r>
      <w:r>
        <w:rPr>
          <w:rFonts w:hint="cs"/>
          <w:rtl/>
        </w:rPr>
        <w:t xml:space="preserve"> </w:t>
      </w:r>
      <w:r>
        <w:rPr>
          <w:rFonts w:hint="cs"/>
          <w:rtl/>
          <w:lang w:bidi="ar-EG"/>
        </w:rPr>
        <w:t>(التقييم التحليلي): وهو العمل المضطلع به بشأن نظم تصنيف الوظائف التي تهدف إلى اقتراح حلول فعّالة من أجل حل مشكلة عدم المساواة في المرتبات، وقد أنجز المشروع في نهاية عام 2006.</w:t>
      </w:r>
    </w:p>
    <w:p w:rsidR="004D3C2E" w:rsidRDefault="004D3C2E" w:rsidP="004D3C2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التقرير المتعلق بالفوارق في المرتبات الذي طلبته الحكومة الاتحادية يوم 8 آذار/مارس 2006.</w:t>
      </w:r>
    </w:p>
    <w:p w:rsidR="004D3C2E" w:rsidRDefault="004D3C2E" w:rsidP="004D3C2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eastAsia"/>
          <w:rtl/>
          <w:lang w:bidi="ar-EG"/>
        </w:rPr>
      </w:pPr>
      <w:r>
        <w:rPr>
          <w:rFonts w:hint="cs"/>
          <w:rtl/>
          <w:lang w:bidi="ar-EG"/>
        </w:rPr>
        <w:tab/>
        <w:t>•</w:t>
      </w:r>
      <w:r>
        <w:rPr>
          <w:rFonts w:hint="cs"/>
          <w:rtl/>
          <w:lang w:bidi="ar-EG"/>
        </w:rPr>
        <w:tab/>
        <w:t xml:space="preserve">مشروع </w:t>
      </w:r>
      <w:r>
        <w:rPr>
          <w:rFonts w:hint="eastAsia"/>
          <w:rtl/>
          <w:lang w:bidi="ar-EG"/>
        </w:rPr>
        <w:t>”الآباء النشط</w:t>
      </w:r>
      <w:r>
        <w:rPr>
          <w:rFonts w:hint="cs"/>
          <w:rtl/>
          <w:lang w:bidi="ar-EG"/>
        </w:rPr>
        <w:t>ين</w:t>
      </w:r>
      <w:r>
        <w:rPr>
          <w:rFonts w:hint="eastAsia"/>
          <w:rtl/>
          <w:lang w:bidi="ar-EG"/>
        </w:rPr>
        <w:t xml:space="preserve">“ (التوعية </w:t>
      </w:r>
      <w:r>
        <w:rPr>
          <w:rFonts w:hint="cs"/>
          <w:rtl/>
          <w:lang w:bidi="ar-EG"/>
        </w:rPr>
        <w:t>وتشجيع</w:t>
      </w:r>
      <w:r>
        <w:rPr>
          <w:rFonts w:hint="eastAsia"/>
          <w:rtl/>
          <w:lang w:bidi="ar-EG"/>
        </w:rPr>
        <w:t xml:space="preserve"> إجازة الأبوة لمدة عشرة أيام).</w:t>
      </w:r>
    </w:p>
    <w:p w:rsidR="004D3C2E" w:rsidRDefault="004D3C2E" w:rsidP="004D3C2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مشروع </w:t>
      </w:r>
      <w:r>
        <w:rPr>
          <w:rFonts w:hint="eastAsia"/>
          <w:rtl/>
          <w:lang w:bidi="ar-EG"/>
        </w:rPr>
        <w:t>”</w:t>
      </w:r>
      <w:r>
        <w:rPr>
          <w:lang w:bidi="ar-EG"/>
        </w:rPr>
        <w:t>Electronica</w:t>
      </w:r>
      <w:r>
        <w:rPr>
          <w:rFonts w:hint="cs"/>
          <w:rtl/>
          <w:lang w:bidi="ar-EG"/>
        </w:rPr>
        <w:t>“ الذي يهدف إلى توعية فعاليات قطاع التكنولوجيات الجديدة والجمهور العريض بالمساواة بين الرجل والمرأة في الوصول إلى التكنولوجيات الجديدة، وقد أنجز المشروع في نهاية عام 2003.</w:t>
      </w:r>
    </w:p>
    <w:p w:rsidR="004D3C2E" w:rsidRDefault="004D3C2E" w:rsidP="004D3C2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مشروع </w:t>
      </w:r>
      <w:r>
        <w:rPr>
          <w:rFonts w:hint="eastAsia"/>
          <w:rtl/>
          <w:lang w:bidi="ar-EG"/>
        </w:rPr>
        <w:t>”</w:t>
      </w:r>
      <w:r>
        <w:rPr>
          <w:rFonts w:hint="cs"/>
          <w:rtl/>
          <w:lang w:bidi="ar-EG"/>
        </w:rPr>
        <w:t>”</w:t>
      </w:r>
      <w:r>
        <w:rPr>
          <w:lang w:bidi="ar-EG"/>
        </w:rPr>
        <w:t>DIANE</w:t>
      </w:r>
      <w:r>
        <w:rPr>
          <w:rFonts w:hint="eastAsia"/>
          <w:rtl/>
          <w:lang w:bidi="ar-EG"/>
        </w:rPr>
        <w:t xml:space="preserve">“، بتمويل مشترك من البرنامج الأوروبي </w:t>
      </w:r>
      <w:r>
        <w:rPr>
          <w:lang w:bidi="ar-EG"/>
        </w:rPr>
        <w:t>Equal</w:t>
      </w:r>
      <w:r>
        <w:rPr>
          <w:rFonts w:hint="eastAsia"/>
          <w:rtl/>
          <w:lang w:bidi="ar-EG"/>
        </w:rPr>
        <w:t xml:space="preserve">. </w:t>
      </w:r>
      <w:r>
        <w:rPr>
          <w:rFonts w:hint="cs"/>
          <w:rtl/>
          <w:lang w:bidi="ar-EG"/>
        </w:rPr>
        <w:t xml:space="preserve">وقد أمكن إجراء بحث كمي ونوعي أسفر عن تقديم رؤية للقائمات بتنظيم الأعمال، والمشروع متوافر على الموقع الشبكي </w:t>
      </w:r>
      <w:r w:rsidRPr="00685621">
        <w:rPr>
          <w:u w:val="single"/>
          <w:lang w:bidi="ar-EG"/>
        </w:rPr>
        <w:t>.</w:t>
      </w:r>
      <w:r w:rsidRPr="00EF1DA7">
        <w:rPr>
          <w:lang w:bidi="ar-EG"/>
        </w:rPr>
        <w:t>be</w:t>
      </w:r>
      <w:hyperlink r:id="rId14" w:history="1">
        <w:r w:rsidRPr="007023B4">
          <w:rPr>
            <w:rStyle w:val="Hyperlink"/>
            <w:lang w:bidi="ar-EG"/>
          </w:rPr>
          <w:t>www.amazone</w:t>
        </w:r>
      </w:hyperlink>
      <w:r>
        <w:rPr>
          <w:rFonts w:hint="cs"/>
          <w:rtl/>
          <w:lang w:bidi="ar-EG"/>
        </w:rPr>
        <w:t>، وينطوي على إجابات لاحتياجات المرأة النوعية في مجال التدريب والإرشاد والدعم الشبكي.</w:t>
      </w:r>
    </w:p>
    <w:p w:rsidR="004D3C2E" w:rsidRDefault="004D3C2E" w:rsidP="004D3C2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الميثاق النقابي المعتمد في 23 أيلول/سبتمبر 2004، بعد أعمال بحث استمرت ثلاث سنوات، وتشترك في تمويله الإدارة العامة للبحث التابعة للاتحاد الأوروبي. وهذا الالتزام من جانب </w:t>
      </w:r>
      <w:r>
        <w:rPr>
          <w:rFonts w:hint="eastAsia"/>
          <w:rtl/>
          <w:lang w:bidi="ar-EG"/>
        </w:rPr>
        <w:t>”مؤتمر قمة</w:t>
      </w:r>
      <w:r>
        <w:rPr>
          <w:rFonts w:hint="cs"/>
          <w:rtl/>
          <w:lang w:bidi="ar-EG"/>
        </w:rPr>
        <w:t>“ المنظمات النقابية مهم وتظهر النتائج في التقييم السنوي الذي يجري في هذا الشأن (سوف يتم توفير هذا التقييم في نيسان/أبريل 2007).</w:t>
      </w:r>
    </w:p>
    <w:p w:rsidR="004D3C2E" w:rsidRDefault="004D3C2E" w:rsidP="004D3C2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إقامة قاعدة بيانات يمكن الوصول إليها على شبكة الإنترنت وتتعلق بالممارسات المضطلع بها من أجل المساواة بين الرجل والمرأة في المؤسسات.</w:t>
      </w:r>
    </w:p>
    <w:p w:rsidR="004D3C2E" w:rsidRDefault="004D3C2E" w:rsidP="004D3C2E">
      <w:pPr>
        <w:pStyle w:val="SingleTxt"/>
        <w:rPr>
          <w:rFonts w:hint="cs"/>
          <w:rtl/>
          <w:lang w:bidi="ar-EG"/>
        </w:rPr>
      </w:pPr>
      <w:r>
        <w:rPr>
          <w:rFonts w:hint="cs"/>
          <w:rtl/>
          <w:lang w:bidi="ar-EG"/>
        </w:rPr>
        <w:tab/>
        <w:t>وأخيراً، قام المعهد باتخاذ الإجراءات النوعية التالية في إطار مكافحة العنف ضد المرأة:</w:t>
      </w:r>
    </w:p>
    <w:p w:rsidR="004D3C2E" w:rsidRDefault="004D3C2E" w:rsidP="004D3C2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خطة عمل لمكافحة العنف بين القرناء: تنتهج الدولة الاتحادية منذ عام 2001 سياسة نشطة لمكافحة العنف ضد المرأة. وفي هذا الإطار، تم إقرار خطة عمل وطنية ثانية لمكافحة العنف بين القرناء (2004-2007) من جانب مجلس الوزراء في 7</w:t>
      </w:r>
      <w:r>
        <w:rPr>
          <w:rFonts w:hint="eastAsia"/>
          <w:rtl/>
          <w:lang w:bidi="ar-EG"/>
        </w:rPr>
        <w:t> </w:t>
      </w:r>
      <w:r>
        <w:rPr>
          <w:rFonts w:hint="cs"/>
          <w:rtl/>
          <w:lang w:bidi="ar-EG"/>
        </w:rPr>
        <w:t>أيار/مايو 2004. ويكفل المعهد تنسيق هذه الخطة.</w:t>
      </w:r>
    </w:p>
    <w:p w:rsidR="004D3C2E" w:rsidRDefault="004D3C2E" w:rsidP="004D3C2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الفريق العامل وشبكة الخبراء: يلقى العمل في مجموع دعماً من جانب فريق عامل مشترك بين الإدارات وفريق من الخبراء يقوم المعهد بالتنسيق بينهما.</w:t>
      </w:r>
    </w:p>
    <w:p w:rsidR="004D3C2E" w:rsidRDefault="004D3C2E" w:rsidP="004D3C2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إجراءات التوعية، والتدريب، والمنع، واستقبال وحماية الضحايا، والقمع، والتسجيل، والإحصاءات.</w:t>
      </w:r>
    </w:p>
    <w:p w:rsidR="004D3C2E" w:rsidRPr="00060058" w:rsidRDefault="00E215AB" w:rsidP="00E215A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tl/>
          <w:lang w:bidi="ar-EG"/>
        </w:rPr>
        <w:br w:type="page"/>
      </w:r>
      <w:r>
        <w:rPr>
          <w:rFonts w:hint="cs"/>
          <w:rtl/>
          <w:lang w:bidi="ar-EG"/>
        </w:rPr>
        <w:t>1-1-3</w:t>
      </w:r>
      <w:r>
        <w:rPr>
          <w:rFonts w:hint="cs"/>
          <w:i/>
          <w:iCs/>
          <w:rtl/>
          <w:lang w:bidi="ar-EG"/>
        </w:rPr>
        <w:t xml:space="preserve">-  </w:t>
      </w:r>
      <w:r w:rsidR="004D3C2E" w:rsidRPr="00EF1DA7">
        <w:rPr>
          <w:rFonts w:hint="cs"/>
          <w:rtl/>
          <w:lang w:bidi="ar-EG"/>
        </w:rPr>
        <w:t>البحث</w:t>
      </w:r>
      <w:r w:rsidR="004D3C2E" w:rsidRPr="00060058">
        <w:rPr>
          <w:vertAlign w:val="superscript"/>
          <w:rtl/>
          <w:lang w:bidi="ar-EG"/>
        </w:rPr>
        <w:t>(</w:t>
      </w:r>
      <w:r w:rsidR="004D3C2E">
        <w:rPr>
          <w:rStyle w:val="FootnoteReference"/>
          <w:rtl/>
        </w:rPr>
        <w:footnoteReference w:id="10"/>
      </w:r>
      <w:r w:rsidR="004D3C2E" w:rsidRPr="00060058">
        <w:rPr>
          <w:vertAlign w:val="superscript"/>
          <w:rtl/>
          <w:lang w:bidi="ar-EG"/>
        </w:rPr>
        <w:t>)</w:t>
      </w:r>
    </w:p>
    <w:p w:rsidR="004D3C2E" w:rsidRDefault="004D3C2E" w:rsidP="004D3C2E">
      <w:pPr>
        <w:pStyle w:val="SingleTxt"/>
        <w:rPr>
          <w:rFonts w:hint="cs"/>
          <w:rtl/>
          <w:lang w:bidi="ar-EG"/>
        </w:rPr>
      </w:pPr>
      <w:r>
        <w:rPr>
          <w:rFonts w:hint="cs"/>
          <w:rtl/>
          <w:lang w:bidi="ar-EG"/>
        </w:rPr>
        <w:tab/>
        <w:t>في أعقاب الدورة التاسعة والأربعين للجنة وضع المرأة التي قامت بتقييم تنفيذ منهاج عمل بيجين بعد مرور 10 سنوات على اعتماده، نظم المعهد المعني بالمساواة بين المرأة والرجل ثمانية لقاءات استطلاعية في عامي 2005 و 2006 كان هدفها ما يلي:</w:t>
      </w:r>
    </w:p>
    <w:p w:rsidR="004D3C2E" w:rsidRDefault="004D3C2E" w:rsidP="004D3C2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الجمع بين التحديات والجوانب الرئيسية لحالة المرأة في بلجيكا؛</w:t>
      </w:r>
    </w:p>
    <w:p w:rsidR="004D3C2E" w:rsidRDefault="004D3C2E" w:rsidP="004D3C2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التذكير بمكتسبات مؤتمر بيجين + 1 وتطوراته الأخيرة؛</w:t>
      </w:r>
    </w:p>
    <w:p w:rsidR="004D3C2E" w:rsidRDefault="004D3C2E" w:rsidP="004D3C2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الإسهام في حشد جميع الفعاليات المؤسسية والسياسية حول المسألة؛</w:t>
      </w:r>
    </w:p>
    <w:p w:rsidR="004D3C2E" w:rsidRDefault="004D3C2E" w:rsidP="004D3C2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تحديد برنامج عمل وجدول أعمال سياسي من أجل مؤتمر بيجين + 15، تحقيقاً للمساواة بين المرأة والرجل في بلجيكا؛ والدعوة إلى قيام التزام واضح من جانب الفعاليات السياسية على هذا الأساس؛</w:t>
      </w:r>
    </w:p>
    <w:p w:rsidR="004D3C2E" w:rsidRDefault="004D3C2E" w:rsidP="004D3C2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حث الرجال على أداء دور فعّال من أجل تحقيق المساواة.</w:t>
      </w:r>
    </w:p>
    <w:p w:rsidR="004D3C2E" w:rsidRDefault="004D3C2E" w:rsidP="004D3C2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rFonts w:hint="cs"/>
          <w:rtl/>
          <w:lang w:bidi="ar-EG"/>
        </w:rPr>
        <w:tab/>
        <w:t>وفيما يلي الموضوعات الثمانية التي تناولتها اللقاءات الاستطلاعية:</w:t>
      </w:r>
    </w:p>
    <w:p w:rsidR="004D3C2E" w:rsidRDefault="004D3C2E" w:rsidP="004D3C2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الحقوق والحريات الجنسية والإنجابية للمرأة. أين نحن منها الآن؟ (28 نيسان/أبريل 2005)</w:t>
      </w:r>
    </w:p>
    <w:p w:rsidR="004D3C2E" w:rsidRDefault="004D3C2E" w:rsidP="004D3C2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ما هي الأدوات العملية اللازمة لتحقيق المساواة في المؤسسات؟ (28 حزيران/يونيه 2005)</w:t>
      </w:r>
    </w:p>
    <w:p w:rsidR="004D3C2E" w:rsidRDefault="004D3C2E" w:rsidP="004D3C2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معاملة البشر - الاستغلال الجنسي - البغاء: 3 حقائق، و 3 تحديات؟ (13 كانون الأول/ديسمبر 2005)</w:t>
      </w:r>
    </w:p>
    <w:p w:rsidR="004D3C2E" w:rsidRDefault="004D3C2E" w:rsidP="004D3C2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الجنسانية والمسنون: موضوع شامل (26 كانون الثاني/يناير 2006)</w:t>
      </w:r>
    </w:p>
    <w:p w:rsidR="004D3C2E" w:rsidRDefault="004D3C2E" w:rsidP="004D3C2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الأديان: الكلام للمرأة (7 شباط/فبراير 2006)</w:t>
      </w:r>
    </w:p>
    <w:p w:rsidR="004D3C2E" w:rsidRDefault="004D3C2E" w:rsidP="004D3C2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عدم المساواة بين المرأة والرجل: المشكلة والصكوك النوعية (27 نيسان/أبريل 2006)</w:t>
      </w:r>
    </w:p>
    <w:p w:rsidR="004D3C2E" w:rsidRDefault="004D3C2E" w:rsidP="004D3C2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المرأة والسياسة: وسط المخاضة؟ (19 حزيران/يونيه 2006)</w:t>
      </w:r>
    </w:p>
    <w:p w:rsidR="004D3C2E" w:rsidRDefault="004D3C2E" w:rsidP="004D3C2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الجنسانية ووسائل الإعلام: كيف يمكن تجاوز وتفكيك الصور والأدوار النمطية للمرأة والرجل؟ (27 حزيران/يونيه 2006)</w:t>
      </w:r>
    </w:p>
    <w:p w:rsidR="004D3C2E" w:rsidRDefault="004D3C2E" w:rsidP="004D3C2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rFonts w:hint="cs"/>
          <w:rtl/>
          <w:lang w:bidi="ar-EG"/>
        </w:rPr>
        <w:tab/>
        <w:t>وبالنسبة لكل من اللقاءات - النقاشية، ثم التطرق إلى ثلاث مسائل شاملة:</w:t>
      </w:r>
    </w:p>
    <w:p w:rsidR="004D3C2E" w:rsidRDefault="004D3C2E" w:rsidP="004D3C2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ما هي الأولويات السياسية التي توضع موضع التنفيذ من أجل تكريس روح ونص مكتسبات بيجين في بلجيكا؟</w:t>
      </w:r>
    </w:p>
    <w:p w:rsidR="004D3C2E" w:rsidRDefault="004D3C2E" w:rsidP="004D3C2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بعيداً عن التقديرات الوقائعية، كيف تقرأ التحديات الماثلة في هذه الموضوعات من حيث العلاقات الاجتماعية للجنسين؟ هل نشهد ظهور حجج جديدة؟</w:t>
      </w:r>
    </w:p>
    <w:p w:rsidR="004D3C2E" w:rsidRDefault="004D3C2E" w:rsidP="004D3C2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كيف يسمح للرجل بأن يقوم بدور نشط من أجل النهوض بالمساواة؟</w:t>
      </w:r>
    </w:p>
    <w:p w:rsidR="004D3C2E" w:rsidRDefault="004D3C2E" w:rsidP="004D3C2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كيف تتهافت هذه الموضوعات في مواجهة الحقائق التي تعيشها المرأة والرجل والناجمة عن الهجرة؟</w:t>
      </w:r>
    </w:p>
    <w:p w:rsidR="004D3C2E" w:rsidRDefault="004D3C2E" w:rsidP="004D3C2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bCs/>
          <w:rtl/>
          <w:lang w:bidi="ar-EG"/>
        </w:rPr>
      </w:pPr>
      <w:r w:rsidRPr="00EF1DA7">
        <w:rPr>
          <w:rFonts w:hint="cs"/>
          <w:b/>
          <w:bCs/>
          <w:rtl/>
          <w:lang w:bidi="ar-EG"/>
        </w:rPr>
        <w:tab/>
      </w:r>
      <w:r w:rsidRPr="00EF1DA7">
        <w:rPr>
          <w:rFonts w:hint="cs"/>
          <w:b/>
          <w:bCs/>
          <w:rtl/>
          <w:lang w:bidi="ar-EG"/>
        </w:rPr>
        <w:tab/>
        <w:t>وهذه الحلقات الدراسية تشكل ميلاداً حقيقياً لمعارف تتيح إثراء فكر مقرري السياسات والفعاليات المعنية من أجل مواصلة التقدم نحو تحقيق المساواة بين المرأة والرجل.</w:t>
      </w:r>
    </w:p>
    <w:p w:rsidR="004D3C2E" w:rsidRPr="00E215AB" w:rsidRDefault="004D3C2E" w:rsidP="004D3C2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sidRPr="00E215AB">
        <w:rPr>
          <w:rFonts w:hint="cs"/>
          <w:rtl/>
          <w:lang w:bidi="ar-EG"/>
        </w:rPr>
        <w:tab/>
      </w:r>
      <w:r w:rsidRPr="00E215AB">
        <w:rPr>
          <w:rFonts w:hint="cs"/>
          <w:rtl/>
          <w:lang w:bidi="ar-EG"/>
        </w:rPr>
        <w:tab/>
        <w:t xml:space="preserve">وإلى جانب ذلك، تم التكليف بإجراء دراسات في الفترة 2004-2005 حول موضوعات </w:t>
      </w:r>
      <w:r w:rsidRPr="00E215AB">
        <w:rPr>
          <w:rFonts w:hint="eastAsia"/>
          <w:rtl/>
          <w:lang w:bidi="ar-EG"/>
        </w:rPr>
        <w:t>”</w:t>
      </w:r>
      <w:r w:rsidRPr="00E215AB">
        <w:rPr>
          <w:rFonts w:hint="cs"/>
          <w:rtl/>
          <w:lang w:bidi="ar-EG"/>
        </w:rPr>
        <w:t>الجنسانية</w:t>
      </w:r>
      <w:r w:rsidRPr="00E215AB">
        <w:rPr>
          <w:rFonts w:hint="eastAsia"/>
          <w:rtl/>
          <w:lang w:bidi="ar-EG"/>
        </w:rPr>
        <w:t xml:space="preserve"> والسياسة</w:t>
      </w:r>
      <w:r w:rsidRPr="00E215AB">
        <w:rPr>
          <w:rFonts w:hint="cs"/>
          <w:rtl/>
          <w:lang w:bidi="ar-EG"/>
        </w:rPr>
        <w:t xml:space="preserve">“؛ و </w:t>
      </w:r>
      <w:r w:rsidRPr="00E215AB">
        <w:rPr>
          <w:rFonts w:hint="eastAsia"/>
          <w:rtl/>
          <w:lang w:bidi="ar-EG"/>
        </w:rPr>
        <w:t>”</w:t>
      </w:r>
      <w:r w:rsidRPr="00E215AB">
        <w:rPr>
          <w:rFonts w:hint="cs"/>
          <w:rtl/>
          <w:lang w:bidi="ar-EG"/>
        </w:rPr>
        <w:t>الجنسانية والهجرة</w:t>
      </w:r>
      <w:r w:rsidRPr="00E215AB">
        <w:rPr>
          <w:rFonts w:hint="eastAsia"/>
          <w:rtl/>
          <w:lang w:bidi="ar-EG"/>
        </w:rPr>
        <w:t>“؛</w:t>
      </w:r>
      <w:r w:rsidRPr="00E215AB">
        <w:rPr>
          <w:rFonts w:hint="cs"/>
          <w:rtl/>
          <w:lang w:bidi="ar-EG"/>
        </w:rPr>
        <w:t xml:space="preserve"> و </w:t>
      </w:r>
      <w:r w:rsidRPr="00E215AB">
        <w:rPr>
          <w:rFonts w:hint="eastAsia"/>
          <w:rtl/>
          <w:lang w:bidi="ar-EG"/>
        </w:rPr>
        <w:t>”</w:t>
      </w:r>
      <w:r w:rsidRPr="00E215AB">
        <w:rPr>
          <w:rFonts w:hint="cs"/>
          <w:rtl/>
          <w:lang w:bidi="ar-EG"/>
        </w:rPr>
        <w:t>دراسة جنسانية لعصر المجتمع</w:t>
      </w:r>
      <w:r w:rsidRPr="00E215AB">
        <w:rPr>
          <w:rFonts w:hint="eastAsia"/>
          <w:rtl/>
          <w:lang w:bidi="ar-EG"/>
        </w:rPr>
        <w:t xml:space="preserve"> والأسرة</w:t>
      </w:r>
      <w:r w:rsidRPr="00E215AB">
        <w:rPr>
          <w:rFonts w:hint="cs"/>
          <w:rtl/>
          <w:lang w:bidi="ar-EG"/>
        </w:rPr>
        <w:t xml:space="preserve">“؛ و </w:t>
      </w:r>
      <w:r w:rsidRPr="00E215AB">
        <w:rPr>
          <w:rFonts w:hint="eastAsia"/>
          <w:rtl/>
          <w:lang w:bidi="ar-EG"/>
        </w:rPr>
        <w:t>”</w:t>
      </w:r>
      <w:r w:rsidRPr="00E215AB">
        <w:rPr>
          <w:rFonts w:hint="cs"/>
          <w:rtl/>
          <w:lang w:bidi="ar-EG"/>
        </w:rPr>
        <w:t>الجنسانية</w:t>
      </w:r>
      <w:r w:rsidRPr="00E215AB">
        <w:rPr>
          <w:rFonts w:hint="eastAsia"/>
          <w:rtl/>
          <w:lang w:bidi="ar-EG"/>
        </w:rPr>
        <w:t xml:space="preserve"> والصحة</w:t>
      </w:r>
      <w:r w:rsidRPr="00E215AB">
        <w:rPr>
          <w:rFonts w:hint="cs"/>
          <w:rtl/>
          <w:lang w:bidi="ar-EG"/>
        </w:rPr>
        <w:t>“.</w:t>
      </w:r>
    </w:p>
    <w:p w:rsidR="004D3C2E" w:rsidRPr="00CD74A3" w:rsidRDefault="00E215AB" w:rsidP="00E215A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 xml:space="preserve">1-1-4-  </w:t>
      </w:r>
      <w:r w:rsidR="004D3C2E" w:rsidRPr="00CD74A3">
        <w:rPr>
          <w:rFonts w:hint="cs"/>
          <w:rtl/>
          <w:lang w:bidi="ar-EG"/>
        </w:rPr>
        <w:t>دعم المنظمات النسائية</w:t>
      </w:r>
    </w:p>
    <w:p w:rsidR="004D3C2E" w:rsidRPr="00E215AB" w:rsidRDefault="004D3C2E" w:rsidP="004D3C2E">
      <w:pPr>
        <w:pStyle w:val="SingleTxt"/>
        <w:rPr>
          <w:rFonts w:hint="cs"/>
          <w:rtl/>
        </w:rPr>
      </w:pPr>
      <w:r w:rsidRPr="00E215AB">
        <w:rPr>
          <w:rFonts w:hint="cs"/>
          <w:rtl/>
          <w:lang w:bidi="ar-EG"/>
        </w:rPr>
        <w:tab/>
        <w:t xml:space="preserve">تستفيد أربع رابطات نسائية تعمل في مجال المساواة بين المرأة والرجل من إعانة هيكلية مقدمة من المعهد، وهي </w:t>
      </w:r>
      <w:r w:rsidRPr="00E215AB">
        <w:rPr>
          <w:rFonts w:hint="eastAsia"/>
          <w:rtl/>
          <w:lang w:bidi="ar-EG"/>
        </w:rPr>
        <w:t xml:space="preserve">أمازون، ومجلس النساء الناطقات بالفرنسية في بلجيكا، </w:t>
      </w:r>
      <w:r w:rsidRPr="00E215AB">
        <w:rPr>
          <w:rFonts w:hint="cs"/>
          <w:rtl/>
          <w:lang w:bidi="ar-EG"/>
        </w:rPr>
        <w:t>و</w:t>
      </w:r>
      <w:r w:rsidRPr="00E215AB">
        <w:rPr>
          <w:rFonts w:hint="eastAsia"/>
          <w:rtl/>
          <w:lang w:bidi="ar-EG"/>
        </w:rPr>
        <w:t> </w:t>
      </w:r>
      <w:r w:rsidRPr="00E215AB">
        <w:rPr>
          <w:lang w:bidi="ar-EG"/>
        </w:rPr>
        <w:t>Nederlandstalige Vrouwenraad</w:t>
      </w:r>
      <w:r w:rsidRPr="00E215AB">
        <w:rPr>
          <w:rFonts w:hint="cs"/>
          <w:rtl/>
        </w:rPr>
        <w:t xml:space="preserve"> و </w:t>
      </w:r>
      <w:r w:rsidRPr="00E215AB">
        <w:t>asbl Sophia</w:t>
      </w:r>
      <w:r w:rsidRPr="00E215AB">
        <w:rPr>
          <w:rFonts w:hint="cs"/>
          <w:rtl/>
        </w:rPr>
        <w:t>.</w:t>
      </w:r>
    </w:p>
    <w:p w:rsidR="004D3C2E" w:rsidRPr="00E215AB" w:rsidRDefault="004D3C2E" w:rsidP="004D3C2E">
      <w:pPr>
        <w:pStyle w:val="SingleTxt"/>
        <w:rPr>
          <w:rFonts w:hint="cs"/>
          <w:rtl/>
          <w:lang w:bidi="ar-EG"/>
        </w:rPr>
      </w:pPr>
      <w:r w:rsidRPr="00E215AB">
        <w:rPr>
          <w:rFonts w:hint="cs"/>
          <w:rtl/>
          <w:lang w:bidi="ar-EG"/>
        </w:rPr>
        <w:tab/>
        <w:t>وفي عام 2004، ارتفع مجموع الإعانات الهيكلية إلى 783 007 1 يورو. وفي عام 2005، ارتفع هذا المبلغ إلى 750 010 1 يورو. وإلى جانب ذلك، يقدم دعم مالي سنوياً إلى مشروعات منتظمة في مجال المساواة بين المرأة والرجل، بمبلغ</w:t>
      </w:r>
      <w:r w:rsidRPr="00E215AB">
        <w:rPr>
          <w:rtl/>
          <w:lang w:bidi="ar-EG"/>
        </w:rPr>
        <w:br/>
      </w:r>
      <w:r w:rsidRPr="00E215AB">
        <w:rPr>
          <w:rFonts w:hint="cs"/>
          <w:rtl/>
          <w:lang w:bidi="ar-EG"/>
        </w:rPr>
        <w:t>674.58 194 يورو في عام 2004 و 973.50 331 يورو في عام 2005.</w:t>
      </w:r>
    </w:p>
    <w:p w:rsidR="004D3C2E" w:rsidRPr="00CD74A3" w:rsidRDefault="00E215AB" w:rsidP="00E215AB">
      <w:pPr>
        <w:pStyle w:val="SingleTxt"/>
        <w:rPr>
          <w:rFonts w:hint="cs"/>
          <w:rtl/>
          <w:lang w:bidi="ar-EG"/>
        </w:rPr>
      </w:pPr>
      <w:r>
        <w:rPr>
          <w:rFonts w:hint="cs"/>
          <w:rtl/>
          <w:lang w:bidi="ar-EG"/>
        </w:rPr>
        <w:t xml:space="preserve">1-1-5-  </w:t>
      </w:r>
      <w:r w:rsidR="004D3C2E" w:rsidRPr="00CD74A3">
        <w:rPr>
          <w:rFonts w:hint="cs"/>
          <w:rtl/>
          <w:lang w:bidi="ar-EG"/>
        </w:rPr>
        <w:t>إعداد وتطبيق مقررات الحكومة ومتابعة السياسات الأوروبية والدولية</w:t>
      </w:r>
    </w:p>
    <w:p w:rsidR="004D3C2E" w:rsidRPr="00CD74A3" w:rsidRDefault="004D3C2E" w:rsidP="004D3C2E">
      <w:pPr>
        <w:pStyle w:val="SingleTxt"/>
        <w:rPr>
          <w:rFonts w:hint="cs"/>
          <w:b/>
          <w:bCs/>
          <w:rtl/>
          <w:lang w:bidi="ar-EG"/>
        </w:rPr>
      </w:pPr>
      <w:r w:rsidRPr="00CD74A3">
        <w:rPr>
          <w:rFonts w:hint="cs"/>
          <w:b/>
          <w:bCs/>
          <w:rtl/>
          <w:lang w:bidi="ar-EG"/>
        </w:rPr>
        <w:tab/>
        <w:t>تمارس هذه المهمة تحت رعاية الوزير الاتحادي لتكافؤ الفرص وتتركز حول الإجراءات التالية:</w:t>
      </w:r>
    </w:p>
    <w:p w:rsidR="004D3C2E" w:rsidRPr="00CD74A3" w:rsidRDefault="004D3C2E" w:rsidP="004D3C2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bCs/>
          <w:rtl/>
          <w:lang w:bidi="ar-EG"/>
        </w:rPr>
      </w:pPr>
      <w:r w:rsidRPr="00CD74A3">
        <w:rPr>
          <w:rFonts w:hint="cs"/>
          <w:b/>
          <w:bCs/>
          <w:rtl/>
          <w:lang w:bidi="ar-EG"/>
        </w:rPr>
        <w:tab/>
        <w:t>•</w:t>
      </w:r>
      <w:r w:rsidRPr="00CD74A3">
        <w:rPr>
          <w:rFonts w:hint="cs"/>
          <w:b/>
          <w:bCs/>
          <w:rtl/>
          <w:lang w:bidi="ar-EG"/>
        </w:rPr>
        <w:tab/>
        <w:t>إعداد وتنفيذ مقررات الحكومة في ميدان المساواة بين المرأة والرجل؛</w:t>
      </w:r>
    </w:p>
    <w:p w:rsidR="004D3C2E" w:rsidRPr="00CD74A3" w:rsidRDefault="004D3C2E" w:rsidP="004D3C2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bCs/>
          <w:rtl/>
          <w:lang w:bidi="ar-EG"/>
        </w:rPr>
      </w:pPr>
      <w:r w:rsidRPr="00CD74A3">
        <w:rPr>
          <w:rFonts w:hint="cs"/>
          <w:b/>
          <w:bCs/>
          <w:rtl/>
          <w:lang w:bidi="ar-EG"/>
        </w:rPr>
        <w:tab/>
        <w:t>•</w:t>
      </w:r>
      <w:r w:rsidRPr="00CD74A3">
        <w:rPr>
          <w:rFonts w:hint="cs"/>
          <w:b/>
          <w:bCs/>
          <w:rtl/>
          <w:lang w:bidi="ar-EG"/>
        </w:rPr>
        <w:tab/>
        <w:t xml:space="preserve">مساعدة </w:t>
      </w:r>
      <w:r>
        <w:rPr>
          <w:rFonts w:hint="cs"/>
          <w:b/>
          <w:bCs/>
          <w:rtl/>
          <w:lang w:bidi="ar-EG"/>
        </w:rPr>
        <w:t>الغير</w:t>
      </w:r>
      <w:r w:rsidRPr="00CD74A3">
        <w:rPr>
          <w:rFonts w:hint="cs"/>
          <w:b/>
          <w:bCs/>
          <w:rtl/>
          <w:lang w:bidi="ar-EG"/>
        </w:rPr>
        <w:t>، بناء على طلب الحكومة (</w:t>
      </w:r>
      <w:r>
        <w:rPr>
          <w:rFonts w:hint="cs"/>
          <w:b/>
          <w:bCs/>
          <w:rtl/>
          <w:lang w:bidi="ar-EG"/>
        </w:rPr>
        <w:t>الهيئات الاستشارية</w:t>
      </w:r>
      <w:r w:rsidRPr="00CD74A3">
        <w:rPr>
          <w:rFonts w:hint="cs"/>
          <w:b/>
          <w:bCs/>
          <w:rtl/>
          <w:lang w:bidi="ar-EG"/>
        </w:rPr>
        <w:t xml:space="preserve"> على سبيل المثال)</w:t>
      </w:r>
      <w:r>
        <w:rPr>
          <w:rFonts w:hint="cs"/>
          <w:b/>
          <w:bCs/>
          <w:rtl/>
          <w:lang w:bidi="ar-EG"/>
        </w:rPr>
        <w:t>؛</w:t>
      </w:r>
    </w:p>
    <w:p w:rsidR="004D3C2E" w:rsidRPr="00CD74A3" w:rsidRDefault="004D3C2E" w:rsidP="004D3C2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bCs/>
          <w:rtl/>
          <w:lang w:bidi="ar-EG"/>
        </w:rPr>
      </w:pPr>
      <w:r w:rsidRPr="00CD74A3">
        <w:rPr>
          <w:rFonts w:hint="cs"/>
          <w:b/>
          <w:bCs/>
          <w:rtl/>
          <w:lang w:bidi="ar-EG"/>
        </w:rPr>
        <w:tab/>
        <w:t>•</w:t>
      </w:r>
      <w:r w:rsidRPr="00CD74A3">
        <w:rPr>
          <w:rFonts w:hint="cs"/>
          <w:b/>
          <w:bCs/>
          <w:rtl/>
          <w:lang w:bidi="ar-EG"/>
        </w:rPr>
        <w:tab/>
        <w:t>أمانة مجلس تكافؤ الفرص بين الرجل والمرأة</w:t>
      </w:r>
      <w:r>
        <w:rPr>
          <w:rFonts w:hint="cs"/>
          <w:b/>
          <w:bCs/>
          <w:rtl/>
          <w:lang w:bidi="ar-EG"/>
        </w:rPr>
        <w:t>؛</w:t>
      </w:r>
    </w:p>
    <w:p w:rsidR="004D3C2E" w:rsidRPr="00CD74A3" w:rsidRDefault="004D3C2E" w:rsidP="004D3C2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bCs/>
          <w:rtl/>
          <w:lang w:bidi="ar-EG"/>
        </w:rPr>
      </w:pPr>
      <w:r w:rsidRPr="00CD74A3">
        <w:rPr>
          <w:rFonts w:hint="cs"/>
          <w:b/>
          <w:bCs/>
          <w:rtl/>
          <w:lang w:bidi="ar-EG"/>
        </w:rPr>
        <w:tab/>
        <w:t>•</w:t>
      </w:r>
      <w:r w:rsidRPr="00CD74A3">
        <w:rPr>
          <w:rFonts w:hint="cs"/>
          <w:b/>
          <w:bCs/>
          <w:rtl/>
          <w:lang w:bidi="ar-EG"/>
        </w:rPr>
        <w:tab/>
      </w:r>
      <w:r>
        <w:rPr>
          <w:rFonts w:hint="cs"/>
          <w:b/>
          <w:bCs/>
          <w:rtl/>
          <w:lang w:bidi="ar-EG"/>
        </w:rPr>
        <w:t>توفير</w:t>
      </w:r>
      <w:r w:rsidRPr="00CD74A3">
        <w:rPr>
          <w:rFonts w:hint="cs"/>
          <w:b/>
          <w:bCs/>
          <w:rtl/>
          <w:lang w:bidi="ar-EG"/>
        </w:rPr>
        <w:t xml:space="preserve"> المشورة والخبرة الفنية </w:t>
      </w:r>
      <w:r>
        <w:rPr>
          <w:rFonts w:hint="cs"/>
          <w:b/>
          <w:bCs/>
          <w:rtl/>
          <w:lang w:bidi="ar-EG"/>
        </w:rPr>
        <w:t>لل</w:t>
      </w:r>
      <w:r w:rsidRPr="00CD74A3">
        <w:rPr>
          <w:rFonts w:hint="cs"/>
          <w:b/>
          <w:bCs/>
          <w:rtl/>
          <w:lang w:bidi="ar-EG"/>
        </w:rPr>
        <w:t xml:space="preserve">وزير </w:t>
      </w:r>
      <w:r>
        <w:rPr>
          <w:rFonts w:hint="cs"/>
          <w:b/>
          <w:bCs/>
          <w:rtl/>
          <w:lang w:bidi="ar-EG"/>
        </w:rPr>
        <w:t xml:space="preserve">المسؤول والممثلية الدائمة </w:t>
      </w:r>
      <w:r w:rsidRPr="00CD74A3">
        <w:rPr>
          <w:rFonts w:hint="cs"/>
          <w:b/>
          <w:bCs/>
          <w:rtl/>
          <w:lang w:bidi="ar-EG"/>
        </w:rPr>
        <w:t xml:space="preserve">لبلجيكا لدى الاتحاد الأوروبي في إطار متابعة السياسات الأوروبية، والقيام بدور </w:t>
      </w:r>
      <w:r>
        <w:rPr>
          <w:rFonts w:hint="cs"/>
          <w:b/>
          <w:bCs/>
          <w:rtl/>
          <w:lang w:bidi="ar-EG"/>
        </w:rPr>
        <w:t>تمثيلي عند الاقتضاء؛</w:t>
      </w:r>
    </w:p>
    <w:p w:rsidR="004D3C2E" w:rsidRPr="00CD74A3" w:rsidRDefault="004D3C2E" w:rsidP="004D3C2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bCs/>
          <w:rtl/>
          <w:lang w:bidi="ar-EG"/>
        </w:rPr>
      </w:pPr>
      <w:r w:rsidRPr="00CD74A3">
        <w:rPr>
          <w:rFonts w:hint="cs"/>
          <w:b/>
          <w:bCs/>
          <w:rtl/>
          <w:lang w:bidi="ar-EG"/>
        </w:rPr>
        <w:tab/>
        <w:t>•</w:t>
      </w:r>
      <w:r w:rsidRPr="00CD74A3">
        <w:rPr>
          <w:rFonts w:hint="cs"/>
          <w:b/>
          <w:bCs/>
          <w:rtl/>
          <w:lang w:bidi="ar-EG"/>
        </w:rPr>
        <w:tab/>
        <w:t>المساهمة في التنسيق الوطني لنقل القانون الأوروبي وتنفيذ القانون الدولي للمساواة بين المرأة والرجل.</w:t>
      </w:r>
    </w:p>
    <w:p w:rsidR="004D3C2E" w:rsidRDefault="004D3C2E" w:rsidP="004D3C2E">
      <w:pPr>
        <w:pStyle w:val="SingleTxt"/>
        <w:rPr>
          <w:rFonts w:hint="cs"/>
          <w:u w:val="single"/>
          <w:rtl/>
        </w:rPr>
      </w:pPr>
      <w:r>
        <w:rPr>
          <w:rFonts w:hint="cs"/>
          <w:rtl/>
          <w:lang w:bidi="ar-EG"/>
        </w:rPr>
        <w:tab/>
        <w:t xml:space="preserve">ولمزيد من المعلومات عن أنشطة المعهد المعني بالمساواة بين المرأة والرجل، انظر </w:t>
      </w:r>
      <w:hyperlink r:id="rId15" w:history="1">
        <w:r w:rsidRPr="007023B4">
          <w:rPr>
            <w:rStyle w:val="Hyperlink"/>
            <w:lang w:bidi="ar-EG"/>
          </w:rPr>
          <w:t>http://www.iefh.fgov.be</w:t>
        </w:r>
      </w:hyperlink>
      <w:r w:rsidRPr="00CD74A3">
        <w:rPr>
          <w:rFonts w:hint="cs"/>
          <w:rtl/>
        </w:rPr>
        <w:t>.</w:t>
      </w:r>
    </w:p>
    <w:p w:rsidR="004D3C2E" w:rsidRPr="00CD74A3" w:rsidRDefault="00E215AB" w:rsidP="00E215AB">
      <w:pPr>
        <w:pStyle w:val="SingleTxt"/>
        <w:rPr>
          <w:rFonts w:hint="cs"/>
          <w:rtl/>
          <w:lang w:bidi="ar-EG"/>
        </w:rPr>
      </w:pPr>
      <w:r>
        <w:rPr>
          <w:rFonts w:hint="cs"/>
          <w:rtl/>
          <w:lang w:bidi="ar-EG"/>
        </w:rPr>
        <w:t>1-2-  م</w:t>
      </w:r>
      <w:r w:rsidR="004D3C2E" w:rsidRPr="00CD74A3">
        <w:rPr>
          <w:rFonts w:hint="cs"/>
          <w:rtl/>
          <w:lang w:bidi="ar-EG"/>
        </w:rPr>
        <w:t>جلس تكافؤ الفرص بين الرجل والمرأة</w:t>
      </w:r>
    </w:p>
    <w:p w:rsidR="004D3C2E" w:rsidRDefault="004D3C2E" w:rsidP="004D3C2E">
      <w:pPr>
        <w:pStyle w:val="SingleTxt"/>
        <w:rPr>
          <w:rFonts w:hint="cs"/>
          <w:rtl/>
          <w:lang w:bidi="ar-EG"/>
        </w:rPr>
      </w:pPr>
      <w:r>
        <w:rPr>
          <w:rFonts w:hint="cs"/>
          <w:rtl/>
          <w:lang w:bidi="ar-EG"/>
        </w:rPr>
        <w:tab/>
        <w:t>المجلس جهاز استشاري يمكنه، بناءً على طلب الوزير المختص بسياسة تكافؤ الفرص أو وزير آخر أو بناءً على التماس المنظمات والتجمعات والأفراد أو بناءً على مبادرته الخاصة، أن يضع تقارير ويجري أبحاثاً ويقترح تدابير ويقدم بيانات ومعلومات في مجال سياسة تكافؤ الفرص. وتتمثل مهمته أيضاً في إعداد تقارير للمجلس الوطني للعمل عندما يطلبها. ويمكن للمجلس، للاضطلاع بمهامه، أن يجمع كافة المعلومات اللازمة والاستعانة بخبراء.</w:t>
      </w:r>
    </w:p>
    <w:p w:rsidR="004D3C2E" w:rsidRDefault="004D3C2E" w:rsidP="004D3C2E">
      <w:pPr>
        <w:pStyle w:val="SingleTxt"/>
        <w:rPr>
          <w:rFonts w:hint="cs"/>
          <w:rtl/>
          <w:lang w:bidi="ar-EG"/>
        </w:rPr>
      </w:pPr>
      <w:r>
        <w:rPr>
          <w:rFonts w:hint="cs"/>
          <w:rtl/>
          <w:lang w:bidi="ar-EG"/>
        </w:rPr>
        <w:tab/>
        <w:t>ويعكس تشكيل المجلس قاعدة اجتماعية واسعة بقدر الإمكان، ويسعى إلى تحقيق التوازن بين الاتجاهات الأيديولوجية والاجتماعية لأعضائه بغية أن يكفل على هذا النحو التأثير والانتشار لمشورته.</w:t>
      </w:r>
    </w:p>
    <w:p w:rsidR="004D3C2E" w:rsidRDefault="004D3C2E" w:rsidP="004D3C2E">
      <w:pPr>
        <w:pStyle w:val="SingleTxt"/>
        <w:rPr>
          <w:rFonts w:hint="cs"/>
          <w:rtl/>
          <w:lang w:bidi="ar-EG"/>
        </w:rPr>
      </w:pPr>
      <w:r>
        <w:rPr>
          <w:rFonts w:hint="cs"/>
          <w:rtl/>
          <w:lang w:bidi="ar-EG"/>
        </w:rPr>
        <w:tab/>
        <w:t>وفي عام 2004، نشر المجلس كتيب معلومات عن مضمون اتفاقية القضاء على جميع أشكال التمييز ضد المرأة.</w:t>
      </w:r>
    </w:p>
    <w:p w:rsidR="004D3C2E" w:rsidRDefault="004D3C2E" w:rsidP="004D3C2E">
      <w:pPr>
        <w:pStyle w:val="SingleTxt"/>
        <w:rPr>
          <w:rFonts w:hint="cs"/>
          <w:rtl/>
          <w:lang w:bidi="ar-EG"/>
        </w:rPr>
      </w:pPr>
      <w:r>
        <w:rPr>
          <w:rFonts w:hint="cs"/>
          <w:rtl/>
          <w:lang w:bidi="ar-EG"/>
        </w:rPr>
        <w:tab/>
        <w:t xml:space="preserve">ولمزيد من المعلومات عن أنشطة المجلس (وبخاصة بشأن الاستشارات المقدمة خلال الفترة موضع الدراسة) وتنزيل الكتيب المذكور آنفاً انظر الرابط التالي: </w:t>
      </w:r>
      <w:hyperlink r:id="rId16" w:history="1">
        <w:r w:rsidRPr="007023B4">
          <w:rPr>
            <w:rStyle w:val="Hyperlink"/>
            <w:lang w:bidi="ar-EG"/>
          </w:rPr>
          <w:t>http://www.conseildelegalite.be</w:t>
        </w:r>
      </w:hyperlink>
      <w:r>
        <w:rPr>
          <w:rFonts w:hint="cs"/>
          <w:rtl/>
          <w:lang w:bidi="ar-EG"/>
        </w:rPr>
        <w:t>.</w:t>
      </w:r>
    </w:p>
    <w:p w:rsidR="004D3C2E" w:rsidRDefault="004D3C2E" w:rsidP="004D3C2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Pr="009912D1">
        <w:rPr>
          <w:rFonts w:hint="cs"/>
          <w:rtl/>
        </w:rPr>
        <w:t>2 -</w:t>
      </w:r>
      <w:r w:rsidRPr="009912D1">
        <w:rPr>
          <w:rFonts w:hint="cs"/>
          <w:rtl/>
        </w:rPr>
        <w:tab/>
        <w:t>العنف ضد المرأة والطفل</w:t>
      </w:r>
    </w:p>
    <w:p w:rsidR="004D3C2E" w:rsidRDefault="004D3C2E" w:rsidP="004D3C2E">
      <w:pPr>
        <w:pStyle w:val="SingleTxt"/>
        <w:rPr>
          <w:rFonts w:hint="cs"/>
          <w:rtl/>
          <w:lang w:bidi="ar-EG"/>
        </w:rPr>
      </w:pPr>
      <w:r>
        <w:rPr>
          <w:rFonts w:hint="cs"/>
          <w:rtl/>
          <w:lang w:bidi="ar-EG"/>
        </w:rPr>
        <w:tab/>
        <w:t xml:space="preserve">يرد العنف الجنسي منذ عام 1867 في الباب السابع </w:t>
      </w:r>
      <w:r>
        <w:rPr>
          <w:rFonts w:hint="eastAsia"/>
          <w:rtl/>
          <w:lang w:bidi="ar-EG"/>
        </w:rPr>
        <w:t>”</w:t>
      </w:r>
      <w:r>
        <w:rPr>
          <w:rFonts w:hint="cs"/>
          <w:rtl/>
          <w:lang w:bidi="ar-EG"/>
        </w:rPr>
        <w:t>ال</w:t>
      </w:r>
      <w:r>
        <w:rPr>
          <w:rFonts w:hint="eastAsia"/>
          <w:rtl/>
          <w:lang w:bidi="ar-EG"/>
        </w:rPr>
        <w:t>جرائم و</w:t>
      </w:r>
      <w:r>
        <w:rPr>
          <w:rFonts w:hint="cs"/>
          <w:rtl/>
          <w:lang w:bidi="ar-EG"/>
        </w:rPr>
        <w:t>ال</w:t>
      </w:r>
      <w:r>
        <w:rPr>
          <w:rFonts w:hint="eastAsia"/>
          <w:rtl/>
          <w:lang w:bidi="ar-EG"/>
        </w:rPr>
        <w:t xml:space="preserve">جنح </w:t>
      </w:r>
      <w:r>
        <w:rPr>
          <w:rFonts w:hint="cs"/>
          <w:rtl/>
          <w:lang w:bidi="ar-EG"/>
        </w:rPr>
        <w:t xml:space="preserve">المرتكبة </w:t>
      </w:r>
      <w:r>
        <w:rPr>
          <w:rFonts w:hint="eastAsia"/>
          <w:rtl/>
          <w:lang w:bidi="ar-EG"/>
        </w:rPr>
        <w:t>ضد نظام الأسر وضد الأخلاق العامة</w:t>
      </w:r>
      <w:r>
        <w:rPr>
          <w:rFonts w:hint="cs"/>
          <w:rtl/>
          <w:lang w:bidi="ar-EG"/>
        </w:rPr>
        <w:t xml:space="preserve">“. ومنذ إعداد القانون المؤرخ 28 تشرين الثاني/نوفمبر 2000 المتعلق بالحماية الجنائية للقصّر، اقترح نقل جرائم الاغتصاب وهتك العرض إلى الباب الثامن </w:t>
      </w:r>
      <w:r>
        <w:rPr>
          <w:rFonts w:hint="eastAsia"/>
          <w:rtl/>
          <w:lang w:bidi="ar-EG"/>
        </w:rPr>
        <w:t>”</w:t>
      </w:r>
      <w:r>
        <w:rPr>
          <w:rFonts w:hint="cs"/>
          <w:rtl/>
          <w:lang w:bidi="ar-EG"/>
        </w:rPr>
        <w:t>ال</w:t>
      </w:r>
      <w:r>
        <w:rPr>
          <w:rFonts w:hint="eastAsia"/>
          <w:rtl/>
          <w:lang w:bidi="ar-EG"/>
        </w:rPr>
        <w:t>جرائم و</w:t>
      </w:r>
      <w:r>
        <w:rPr>
          <w:rFonts w:hint="cs"/>
          <w:rtl/>
          <w:lang w:bidi="ar-EG"/>
        </w:rPr>
        <w:t>ال</w:t>
      </w:r>
      <w:r>
        <w:rPr>
          <w:rFonts w:hint="eastAsia"/>
          <w:rtl/>
          <w:lang w:bidi="ar-EG"/>
        </w:rPr>
        <w:t xml:space="preserve">جنح </w:t>
      </w:r>
      <w:r>
        <w:rPr>
          <w:rFonts w:hint="cs"/>
          <w:rtl/>
          <w:lang w:bidi="ar-EG"/>
        </w:rPr>
        <w:t xml:space="preserve">المرتكبة </w:t>
      </w:r>
      <w:r>
        <w:rPr>
          <w:rFonts w:hint="eastAsia"/>
          <w:rtl/>
          <w:lang w:bidi="ar-EG"/>
        </w:rPr>
        <w:t>ضد الأشخاص</w:t>
      </w:r>
      <w:r>
        <w:rPr>
          <w:rFonts w:hint="cs"/>
          <w:rtl/>
          <w:lang w:bidi="ar-EG"/>
        </w:rPr>
        <w:t>“ لكي توائم المفاهيم الحديثة. واقترح أيضاً تعديل تعريف هتك العرض لمزيد من تأكيد الصفة الموضوعية للجريمة. وقد تعرضت هذه التغييرات لانتقادات من جانب البرلمان الذي خشي أن يتعرض القضاة لصعوبات في تطبيقها. ومن ثم جرى تعديل المشروع في هذه النقاط من أجل الحفاظ على الحالة السابقة. ويمكن للجنة أن تطمئن إلى أن وضع هذه الجرائم في الباب السابع ليس له أثر على الطابع غير المقبول لهذه الجرائم وعلى طريقة ترتيب القمع.</w:t>
      </w:r>
    </w:p>
    <w:p w:rsidR="004D3C2E" w:rsidRDefault="004D3C2E" w:rsidP="004D3C2E">
      <w:pPr>
        <w:pStyle w:val="SingleTxt"/>
        <w:rPr>
          <w:rFonts w:hint="cs"/>
          <w:rtl/>
          <w:lang w:bidi="ar-EG"/>
        </w:rPr>
      </w:pPr>
      <w:r>
        <w:rPr>
          <w:rFonts w:hint="cs"/>
          <w:rtl/>
          <w:lang w:bidi="ar-EG"/>
        </w:rPr>
        <w:tab/>
        <w:t>وتنتهج الدولة الاتحادية منذ عام 2001 سياسة نشطة لمكافحة العنف ضد المرأة، بما في ذلك العنف داخل الأسرة. وعلى مستوى وزارة العدل، من الجدير بالذكر ملاحظة مجموعة التدابير التشريعية والتنظيمية التي استحدثت أخيراً، والتي تهدف إلى تعزيز النص القائم في ميدان مكافحة هذا النوع من العنف، وإلى الاستجابة على نحو كافٍ للتوصية السالفة الذكر.</w:t>
      </w:r>
    </w:p>
    <w:p w:rsidR="004D3C2E" w:rsidRPr="009912D1" w:rsidRDefault="00E215AB" w:rsidP="00E215AB">
      <w:pPr>
        <w:pStyle w:val="SingleTxt"/>
        <w:rPr>
          <w:rFonts w:hint="cs"/>
          <w:i/>
          <w:iCs/>
          <w:rtl/>
          <w:lang w:bidi="ar-EG"/>
        </w:rPr>
      </w:pPr>
      <w:r>
        <w:rPr>
          <w:rFonts w:hint="cs"/>
          <w:i/>
          <w:iCs/>
          <w:rtl/>
          <w:lang w:bidi="ar-EG"/>
        </w:rPr>
        <w:t xml:space="preserve">2-2-  </w:t>
      </w:r>
      <w:r w:rsidR="004D3C2E" w:rsidRPr="009912D1">
        <w:rPr>
          <w:rFonts w:hint="cs"/>
          <w:i/>
          <w:iCs/>
          <w:rtl/>
          <w:lang w:bidi="ar-EG"/>
        </w:rPr>
        <w:t>الإطار العام</w:t>
      </w:r>
    </w:p>
    <w:p w:rsidR="004D3C2E" w:rsidRPr="00655E37" w:rsidRDefault="00E215AB" w:rsidP="00E215AB">
      <w:pPr>
        <w:pStyle w:val="SingleTxt"/>
        <w:rPr>
          <w:rFonts w:hint="cs"/>
          <w:i/>
          <w:iCs/>
          <w:rtl/>
          <w:lang w:bidi="ar-EG"/>
        </w:rPr>
      </w:pPr>
      <w:r>
        <w:rPr>
          <w:rFonts w:hint="cs"/>
          <w:rtl/>
          <w:lang w:bidi="ar-EG"/>
        </w:rPr>
        <w:t xml:space="preserve">2-1-1-  </w:t>
      </w:r>
      <w:r w:rsidR="004D3C2E" w:rsidRPr="00655E37">
        <w:rPr>
          <w:rFonts w:hint="cs"/>
          <w:i/>
          <w:iCs/>
          <w:rtl/>
          <w:lang w:bidi="ar-EG"/>
        </w:rPr>
        <w:t>خطة العمل الوطنية لمكافحة العنف المنزلي</w:t>
      </w:r>
    </w:p>
    <w:p w:rsidR="004D3C2E" w:rsidRDefault="004D3C2E" w:rsidP="004D3C2E">
      <w:pPr>
        <w:pStyle w:val="SingleTxt"/>
        <w:rPr>
          <w:rFonts w:hint="cs"/>
          <w:rtl/>
          <w:lang w:bidi="ar-EG"/>
        </w:rPr>
      </w:pPr>
      <w:r>
        <w:rPr>
          <w:rFonts w:hint="cs"/>
          <w:rtl/>
          <w:lang w:bidi="ar-EG"/>
        </w:rPr>
        <w:tab/>
        <w:t xml:space="preserve">منذ عام 2001، تم إعداد خطة العمل الأولى لمكافحة العنف المنزلي في أعقاب قرار المؤتمر الوزاري المشترك لتكافؤ الفرص المؤرخ 14 كانون الثاني/نوفمبر 2000. وقررت الحكومة لأول مرة إعداد خطة مشتركة لمكافحة العنف ضد المرأة. وتم لأول مرة تنسيق جميع الإجراءات المدرجة في إطار مكافحة العنف ضد المرأة، ووضعها بشكل متفق عليه. وانطلاقاً بصفة خاصة من تقييم خطة العمل الوطنية الأولى، تم إعداد خطة عمل جديدة ضد العنف المنزلي للفترة 2004-2007، وامتد نطاقها ليشمل المجتمعات والأقاليم. وبالاتفاق مع المعهد المعني بالمساواة بين المرأة والرجل، تقرر بالنسبة للفترة 2004-2007 تجسيد الإجراءات ذات الأولوية في مجال واسع النطاق، هو مكافحة العنف من جانب القرين </w:t>
      </w:r>
      <w:r>
        <w:rPr>
          <w:rFonts w:hint="eastAsia"/>
          <w:rtl/>
          <w:lang w:bidi="ar-EG"/>
        </w:rPr>
        <w:t>السابق</w:t>
      </w:r>
      <w:r>
        <w:rPr>
          <w:rFonts w:hint="cs"/>
          <w:rtl/>
          <w:lang w:bidi="ar-EG"/>
        </w:rPr>
        <w:t xml:space="preserve">. وتم إعداد خطة العمل الوطنية الجديدة على أساس 6 أهداف استراتيجية كبرى هي: إعداد تدابير في مجال التوعية، والتثقيف والتدريب، والوقاية، واستقبال وحماية الضحايا، والقمع، والتسجيل والإحصاء. وفي 8 شباط/فبراير 2006، أقر المؤتمر الوزاري المشترك تعريفاً توافقياً للعنف داخل الأسرة يماثل تماماً التعريف المستخدم في التعميمين </w:t>
      </w:r>
      <w:r>
        <w:rPr>
          <w:lang w:bidi="ar-EG"/>
        </w:rPr>
        <w:t>COL 3/2006</w:t>
      </w:r>
      <w:r>
        <w:rPr>
          <w:rFonts w:hint="cs"/>
          <w:rtl/>
          <w:lang w:bidi="ar-EG"/>
        </w:rPr>
        <w:t xml:space="preserve"> و </w:t>
      </w:r>
      <w:r>
        <w:rPr>
          <w:lang w:bidi="ar-EG"/>
        </w:rPr>
        <w:t>COL 4/2006</w:t>
      </w:r>
      <w:r>
        <w:rPr>
          <w:rFonts w:hint="cs"/>
          <w:rtl/>
          <w:lang w:bidi="ar-EG"/>
        </w:rPr>
        <w:t xml:space="preserve"> (راجع أدناه).</w:t>
      </w:r>
    </w:p>
    <w:p w:rsidR="004D3C2E" w:rsidRPr="006B3DBF" w:rsidRDefault="00655E37" w:rsidP="00655E37">
      <w:pPr>
        <w:pStyle w:val="SingleTxt"/>
        <w:rPr>
          <w:rFonts w:hint="cs"/>
          <w:rtl/>
          <w:lang w:bidi="ar-EG"/>
        </w:rPr>
      </w:pPr>
      <w:r>
        <w:rPr>
          <w:rFonts w:hint="cs"/>
          <w:rtl/>
          <w:lang w:bidi="ar-EG"/>
        </w:rPr>
        <w:t xml:space="preserve">2-1-2-  </w:t>
      </w:r>
      <w:r w:rsidR="004D3C2E" w:rsidRPr="00655E37">
        <w:rPr>
          <w:rFonts w:hint="cs"/>
          <w:i/>
          <w:iCs/>
          <w:rtl/>
          <w:lang w:bidi="ar-EG"/>
        </w:rPr>
        <w:t>المذكرة الإطارية للأمن المتكامل</w:t>
      </w:r>
    </w:p>
    <w:p w:rsidR="00655E37" w:rsidRDefault="004D3C2E" w:rsidP="004D3C2E">
      <w:pPr>
        <w:pStyle w:val="SingleTxt"/>
        <w:rPr>
          <w:rFonts w:hint="cs"/>
          <w:rtl/>
          <w:lang w:bidi="ar-EG"/>
        </w:rPr>
      </w:pPr>
      <w:r>
        <w:rPr>
          <w:rFonts w:hint="cs"/>
          <w:rtl/>
          <w:lang w:bidi="ar-EG"/>
        </w:rPr>
        <w:tab/>
        <w:t>تعد السياسة الجنائية عنصراً هاماً من عناصر سياسة الأمن المحددة في المذكرة الإطارية للأمن المتكامل التي التزمت بها الحكومة الاتحادية في مجموعها يومي 30 و 31 آذار/مارس 2004.</w:t>
      </w:r>
    </w:p>
    <w:p w:rsidR="004D3C2E" w:rsidRDefault="00655E37" w:rsidP="00655E37">
      <w:pPr>
        <w:pStyle w:val="SingleTxt"/>
        <w:rPr>
          <w:rFonts w:hint="cs"/>
          <w:rtl/>
          <w:lang w:bidi="ar-EG"/>
        </w:rPr>
      </w:pPr>
      <w:r>
        <w:rPr>
          <w:rFonts w:hint="cs"/>
          <w:rtl/>
          <w:lang w:bidi="ar-EG"/>
        </w:rPr>
        <w:tab/>
      </w:r>
      <w:r w:rsidR="004D3C2E">
        <w:rPr>
          <w:rFonts w:hint="cs"/>
          <w:rtl/>
          <w:lang w:bidi="ar-EG"/>
        </w:rPr>
        <w:t>وتتضمن هذه المذكرة اقتراحا بسياسة كاملة ومتكاملة:</w:t>
      </w:r>
    </w:p>
    <w:p w:rsidR="004D3C2E" w:rsidRDefault="004D3C2E" w:rsidP="004D3C2E">
      <w:pPr>
        <w:pStyle w:val="SingleTxt"/>
        <w:rPr>
          <w:rFonts w:hint="cs"/>
          <w:rtl/>
          <w:lang w:bidi="ar-EG"/>
        </w:rPr>
      </w:pPr>
      <w:r>
        <w:rPr>
          <w:rFonts w:hint="cs"/>
          <w:rtl/>
          <w:lang w:bidi="ar-EG"/>
        </w:rPr>
        <w:tab/>
        <w:t>والأمن المتكامل هو المفهوم الرامي إلى التصدي للنزعة الإجرامية والأعمال الفظة والسلامة على الطرق في أوسع إطار ممكن بجميع أنواعها. والفكرة الأساسية في هذا المجال هي الاهتمام الدائم سواء بالمنع والقمع أو بمتابعة الجناة والضحايا.</w:t>
      </w:r>
    </w:p>
    <w:p w:rsidR="004D3C2E" w:rsidRDefault="004D3C2E" w:rsidP="004D3C2E">
      <w:pPr>
        <w:pStyle w:val="SingleTxt"/>
        <w:rPr>
          <w:rFonts w:hint="cs"/>
          <w:rtl/>
          <w:lang w:bidi="ar-EG"/>
        </w:rPr>
      </w:pPr>
      <w:r>
        <w:rPr>
          <w:rFonts w:hint="cs"/>
          <w:rtl/>
          <w:lang w:bidi="ar-EG"/>
        </w:rPr>
        <w:tab/>
        <w:t>ويمكن أن يؤدي هذا المفهوم للأمن المتكامل إلى توليد نهج متكامل بعد ذلك. والنهج المتكامل هو التعاون الضروري بين جميع الفعاليات المعنية للتوصل إلى حل مشترك للمشكلة. وبعبارة أخرى، ينبغي تحقيق أكبر تجانس ممكن بين جميع المبادرات وكذلك جميع المشاريع والصكوك والتنسيق بينها، وكأنها تشكل جزءاً من مشروع كبير.</w:t>
      </w:r>
    </w:p>
    <w:p w:rsidR="004D3C2E" w:rsidRDefault="004D3C2E" w:rsidP="004D3C2E">
      <w:pPr>
        <w:pStyle w:val="SingleTxt"/>
        <w:rPr>
          <w:rFonts w:hint="cs"/>
          <w:rtl/>
          <w:lang w:bidi="ar-EG"/>
        </w:rPr>
      </w:pPr>
      <w:r>
        <w:rPr>
          <w:rFonts w:hint="cs"/>
          <w:rtl/>
          <w:lang w:bidi="ar-EG"/>
        </w:rPr>
        <w:tab/>
        <w:t>وتم تحديد الأهداف الاستراتيجية التالية في المذكرة الإطارية للأمن المتكامل فيما</w:t>
      </w:r>
      <w:r>
        <w:rPr>
          <w:rFonts w:hint="eastAsia"/>
          <w:rtl/>
          <w:lang w:bidi="ar-EG"/>
        </w:rPr>
        <w:t> </w:t>
      </w:r>
      <w:r>
        <w:rPr>
          <w:rFonts w:hint="cs"/>
          <w:rtl/>
          <w:lang w:bidi="ar-EG"/>
        </w:rPr>
        <w:t>يتعلق بالعنف داخل الأسرة:</w:t>
      </w:r>
    </w:p>
    <w:p w:rsidR="004D3C2E" w:rsidRDefault="004D3C2E" w:rsidP="004D3C2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توعية السكان بخطورة الظاهرة؛</w:t>
      </w:r>
    </w:p>
    <w:p w:rsidR="004D3C2E" w:rsidRDefault="004D3C2E" w:rsidP="004D3C2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زيادة إرادة الإفصاح؛</w:t>
      </w:r>
    </w:p>
    <w:p w:rsidR="004D3C2E" w:rsidRDefault="004D3C2E" w:rsidP="004D3C2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تحسين التسجيل لدى الشرطة والقضاء؛</w:t>
      </w:r>
    </w:p>
    <w:p w:rsidR="004D3C2E" w:rsidRDefault="004D3C2E" w:rsidP="004D3C2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إعداد سياسة جنائية موحدة؛</w:t>
      </w:r>
    </w:p>
    <w:p w:rsidR="004D3C2E" w:rsidRDefault="004D3C2E" w:rsidP="004D3C2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مواصلة دعم مركز الضحية قبل الإجراءات القضائية وأثناءها وبعدها.</w:t>
      </w:r>
    </w:p>
    <w:p w:rsidR="004D3C2E" w:rsidRPr="006B3DBF" w:rsidRDefault="00655E37" w:rsidP="00655E3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 xml:space="preserve">2-1-3-  </w:t>
      </w:r>
      <w:r w:rsidR="004D3C2E" w:rsidRPr="00655E37">
        <w:rPr>
          <w:rFonts w:hint="cs"/>
          <w:i/>
          <w:iCs/>
          <w:rtl/>
          <w:lang w:bidi="ar-EG"/>
        </w:rPr>
        <w:t>مذكرة السياسة العامة</w:t>
      </w:r>
    </w:p>
    <w:p w:rsidR="004D3C2E" w:rsidRDefault="004D3C2E" w:rsidP="004D3C2E">
      <w:pPr>
        <w:pStyle w:val="SingleTxt"/>
        <w:rPr>
          <w:rFonts w:hint="cs"/>
          <w:rtl/>
          <w:lang w:bidi="ar-EG"/>
        </w:rPr>
      </w:pPr>
      <w:r>
        <w:rPr>
          <w:rFonts w:hint="cs"/>
          <w:rtl/>
          <w:lang w:bidi="ar-EG"/>
        </w:rPr>
        <w:tab/>
        <w:t>في مذكرة السياسة العامة لوزيرة العدل بتاريخ 28 تشرين الأول/أكتوبر 2005، تم إدراج العنف داخل الأسرة في الجزء المخصص للخطوط الرئيسية للسياسة الجنائية، وهي تعريف الظاهرة وترميز موحد للبلد في مجموعه. وينبغي أن يكون من الممكن تصور الظاهرة على أساس الإحصاءات الموثوق بها.</w:t>
      </w:r>
    </w:p>
    <w:p w:rsidR="004D3C2E" w:rsidRPr="009912D1" w:rsidRDefault="007023B4" w:rsidP="00655E37">
      <w:pPr>
        <w:pStyle w:val="SingleTxt"/>
        <w:rPr>
          <w:rFonts w:hint="cs"/>
          <w:i/>
          <w:iCs/>
          <w:rtl/>
          <w:lang w:bidi="ar-EG"/>
        </w:rPr>
      </w:pPr>
      <w:r>
        <w:rPr>
          <w:i/>
          <w:iCs/>
          <w:rtl/>
          <w:lang w:bidi="ar-EG"/>
        </w:rPr>
        <w:br w:type="page"/>
      </w:r>
      <w:r w:rsidR="00655E37">
        <w:rPr>
          <w:rFonts w:hint="cs"/>
          <w:i/>
          <w:iCs/>
          <w:rtl/>
          <w:lang w:bidi="ar-EG"/>
        </w:rPr>
        <w:t xml:space="preserve">2-2-  </w:t>
      </w:r>
      <w:r w:rsidR="004D3C2E" w:rsidRPr="009912D1">
        <w:rPr>
          <w:rFonts w:hint="cs"/>
          <w:i/>
          <w:iCs/>
          <w:rtl/>
          <w:lang w:bidi="ar-EG"/>
        </w:rPr>
        <w:t xml:space="preserve">تعديلات تشريعية </w:t>
      </w:r>
      <w:r w:rsidR="004D3C2E">
        <w:rPr>
          <w:rFonts w:hint="cs"/>
          <w:i/>
          <w:iCs/>
          <w:rtl/>
          <w:lang w:bidi="ar-EG"/>
        </w:rPr>
        <w:t>وتدابير</w:t>
      </w:r>
      <w:r w:rsidR="004D3C2E" w:rsidRPr="009912D1">
        <w:rPr>
          <w:rFonts w:hint="cs"/>
          <w:i/>
          <w:iCs/>
          <w:rtl/>
          <w:lang w:bidi="ar-EG"/>
        </w:rPr>
        <w:t xml:space="preserve"> استراتيجية أخرى</w:t>
      </w:r>
    </w:p>
    <w:p w:rsidR="004D3C2E" w:rsidRPr="00655E37" w:rsidRDefault="00655E37" w:rsidP="00655E37">
      <w:pPr>
        <w:pStyle w:val="SingleTxt"/>
        <w:rPr>
          <w:rFonts w:hint="cs"/>
          <w:i/>
          <w:iCs/>
          <w:rtl/>
          <w:lang w:bidi="ar-EG"/>
        </w:rPr>
      </w:pPr>
      <w:r>
        <w:rPr>
          <w:rFonts w:hint="cs"/>
          <w:rtl/>
          <w:lang w:bidi="ar-EG"/>
        </w:rPr>
        <w:t xml:space="preserve">2-2-1-  </w:t>
      </w:r>
      <w:r w:rsidR="004D3C2E" w:rsidRPr="00655E37">
        <w:rPr>
          <w:rFonts w:hint="cs"/>
          <w:i/>
          <w:iCs/>
          <w:rtl/>
          <w:lang w:bidi="ar-EG"/>
        </w:rPr>
        <w:t>التوجيهات</w:t>
      </w:r>
    </w:p>
    <w:p w:rsidR="004D3C2E" w:rsidRDefault="004D3C2E" w:rsidP="004D3C2E">
      <w:pPr>
        <w:pStyle w:val="SingleTxt"/>
        <w:rPr>
          <w:rFonts w:hint="cs"/>
          <w:rtl/>
          <w:lang w:bidi="ar-EG"/>
        </w:rPr>
      </w:pPr>
      <w:r>
        <w:rPr>
          <w:rFonts w:hint="cs"/>
          <w:rtl/>
          <w:lang w:bidi="ar-EG"/>
        </w:rPr>
        <w:tab/>
        <w:t>في مجال العنف داخل الأسرة، تدخل مؤخراً نصان لدعم الحكم القائم في مجال مكافحة هذا النوع من العنف:</w:t>
      </w:r>
    </w:p>
    <w:p w:rsidR="004D3C2E" w:rsidRDefault="004D3C2E" w:rsidP="00655E3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rFonts w:hint="cs"/>
          <w:rtl/>
          <w:lang w:bidi="ar-EG"/>
        </w:rPr>
        <w:tab/>
        <w:t xml:space="preserve">التعميم رقم </w:t>
      </w:r>
      <w:r>
        <w:rPr>
          <w:lang w:bidi="ar-EG"/>
        </w:rPr>
        <w:t>COL 3/2006</w:t>
      </w:r>
      <w:r>
        <w:rPr>
          <w:rFonts w:hint="cs"/>
          <w:rtl/>
          <w:lang w:bidi="ar-EG"/>
        </w:rPr>
        <w:t xml:space="preserve"> المؤرخ أول آذار/مارس 2006 والصادر عن هيئة المدعين العامين لدى محاكم الاستئناف (تعريف العنف داخل الأسرة وسوء معاملة الأطفال خارج الأسرة، وقيام دوائر الشرطة والنيابة العامة بفحص وتسجيل الملفات).</w:t>
      </w:r>
    </w:p>
    <w:p w:rsidR="004D3C2E" w:rsidRDefault="004D3C2E" w:rsidP="00655E3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rFonts w:hint="cs"/>
          <w:rtl/>
          <w:lang w:bidi="ar-EG"/>
        </w:rPr>
        <w:tab/>
        <w:t xml:space="preserve">التعميم الموحد رقم </w:t>
      </w:r>
      <w:r>
        <w:rPr>
          <w:lang w:bidi="ar-EG"/>
        </w:rPr>
        <w:t>COL 4/2006</w:t>
      </w:r>
      <w:r>
        <w:rPr>
          <w:rFonts w:hint="cs"/>
          <w:rtl/>
          <w:lang w:bidi="ar-EG"/>
        </w:rPr>
        <w:t xml:space="preserve"> المؤرخ أول آذار/مارس 2006 والصادر عن وزير</w:t>
      </w:r>
      <w:r>
        <w:rPr>
          <w:rFonts w:hint="cs"/>
          <w:rtl/>
        </w:rPr>
        <w:t>ة</w:t>
      </w:r>
      <w:r>
        <w:rPr>
          <w:rFonts w:hint="cs"/>
          <w:rtl/>
          <w:lang w:bidi="ar-EG"/>
        </w:rPr>
        <w:t xml:space="preserve"> العدل وهيئة المدعين العامين والمتعلق بالسياسة الجنائية في مجال العنف بين الزوجين.</w:t>
      </w:r>
    </w:p>
    <w:p w:rsidR="004D3C2E" w:rsidRDefault="004D3C2E" w:rsidP="004D3C2E">
      <w:pPr>
        <w:pStyle w:val="SingleTxt"/>
        <w:rPr>
          <w:rFonts w:hint="cs"/>
          <w:rtl/>
          <w:lang w:bidi="ar-EG"/>
        </w:rPr>
      </w:pPr>
      <w:r>
        <w:rPr>
          <w:rFonts w:hint="cs"/>
          <w:rtl/>
          <w:lang w:bidi="ar-EG"/>
        </w:rPr>
        <w:tab/>
        <w:t xml:space="preserve">وهذان التوجيهان اللذان دخلا حيّز التنفيذ في 3 نيسان/أبريل 2006 يسعيان إلى تحقيق أربعة أهداف: </w:t>
      </w:r>
    </w:p>
    <w:p w:rsidR="004D3C2E" w:rsidRDefault="004D3C2E" w:rsidP="004D3C2E">
      <w:pPr>
        <w:pStyle w:val="SingleTxt"/>
        <w:rPr>
          <w:rFonts w:hint="cs"/>
          <w:rtl/>
          <w:lang w:bidi="ar-EG"/>
        </w:rPr>
      </w:pPr>
      <w:r>
        <w:rPr>
          <w:rFonts w:hint="cs"/>
          <w:rtl/>
          <w:lang w:bidi="ar-EG"/>
        </w:rPr>
        <w:tab/>
        <w:t>(1)</w:t>
      </w:r>
      <w:r>
        <w:rPr>
          <w:rFonts w:hint="cs"/>
          <w:rtl/>
          <w:lang w:bidi="ar-EG"/>
        </w:rPr>
        <w:tab/>
        <w:t>تحديد الخطوط الرئيسية للسياسة الجنائية في مجال العنف بين الزوجين؛</w:t>
      </w:r>
    </w:p>
    <w:p w:rsidR="004D3C2E" w:rsidRDefault="004D3C2E" w:rsidP="004D3C2E">
      <w:pPr>
        <w:pStyle w:val="SingleTxt"/>
        <w:rPr>
          <w:rFonts w:hint="cs"/>
          <w:rtl/>
          <w:lang w:bidi="ar-EG"/>
        </w:rPr>
      </w:pPr>
      <w:r>
        <w:rPr>
          <w:rFonts w:hint="cs"/>
          <w:rtl/>
          <w:lang w:bidi="ar-EG"/>
        </w:rPr>
        <w:tab/>
        <w:t>(2)</w:t>
      </w:r>
      <w:r>
        <w:rPr>
          <w:rFonts w:hint="cs"/>
          <w:rtl/>
          <w:lang w:bidi="ar-EG"/>
        </w:rPr>
        <w:tab/>
        <w:t>استحداث نظام موحد للفحص والتسجيل لدوائر الشرطة والنيابة العامة؛</w:t>
      </w:r>
    </w:p>
    <w:p w:rsidR="004D3C2E" w:rsidRDefault="004D3C2E" w:rsidP="004D3C2E">
      <w:pPr>
        <w:pStyle w:val="SingleTxt"/>
        <w:rPr>
          <w:rFonts w:hint="cs"/>
          <w:rtl/>
          <w:lang w:bidi="ar-EG"/>
        </w:rPr>
      </w:pPr>
      <w:r>
        <w:rPr>
          <w:rFonts w:hint="cs"/>
          <w:rtl/>
          <w:lang w:bidi="ar-EG"/>
        </w:rPr>
        <w:tab/>
        <w:t>(3)</w:t>
      </w:r>
      <w:r>
        <w:rPr>
          <w:rFonts w:hint="cs"/>
          <w:rtl/>
          <w:lang w:bidi="ar-EG"/>
        </w:rPr>
        <w:tab/>
        <w:t>تحديد التدابير الدنيا التي سوف تطبق في جميع الدوائر القضائية في البلد؛</w:t>
      </w:r>
    </w:p>
    <w:p w:rsidR="004D3C2E" w:rsidRDefault="004D3C2E" w:rsidP="004D3C2E">
      <w:pPr>
        <w:pStyle w:val="SingleTxt"/>
        <w:rPr>
          <w:rFonts w:hint="cs"/>
          <w:rtl/>
          <w:lang w:bidi="ar-EG"/>
        </w:rPr>
      </w:pPr>
      <w:r>
        <w:rPr>
          <w:rFonts w:hint="cs"/>
          <w:rtl/>
          <w:lang w:bidi="ar-EG"/>
        </w:rPr>
        <w:tab/>
        <w:t>(4)</w:t>
      </w:r>
      <w:r>
        <w:rPr>
          <w:rFonts w:hint="cs"/>
          <w:rtl/>
          <w:lang w:bidi="ar-EG"/>
        </w:rPr>
        <w:tab/>
        <w:t>اقتراح صكوك ومرجعيات لرجال الشرطة والقضاء من أجل دعم أعمالهم.</w:t>
      </w:r>
    </w:p>
    <w:p w:rsidR="004D3C2E" w:rsidRDefault="004D3C2E" w:rsidP="004D3C2E">
      <w:pPr>
        <w:pStyle w:val="SingleTxt"/>
        <w:rPr>
          <w:rFonts w:hint="cs"/>
          <w:rtl/>
          <w:lang w:bidi="ar-EG"/>
        </w:rPr>
      </w:pPr>
      <w:r>
        <w:rPr>
          <w:rFonts w:hint="cs"/>
          <w:rtl/>
          <w:lang w:bidi="ar-EG"/>
        </w:rPr>
        <w:tab/>
        <w:t>ومن خلال هذين التوجيهين، يبدو من الواضح أن العنف بين الزوجين والعنف داخل الأسرة لا مجال للتسامح بشأنهما.</w:t>
      </w:r>
    </w:p>
    <w:p w:rsidR="004D3C2E" w:rsidRPr="00655E37" w:rsidRDefault="00655E37" w:rsidP="00655E37">
      <w:pPr>
        <w:pStyle w:val="SingleTxt"/>
        <w:rPr>
          <w:rFonts w:hint="cs"/>
          <w:i/>
          <w:iCs/>
          <w:rtl/>
          <w:lang w:bidi="ar-EG"/>
        </w:rPr>
      </w:pPr>
      <w:r>
        <w:rPr>
          <w:rFonts w:hint="cs"/>
          <w:rtl/>
          <w:lang w:bidi="ar-EG"/>
        </w:rPr>
        <w:t xml:space="preserve">2-3-  </w:t>
      </w:r>
      <w:r w:rsidR="004D3C2E" w:rsidRPr="00655E37">
        <w:rPr>
          <w:rFonts w:hint="cs"/>
          <w:i/>
          <w:iCs/>
          <w:rtl/>
          <w:lang w:bidi="ar-EG"/>
        </w:rPr>
        <w:t xml:space="preserve">مرفق </w:t>
      </w:r>
      <w:r w:rsidR="004D3C2E" w:rsidRPr="00655E37">
        <w:rPr>
          <w:rFonts w:hint="eastAsia"/>
          <w:i/>
          <w:iCs/>
          <w:rtl/>
          <w:lang w:bidi="ar-EG"/>
        </w:rPr>
        <w:t>”العدوان الجنسي</w:t>
      </w:r>
      <w:r w:rsidR="004D3C2E" w:rsidRPr="00655E37">
        <w:rPr>
          <w:rFonts w:hint="cs"/>
          <w:i/>
          <w:iCs/>
          <w:rtl/>
          <w:lang w:bidi="ar-EG"/>
        </w:rPr>
        <w:t>“</w:t>
      </w:r>
    </w:p>
    <w:p w:rsidR="004D3C2E" w:rsidRDefault="004D3C2E" w:rsidP="004D3C2E">
      <w:pPr>
        <w:pStyle w:val="SingleTxt"/>
        <w:rPr>
          <w:rFonts w:hint="cs"/>
          <w:rtl/>
          <w:lang w:bidi="ar-EG"/>
        </w:rPr>
      </w:pPr>
      <w:r>
        <w:rPr>
          <w:rFonts w:hint="cs"/>
          <w:rtl/>
          <w:lang w:bidi="ar-EG"/>
        </w:rPr>
        <w:tab/>
        <w:t>بغية ضمان جودة التحقيقات المتعلقة بوقائع الاغتصاب أو هتك العرض، مع الحد في الوقت نفسه من الاضطراب النفسي الناجم عن العدوان الجنسي ومن ثم تجنب وقوع ضحايا آخرين، تم إنشاء مرفق للعدوان الجنسي منذ عام 1989. ويكون هذا المرفق مجهزا أو غير مجهز. والمرفق المجهز يحتوي على التعليمات والأجهزة الطبية من أجل الأطباء، والتعليمات والتوصيات من أجل رجال الشرطة، فضلاً عن المعلومات الموجهة إلى الضحية.</w:t>
      </w:r>
    </w:p>
    <w:p w:rsidR="004D3C2E" w:rsidRDefault="004D3C2E" w:rsidP="004D3C2E">
      <w:pPr>
        <w:pStyle w:val="SingleTxt"/>
        <w:rPr>
          <w:rFonts w:hint="cs"/>
          <w:rtl/>
          <w:lang w:bidi="ar-EG"/>
        </w:rPr>
      </w:pPr>
      <w:r>
        <w:rPr>
          <w:rFonts w:hint="cs"/>
          <w:rtl/>
          <w:lang w:bidi="ar-EG"/>
        </w:rPr>
        <w:tab/>
        <w:t xml:space="preserve">وفي أعقاب تقييم التوجيه الوزاري المتعلق بمرفق العدوان الجنسي المؤرخ 15 كانون الأول/ديسمبر 1998، تم اعتماد توجيه جديد بتاريخ 15 أيلول/سبتمبر 2005 ودخل حيّز التنفيذ في 1 تشرين الأول/أكتوبر 2005 (التعميم </w:t>
      </w:r>
      <w:r>
        <w:rPr>
          <w:lang w:bidi="ar-EG"/>
        </w:rPr>
        <w:t>COL 10/2005</w:t>
      </w:r>
      <w:r>
        <w:rPr>
          <w:rFonts w:hint="cs"/>
          <w:rtl/>
          <w:lang w:bidi="ar-EG"/>
        </w:rPr>
        <w:t xml:space="preserve"> الصادر عن المدعين العامين لدى محكمة الاستئناف والمتعلقة بمرفق العدوان الجنسي).</w:t>
      </w:r>
    </w:p>
    <w:p w:rsidR="004D3C2E" w:rsidRPr="009912D1" w:rsidRDefault="00655E37" w:rsidP="00655E37">
      <w:pPr>
        <w:pStyle w:val="SingleTxt"/>
        <w:rPr>
          <w:rFonts w:hint="cs"/>
          <w:i/>
          <w:iCs/>
          <w:rtl/>
          <w:lang w:bidi="ar-EG"/>
        </w:rPr>
      </w:pPr>
      <w:r>
        <w:rPr>
          <w:rFonts w:hint="cs"/>
          <w:rtl/>
          <w:lang w:bidi="ar-EG"/>
        </w:rPr>
        <w:t xml:space="preserve">2-4-  </w:t>
      </w:r>
      <w:r w:rsidR="004D3C2E" w:rsidRPr="009912D1">
        <w:rPr>
          <w:rFonts w:hint="cs"/>
          <w:i/>
          <w:iCs/>
          <w:rtl/>
          <w:lang w:bidi="ar-EG"/>
        </w:rPr>
        <w:t xml:space="preserve">مبادرات أخرى تباشرها </w:t>
      </w:r>
      <w:r w:rsidR="004D3C2E">
        <w:rPr>
          <w:rFonts w:hint="cs"/>
          <w:i/>
          <w:iCs/>
          <w:rtl/>
          <w:lang w:bidi="ar-EG"/>
        </w:rPr>
        <w:t>الدائرة</w:t>
      </w:r>
      <w:r w:rsidR="004D3C2E" w:rsidRPr="009912D1">
        <w:rPr>
          <w:rFonts w:hint="cs"/>
          <w:i/>
          <w:iCs/>
          <w:rtl/>
          <w:lang w:bidi="ar-EG"/>
        </w:rPr>
        <w:t xml:space="preserve"> العامة الاتحادية للقضاء</w:t>
      </w:r>
    </w:p>
    <w:p w:rsidR="00655E37" w:rsidRDefault="004D3C2E" w:rsidP="004D3C2E">
      <w:pPr>
        <w:pStyle w:val="SingleTxt"/>
        <w:rPr>
          <w:rFonts w:hint="cs"/>
          <w:rtl/>
          <w:lang w:bidi="ar-EG"/>
        </w:rPr>
      </w:pPr>
      <w:r>
        <w:rPr>
          <w:rFonts w:hint="cs"/>
          <w:b/>
          <w:bCs/>
          <w:rtl/>
          <w:lang w:bidi="ar-EG"/>
        </w:rPr>
        <w:tab/>
      </w:r>
      <w:r w:rsidRPr="0071521D">
        <w:rPr>
          <w:rFonts w:hint="cs"/>
          <w:rtl/>
          <w:lang w:bidi="ar-EG"/>
        </w:rPr>
        <w:t xml:space="preserve">يقضي القانون المؤرخ 28 كانون الثاني/يناير 2003 المكمل للمادة 410 من </w:t>
      </w:r>
      <w:r>
        <w:rPr>
          <w:rFonts w:hint="cs"/>
          <w:rtl/>
          <w:lang w:bidi="ar-EG"/>
        </w:rPr>
        <w:t>ال</w:t>
      </w:r>
      <w:r w:rsidRPr="0071521D">
        <w:rPr>
          <w:rFonts w:hint="cs"/>
          <w:rtl/>
          <w:lang w:bidi="ar-EG"/>
        </w:rPr>
        <w:t xml:space="preserve">قانون </w:t>
      </w:r>
      <w:r>
        <w:rPr>
          <w:rFonts w:hint="cs"/>
          <w:rtl/>
          <w:lang w:bidi="ar-EG"/>
        </w:rPr>
        <w:t>الجنائي،</w:t>
      </w:r>
      <w:r w:rsidRPr="0071521D">
        <w:rPr>
          <w:rFonts w:hint="cs"/>
          <w:rtl/>
          <w:lang w:bidi="ar-EG"/>
        </w:rPr>
        <w:t xml:space="preserve"> بتخصيص سكن </w:t>
      </w:r>
      <w:r>
        <w:rPr>
          <w:rFonts w:hint="cs"/>
          <w:rtl/>
          <w:lang w:bidi="ar-EG"/>
        </w:rPr>
        <w:t>الأسرة</w:t>
      </w:r>
      <w:r w:rsidRPr="0071521D">
        <w:rPr>
          <w:rFonts w:hint="cs"/>
          <w:rtl/>
          <w:lang w:bidi="ar-EG"/>
        </w:rPr>
        <w:t xml:space="preserve"> للزوج أو المسكن القانوني الذي </w:t>
      </w:r>
      <w:r>
        <w:rPr>
          <w:rFonts w:hint="cs"/>
          <w:rtl/>
          <w:lang w:bidi="ar-EG"/>
        </w:rPr>
        <w:t>يقع</w:t>
      </w:r>
      <w:r w:rsidRPr="0071521D">
        <w:rPr>
          <w:rFonts w:hint="cs"/>
          <w:rtl/>
          <w:lang w:bidi="ar-EG"/>
        </w:rPr>
        <w:t xml:space="preserve"> ضحية أفعال العنف</w:t>
      </w:r>
      <w:r>
        <w:rPr>
          <w:rFonts w:hint="cs"/>
          <w:rtl/>
          <w:lang w:bidi="ar-EG"/>
        </w:rPr>
        <w:t xml:space="preserve"> البدني من قرينه. وعمل التشريع نفسه، في جملة أمور، على تغليظ العقوبات في حالة العنف البدني بين القرينين، ويرسي </w:t>
      </w:r>
      <w:r>
        <w:rPr>
          <w:rFonts w:hint="eastAsia"/>
          <w:rtl/>
          <w:lang w:bidi="ar-EG"/>
        </w:rPr>
        <w:t>”أساسا</w:t>
      </w:r>
      <w:r>
        <w:rPr>
          <w:rFonts w:hint="cs"/>
          <w:rtl/>
          <w:lang w:bidi="ar-EG"/>
        </w:rPr>
        <w:t xml:space="preserve">“ قانونيا </w:t>
      </w:r>
      <w:r>
        <w:rPr>
          <w:rFonts w:hint="eastAsia"/>
          <w:rtl/>
          <w:lang w:bidi="ar-EG"/>
        </w:rPr>
        <w:t>”</w:t>
      </w:r>
      <w:r>
        <w:rPr>
          <w:rFonts w:hint="cs"/>
          <w:rtl/>
          <w:lang w:bidi="ar-EG"/>
        </w:rPr>
        <w:t xml:space="preserve">للإبعاد </w:t>
      </w:r>
      <w:r>
        <w:rPr>
          <w:rFonts w:hint="eastAsia"/>
          <w:rtl/>
          <w:lang w:bidi="ar-EG"/>
        </w:rPr>
        <w:t>المؤقت</w:t>
      </w:r>
      <w:r>
        <w:rPr>
          <w:rFonts w:hint="cs"/>
          <w:rtl/>
          <w:lang w:bidi="ar-EG"/>
        </w:rPr>
        <w:t xml:space="preserve">“ لمرتكبي العنف بين القرينين. </w:t>
      </w:r>
    </w:p>
    <w:p w:rsidR="004D3C2E" w:rsidRDefault="00655E37" w:rsidP="004D3C2E">
      <w:pPr>
        <w:pStyle w:val="SingleTxt"/>
        <w:rPr>
          <w:rFonts w:hint="cs"/>
          <w:rtl/>
          <w:lang w:bidi="ar-EG"/>
        </w:rPr>
      </w:pPr>
      <w:r>
        <w:rPr>
          <w:rFonts w:hint="cs"/>
          <w:rtl/>
          <w:lang w:bidi="ar-EG"/>
        </w:rPr>
        <w:tab/>
      </w:r>
      <w:r w:rsidR="004D3C2E">
        <w:rPr>
          <w:rFonts w:hint="cs"/>
          <w:rtl/>
          <w:lang w:bidi="ar-EG"/>
        </w:rPr>
        <w:t>وفي عام 2006، كان هذا القانون موضع تقييم من جانب المعهد المعني بالمساواة بين المرأة والرجل في إطار خطة العمل الوطنية لمكافحة العنف المنزلي.</w:t>
      </w:r>
    </w:p>
    <w:p w:rsidR="004D3C2E" w:rsidRDefault="004D3C2E" w:rsidP="004D3C2E">
      <w:pPr>
        <w:pStyle w:val="SingleTxt"/>
        <w:rPr>
          <w:rFonts w:hint="cs"/>
          <w:rtl/>
          <w:lang w:bidi="ar-EG"/>
        </w:rPr>
      </w:pPr>
      <w:r>
        <w:rPr>
          <w:rFonts w:hint="cs"/>
          <w:rtl/>
          <w:lang w:bidi="ar-EG"/>
        </w:rPr>
        <w:tab/>
        <w:t>ومنذ عدة سنوات مضت، اتخذت مبادرات في مجال علاج مرتكب أفعال العنف المنزلي في إطار التدابير القضائية البديلة. وقامت وزيرة العدل بتمويل مشاريع تضع علاجاً لمرتكب أعمال العنف. ويتعلق الأمر بالعمل مع مرتكب العنف من أجل إذكاء الوعي لديه بخطورة أفعاله ومساعدته على الاهتداء لحلول مختلفة للتعامل مع الخلافات.</w:t>
      </w:r>
    </w:p>
    <w:p w:rsidR="004D3C2E" w:rsidRDefault="004D3C2E" w:rsidP="004D3C2E">
      <w:pPr>
        <w:pStyle w:val="SingleTxt"/>
        <w:rPr>
          <w:rFonts w:hint="cs"/>
          <w:rtl/>
          <w:lang w:bidi="ar-EG"/>
        </w:rPr>
      </w:pPr>
      <w:r>
        <w:rPr>
          <w:rFonts w:hint="cs"/>
          <w:rtl/>
          <w:lang w:bidi="ar-EG"/>
        </w:rPr>
        <w:tab/>
        <w:t>وقامت السلطة الاتحادية بتمويل مشروعات رائدة لمرافقة مرتكبي العنف الذين لم</w:t>
      </w:r>
      <w:r>
        <w:rPr>
          <w:rFonts w:hint="eastAsia"/>
          <w:rtl/>
          <w:lang w:bidi="ar-EG"/>
        </w:rPr>
        <w:t> </w:t>
      </w:r>
      <w:r>
        <w:rPr>
          <w:rFonts w:hint="cs"/>
          <w:rtl/>
          <w:lang w:bidi="ar-EG"/>
        </w:rPr>
        <w:t>يقدموا إلى القضاء في أعوام 2004 و 2005 و 2006. وأجرى المعهد المعني بالمساواة بين المرأة والرجل تقييماً لهذه المشروعات الرائدة.</w:t>
      </w:r>
    </w:p>
    <w:p w:rsidR="004D3C2E" w:rsidRPr="009912D1" w:rsidRDefault="00655E37" w:rsidP="00655E37">
      <w:pPr>
        <w:pStyle w:val="SingleTxt"/>
        <w:rPr>
          <w:rFonts w:hint="cs"/>
          <w:i/>
          <w:iCs/>
          <w:rtl/>
          <w:lang w:bidi="ar-EG"/>
        </w:rPr>
      </w:pPr>
      <w:r>
        <w:rPr>
          <w:rFonts w:hint="cs"/>
          <w:i/>
          <w:iCs/>
          <w:rtl/>
          <w:lang w:bidi="ar-EG"/>
        </w:rPr>
        <w:t xml:space="preserve">2-5  </w:t>
      </w:r>
      <w:r w:rsidR="004D3C2E" w:rsidRPr="009912D1">
        <w:rPr>
          <w:rFonts w:hint="cs"/>
          <w:i/>
          <w:iCs/>
          <w:rtl/>
          <w:lang w:bidi="ar-EG"/>
        </w:rPr>
        <w:t xml:space="preserve">سياسة مكافحة العنف </w:t>
      </w:r>
      <w:r w:rsidR="004D3C2E">
        <w:rPr>
          <w:rFonts w:hint="cs"/>
          <w:i/>
          <w:iCs/>
          <w:rtl/>
          <w:lang w:bidi="ar-EG"/>
        </w:rPr>
        <w:t xml:space="preserve">المنفذة </w:t>
      </w:r>
      <w:r w:rsidR="004D3C2E" w:rsidRPr="009912D1">
        <w:rPr>
          <w:rFonts w:hint="cs"/>
          <w:i/>
          <w:iCs/>
          <w:rtl/>
          <w:lang w:bidi="ar-EG"/>
        </w:rPr>
        <w:t>في وزارة الدفاع</w:t>
      </w:r>
    </w:p>
    <w:p w:rsidR="004D3C2E" w:rsidRDefault="004D3C2E" w:rsidP="004D3C2E">
      <w:pPr>
        <w:pStyle w:val="SingleTxt"/>
        <w:rPr>
          <w:rFonts w:hint="cs"/>
          <w:rtl/>
          <w:lang w:bidi="ar-EG"/>
        </w:rPr>
      </w:pPr>
      <w:r>
        <w:rPr>
          <w:rFonts w:hint="cs"/>
          <w:rtl/>
          <w:lang w:bidi="ar-EG"/>
        </w:rPr>
        <w:tab/>
        <w:t>في نيسان/أبريل 2004، قامت وزارة الدفاع رسمياً بنشر سياستها لمكافحة العنف والتحرش. وتؤكد هذه السياسة على الوقاية وشجعت منذ ذلك الوقت إنشاء جهاز حقيقي للوقاية. وتنص هذه السياسة أيضاً على إجراء للشكوى والجزاءات. وإلى جانب ذلك فإن تحديد إجراء غير رسمي يحظى باهتمام خاص. وفي إطار هذه السياسة أنشئت دائرة للمراقبة والوساطة بدأت عملها منذ عام 2003. ولهذه الدائرة صلاحيات ممتدة، وتعمل على حشد شبكة من الوسطاء. وتقوم سنوياً بنشر تقرير وتحليل للشكاوى الواردة، وهي وثائق تشكل أساساً لعمليات تكييف محتملة عندما يتضح أن ذلك ضروري.</w:t>
      </w:r>
    </w:p>
    <w:p w:rsidR="004D3C2E" w:rsidRDefault="004D3C2E" w:rsidP="004D3C2E">
      <w:pPr>
        <w:pStyle w:val="SingleTxt"/>
        <w:rPr>
          <w:rFonts w:hint="cs"/>
          <w:rtl/>
          <w:lang w:bidi="ar-EG"/>
        </w:rPr>
      </w:pPr>
      <w:r>
        <w:rPr>
          <w:rFonts w:hint="cs"/>
          <w:rtl/>
          <w:lang w:bidi="ar-EG"/>
        </w:rPr>
        <w:tab/>
        <w:t>ويتم أيضاً التطرق إلى سياسة مكافحة العنف والتحرش أثناء التدريب الأساسي للموظفين وفي التدريب السنوي لجميع الموظفين.</w:t>
      </w:r>
    </w:p>
    <w:p w:rsidR="004D3C2E" w:rsidRPr="009912D1" w:rsidRDefault="004D3C2E" w:rsidP="004D3C2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Pr="009912D1">
        <w:rPr>
          <w:rFonts w:hint="cs"/>
          <w:rtl/>
        </w:rPr>
        <w:t>3 -</w:t>
      </w:r>
      <w:r w:rsidRPr="009912D1">
        <w:rPr>
          <w:rFonts w:hint="cs"/>
          <w:rtl/>
        </w:rPr>
        <w:tab/>
        <w:t>طالبات اللجوء</w:t>
      </w:r>
    </w:p>
    <w:p w:rsidR="004D3C2E" w:rsidRPr="00F37023" w:rsidRDefault="00655E37" w:rsidP="00655E37">
      <w:pPr>
        <w:pStyle w:val="SingleTxt"/>
        <w:rPr>
          <w:rFonts w:hint="cs"/>
          <w:i/>
          <w:iCs/>
          <w:rtl/>
          <w:lang w:bidi="ar-EG"/>
        </w:rPr>
      </w:pPr>
      <w:r>
        <w:rPr>
          <w:rFonts w:hint="cs"/>
          <w:i/>
          <w:iCs/>
          <w:rtl/>
          <w:lang w:bidi="ar-EG"/>
        </w:rPr>
        <w:t xml:space="preserve">3-1-  </w:t>
      </w:r>
      <w:r w:rsidR="004D3C2E" w:rsidRPr="00F37023">
        <w:rPr>
          <w:rFonts w:hint="cs"/>
          <w:i/>
          <w:iCs/>
          <w:rtl/>
          <w:lang w:bidi="ar-EG"/>
        </w:rPr>
        <w:t xml:space="preserve">الأحكام القانونية والعملية المطبقة </w:t>
      </w:r>
      <w:r w:rsidR="004D3C2E">
        <w:rPr>
          <w:rFonts w:hint="cs"/>
          <w:i/>
          <w:iCs/>
          <w:rtl/>
          <w:lang w:bidi="ar-EG"/>
        </w:rPr>
        <w:t xml:space="preserve">على </w:t>
      </w:r>
      <w:r w:rsidR="004D3C2E" w:rsidRPr="00F37023">
        <w:rPr>
          <w:rFonts w:hint="cs"/>
          <w:i/>
          <w:iCs/>
          <w:rtl/>
          <w:lang w:bidi="ar-EG"/>
        </w:rPr>
        <w:t>طالبات اللجوء</w:t>
      </w:r>
    </w:p>
    <w:p w:rsidR="004D3C2E" w:rsidRDefault="004D3C2E" w:rsidP="004D3C2E">
      <w:pPr>
        <w:pStyle w:val="SingleTxt"/>
        <w:rPr>
          <w:rFonts w:hint="cs"/>
          <w:rtl/>
          <w:lang w:bidi="ar-EG"/>
        </w:rPr>
      </w:pPr>
      <w:r>
        <w:rPr>
          <w:rFonts w:hint="cs"/>
          <w:rtl/>
          <w:lang w:bidi="ar-EG"/>
        </w:rPr>
        <w:tab/>
        <w:t>ينص القانون المؤرخ 15 أيلول/سبتمبر 2006 المعدل للقانون المؤرخ 15 كانون الأول/ديسمبر 1980 بشأن وصول الأجانب إلى البلد، وإقامتهم، واستقرارهم، وإبعادهم (من المقرر أيضا أن ينشر في الجريدة الرسمية) على أن أفعال الاضطهاد بالمعنى الوارد في الفقرة</w:t>
      </w:r>
      <w:r>
        <w:rPr>
          <w:rFonts w:hint="eastAsia"/>
          <w:rtl/>
          <w:lang w:bidi="ar-EG"/>
        </w:rPr>
        <w:t> </w:t>
      </w:r>
      <w:r>
        <w:rPr>
          <w:rFonts w:hint="cs"/>
          <w:rtl/>
          <w:lang w:bidi="ar-EG"/>
        </w:rPr>
        <w:t>1 من اتفاقية جنيف يمكن أن تشمل أساسا أشكال العنف البدني أو النفسي، بما في ذلك أشكال العنف الجنسي، أو أن يكون أفعالا موجهة ضد الأفراد لاعتبارات تتعلق بجنسهم أو ضد الأطفال. ويقضي هذا القانون الجديد أيضاً بأن تؤخذ فكرة الفئة الاجتماعية في الاعتبار عند تقدير دوافع الاضطهاد.</w:t>
      </w:r>
    </w:p>
    <w:p w:rsidR="004D3C2E" w:rsidRDefault="004D3C2E" w:rsidP="004D3C2E">
      <w:pPr>
        <w:pStyle w:val="SingleTxt"/>
        <w:rPr>
          <w:rFonts w:hint="cs"/>
          <w:rtl/>
          <w:lang w:bidi="ar-EG"/>
        </w:rPr>
      </w:pPr>
      <w:r>
        <w:rPr>
          <w:rFonts w:hint="cs"/>
          <w:rtl/>
          <w:lang w:bidi="ar-EG"/>
        </w:rPr>
        <w:tab/>
        <w:t>وسلطات اللجوء البلجيكية تعير دائماً اهتماماً لأعمال الاضطهاد القائمة على أساس الانتماء الجنسي، على الرغم من أن هذه الأعمال لا تؤدي تلقائيا إلى الاعتراف بصفة اللاجئ. وما من سياسة محددة تطبق بصفة منتظمة على المرشحين للجوء.</w:t>
      </w:r>
    </w:p>
    <w:p w:rsidR="004D3C2E" w:rsidRDefault="004D3C2E" w:rsidP="004D3C2E">
      <w:pPr>
        <w:pStyle w:val="SingleTxt"/>
        <w:rPr>
          <w:rFonts w:hint="cs"/>
          <w:rtl/>
          <w:lang w:bidi="ar-EG"/>
        </w:rPr>
      </w:pPr>
      <w:r>
        <w:rPr>
          <w:rFonts w:hint="cs"/>
          <w:rtl/>
          <w:lang w:bidi="ar-EG"/>
        </w:rPr>
        <w:tab/>
        <w:t>ومع ذلك، فإنه وفقاً للفقرة 2 من المادة 8 من الأمر الملكي المؤرخ 11 تموز/يوليه 2003</w:t>
      </w:r>
      <w:r w:rsidRPr="003C76FB">
        <w:rPr>
          <w:vertAlign w:val="superscript"/>
          <w:rtl/>
          <w:lang w:bidi="ar-EG"/>
        </w:rPr>
        <w:t>(</w:t>
      </w:r>
      <w:r>
        <w:rPr>
          <w:rStyle w:val="FootnoteReference"/>
          <w:rtl/>
        </w:rPr>
        <w:footnoteReference w:id="11"/>
      </w:r>
      <w:r w:rsidRPr="003C76FB">
        <w:rPr>
          <w:vertAlign w:val="superscript"/>
          <w:rtl/>
          <w:lang w:bidi="ar-EG"/>
        </w:rPr>
        <w:t>)</w:t>
      </w:r>
      <w:r>
        <w:rPr>
          <w:rFonts w:hint="cs"/>
          <w:rtl/>
          <w:lang w:bidi="ar-EG"/>
        </w:rPr>
        <w:t>، عندما تظهر مؤشرات تدل على أعمال اضطهاد تتعلق بالجنس، يقوم الموظف بالدائرة المختصة في مكتب الأجانب بالتحقق من أن الطالب ليس لديه اعتراض على أن يستمع إليه شخص من جنس آخر غير جنسه، وفي هذه الحالة يستجاب لطلبه. وبموجب المادة 11 من الأمر ذاته، فإن موظف الدائرة المختصة يأخذ أيضاً في اعتباره الظروف النوعية التي تتعلق بطالب اللجوء، وبصفة خاصة انتماؤه إلى جماعة ضعيفة.</w:t>
      </w:r>
    </w:p>
    <w:p w:rsidR="004D3C2E" w:rsidRDefault="004D3C2E" w:rsidP="004D3C2E">
      <w:pPr>
        <w:pStyle w:val="SingleTxt"/>
        <w:rPr>
          <w:rFonts w:hint="cs"/>
          <w:rtl/>
          <w:lang w:bidi="ar-EG"/>
        </w:rPr>
      </w:pPr>
      <w:r>
        <w:rPr>
          <w:rFonts w:hint="cs"/>
          <w:rtl/>
          <w:lang w:bidi="ar-EG"/>
        </w:rPr>
        <w:tab/>
        <w:t>وبموجب المادة 13 من الأمر ذاته، يجري تدريب موظفي مكتب الأجانب المؤهلين للنظر في طلبات اللجوء على الاستماع إلى طالبي اللجوء ومخاطبة الثقافات المختلفة، وكذلك توفير تدريب أساسي لهم حول الاحتياجات النوعية للجماعات الضعيفة. وهناك أحكام مماثلة مقررة بالنسبة لموظفي المفوضية العامة للاجئين وعديمي الجنسية بموجب الأمر الملكي المؤرخ 11 تموز/يوليه 2003</w:t>
      </w:r>
      <w:r w:rsidRPr="003C76FB">
        <w:rPr>
          <w:vertAlign w:val="superscript"/>
          <w:rtl/>
          <w:lang w:bidi="ar-EG"/>
        </w:rPr>
        <w:t>(</w:t>
      </w:r>
      <w:r>
        <w:rPr>
          <w:rStyle w:val="FootnoteReference"/>
          <w:rtl/>
        </w:rPr>
        <w:footnoteReference w:id="12"/>
      </w:r>
      <w:r w:rsidRPr="003C76FB">
        <w:rPr>
          <w:vertAlign w:val="superscript"/>
          <w:rtl/>
          <w:lang w:bidi="ar-EG"/>
        </w:rPr>
        <w:t>)</w:t>
      </w:r>
      <w:r>
        <w:rPr>
          <w:rFonts w:hint="cs"/>
          <w:rtl/>
          <w:lang w:bidi="ar-EG"/>
        </w:rPr>
        <w:t>.</w:t>
      </w:r>
    </w:p>
    <w:p w:rsidR="004D3C2E" w:rsidRPr="00276871" w:rsidRDefault="004D3C2E" w:rsidP="00655E37">
      <w:pPr>
        <w:pStyle w:val="SingleTxt"/>
        <w:rPr>
          <w:rFonts w:hint="cs"/>
          <w:rtl/>
          <w:lang w:bidi="ar-EG"/>
        </w:rPr>
      </w:pPr>
      <w:r>
        <w:rPr>
          <w:rFonts w:hint="cs"/>
          <w:rtl/>
        </w:rPr>
        <w:tab/>
      </w:r>
      <w:r w:rsidRPr="00276871">
        <w:rPr>
          <w:rFonts w:hint="cs"/>
          <w:rtl/>
          <w:lang w:bidi="ar-EG"/>
        </w:rPr>
        <w:t xml:space="preserve">تم تعيين منسقتين في مكتب الأجانب (واحدة لكل جماعة لغوية) لفحص طلبات اللجوء ذات الصلة بمشكلة </w:t>
      </w:r>
      <w:r>
        <w:rPr>
          <w:rFonts w:hint="cs"/>
          <w:rtl/>
          <w:lang w:bidi="ar-EG"/>
        </w:rPr>
        <w:t>الجنسانية</w:t>
      </w:r>
      <w:r w:rsidRPr="00276871">
        <w:rPr>
          <w:rFonts w:hint="cs"/>
          <w:rtl/>
          <w:lang w:bidi="ar-EG"/>
        </w:rPr>
        <w:t xml:space="preserve"> وإبلاغ هذا الموضوع إلى الموظفين الآخرين في مكتب الأجانب. وهاتان المنسقتان تلقتا أيضاً تدريباً يتعلق بالجوانب الطبية والاجتماعية والثقافية </w:t>
      </w:r>
      <w:r>
        <w:rPr>
          <w:rFonts w:hint="cs"/>
          <w:rtl/>
          <w:lang w:bidi="ar-EG"/>
        </w:rPr>
        <w:t xml:space="preserve">لختان الإناث </w:t>
      </w:r>
      <w:r w:rsidRPr="00276871">
        <w:rPr>
          <w:rFonts w:hint="cs"/>
          <w:rtl/>
          <w:lang w:bidi="ar-EG"/>
        </w:rPr>
        <w:t xml:space="preserve">كفلته رئيسة ومؤسسة </w:t>
      </w:r>
      <w:r w:rsidRPr="00276871">
        <w:rPr>
          <w:rFonts w:hint="eastAsia"/>
          <w:rtl/>
          <w:lang w:bidi="ar-EG"/>
        </w:rPr>
        <w:t>”</w:t>
      </w:r>
      <w:r>
        <w:rPr>
          <w:rFonts w:hint="cs"/>
          <w:rtl/>
          <w:lang w:bidi="ar-EG"/>
        </w:rPr>
        <w:t>تجمع الرجال والنساء من أجل إبطال ختان الإناث</w:t>
      </w:r>
      <w:r w:rsidRPr="00276871">
        <w:rPr>
          <w:rFonts w:hint="cs"/>
          <w:rtl/>
          <w:lang w:bidi="ar-EG"/>
        </w:rPr>
        <w:t>“، وتم تنظيمه في ال</w:t>
      </w:r>
      <w:r>
        <w:rPr>
          <w:rFonts w:hint="cs"/>
          <w:rtl/>
          <w:lang w:bidi="ar-EG"/>
        </w:rPr>
        <w:t>مفوضية</w:t>
      </w:r>
      <w:r w:rsidRPr="00276871">
        <w:rPr>
          <w:rFonts w:hint="cs"/>
          <w:rtl/>
          <w:lang w:bidi="ar-EG"/>
        </w:rPr>
        <w:t xml:space="preserve"> العامة للاجئين وعديمي</w:t>
      </w:r>
      <w:r>
        <w:rPr>
          <w:rFonts w:hint="cs"/>
          <w:rtl/>
          <w:lang w:bidi="ar-EG"/>
        </w:rPr>
        <w:t xml:space="preserve"> </w:t>
      </w:r>
      <w:r w:rsidRPr="00276871">
        <w:rPr>
          <w:rFonts w:hint="cs"/>
          <w:rtl/>
          <w:lang w:bidi="ar-EG"/>
        </w:rPr>
        <w:t xml:space="preserve">الجنسية، وحضرتا </w:t>
      </w:r>
      <w:r>
        <w:rPr>
          <w:rFonts w:hint="cs"/>
          <w:rtl/>
          <w:lang w:bidi="ar-EG"/>
        </w:rPr>
        <w:t xml:space="preserve">أيضا </w:t>
      </w:r>
      <w:r w:rsidRPr="00276871">
        <w:rPr>
          <w:rFonts w:hint="cs"/>
          <w:rtl/>
          <w:lang w:bidi="ar-EG"/>
        </w:rPr>
        <w:t xml:space="preserve">عرضاً بشأن جرائم الشرف. وتشارك هاتان المنسقتان أيضاً في مؤتمرات تتعلق بالموضوع الذي تعالجانه. وتم تعيين منسقة جديدة لمشكلة </w:t>
      </w:r>
      <w:r>
        <w:rPr>
          <w:rFonts w:hint="cs"/>
          <w:rtl/>
          <w:lang w:bidi="ar-EG"/>
        </w:rPr>
        <w:t>الجنسانية</w:t>
      </w:r>
      <w:r w:rsidRPr="00276871">
        <w:rPr>
          <w:rFonts w:hint="cs"/>
          <w:rtl/>
          <w:lang w:bidi="ar-EG"/>
        </w:rPr>
        <w:t xml:space="preserve"> يوم 18 تموز/يوليه 2005 في </w:t>
      </w:r>
      <w:r>
        <w:rPr>
          <w:rFonts w:hint="cs"/>
          <w:rtl/>
          <w:lang w:bidi="ar-EG"/>
        </w:rPr>
        <w:t>المفوضية</w:t>
      </w:r>
      <w:r w:rsidRPr="00276871">
        <w:rPr>
          <w:rFonts w:hint="cs"/>
          <w:rtl/>
          <w:lang w:bidi="ar-EG"/>
        </w:rPr>
        <w:t xml:space="preserve"> العامة للاجئين وعديمي الجنسية. </w:t>
      </w:r>
      <w:r>
        <w:rPr>
          <w:rFonts w:hint="cs"/>
          <w:rtl/>
          <w:lang w:bidi="ar-EG"/>
        </w:rPr>
        <w:t>وهي مكلفة أساسا بتحديد و</w:t>
      </w:r>
      <w:r w:rsidRPr="00276871">
        <w:rPr>
          <w:rFonts w:hint="cs"/>
          <w:rtl/>
          <w:lang w:bidi="ar-EG"/>
        </w:rPr>
        <w:t xml:space="preserve">متابعة توجيهات المعالجة النوعية للملفات المتعلقة بمشكلة </w:t>
      </w:r>
      <w:r>
        <w:rPr>
          <w:rFonts w:hint="cs"/>
          <w:rtl/>
          <w:lang w:bidi="ar-EG"/>
        </w:rPr>
        <w:t>الجنسانية</w:t>
      </w:r>
      <w:r w:rsidRPr="00276871">
        <w:rPr>
          <w:rFonts w:hint="cs"/>
          <w:rtl/>
          <w:lang w:bidi="ar-EG"/>
        </w:rPr>
        <w:t>.</w:t>
      </w:r>
    </w:p>
    <w:p w:rsidR="004D3C2E" w:rsidRPr="003C76FB" w:rsidRDefault="004D3C2E" w:rsidP="004D3C2E">
      <w:pPr>
        <w:pStyle w:val="SingleTxt"/>
        <w:rPr>
          <w:rFonts w:hint="cs"/>
          <w:rtl/>
          <w:lang w:bidi="ar-EG"/>
        </w:rPr>
      </w:pPr>
      <w:r>
        <w:rPr>
          <w:rFonts w:hint="cs"/>
          <w:rtl/>
          <w:lang w:bidi="ar-EG"/>
        </w:rPr>
        <w:tab/>
        <w:t xml:space="preserve">ويتلقى الوكلاء الجدد المكلفون بالملفات، في المفوضية العامة للاجئين وعديمي الجنسية، </w:t>
      </w:r>
      <w:r w:rsidRPr="00C34BF5">
        <w:rPr>
          <w:rFonts w:hint="cs"/>
          <w:i/>
          <w:iCs/>
          <w:rtl/>
          <w:lang w:bidi="ar-EG"/>
        </w:rPr>
        <w:t>تدريباً عاماً</w:t>
      </w:r>
      <w:r>
        <w:rPr>
          <w:rFonts w:hint="cs"/>
          <w:rtl/>
          <w:lang w:bidi="ar-EG"/>
        </w:rPr>
        <w:t xml:space="preserve"> يتضمن على الأقل دراسة حالة تتعلق باضطهاد بالجنس. وتم في هذا التدريب إدراج تدريب نوعي يتعلق بالجنسانية. ويتلقى الموظفون والمترجمون الفوريون الجدد بمكتب الأجانب تدريبا عاماً أيضاً.</w:t>
      </w:r>
    </w:p>
    <w:p w:rsidR="004D3C2E" w:rsidRDefault="004D3C2E" w:rsidP="004D3C2E">
      <w:pPr>
        <w:pStyle w:val="SingleTxt"/>
        <w:rPr>
          <w:rFonts w:hint="cs"/>
          <w:rtl/>
          <w:lang w:bidi="ar-EG"/>
        </w:rPr>
      </w:pPr>
      <w:r>
        <w:rPr>
          <w:rFonts w:hint="cs"/>
          <w:rtl/>
          <w:lang w:bidi="ar-EG"/>
        </w:rPr>
        <w:tab/>
        <w:t xml:space="preserve">ويوزع على طالبات اللجوء كتيب معنون </w:t>
      </w:r>
      <w:r>
        <w:rPr>
          <w:rFonts w:hint="eastAsia"/>
          <w:rtl/>
          <w:lang w:bidi="ar-EG"/>
        </w:rPr>
        <w:t>”طلب اللجوء إلى بلجيكا</w:t>
      </w:r>
      <w:r>
        <w:rPr>
          <w:rFonts w:hint="cs"/>
          <w:rtl/>
          <w:lang w:bidi="ar-EG"/>
        </w:rPr>
        <w:t xml:space="preserve">“ عند بدء الإجراءات في مكتب الأجانب، وفي الرابطات غير الهادفة إلى الربح، والمنظمات غير الحكومية، وكذلك في أي هيئة معنية بمشكلة اللجوء. وهذا الكتيب متاح بعدة لغات، وعلى موقع مكتب الأجانب على الإنترنت </w:t>
      </w:r>
      <w:r>
        <w:rPr>
          <w:rFonts w:hint="eastAsia"/>
          <w:rtl/>
          <w:lang w:bidi="ar-EG"/>
        </w:rPr>
        <w:t>”</w:t>
      </w:r>
      <w:r>
        <w:rPr>
          <w:lang w:bidi="ar-EG"/>
        </w:rPr>
        <w:t>www.dofi.fgov.be</w:t>
      </w:r>
      <w:r>
        <w:rPr>
          <w:rFonts w:hint="cs"/>
          <w:rtl/>
          <w:lang w:bidi="ar-EG"/>
        </w:rPr>
        <w:t>“.</w:t>
      </w:r>
    </w:p>
    <w:p w:rsidR="004D3C2E" w:rsidRDefault="004D3C2E" w:rsidP="004D3C2E">
      <w:pPr>
        <w:pStyle w:val="SingleTxt"/>
        <w:rPr>
          <w:rFonts w:hint="cs"/>
          <w:lang w:bidi="ar-EG"/>
        </w:rPr>
      </w:pPr>
      <w:r>
        <w:rPr>
          <w:rFonts w:hint="cs"/>
          <w:rtl/>
          <w:lang w:bidi="ar-EG"/>
        </w:rPr>
        <w:tab/>
        <w:t>وفي مكتب الأجانب تتولى النساء غالبا وبقدر المتاح استجواب طالبات اللجوء، وتتولى الترجمة الشفوية دائما امرأة، ما لم يكن هناك مترجمة شفوية لهذه اللغة. وجرى وضع استبيان تكميلي عن ختان الإناث حتى يتوافق الاستجواب مع المشكلة التي تعيشها طالبة اللجوء.</w:t>
      </w:r>
    </w:p>
    <w:p w:rsidR="004D3C2E" w:rsidRDefault="004D3C2E" w:rsidP="004D3C2E">
      <w:pPr>
        <w:pStyle w:val="SingleTxt"/>
        <w:rPr>
          <w:rFonts w:hint="cs"/>
          <w:rtl/>
          <w:lang w:bidi="ar-EG"/>
        </w:rPr>
      </w:pPr>
      <w:r>
        <w:rPr>
          <w:rFonts w:hint="cs"/>
          <w:rtl/>
          <w:lang w:bidi="ar-EG"/>
        </w:rPr>
        <w:tab/>
        <w:t xml:space="preserve">وتم إنشاء </w:t>
      </w:r>
      <w:r>
        <w:rPr>
          <w:rFonts w:hint="eastAsia"/>
          <w:rtl/>
          <w:lang w:bidi="ar-EG"/>
        </w:rPr>
        <w:t>مركز تنسيق</w:t>
      </w:r>
      <w:r>
        <w:rPr>
          <w:rFonts w:hint="cs"/>
          <w:rtl/>
          <w:lang w:bidi="ar-EG"/>
        </w:rPr>
        <w:t xml:space="preserve"> في المفوضية العامة للاجئين وعديمي الجنسية بالنسبة للنساء. والغرض من مركز التنسيق هذا هو العمل على أن تكون المعلومات التي تجمعها وحدة التوثيق بشأن مشكلة أعمال الاضطهاد المرتبطة بالجنس، متوافرة للجميع؛ ويكفل المركز متابعة أحكام القضاء، ويتم الرجوع إليه في الملفات الصعبة؛ ويتابع عن كثب القضايا الراهنة المتعلقة بالموضوع، ويشارك في مختلف المؤتمرات والأفرقة العاملة، وغير ذلك من الأمور المتعلقة بالموضوع. وجرى وضع استبيان تكميلي عن ختان الإناث حتى يتوافق الاستجواب مع المشكلة التي تعيشها طالبة اللجوء.</w:t>
      </w:r>
    </w:p>
    <w:p w:rsidR="004D3C2E" w:rsidRPr="00655E37" w:rsidRDefault="004D3C2E" w:rsidP="004D3C2E">
      <w:pPr>
        <w:pStyle w:val="SingleTxt"/>
        <w:rPr>
          <w:rFonts w:hint="cs"/>
          <w:rtl/>
          <w:lang w:bidi="ar-EG"/>
        </w:rPr>
      </w:pPr>
      <w:r w:rsidRPr="00655E37">
        <w:rPr>
          <w:rFonts w:hint="cs"/>
          <w:rtl/>
          <w:lang w:bidi="ar-EG"/>
        </w:rPr>
        <w:tab/>
        <w:t>وفضلاً عن ذلك، فإن الشخص الذي يتولى علاج الأمر يقترح على طالبة اللجوء، في حالة اكتشاف حاجة إلى رعاية طبية أو نفسية محتملة، الاتصال بالرابطات المختصة في هذا الشأن.</w:t>
      </w:r>
    </w:p>
    <w:p w:rsidR="004D3C2E" w:rsidRDefault="004D3C2E" w:rsidP="004D3C2E">
      <w:pPr>
        <w:pStyle w:val="SingleTxt"/>
        <w:rPr>
          <w:rFonts w:hint="cs"/>
          <w:rtl/>
          <w:lang w:bidi="ar-EG"/>
        </w:rPr>
      </w:pPr>
      <w:r w:rsidRPr="00655E37">
        <w:rPr>
          <w:rFonts w:hint="cs"/>
          <w:rtl/>
          <w:lang w:bidi="ar-EG"/>
        </w:rPr>
        <w:tab/>
        <w:t>وفي مجال الإحصاءات، قامت المفوضية العامة للاجئين وعديمي الجنسية مؤخرا بإنشاء قاعدة للبيانات النوعية المتعلقة بمشكلة الجنسانية.</w:t>
      </w:r>
    </w:p>
    <w:p w:rsidR="00655E37" w:rsidRPr="00655E37" w:rsidRDefault="00655E37" w:rsidP="00655E37">
      <w:pPr>
        <w:pStyle w:val="SingleTxt"/>
        <w:spacing w:after="0" w:line="120" w:lineRule="exact"/>
        <w:rPr>
          <w:rFonts w:hint="cs"/>
          <w:sz w:val="10"/>
          <w:rtl/>
          <w:lang w:bidi="ar-EG"/>
        </w:rPr>
      </w:pPr>
    </w:p>
    <w:p w:rsidR="00655E37" w:rsidRPr="00655E37" w:rsidRDefault="00655E37" w:rsidP="004D3C2E">
      <w:pPr>
        <w:pStyle w:val="SingleTxt"/>
        <w:rPr>
          <w:rFonts w:hint="cs"/>
          <w:rtl/>
          <w:lang w:bidi="ar-EG"/>
        </w:rPr>
      </w:pPr>
      <w:r>
        <w:rPr>
          <w:rFonts w:hint="cs"/>
          <w:rtl/>
          <w:lang w:bidi="ar-EG"/>
        </w:rPr>
        <w:t>الجدول 1</w:t>
      </w:r>
    </w:p>
    <w:p w:rsidR="004D3C2E" w:rsidRDefault="004D3C2E" w:rsidP="004D3C2E">
      <w:pPr>
        <w:pStyle w:val="SingleTxt"/>
        <w:rPr>
          <w:rFonts w:hint="cs"/>
          <w:rtl/>
          <w:lang w:bidi="ar-EG"/>
        </w:rPr>
      </w:pPr>
      <w:r w:rsidRPr="00F37023">
        <w:rPr>
          <w:rFonts w:hint="cs"/>
          <w:b/>
          <w:bCs/>
          <w:rtl/>
          <w:lang w:bidi="ar-EG"/>
        </w:rPr>
        <w:t xml:space="preserve">عدد </w:t>
      </w:r>
      <w:r>
        <w:rPr>
          <w:rFonts w:hint="cs"/>
          <w:b/>
          <w:bCs/>
          <w:rtl/>
          <w:lang w:bidi="ar-EG"/>
        </w:rPr>
        <w:t>طلبات</w:t>
      </w:r>
      <w:r w:rsidRPr="00F37023">
        <w:rPr>
          <w:rFonts w:hint="cs"/>
          <w:b/>
          <w:bCs/>
          <w:rtl/>
          <w:lang w:bidi="ar-EG"/>
        </w:rPr>
        <w:t xml:space="preserve"> اللجوء، وعدد الحالات التي وافقت عليها </w:t>
      </w:r>
      <w:r>
        <w:rPr>
          <w:rFonts w:hint="cs"/>
          <w:b/>
          <w:bCs/>
          <w:rtl/>
          <w:lang w:bidi="ar-EG"/>
        </w:rPr>
        <w:t>المفوضية</w:t>
      </w:r>
      <w:r w:rsidRPr="00F37023">
        <w:rPr>
          <w:rFonts w:hint="cs"/>
          <w:b/>
          <w:bCs/>
          <w:rtl/>
          <w:lang w:bidi="ar-EG"/>
        </w:rPr>
        <w:t xml:space="preserve"> العامة للاجئين وعديمي الجنسية، ونسبة عدد </w:t>
      </w:r>
      <w:r>
        <w:rPr>
          <w:rFonts w:hint="cs"/>
          <w:b/>
          <w:bCs/>
          <w:rtl/>
          <w:lang w:bidi="ar-EG"/>
        </w:rPr>
        <w:t>حالات الموافقة على اللجوء</w:t>
      </w:r>
      <w:r w:rsidRPr="00F37023">
        <w:rPr>
          <w:rFonts w:hint="cs"/>
          <w:b/>
          <w:bCs/>
          <w:rtl/>
          <w:lang w:bidi="ar-EG"/>
        </w:rPr>
        <w:t xml:space="preserve"> إلى عدد طلبات اللجوء، حسب الجنس، الأعوام 1994-1999-2004</w:t>
      </w:r>
      <w:r w:rsidRPr="00F3599B">
        <w:rPr>
          <w:vertAlign w:val="superscript"/>
          <w:rtl/>
          <w:lang w:bidi="ar-EG"/>
        </w:rPr>
        <w:t>(</w:t>
      </w:r>
      <w:r>
        <w:rPr>
          <w:rStyle w:val="FootnoteReference"/>
          <w:rtl/>
        </w:rPr>
        <w:footnoteReference w:id="13"/>
      </w:r>
      <w:r w:rsidRPr="00F3599B">
        <w:rPr>
          <w:vertAlign w:val="superscript"/>
          <w:rtl/>
          <w:lang w:bidi="ar-EG"/>
        </w:rPr>
        <w:t>)</w:t>
      </w:r>
    </w:p>
    <w:tbl>
      <w:tblPr>
        <w:tblStyle w:val="TableGrid"/>
        <w:bidiVisual/>
        <w:tblW w:w="0" w:type="auto"/>
        <w:tblInd w:w="1615" w:type="dxa"/>
        <w:tblLook w:val="01E0" w:firstRow="1" w:lastRow="1" w:firstColumn="1" w:lastColumn="1" w:noHBand="0" w:noVBand="0"/>
      </w:tblPr>
      <w:tblGrid>
        <w:gridCol w:w="1883"/>
        <w:gridCol w:w="986"/>
        <w:gridCol w:w="986"/>
        <w:gridCol w:w="986"/>
        <w:gridCol w:w="986"/>
        <w:gridCol w:w="986"/>
        <w:gridCol w:w="986"/>
      </w:tblGrid>
      <w:tr w:rsidR="004D3C2E">
        <w:tc>
          <w:tcPr>
            <w:tcW w:w="7799" w:type="dxa"/>
            <w:gridSpan w:val="7"/>
            <w:tcBorders>
              <w:top w:val="nil"/>
              <w:left w:val="nil"/>
              <w:bottom w:val="single" w:sz="4" w:space="0" w:color="auto"/>
              <w:right w:val="nil"/>
            </w:tcBorders>
          </w:tcPr>
          <w:p w:rsidR="004D3C2E" w:rsidRPr="00F37023" w:rsidRDefault="004D3C2E" w:rsidP="006D0927">
            <w:pPr>
              <w:pStyle w:val="SingleTxt"/>
              <w:spacing w:line="260" w:lineRule="exact"/>
              <w:ind w:left="0" w:right="0"/>
              <w:jc w:val="center"/>
              <w:rPr>
                <w:rFonts w:hint="cs"/>
                <w:i/>
                <w:iCs/>
                <w:sz w:val="26"/>
                <w:szCs w:val="26"/>
                <w:rtl/>
              </w:rPr>
            </w:pPr>
          </w:p>
        </w:tc>
      </w:tr>
      <w:tr w:rsidR="004D3C2E">
        <w:tc>
          <w:tcPr>
            <w:tcW w:w="1883" w:type="dxa"/>
            <w:vMerge w:val="restart"/>
            <w:tcBorders>
              <w:top w:val="single" w:sz="4" w:space="0" w:color="auto"/>
              <w:left w:val="nil"/>
              <w:bottom w:val="nil"/>
              <w:right w:val="nil"/>
            </w:tcBorders>
          </w:tcPr>
          <w:p w:rsidR="004D3C2E" w:rsidRPr="00F37023" w:rsidRDefault="004D3C2E" w:rsidP="006D0927">
            <w:pPr>
              <w:pStyle w:val="SingleTxt"/>
              <w:ind w:left="0" w:right="0"/>
              <w:rPr>
                <w:rFonts w:hint="cs"/>
                <w:i/>
                <w:iCs/>
                <w:sz w:val="26"/>
                <w:szCs w:val="26"/>
                <w:rtl/>
              </w:rPr>
            </w:pPr>
            <w:r w:rsidRPr="00F37023">
              <w:rPr>
                <w:rFonts w:hint="cs"/>
                <w:i/>
                <w:iCs/>
                <w:sz w:val="26"/>
                <w:szCs w:val="26"/>
                <w:rtl/>
              </w:rPr>
              <w:t>السنة</w:t>
            </w:r>
          </w:p>
        </w:tc>
        <w:tc>
          <w:tcPr>
            <w:tcW w:w="1972" w:type="dxa"/>
            <w:gridSpan w:val="2"/>
            <w:tcBorders>
              <w:top w:val="single" w:sz="4" w:space="0" w:color="auto"/>
              <w:left w:val="nil"/>
              <w:bottom w:val="single" w:sz="4" w:space="0" w:color="auto"/>
              <w:right w:val="nil"/>
            </w:tcBorders>
          </w:tcPr>
          <w:p w:rsidR="004D3C2E" w:rsidRPr="00F37023" w:rsidRDefault="004D3C2E" w:rsidP="006D0927">
            <w:pPr>
              <w:pStyle w:val="SingleTxt"/>
              <w:spacing w:line="260" w:lineRule="exact"/>
              <w:ind w:left="0" w:right="0"/>
              <w:jc w:val="center"/>
              <w:rPr>
                <w:rFonts w:hint="cs"/>
                <w:i/>
                <w:iCs/>
                <w:sz w:val="26"/>
                <w:szCs w:val="26"/>
                <w:rtl/>
              </w:rPr>
            </w:pPr>
            <w:r w:rsidRPr="00F37023">
              <w:rPr>
                <w:rFonts w:hint="cs"/>
                <w:i/>
                <w:iCs/>
                <w:sz w:val="26"/>
                <w:szCs w:val="26"/>
                <w:rtl/>
              </w:rPr>
              <w:t>الطلبات</w:t>
            </w:r>
          </w:p>
        </w:tc>
        <w:tc>
          <w:tcPr>
            <w:tcW w:w="1972" w:type="dxa"/>
            <w:gridSpan w:val="2"/>
            <w:tcBorders>
              <w:top w:val="single" w:sz="4" w:space="0" w:color="auto"/>
              <w:left w:val="nil"/>
              <w:bottom w:val="single" w:sz="4" w:space="0" w:color="auto"/>
              <w:right w:val="nil"/>
            </w:tcBorders>
          </w:tcPr>
          <w:p w:rsidR="004D3C2E" w:rsidRPr="00F37023" w:rsidRDefault="004D3C2E" w:rsidP="006D0927">
            <w:pPr>
              <w:pStyle w:val="SingleTxt"/>
              <w:spacing w:line="260" w:lineRule="exact"/>
              <w:ind w:left="0" w:right="0"/>
              <w:jc w:val="center"/>
              <w:rPr>
                <w:rFonts w:hint="cs"/>
                <w:i/>
                <w:iCs/>
                <w:sz w:val="26"/>
                <w:szCs w:val="26"/>
                <w:rtl/>
              </w:rPr>
            </w:pPr>
            <w:r>
              <w:rPr>
                <w:rFonts w:hint="cs"/>
                <w:i/>
                <w:iCs/>
                <w:sz w:val="26"/>
                <w:szCs w:val="26"/>
                <w:rtl/>
              </w:rPr>
              <w:t>الموافقات</w:t>
            </w:r>
          </w:p>
        </w:tc>
        <w:tc>
          <w:tcPr>
            <w:tcW w:w="1972" w:type="dxa"/>
            <w:gridSpan w:val="2"/>
            <w:tcBorders>
              <w:top w:val="single" w:sz="4" w:space="0" w:color="auto"/>
              <w:left w:val="nil"/>
              <w:bottom w:val="single" w:sz="4" w:space="0" w:color="auto"/>
              <w:right w:val="nil"/>
            </w:tcBorders>
          </w:tcPr>
          <w:p w:rsidR="004D3C2E" w:rsidRPr="00F37023" w:rsidRDefault="004D3C2E" w:rsidP="006D0927">
            <w:pPr>
              <w:pStyle w:val="SingleTxt"/>
              <w:spacing w:line="260" w:lineRule="exact"/>
              <w:ind w:left="0" w:right="0"/>
              <w:jc w:val="center"/>
              <w:rPr>
                <w:rFonts w:hint="cs"/>
                <w:i/>
                <w:iCs/>
                <w:sz w:val="26"/>
                <w:szCs w:val="26"/>
                <w:rtl/>
              </w:rPr>
            </w:pPr>
            <w:r w:rsidRPr="00F37023">
              <w:rPr>
                <w:rFonts w:hint="cs"/>
                <w:i/>
                <w:iCs/>
                <w:sz w:val="26"/>
                <w:szCs w:val="26"/>
                <w:rtl/>
              </w:rPr>
              <w:t>النسبة</w:t>
            </w:r>
          </w:p>
        </w:tc>
      </w:tr>
      <w:tr w:rsidR="004D3C2E">
        <w:tc>
          <w:tcPr>
            <w:tcW w:w="1883" w:type="dxa"/>
            <w:vMerge/>
            <w:tcBorders>
              <w:top w:val="nil"/>
              <w:left w:val="nil"/>
              <w:bottom w:val="single" w:sz="12" w:space="0" w:color="auto"/>
              <w:right w:val="nil"/>
            </w:tcBorders>
          </w:tcPr>
          <w:p w:rsidR="004D3C2E" w:rsidRPr="00F37023" w:rsidRDefault="004D3C2E" w:rsidP="006D0927">
            <w:pPr>
              <w:pStyle w:val="SingleTxt"/>
              <w:ind w:left="0" w:right="0"/>
              <w:rPr>
                <w:rFonts w:hint="cs"/>
                <w:i/>
                <w:iCs/>
                <w:sz w:val="26"/>
                <w:szCs w:val="26"/>
                <w:rtl/>
              </w:rPr>
            </w:pPr>
          </w:p>
        </w:tc>
        <w:tc>
          <w:tcPr>
            <w:tcW w:w="986" w:type="dxa"/>
            <w:tcBorders>
              <w:top w:val="nil"/>
              <w:left w:val="nil"/>
              <w:bottom w:val="single" w:sz="12" w:space="0" w:color="auto"/>
              <w:right w:val="nil"/>
            </w:tcBorders>
          </w:tcPr>
          <w:p w:rsidR="004D3C2E" w:rsidRPr="00F37023" w:rsidRDefault="004D3C2E" w:rsidP="006D0927">
            <w:pPr>
              <w:pStyle w:val="SingleTxt"/>
              <w:spacing w:line="260" w:lineRule="exact"/>
              <w:ind w:left="0" w:right="0"/>
              <w:jc w:val="center"/>
              <w:rPr>
                <w:rFonts w:hint="cs"/>
                <w:i/>
                <w:iCs/>
                <w:sz w:val="26"/>
                <w:szCs w:val="26"/>
                <w:rtl/>
              </w:rPr>
            </w:pPr>
            <w:r w:rsidRPr="00F37023">
              <w:rPr>
                <w:rFonts w:hint="cs"/>
                <w:i/>
                <w:iCs/>
                <w:sz w:val="26"/>
                <w:szCs w:val="26"/>
                <w:rtl/>
              </w:rPr>
              <w:t>امرأة</w:t>
            </w:r>
          </w:p>
        </w:tc>
        <w:tc>
          <w:tcPr>
            <w:tcW w:w="986" w:type="dxa"/>
            <w:tcBorders>
              <w:top w:val="nil"/>
              <w:left w:val="nil"/>
              <w:bottom w:val="single" w:sz="12" w:space="0" w:color="auto"/>
              <w:right w:val="nil"/>
            </w:tcBorders>
          </w:tcPr>
          <w:p w:rsidR="004D3C2E" w:rsidRPr="00F37023" w:rsidRDefault="004D3C2E" w:rsidP="006D0927">
            <w:pPr>
              <w:pStyle w:val="SingleTxt"/>
              <w:spacing w:line="260" w:lineRule="exact"/>
              <w:ind w:left="0" w:right="0"/>
              <w:jc w:val="center"/>
              <w:rPr>
                <w:rFonts w:hint="cs"/>
                <w:i/>
                <w:iCs/>
                <w:sz w:val="26"/>
                <w:szCs w:val="26"/>
                <w:rtl/>
              </w:rPr>
            </w:pPr>
            <w:r w:rsidRPr="00F37023">
              <w:rPr>
                <w:rFonts w:hint="cs"/>
                <w:i/>
                <w:iCs/>
                <w:sz w:val="26"/>
                <w:szCs w:val="26"/>
                <w:rtl/>
              </w:rPr>
              <w:t>رجل</w:t>
            </w:r>
          </w:p>
        </w:tc>
        <w:tc>
          <w:tcPr>
            <w:tcW w:w="986" w:type="dxa"/>
            <w:tcBorders>
              <w:top w:val="nil"/>
              <w:left w:val="nil"/>
              <w:bottom w:val="single" w:sz="12" w:space="0" w:color="auto"/>
              <w:right w:val="nil"/>
            </w:tcBorders>
          </w:tcPr>
          <w:p w:rsidR="004D3C2E" w:rsidRPr="00F37023" w:rsidRDefault="004D3C2E" w:rsidP="006D0927">
            <w:pPr>
              <w:pStyle w:val="SingleTxt"/>
              <w:spacing w:line="260" w:lineRule="exact"/>
              <w:ind w:left="0" w:right="0"/>
              <w:jc w:val="center"/>
              <w:rPr>
                <w:rFonts w:hint="cs"/>
                <w:i/>
                <w:iCs/>
                <w:sz w:val="26"/>
                <w:szCs w:val="26"/>
                <w:rtl/>
              </w:rPr>
            </w:pPr>
            <w:r w:rsidRPr="00F37023">
              <w:rPr>
                <w:rFonts w:hint="cs"/>
                <w:i/>
                <w:iCs/>
                <w:sz w:val="26"/>
                <w:szCs w:val="26"/>
                <w:rtl/>
              </w:rPr>
              <w:t>امرأة</w:t>
            </w:r>
          </w:p>
        </w:tc>
        <w:tc>
          <w:tcPr>
            <w:tcW w:w="986" w:type="dxa"/>
            <w:tcBorders>
              <w:top w:val="nil"/>
              <w:left w:val="nil"/>
              <w:bottom w:val="single" w:sz="12" w:space="0" w:color="auto"/>
              <w:right w:val="nil"/>
            </w:tcBorders>
          </w:tcPr>
          <w:p w:rsidR="004D3C2E" w:rsidRPr="00F37023" w:rsidRDefault="004D3C2E" w:rsidP="006D0927">
            <w:pPr>
              <w:pStyle w:val="SingleTxt"/>
              <w:spacing w:line="260" w:lineRule="exact"/>
              <w:ind w:left="0" w:right="0"/>
              <w:jc w:val="center"/>
              <w:rPr>
                <w:rFonts w:hint="cs"/>
                <w:i/>
                <w:iCs/>
                <w:sz w:val="26"/>
                <w:szCs w:val="26"/>
                <w:rtl/>
              </w:rPr>
            </w:pPr>
            <w:r w:rsidRPr="00F37023">
              <w:rPr>
                <w:rFonts w:hint="cs"/>
                <w:i/>
                <w:iCs/>
                <w:sz w:val="26"/>
                <w:szCs w:val="26"/>
                <w:rtl/>
              </w:rPr>
              <w:t>رجل</w:t>
            </w:r>
          </w:p>
        </w:tc>
        <w:tc>
          <w:tcPr>
            <w:tcW w:w="986" w:type="dxa"/>
            <w:tcBorders>
              <w:top w:val="nil"/>
              <w:left w:val="nil"/>
              <w:bottom w:val="single" w:sz="12" w:space="0" w:color="auto"/>
              <w:right w:val="nil"/>
            </w:tcBorders>
          </w:tcPr>
          <w:p w:rsidR="004D3C2E" w:rsidRPr="00F37023" w:rsidRDefault="004D3C2E" w:rsidP="006D0927">
            <w:pPr>
              <w:pStyle w:val="SingleTxt"/>
              <w:spacing w:line="260" w:lineRule="exact"/>
              <w:ind w:left="0" w:right="0"/>
              <w:jc w:val="center"/>
              <w:rPr>
                <w:rFonts w:hint="cs"/>
                <w:i/>
                <w:iCs/>
                <w:sz w:val="26"/>
                <w:szCs w:val="26"/>
                <w:rtl/>
              </w:rPr>
            </w:pPr>
            <w:r w:rsidRPr="00F37023">
              <w:rPr>
                <w:rFonts w:hint="cs"/>
                <w:i/>
                <w:iCs/>
                <w:sz w:val="26"/>
                <w:szCs w:val="26"/>
                <w:rtl/>
              </w:rPr>
              <w:t>امرأة</w:t>
            </w:r>
          </w:p>
        </w:tc>
        <w:tc>
          <w:tcPr>
            <w:tcW w:w="986" w:type="dxa"/>
            <w:tcBorders>
              <w:top w:val="nil"/>
              <w:left w:val="nil"/>
              <w:bottom w:val="single" w:sz="12" w:space="0" w:color="auto"/>
              <w:right w:val="nil"/>
            </w:tcBorders>
          </w:tcPr>
          <w:p w:rsidR="004D3C2E" w:rsidRPr="00F37023" w:rsidRDefault="004D3C2E" w:rsidP="006D0927">
            <w:pPr>
              <w:pStyle w:val="SingleTxt"/>
              <w:spacing w:line="260" w:lineRule="exact"/>
              <w:ind w:left="0" w:right="0"/>
              <w:jc w:val="center"/>
              <w:rPr>
                <w:rFonts w:hint="cs"/>
                <w:i/>
                <w:iCs/>
                <w:sz w:val="26"/>
                <w:szCs w:val="26"/>
                <w:rtl/>
              </w:rPr>
            </w:pPr>
            <w:r w:rsidRPr="00F37023">
              <w:rPr>
                <w:rFonts w:hint="cs"/>
                <w:i/>
                <w:iCs/>
                <w:sz w:val="26"/>
                <w:szCs w:val="26"/>
                <w:rtl/>
              </w:rPr>
              <w:t>رجل</w:t>
            </w:r>
          </w:p>
        </w:tc>
      </w:tr>
      <w:tr w:rsidR="004D3C2E">
        <w:tc>
          <w:tcPr>
            <w:tcW w:w="1883" w:type="dxa"/>
            <w:tcBorders>
              <w:top w:val="single" w:sz="12" w:space="0" w:color="auto"/>
              <w:left w:val="nil"/>
              <w:bottom w:val="nil"/>
              <w:right w:val="nil"/>
            </w:tcBorders>
          </w:tcPr>
          <w:p w:rsidR="004D3C2E" w:rsidRPr="00F37023" w:rsidRDefault="004D3C2E" w:rsidP="006D0927">
            <w:pPr>
              <w:pStyle w:val="SingleTxt"/>
              <w:ind w:left="0" w:right="0"/>
              <w:rPr>
                <w:rFonts w:hint="cs"/>
                <w:sz w:val="26"/>
                <w:szCs w:val="26"/>
                <w:rtl/>
              </w:rPr>
            </w:pPr>
            <w:r w:rsidRPr="00F37023">
              <w:rPr>
                <w:rFonts w:hint="cs"/>
                <w:sz w:val="26"/>
                <w:szCs w:val="26"/>
                <w:rtl/>
              </w:rPr>
              <w:t>1994</w:t>
            </w:r>
          </w:p>
        </w:tc>
        <w:tc>
          <w:tcPr>
            <w:tcW w:w="986" w:type="dxa"/>
            <w:tcBorders>
              <w:top w:val="single" w:sz="12" w:space="0" w:color="auto"/>
              <w:left w:val="nil"/>
              <w:bottom w:val="nil"/>
              <w:right w:val="nil"/>
            </w:tcBorders>
          </w:tcPr>
          <w:p w:rsidR="004D3C2E" w:rsidRPr="00F37023" w:rsidRDefault="004D3C2E" w:rsidP="006D0927">
            <w:pPr>
              <w:pStyle w:val="SingleTxt"/>
              <w:ind w:left="0" w:right="0"/>
              <w:rPr>
                <w:rFonts w:hint="cs"/>
                <w:sz w:val="26"/>
                <w:szCs w:val="26"/>
                <w:rtl/>
              </w:rPr>
            </w:pPr>
            <w:r w:rsidRPr="00F37023">
              <w:rPr>
                <w:rFonts w:hint="cs"/>
                <w:sz w:val="26"/>
                <w:szCs w:val="26"/>
                <w:rtl/>
              </w:rPr>
              <w:t>227 4</w:t>
            </w:r>
          </w:p>
        </w:tc>
        <w:tc>
          <w:tcPr>
            <w:tcW w:w="986" w:type="dxa"/>
            <w:tcBorders>
              <w:top w:val="single" w:sz="12" w:space="0" w:color="auto"/>
              <w:left w:val="nil"/>
              <w:bottom w:val="nil"/>
              <w:right w:val="nil"/>
            </w:tcBorders>
          </w:tcPr>
          <w:p w:rsidR="004D3C2E" w:rsidRPr="00F37023" w:rsidRDefault="004D3C2E" w:rsidP="006D0927">
            <w:pPr>
              <w:pStyle w:val="SingleTxt"/>
              <w:ind w:left="0" w:right="0"/>
              <w:rPr>
                <w:rFonts w:hint="cs"/>
                <w:sz w:val="26"/>
                <w:szCs w:val="26"/>
                <w:rtl/>
              </w:rPr>
            </w:pPr>
            <w:r w:rsidRPr="00F37023">
              <w:rPr>
                <w:rFonts w:hint="cs"/>
                <w:sz w:val="26"/>
                <w:szCs w:val="26"/>
                <w:rtl/>
              </w:rPr>
              <w:t>078 10</w:t>
            </w:r>
          </w:p>
        </w:tc>
        <w:tc>
          <w:tcPr>
            <w:tcW w:w="986" w:type="dxa"/>
            <w:tcBorders>
              <w:top w:val="single" w:sz="12" w:space="0" w:color="auto"/>
              <w:left w:val="nil"/>
              <w:bottom w:val="nil"/>
              <w:right w:val="nil"/>
            </w:tcBorders>
          </w:tcPr>
          <w:p w:rsidR="004D3C2E" w:rsidRPr="00F37023" w:rsidRDefault="004D3C2E" w:rsidP="006D0927">
            <w:pPr>
              <w:pStyle w:val="SingleTxt"/>
              <w:ind w:left="0" w:right="0"/>
              <w:rPr>
                <w:rFonts w:hint="cs"/>
                <w:sz w:val="26"/>
                <w:szCs w:val="26"/>
                <w:rtl/>
              </w:rPr>
            </w:pPr>
            <w:r w:rsidRPr="00F37023">
              <w:rPr>
                <w:rFonts w:hint="cs"/>
                <w:sz w:val="26"/>
                <w:szCs w:val="26"/>
                <w:rtl/>
              </w:rPr>
              <w:t>711</w:t>
            </w:r>
          </w:p>
        </w:tc>
        <w:tc>
          <w:tcPr>
            <w:tcW w:w="986" w:type="dxa"/>
            <w:tcBorders>
              <w:top w:val="single" w:sz="12" w:space="0" w:color="auto"/>
              <w:left w:val="nil"/>
              <w:bottom w:val="nil"/>
              <w:right w:val="nil"/>
            </w:tcBorders>
          </w:tcPr>
          <w:p w:rsidR="004D3C2E" w:rsidRPr="00F37023" w:rsidRDefault="004D3C2E" w:rsidP="006D0927">
            <w:pPr>
              <w:pStyle w:val="SingleTxt"/>
              <w:ind w:left="0" w:right="0"/>
              <w:rPr>
                <w:rFonts w:hint="cs"/>
                <w:sz w:val="26"/>
                <w:szCs w:val="26"/>
                <w:rtl/>
              </w:rPr>
            </w:pPr>
            <w:r w:rsidRPr="00F37023">
              <w:rPr>
                <w:rFonts w:hint="cs"/>
                <w:sz w:val="26"/>
                <w:szCs w:val="26"/>
                <w:rtl/>
              </w:rPr>
              <w:t>776</w:t>
            </w:r>
          </w:p>
        </w:tc>
        <w:tc>
          <w:tcPr>
            <w:tcW w:w="986" w:type="dxa"/>
            <w:tcBorders>
              <w:top w:val="single" w:sz="12" w:space="0" w:color="auto"/>
              <w:left w:val="nil"/>
              <w:bottom w:val="nil"/>
              <w:right w:val="nil"/>
            </w:tcBorders>
          </w:tcPr>
          <w:p w:rsidR="004D3C2E" w:rsidRPr="00F37023" w:rsidRDefault="004D3C2E" w:rsidP="006D0927">
            <w:pPr>
              <w:pStyle w:val="SingleTxt"/>
              <w:ind w:left="0" w:right="0"/>
              <w:rPr>
                <w:rFonts w:hint="cs"/>
                <w:sz w:val="26"/>
                <w:szCs w:val="26"/>
                <w:rtl/>
              </w:rPr>
            </w:pPr>
            <w:r w:rsidRPr="00F37023">
              <w:rPr>
                <w:rFonts w:hint="cs"/>
                <w:sz w:val="26"/>
                <w:szCs w:val="26"/>
                <w:rtl/>
              </w:rPr>
              <w:t>16.8</w:t>
            </w:r>
          </w:p>
        </w:tc>
        <w:tc>
          <w:tcPr>
            <w:tcW w:w="986" w:type="dxa"/>
            <w:tcBorders>
              <w:top w:val="single" w:sz="12" w:space="0" w:color="auto"/>
              <w:left w:val="nil"/>
              <w:bottom w:val="nil"/>
              <w:right w:val="nil"/>
            </w:tcBorders>
          </w:tcPr>
          <w:p w:rsidR="004D3C2E" w:rsidRPr="00F37023" w:rsidRDefault="004D3C2E" w:rsidP="006D0927">
            <w:pPr>
              <w:pStyle w:val="SingleTxt"/>
              <w:ind w:left="0" w:right="0"/>
              <w:rPr>
                <w:rFonts w:hint="cs"/>
                <w:sz w:val="26"/>
                <w:szCs w:val="26"/>
                <w:rtl/>
              </w:rPr>
            </w:pPr>
            <w:r w:rsidRPr="00F37023">
              <w:rPr>
                <w:rFonts w:hint="cs"/>
                <w:sz w:val="26"/>
                <w:szCs w:val="26"/>
                <w:rtl/>
              </w:rPr>
              <w:t>7.7</w:t>
            </w:r>
          </w:p>
        </w:tc>
      </w:tr>
      <w:tr w:rsidR="004D3C2E">
        <w:tc>
          <w:tcPr>
            <w:tcW w:w="1883" w:type="dxa"/>
            <w:tcBorders>
              <w:top w:val="nil"/>
              <w:left w:val="nil"/>
              <w:bottom w:val="nil"/>
              <w:right w:val="nil"/>
            </w:tcBorders>
          </w:tcPr>
          <w:p w:rsidR="004D3C2E" w:rsidRPr="00F37023" w:rsidRDefault="004D3C2E" w:rsidP="006D0927">
            <w:pPr>
              <w:pStyle w:val="SingleTxt"/>
              <w:ind w:left="0" w:right="0"/>
              <w:rPr>
                <w:rFonts w:hint="cs"/>
                <w:sz w:val="26"/>
                <w:szCs w:val="26"/>
                <w:rtl/>
              </w:rPr>
            </w:pPr>
            <w:r w:rsidRPr="00F37023">
              <w:rPr>
                <w:rFonts w:hint="cs"/>
                <w:sz w:val="26"/>
                <w:szCs w:val="26"/>
                <w:rtl/>
              </w:rPr>
              <w:t>1999</w:t>
            </w:r>
          </w:p>
        </w:tc>
        <w:tc>
          <w:tcPr>
            <w:tcW w:w="986" w:type="dxa"/>
            <w:tcBorders>
              <w:top w:val="nil"/>
              <w:left w:val="nil"/>
              <w:bottom w:val="nil"/>
              <w:right w:val="nil"/>
            </w:tcBorders>
          </w:tcPr>
          <w:p w:rsidR="004D3C2E" w:rsidRPr="00F37023" w:rsidRDefault="004D3C2E" w:rsidP="006D0927">
            <w:pPr>
              <w:pStyle w:val="SingleTxt"/>
              <w:ind w:left="0" w:right="0"/>
              <w:rPr>
                <w:rFonts w:hint="cs"/>
                <w:sz w:val="26"/>
                <w:szCs w:val="26"/>
                <w:rtl/>
              </w:rPr>
            </w:pPr>
            <w:r w:rsidRPr="00F37023">
              <w:rPr>
                <w:rFonts w:hint="cs"/>
                <w:sz w:val="26"/>
                <w:szCs w:val="26"/>
                <w:rtl/>
              </w:rPr>
              <w:t>444 12</w:t>
            </w:r>
          </w:p>
        </w:tc>
        <w:tc>
          <w:tcPr>
            <w:tcW w:w="986" w:type="dxa"/>
            <w:tcBorders>
              <w:top w:val="nil"/>
              <w:left w:val="nil"/>
              <w:bottom w:val="nil"/>
              <w:right w:val="nil"/>
            </w:tcBorders>
          </w:tcPr>
          <w:p w:rsidR="004D3C2E" w:rsidRPr="00F37023" w:rsidRDefault="004D3C2E" w:rsidP="006D0927">
            <w:pPr>
              <w:pStyle w:val="SingleTxt"/>
              <w:ind w:left="0" w:right="0"/>
              <w:rPr>
                <w:rFonts w:hint="cs"/>
                <w:sz w:val="26"/>
                <w:szCs w:val="26"/>
                <w:rtl/>
              </w:rPr>
            </w:pPr>
            <w:r w:rsidRPr="00F37023">
              <w:rPr>
                <w:rFonts w:hint="cs"/>
                <w:sz w:val="26"/>
                <w:szCs w:val="26"/>
                <w:rtl/>
              </w:rPr>
              <w:t>297 23</w:t>
            </w:r>
          </w:p>
        </w:tc>
        <w:tc>
          <w:tcPr>
            <w:tcW w:w="986" w:type="dxa"/>
            <w:tcBorders>
              <w:top w:val="nil"/>
              <w:left w:val="nil"/>
              <w:bottom w:val="nil"/>
              <w:right w:val="nil"/>
            </w:tcBorders>
          </w:tcPr>
          <w:p w:rsidR="004D3C2E" w:rsidRPr="00F37023" w:rsidRDefault="004D3C2E" w:rsidP="006D0927">
            <w:pPr>
              <w:pStyle w:val="SingleTxt"/>
              <w:ind w:left="0" w:right="0"/>
              <w:rPr>
                <w:rFonts w:hint="cs"/>
                <w:sz w:val="26"/>
                <w:szCs w:val="26"/>
                <w:rtl/>
              </w:rPr>
            </w:pPr>
            <w:r w:rsidRPr="00F37023">
              <w:rPr>
                <w:rFonts w:hint="cs"/>
                <w:sz w:val="26"/>
                <w:szCs w:val="26"/>
                <w:rtl/>
              </w:rPr>
              <w:t>599</w:t>
            </w:r>
          </w:p>
        </w:tc>
        <w:tc>
          <w:tcPr>
            <w:tcW w:w="986" w:type="dxa"/>
            <w:tcBorders>
              <w:top w:val="nil"/>
              <w:left w:val="nil"/>
              <w:bottom w:val="nil"/>
              <w:right w:val="nil"/>
            </w:tcBorders>
          </w:tcPr>
          <w:p w:rsidR="004D3C2E" w:rsidRPr="00F37023" w:rsidRDefault="004D3C2E" w:rsidP="006D0927">
            <w:pPr>
              <w:pStyle w:val="SingleTxt"/>
              <w:ind w:left="0" w:right="0"/>
              <w:rPr>
                <w:rFonts w:hint="cs"/>
                <w:sz w:val="26"/>
                <w:szCs w:val="26"/>
                <w:rtl/>
              </w:rPr>
            </w:pPr>
            <w:r w:rsidRPr="00F37023">
              <w:rPr>
                <w:rFonts w:hint="cs"/>
                <w:sz w:val="26"/>
                <w:szCs w:val="26"/>
                <w:rtl/>
              </w:rPr>
              <w:t>636</w:t>
            </w:r>
          </w:p>
        </w:tc>
        <w:tc>
          <w:tcPr>
            <w:tcW w:w="986" w:type="dxa"/>
            <w:tcBorders>
              <w:top w:val="nil"/>
              <w:left w:val="nil"/>
              <w:bottom w:val="nil"/>
              <w:right w:val="nil"/>
            </w:tcBorders>
          </w:tcPr>
          <w:p w:rsidR="004D3C2E" w:rsidRPr="00F37023" w:rsidRDefault="004D3C2E" w:rsidP="006D0927">
            <w:pPr>
              <w:pStyle w:val="SingleTxt"/>
              <w:ind w:left="0" w:right="0"/>
              <w:rPr>
                <w:rFonts w:hint="cs"/>
                <w:sz w:val="26"/>
                <w:szCs w:val="26"/>
                <w:rtl/>
              </w:rPr>
            </w:pPr>
            <w:r w:rsidRPr="00F37023">
              <w:rPr>
                <w:rFonts w:hint="cs"/>
                <w:sz w:val="26"/>
                <w:szCs w:val="26"/>
                <w:rtl/>
              </w:rPr>
              <w:t>4.8</w:t>
            </w:r>
          </w:p>
        </w:tc>
        <w:tc>
          <w:tcPr>
            <w:tcW w:w="986" w:type="dxa"/>
            <w:tcBorders>
              <w:top w:val="nil"/>
              <w:left w:val="nil"/>
              <w:bottom w:val="nil"/>
              <w:right w:val="nil"/>
            </w:tcBorders>
          </w:tcPr>
          <w:p w:rsidR="004D3C2E" w:rsidRPr="00F37023" w:rsidRDefault="004D3C2E" w:rsidP="006D0927">
            <w:pPr>
              <w:pStyle w:val="SingleTxt"/>
              <w:ind w:left="0" w:right="0"/>
              <w:rPr>
                <w:rFonts w:hint="cs"/>
                <w:sz w:val="26"/>
                <w:szCs w:val="26"/>
                <w:rtl/>
              </w:rPr>
            </w:pPr>
            <w:r w:rsidRPr="00F37023">
              <w:rPr>
                <w:rFonts w:hint="cs"/>
                <w:sz w:val="26"/>
                <w:szCs w:val="26"/>
                <w:rtl/>
              </w:rPr>
              <w:t>2.7</w:t>
            </w:r>
          </w:p>
        </w:tc>
      </w:tr>
      <w:tr w:rsidR="004D3C2E">
        <w:tc>
          <w:tcPr>
            <w:tcW w:w="1883" w:type="dxa"/>
            <w:tcBorders>
              <w:top w:val="nil"/>
              <w:left w:val="nil"/>
              <w:bottom w:val="single" w:sz="12" w:space="0" w:color="auto"/>
              <w:right w:val="nil"/>
            </w:tcBorders>
          </w:tcPr>
          <w:p w:rsidR="004D3C2E" w:rsidRPr="00F37023" w:rsidRDefault="004D3C2E" w:rsidP="006D0927">
            <w:pPr>
              <w:pStyle w:val="SingleTxt"/>
              <w:ind w:left="0" w:right="0"/>
              <w:rPr>
                <w:rFonts w:hint="cs"/>
                <w:sz w:val="26"/>
                <w:szCs w:val="26"/>
                <w:rtl/>
              </w:rPr>
            </w:pPr>
            <w:r w:rsidRPr="00F37023">
              <w:rPr>
                <w:rFonts w:hint="cs"/>
                <w:sz w:val="26"/>
                <w:szCs w:val="26"/>
                <w:rtl/>
              </w:rPr>
              <w:t>2004</w:t>
            </w:r>
          </w:p>
        </w:tc>
        <w:tc>
          <w:tcPr>
            <w:tcW w:w="986" w:type="dxa"/>
            <w:tcBorders>
              <w:top w:val="nil"/>
              <w:left w:val="nil"/>
              <w:bottom w:val="single" w:sz="12" w:space="0" w:color="auto"/>
              <w:right w:val="nil"/>
            </w:tcBorders>
          </w:tcPr>
          <w:p w:rsidR="004D3C2E" w:rsidRPr="00F37023" w:rsidRDefault="004D3C2E" w:rsidP="006D0927">
            <w:pPr>
              <w:pStyle w:val="SingleTxt"/>
              <w:ind w:left="0" w:right="0"/>
              <w:rPr>
                <w:rFonts w:hint="cs"/>
                <w:sz w:val="26"/>
                <w:szCs w:val="26"/>
                <w:rtl/>
              </w:rPr>
            </w:pPr>
            <w:r w:rsidRPr="00F37023">
              <w:rPr>
                <w:rFonts w:hint="cs"/>
                <w:sz w:val="26"/>
                <w:szCs w:val="26"/>
                <w:rtl/>
              </w:rPr>
              <w:t>089 5</w:t>
            </w:r>
          </w:p>
        </w:tc>
        <w:tc>
          <w:tcPr>
            <w:tcW w:w="986" w:type="dxa"/>
            <w:tcBorders>
              <w:top w:val="nil"/>
              <w:left w:val="nil"/>
              <w:bottom w:val="single" w:sz="12" w:space="0" w:color="auto"/>
              <w:right w:val="nil"/>
            </w:tcBorders>
          </w:tcPr>
          <w:p w:rsidR="004D3C2E" w:rsidRPr="00F37023" w:rsidRDefault="004D3C2E" w:rsidP="006D0927">
            <w:pPr>
              <w:pStyle w:val="SingleTxt"/>
              <w:ind w:left="0" w:right="0"/>
              <w:rPr>
                <w:rFonts w:hint="cs"/>
                <w:sz w:val="26"/>
                <w:szCs w:val="26"/>
                <w:rtl/>
              </w:rPr>
            </w:pPr>
            <w:r w:rsidRPr="00F37023">
              <w:rPr>
                <w:rFonts w:hint="cs"/>
                <w:sz w:val="26"/>
                <w:szCs w:val="26"/>
                <w:rtl/>
              </w:rPr>
              <w:t>760 9</w:t>
            </w:r>
          </w:p>
        </w:tc>
        <w:tc>
          <w:tcPr>
            <w:tcW w:w="986" w:type="dxa"/>
            <w:tcBorders>
              <w:top w:val="nil"/>
              <w:left w:val="nil"/>
              <w:bottom w:val="single" w:sz="12" w:space="0" w:color="auto"/>
              <w:right w:val="nil"/>
            </w:tcBorders>
          </w:tcPr>
          <w:p w:rsidR="004D3C2E" w:rsidRPr="00F37023" w:rsidRDefault="004D3C2E" w:rsidP="006D0927">
            <w:pPr>
              <w:pStyle w:val="SingleTxt"/>
              <w:ind w:left="0" w:right="0"/>
              <w:rPr>
                <w:rFonts w:hint="cs"/>
                <w:sz w:val="26"/>
                <w:szCs w:val="26"/>
                <w:rtl/>
              </w:rPr>
            </w:pPr>
            <w:r w:rsidRPr="00F37023">
              <w:rPr>
                <w:rFonts w:hint="cs"/>
                <w:sz w:val="26"/>
                <w:szCs w:val="26"/>
                <w:rtl/>
              </w:rPr>
              <w:t>117 1</w:t>
            </w:r>
          </w:p>
        </w:tc>
        <w:tc>
          <w:tcPr>
            <w:tcW w:w="986" w:type="dxa"/>
            <w:tcBorders>
              <w:top w:val="nil"/>
              <w:left w:val="nil"/>
              <w:bottom w:val="single" w:sz="12" w:space="0" w:color="auto"/>
              <w:right w:val="nil"/>
            </w:tcBorders>
          </w:tcPr>
          <w:p w:rsidR="004D3C2E" w:rsidRPr="00F37023" w:rsidRDefault="004D3C2E" w:rsidP="006D0927">
            <w:pPr>
              <w:pStyle w:val="SingleTxt"/>
              <w:ind w:left="0" w:right="0"/>
              <w:rPr>
                <w:rFonts w:hint="cs"/>
                <w:sz w:val="26"/>
                <w:szCs w:val="26"/>
                <w:rtl/>
              </w:rPr>
            </w:pPr>
            <w:r w:rsidRPr="00F37023">
              <w:rPr>
                <w:rFonts w:hint="cs"/>
                <w:sz w:val="26"/>
                <w:szCs w:val="26"/>
                <w:rtl/>
              </w:rPr>
              <w:t>160 1</w:t>
            </w:r>
          </w:p>
        </w:tc>
        <w:tc>
          <w:tcPr>
            <w:tcW w:w="986" w:type="dxa"/>
            <w:tcBorders>
              <w:top w:val="nil"/>
              <w:left w:val="nil"/>
              <w:bottom w:val="single" w:sz="12" w:space="0" w:color="auto"/>
              <w:right w:val="nil"/>
            </w:tcBorders>
          </w:tcPr>
          <w:p w:rsidR="004D3C2E" w:rsidRPr="00F37023" w:rsidRDefault="004D3C2E" w:rsidP="006D0927">
            <w:pPr>
              <w:pStyle w:val="SingleTxt"/>
              <w:ind w:left="0" w:right="0"/>
              <w:rPr>
                <w:rFonts w:hint="cs"/>
                <w:sz w:val="26"/>
                <w:szCs w:val="26"/>
                <w:rtl/>
              </w:rPr>
            </w:pPr>
            <w:r w:rsidRPr="00F37023">
              <w:rPr>
                <w:rFonts w:hint="cs"/>
                <w:sz w:val="26"/>
                <w:szCs w:val="26"/>
                <w:rtl/>
              </w:rPr>
              <w:t>21.9</w:t>
            </w:r>
          </w:p>
        </w:tc>
        <w:tc>
          <w:tcPr>
            <w:tcW w:w="986" w:type="dxa"/>
            <w:tcBorders>
              <w:top w:val="nil"/>
              <w:left w:val="nil"/>
              <w:bottom w:val="single" w:sz="12" w:space="0" w:color="auto"/>
              <w:right w:val="nil"/>
            </w:tcBorders>
          </w:tcPr>
          <w:p w:rsidR="004D3C2E" w:rsidRPr="00F37023" w:rsidRDefault="004D3C2E" w:rsidP="006D0927">
            <w:pPr>
              <w:pStyle w:val="SingleTxt"/>
              <w:ind w:left="0" w:right="0"/>
              <w:rPr>
                <w:rFonts w:hint="cs"/>
                <w:sz w:val="26"/>
                <w:szCs w:val="26"/>
                <w:rtl/>
              </w:rPr>
            </w:pPr>
            <w:r w:rsidRPr="00F37023">
              <w:rPr>
                <w:rFonts w:hint="cs"/>
                <w:sz w:val="26"/>
                <w:szCs w:val="26"/>
                <w:rtl/>
              </w:rPr>
              <w:t>11.9</w:t>
            </w:r>
          </w:p>
        </w:tc>
      </w:tr>
    </w:tbl>
    <w:p w:rsidR="007023B4" w:rsidRPr="007023B4" w:rsidRDefault="007023B4" w:rsidP="007023B4">
      <w:pPr>
        <w:pStyle w:val="SingleTxt"/>
        <w:spacing w:after="0" w:line="120" w:lineRule="exact"/>
        <w:rPr>
          <w:rFonts w:hint="cs"/>
          <w:sz w:val="10"/>
          <w:rtl/>
        </w:rPr>
      </w:pPr>
    </w:p>
    <w:p w:rsidR="004D3C2E" w:rsidRDefault="004D3C2E" w:rsidP="00655E37">
      <w:pPr>
        <w:pStyle w:val="SingleTxt"/>
        <w:spacing w:line="360" w:lineRule="exact"/>
        <w:rPr>
          <w:rFonts w:hint="cs"/>
          <w:rtl/>
        </w:rPr>
      </w:pPr>
      <w:r>
        <w:rPr>
          <w:rFonts w:hint="cs"/>
          <w:rtl/>
        </w:rPr>
        <w:tab/>
        <w:t>ويبين الجدول 1 نتائج الإجراءات المتعلقة باللجوء. وفي أعوام 1994 و 1999 و</w:t>
      </w:r>
      <w:r w:rsidR="00655E37">
        <w:rPr>
          <w:rFonts w:hint="eastAsia"/>
          <w:rtl/>
        </w:rPr>
        <w:t> </w:t>
      </w:r>
      <w:r>
        <w:rPr>
          <w:rFonts w:hint="cs"/>
          <w:rtl/>
        </w:rPr>
        <w:t>2004 منح عدد من الرجال أكبر من النساء مركز اللاجئ. ومع ذلك، فإنه من حيث النسب المئوية، تمت الموافقة بشكل صريح على طلبات اللجوء المقدمة من النساء بأعداد أكبر من الطلبات المقدمة من الرجال. وفي عام 2004 على سبيل المثال، حصلت امرأة واحدة طالبة للجوء من كل خمس نساء (21.9 في المائة) على مركز اللاجئ، مقابل واحد من كل عشرة رجال (11.9 في المائة).</w:t>
      </w:r>
    </w:p>
    <w:p w:rsidR="004D3C2E" w:rsidRPr="00F37023" w:rsidRDefault="00655E37" w:rsidP="00655E37">
      <w:pPr>
        <w:pStyle w:val="SingleTxt"/>
        <w:rPr>
          <w:rFonts w:hint="cs"/>
          <w:i/>
          <w:iCs/>
          <w:rtl/>
        </w:rPr>
      </w:pPr>
      <w:r>
        <w:rPr>
          <w:rFonts w:hint="cs"/>
          <w:rtl/>
        </w:rPr>
        <w:t xml:space="preserve">3-2-  </w:t>
      </w:r>
      <w:r w:rsidR="004D3C2E" w:rsidRPr="00F37023">
        <w:rPr>
          <w:rFonts w:hint="cs"/>
          <w:i/>
          <w:iCs/>
          <w:rtl/>
        </w:rPr>
        <w:t>استقبال طلبات اللجوء</w:t>
      </w:r>
    </w:p>
    <w:p w:rsidR="004D3C2E" w:rsidRDefault="004D3C2E" w:rsidP="004D3C2E">
      <w:pPr>
        <w:pStyle w:val="SingleTxt"/>
        <w:rPr>
          <w:rFonts w:hint="cs"/>
          <w:rtl/>
        </w:rPr>
      </w:pPr>
      <w:r>
        <w:rPr>
          <w:rFonts w:hint="cs"/>
          <w:rtl/>
        </w:rPr>
        <w:tab/>
        <w:t xml:space="preserve">الوكالة الاتحادية لتلقي طلبات اللجوء </w:t>
      </w:r>
      <w:r>
        <w:t>(Fedasil)</w:t>
      </w:r>
      <w:r>
        <w:rPr>
          <w:rFonts w:hint="cs"/>
          <w:rtl/>
        </w:rPr>
        <w:t xml:space="preserve"> هي التي تستقبل طالبي اللجوء. وتتمثل مهمتها في تنظيم استقبال مرن وجيد لطالبي اللجوء في بلجيكا. وعلى الرغم من أن عدد طلبات اللجوء يتفاوت حسب الحالة الدولية المتغيرة على الصعيد السياسي والاقتصادي، فإن الوكالة تكفل، بالتعاون مع شبكة من الشركاء، طاقة لاستيعاب نحو 500</w:t>
      </w:r>
      <w:r>
        <w:rPr>
          <w:rFonts w:hint="eastAsia"/>
          <w:rtl/>
        </w:rPr>
        <w:t> </w:t>
      </w:r>
      <w:r>
        <w:rPr>
          <w:rFonts w:hint="cs"/>
          <w:rtl/>
        </w:rPr>
        <w:t>15 شخص.</w:t>
      </w:r>
    </w:p>
    <w:p w:rsidR="006D0927" w:rsidRDefault="004D3C2E" w:rsidP="006D0927">
      <w:pPr>
        <w:pStyle w:val="SingleTxt"/>
        <w:rPr>
          <w:rFonts w:hint="cs"/>
          <w:rtl/>
        </w:rPr>
      </w:pPr>
      <w:r>
        <w:rPr>
          <w:rFonts w:hint="cs"/>
          <w:rtl/>
        </w:rPr>
        <w:tab/>
        <w:t>ومنذ المرحلة الأولى للإجراء الفعلي لطلب اللجوء، فإن طالبي اللجوء لا يحصلون إلا</w:t>
      </w:r>
      <w:r>
        <w:rPr>
          <w:rFonts w:hint="eastAsia"/>
          <w:rtl/>
        </w:rPr>
        <w:t> </w:t>
      </w:r>
      <w:r>
        <w:rPr>
          <w:rFonts w:hint="cs"/>
          <w:rtl/>
        </w:rPr>
        <w:t xml:space="preserve">على معونة مادية لسد احتياجاتهم الأساسية. ويتم الاستقبال سواء في مراكز ضخمة </w:t>
      </w:r>
      <w:r w:rsidR="006D0927">
        <w:rPr>
          <w:rFonts w:hint="cs"/>
          <w:rtl/>
        </w:rPr>
        <w:t>للاستقبال أو في مساكن خاصة ذات طابع شخصي أكثر. وفضلاً عن السكن والغذاء، يتلقى طالبو اللجوء دعماً اجتماعيا وإدارياً ورعاية طبية أيضاً. وباستطاعتهم المشاركة في مجموعة كبيرة من الأنشطة الترفيهية والتثقيفية والرياضية.</w:t>
      </w:r>
    </w:p>
    <w:p w:rsidR="006D0927" w:rsidRPr="001A4C85" w:rsidRDefault="006D0927" w:rsidP="006D0927">
      <w:pPr>
        <w:pStyle w:val="SingleTxt"/>
        <w:tabs>
          <w:tab w:val="right" w:pos="1022"/>
          <w:tab w:val="left" w:pos="1267"/>
          <w:tab w:val="left" w:pos="1930"/>
          <w:tab w:val="left" w:pos="2592"/>
          <w:tab w:val="left" w:pos="3254"/>
          <w:tab w:val="left" w:pos="3917"/>
          <w:tab w:val="left" w:pos="4579"/>
          <w:tab w:val="left" w:pos="5242"/>
          <w:tab w:val="left" w:pos="5904"/>
          <w:tab w:val="left" w:pos="6566"/>
        </w:tabs>
        <w:spacing w:after="0" w:line="120" w:lineRule="exact"/>
        <w:ind w:hanging="1267"/>
        <w:rPr>
          <w:rFonts w:hint="cs"/>
          <w:sz w:val="10"/>
          <w:rtl/>
        </w:rPr>
      </w:pPr>
    </w:p>
    <w:p w:rsidR="006D0927" w:rsidRPr="00655E37" w:rsidRDefault="006D0927" w:rsidP="007023B4">
      <w:pPr>
        <w:pStyle w:val="SingleTxt"/>
        <w:tabs>
          <w:tab w:val="right" w:pos="1022"/>
          <w:tab w:val="left" w:pos="1267"/>
          <w:tab w:val="left" w:pos="1930"/>
          <w:tab w:val="left" w:pos="2592"/>
          <w:tab w:val="left" w:pos="3254"/>
          <w:tab w:val="left" w:pos="3917"/>
          <w:tab w:val="left" w:pos="4579"/>
          <w:tab w:val="left" w:pos="5242"/>
          <w:tab w:val="left" w:pos="5904"/>
          <w:tab w:val="left" w:pos="6566"/>
        </w:tabs>
        <w:ind w:hanging="1267"/>
        <w:rPr>
          <w:rFonts w:hint="cs"/>
          <w:i/>
          <w:iCs/>
          <w:rtl/>
        </w:rPr>
      </w:pPr>
      <w:r>
        <w:rPr>
          <w:rFonts w:hint="cs"/>
          <w:rtl/>
        </w:rPr>
        <w:tab/>
      </w:r>
      <w:r w:rsidR="007023B4">
        <w:rPr>
          <w:rFonts w:hint="cs"/>
          <w:b/>
          <w:bCs/>
          <w:rtl/>
        </w:rPr>
        <w:tab/>
      </w:r>
      <w:r w:rsidRPr="00655E37">
        <w:rPr>
          <w:rFonts w:hint="cs"/>
          <w:rtl/>
        </w:rPr>
        <w:t>3-2-1</w:t>
      </w:r>
      <w:r w:rsidRPr="00655E37">
        <w:rPr>
          <w:rFonts w:hint="cs"/>
          <w:i/>
          <w:iCs/>
          <w:rtl/>
        </w:rPr>
        <w:t xml:space="preserve"> -</w:t>
      </w:r>
      <w:r w:rsidRPr="00655E37">
        <w:rPr>
          <w:rFonts w:hint="cs"/>
          <w:i/>
          <w:iCs/>
          <w:rtl/>
        </w:rPr>
        <w:tab/>
      </w:r>
      <w:r w:rsidRPr="00655E37">
        <w:rPr>
          <w:rFonts w:hint="cs"/>
          <w:i/>
          <w:iCs/>
          <w:spacing w:val="2"/>
          <w:rtl/>
        </w:rPr>
        <w:t>الإحصاءات</w:t>
      </w:r>
    </w:p>
    <w:p w:rsidR="006D0927" w:rsidRDefault="006D0927" w:rsidP="006D0927">
      <w:pPr>
        <w:pStyle w:val="SingleTxt"/>
        <w:rPr>
          <w:rFonts w:hint="cs"/>
          <w:rtl/>
        </w:rPr>
      </w:pPr>
      <w:r>
        <w:rPr>
          <w:rFonts w:hint="cs"/>
          <w:rtl/>
        </w:rPr>
        <w:tab/>
        <w:t>تجمع الوكالة الاتحادية لاستقبال طالبي اللجوء بصفة منتظمة بيانات إحصائية متنوعة حيث يشكل الجنس فئة هامة. ويمكن في أي لحظة معرفة عدد النساء والرجال الحاضرين في شبكة الاستقبال، وكذلك ما حدث من تطورات تتعلق بوجودهم. وعلى المستوى الفردي، يتم الاحتفاظ بالبيانات المتعلقة بالإجراءات الإدارية والجنسية، ومواعيد الوصول والمغادرة، ومدة الإقامة في شبكة الاستقبال. ويتيح جمع هذه البيانات الإحصائية للوكالة استخلاص نتائج تتعلق بالعوامل الهامة المتعلقة بتنفيذ مهمتها وسياساتها المتعلقة بالاستقبال، الهادفة إلى تحسين وزيادة جودة ظروف استقبال طالبي اللجوء، حيث تشكل مسألة تمكين المرأة والقضاء على التمييز جزءاً لا يتجزأ منها.</w:t>
      </w:r>
    </w:p>
    <w:p w:rsidR="006D0927" w:rsidRPr="00B5368B" w:rsidRDefault="006D0927" w:rsidP="006D0927">
      <w:pPr>
        <w:pStyle w:val="SingleTxt"/>
        <w:rPr>
          <w:rFonts w:hint="cs"/>
          <w:b/>
          <w:bCs/>
          <w:rtl/>
        </w:rPr>
      </w:pPr>
      <w:r>
        <w:rPr>
          <w:rFonts w:hint="cs"/>
          <w:rtl/>
        </w:rPr>
        <w:tab/>
      </w:r>
      <w:r w:rsidRPr="00B5368B">
        <w:rPr>
          <w:rFonts w:hint="cs"/>
          <w:b/>
          <w:bCs/>
          <w:rtl/>
        </w:rPr>
        <w:t xml:space="preserve">وفي الوقت الحالي تشكل </w:t>
      </w:r>
      <w:r>
        <w:rPr>
          <w:rFonts w:hint="cs"/>
          <w:b/>
          <w:bCs/>
          <w:rtl/>
        </w:rPr>
        <w:t xml:space="preserve">النساء </w:t>
      </w:r>
      <w:r w:rsidRPr="00B5368B">
        <w:rPr>
          <w:rFonts w:hint="cs"/>
          <w:b/>
          <w:bCs/>
          <w:rtl/>
        </w:rPr>
        <w:t xml:space="preserve">نحو 38 في المائة من مجموع الأشخاص في شبكة الاستقبال، ومن هذه النسبة 22 في المائة من الراشدات و 16 في المائة من القاصرات. ويرافق الجزء الأكبر من </w:t>
      </w:r>
      <w:r>
        <w:rPr>
          <w:rFonts w:hint="cs"/>
          <w:b/>
          <w:bCs/>
          <w:rtl/>
        </w:rPr>
        <w:t xml:space="preserve">هؤلاء </w:t>
      </w:r>
      <w:r w:rsidRPr="00B5368B">
        <w:rPr>
          <w:rFonts w:hint="cs"/>
          <w:b/>
          <w:bCs/>
          <w:rtl/>
        </w:rPr>
        <w:t>النساء في الشبكة أزو</w:t>
      </w:r>
      <w:r>
        <w:rPr>
          <w:rFonts w:hint="cs"/>
          <w:b/>
          <w:bCs/>
          <w:rtl/>
        </w:rPr>
        <w:t>اجهن أو أفراد أسرهن،في حين أن 6</w:t>
      </w:r>
      <w:r>
        <w:rPr>
          <w:rFonts w:hint="eastAsia"/>
          <w:b/>
          <w:bCs/>
          <w:rtl/>
        </w:rPr>
        <w:t> </w:t>
      </w:r>
      <w:r w:rsidRPr="00B5368B">
        <w:rPr>
          <w:rFonts w:hint="cs"/>
          <w:b/>
          <w:bCs/>
          <w:rtl/>
        </w:rPr>
        <w:t xml:space="preserve">في المائة من النساء </w:t>
      </w:r>
      <w:r>
        <w:rPr>
          <w:rFonts w:hint="cs"/>
          <w:b/>
          <w:bCs/>
          <w:rtl/>
        </w:rPr>
        <w:t xml:space="preserve">عزبات </w:t>
      </w:r>
      <w:r w:rsidRPr="00B5368B">
        <w:rPr>
          <w:rFonts w:hint="cs"/>
          <w:b/>
          <w:bCs/>
          <w:rtl/>
        </w:rPr>
        <w:t>وأقل من 1 في المائة قاصرات بدون مرافق. وتشكل الفتيات غير المصحوبات بأحد 28 في المائة من جميع القصر غير المصحوبين</w:t>
      </w:r>
      <w:r>
        <w:rPr>
          <w:rFonts w:hint="cs"/>
          <w:b/>
          <w:bCs/>
          <w:rtl/>
        </w:rPr>
        <w:t xml:space="preserve"> الذين يعتبرون بالغي الضعف ويتلقون </w:t>
      </w:r>
      <w:r w:rsidRPr="00B5368B">
        <w:rPr>
          <w:rFonts w:hint="cs"/>
          <w:b/>
          <w:bCs/>
          <w:rtl/>
        </w:rPr>
        <w:t xml:space="preserve">بموجب ذلك رعاية مناسبة. </w:t>
      </w:r>
      <w:r>
        <w:rPr>
          <w:rFonts w:hint="cs"/>
          <w:b/>
          <w:bCs/>
          <w:rtl/>
        </w:rPr>
        <w:t xml:space="preserve">ويقضي القصر </w:t>
      </w:r>
      <w:r w:rsidRPr="00B5368B">
        <w:rPr>
          <w:rFonts w:hint="cs"/>
          <w:b/>
          <w:bCs/>
          <w:rtl/>
        </w:rPr>
        <w:t xml:space="preserve">غير </w:t>
      </w:r>
      <w:r>
        <w:rPr>
          <w:rFonts w:hint="cs"/>
          <w:b/>
          <w:bCs/>
          <w:rtl/>
        </w:rPr>
        <w:t xml:space="preserve">المصحوبين </w:t>
      </w:r>
      <w:r w:rsidRPr="00B5368B">
        <w:rPr>
          <w:rFonts w:hint="cs"/>
          <w:b/>
          <w:bCs/>
          <w:rtl/>
        </w:rPr>
        <w:t xml:space="preserve">نحو أسبوعين في مركزين </w:t>
      </w:r>
      <w:r>
        <w:rPr>
          <w:rFonts w:hint="cs"/>
          <w:b/>
          <w:bCs/>
          <w:rtl/>
        </w:rPr>
        <w:t xml:space="preserve">خاصين </w:t>
      </w:r>
      <w:r w:rsidRPr="00B5368B">
        <w:rPr>
          <w:rFonts w:hint="cs"/>
          <w:b/>
          <w:bCs/>
          <w:rtl/>
        </w:rPr>
        <w:t>للتوجيه والملاحظة</w:t>
      </w:r>
      <w:r>
        <w:rPr>
          <w:rFonts w:hint="cs"/>
          <w:b/>
          <w:bCs/>
          <w:rtl/>
        </w:rPr>
        <w:t>،</w:t>
      </w:r>
      <w:r w:rsidRPr="00B5368B">
        <w:rPr>
          <w:rFonts w:hint="cs"/>
          <w:b/>
          <w:bCs/>
          <w:rtl/>
        </w:rPr>
        <w:t xml:space="preserve"> ثم </w:t>
      </w:r>
      <w:r>
        <w:rPr>
          <w:rFonts w:hint="cs"/>
          <w:b/>
          <w:bCs/>
          <w:rtl/>
        </w:rPr>
        <w:t xml:space="preserve">ينتقلون </w:t>
      </w:r>
      <w:r w:rsidRPr="00B5368B">
        <w:rPr>
          <w:rFonts w:hint="cs"/>
          <w:b/>
          <w:bCs/>
          <w:rtl/>
        </w:rPr>
        <w:t>بعد ذلك إلى مرفق الاستقبال المناسب بدرجة أكبر. وتعتبر النساء الحوامل ضعيفات أيضاً و</w:t>
      </w:r>
      <w:r>
        <w:rPr>
          <w:rFonts w:hint="cs"/>
          <w:b/>
          <w:bCs/>
          <w:rtl/>
        </w:rPr>
        <w:t>ي</w:t>
      </w:r>
      <w:r w:rsidRPr="00B5368B">
        <w:rPr>
          <w:rFonts w:hint="cs"/>
          <w:b/>
          <w:bCs/>
          <w:rtl/>
        </w:rPr>
        <w:t xml:space="preserve">تلقين رعاية تبعاً لذلك. وقامت </w:t>
      </w:r>
      <w:r>
        <w:rPr>
          <w:rFonts w:hint="cs"/>
          <w:b/>
          <w:bCs/>
          <w:rtl/>
        </w:rPr>
        <w:t>الوكالة الاتحادية</w:t>
      </w:r>
      <w:r w:rsidRPr="00B5368B">
        <w:rPr>
          <w:rFonts w:hint="cs"/>
          <w:b/>
          <w:bCs/>
          <w:rtl/>
        </w:rPr>
        <w:t>، في السنوات الأخيرة، بتسجيل ما يتراوح بين 320 و 400 حالة ولادة في السنة في مراكز الاستقبال.</w:t>
      </w:r>
    </w:p>
    <w:p w:rsidR="006D0927" w:rsidRPr="001A4C85" w:rsidRDefault="006D0927" w:rsidP="006D0927">
      <w:pPr>
        <w:pStyle w:val="SingleTxt"/>
        <w:tabs>
          <w:tab w:val="right" w:pos="1022"/>
          <w:tab w:val="left" w:pos="1267"/>
          <w:tab w:val="left" w:pos="1930"/>
          <w:tab w:val="left" w:pos="2592"/>
          <w:tab w:val="left" w:pos="3254"/>
          <w:tab w:val="left" w:pos="3917"/>
          <w:tab w:val="left" w:pos="4579"/>
          <w:tab w:val="left" w:pos="5242"/>
          <w:tab w:val="left" w:pos="5904"/>
          <w:tab w:val="left" w:pos="6566"/>
        </w:tabs>
        <w:spacing w:after="0" w:line="120" w:lineRule="exact"/>
        <w:ind w:hanging="1267"/>
        <w:rPr>
          <w:rFonts w:hint="cs"/>
          <w:i/>
          <w:iCs/>
          <w:sz w:val="10"/>
          <w:rtl/>
        </w:rPr>
      </w:pPr>
    </w:p>
    <w:p w:rsidR="006D0927" w:rsidRPr="00655E37" w:rsidRDefault="006D0927" w:rsidP="00655E37">
      <w:pPr>
        <w:pStyle w:val="SingleTxt"/>
        <w:tabs>
          <w:tab w:val="right" w:pos="1022"/>
          <w:tab w:val="left" w:pos="1267"/>
          <w:tab w:val="left" w:pos="1930"/>
          <w:tab w:val="left" w:pos="2592"/>
          <w:tab w:val="left" w:pos="3254"/>
          <w:tab w:val="left" w:pos="3917"/>
          <w:tab w:val="left" w:pos="4579"/>
          <w:tab w:val="left" w:pos="5242"/>
          <w:tab w:val="left" w:pos="5904"/>
          <w:tab w:val="left" w:pos="6566"/>
        </w:tabs>
        <w:ind w:hanging="1267"/>
        <w:rPr>
          <w:rFonts w:hint="cs"/>
          <w:spacing w:val="2"/>
          <w:rtl/>
        </w:rPr>
      </w:pPr>
      <w:r>
        <w:rPr>
          <w:rFonts w:hint="cs"/>
          <w:i/>
          <w:iCs/>
          <w:rtl/>
        </w:rPr>
        <w:tab/>
      </w:r>
      <w:r w:rsidR="00655E37">
        <w:rPr>
          <w:rFonts w:hint="cs"/>
          <w:rtl/>
        </w:rPr>
        <w:tab/>
      </w:r>
      <w:r w:rsidRPr="00655E37">
        <w:rPr>
          <w:rFonts w:hint="cs"/>
          <w:rtl/>
        </w:rPr>
        <w:t>3-2-2-</w:t>
      </w:r>
      <w:r w:rsidR="00655E37">
        <w:rPr>
          <w:rFonts w:hint="cs"/>
          <w:i/>
          <w:iCs/>
          <w:rtl/>
        </w:rPr>
        <w:t xml:space="preserve">  </w:t>
      </w:r>
      <w:r w:rsidRPr="00655E37">
        <w:rPr>
          <w:rFonts w:hint="cs"/>
          <w:i/>
          <w:iCs/>
          <w:spacing w:val="2"/>
          <w:rtl/>
        </w:rPr>
        <w:t>الموظفون</w:t>
      </w:r>
    </w:p>
    <w:p w:rsidR="006D0927" w:rsidRDefault="006D0927" w:rsidP="006D0927">
      <w:pPr>
        <w:pStyle w:val="SingleTxt"/>
        <w:rPr>
          <w:rFonts w:hint="cs"/>
          <w:rtl/>
        </w:rPr>
      </w:pPr>
      <w:r>
        <w:rPr>
          <w:rFonts w:hint="cs"/>
          <w:rtl/>
        </w:rPr>
        <w:tab/>
        <w:t>لدى موظفي الاستقبال وعي متزايد باحتياجات طالبات اللجوء. ويكفلون لهن الرفاهية والتقدم بمختلف الطرق. ويتم تبادل التجارب والممارسات والارتقاء بالأعمال الحسنة على وجه نشط.</w:t>
      </w:r>
    </w:p>
    <w:p w:rsidR="006D0927" w:rsidRDefault="006D0927" w:rsidP="006D092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ويتم إعلام المرشدين الاجتماعيين والموظفين الآخرين وتدريبهم بشكل خاص بواسطة منظمات لديها خبرة فيما يتعلق بطالبات اللجوء. ويتم تنظيم جلسات إعلامية حول موضوعات محددة تتعلق بصفة خاصة بمشكلات طالبات اللجوء، مثل ختان الإناث والحصول على الرعاية الصحية.</w:t>
      </w:r>
    </w:p>
    <w:p w:rsidR="006D0927" w:rsidRDefault="006D0927" w:rsidP="006D092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ويعار اهتمام خاص إلى مسألة التوازن بين الرجل والمرأة في مسألة تعيين الموظفين. وهذه المسألة ليست مدفوعة فحسب بسياسات التنوع أو التوازن بين الموارد البشرية من الرجال والنساء، ولكن الأمر يتعلق أيضاً بضمان وصول أنثى في كل وقت إلى أن تكون من الموظفين. وفي عام 2005 اعتبرت الوكالة الاتحادية لتلقي طلبات اللجوء في سان - ترون أكثر مؤسسة مناسبة للمرأة.</w:t>
      </w:r>
    </w:p>
    <w:p w:rsidR="006D0927" w:rsidRDefault="006D0927" w:rsidP="006D092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وتكفل الاختصاصيات الاجتماعيات حضورهن في المساء للحديث مع النساء اللاتي ينزعن إلى أن يكن موجودات بقدر أكبر من السهولة في هذا الوقت من اليوم وأقل شعوراً بالعقدة النفسية إذا ما تمت زيارتهن بدلاً من أن يتعين عليهن التوجه بأنفسهن إلى مكتب الاختصاصية الاجتماعية.</w:t>
      </w:r>
    </w:p>
    <w:p w:rsidR="006D0927" w:rsidRDefault="006D0927" w:rsidP="006D092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ويعار اهتمام خاص لاستقبال النساء العزبات ذوات الأطفال: وتقوم الاختصاصية الاجتماعية بشرح الإجراءات المتعلقة بطلب اللجوء والنظام الداخلي في جو يتيح التفاعل والمناقشة.</w:t>
      </w:r>
    </w:p>
    <w:p w:rsidR="006D0927" w:rsidRDefault="006D0927" w:rsidP="006D092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وتبذل عناية خاصة من أجل أن يتوافر لدى الموظفين وعي بالمتطلبات المؤسسية التي تفرض أن يعامل جميع الأفراد المقيمين في مرافق الاستقبال على نحو متساو وموضع احترام، مع حظر جميع أنواع التمييز من عنصري أو جنسي.</w:t>
      </w:r>
    </w:p>
    <w:p w:rsidR="006D0927" w:rsidRDefault="006D0927" w:rsidP="006D092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ولا يتم التسامح مع العنف العائلي والإساءة أو المعاملة السيئة ضد المرأة، ويعاقب الجاني. ويتم تشجيع الموظفين على الانتباه إلى دلائل العنف العائلي وعلى التدخل بدلاً من انتظار تحرك المرأة.</w:t>
      </w:r>
    </w:p>
    <w:p w:rsidR="006D0927" w:rsidRDefault="006D0927" w:rsidP="006D092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وبقدر الإمكان، يتم توفير مترجمات تحريريات للنساء لدى توجههن إلى الدوائر الاجتماعية أو الطبية.</w:t>
      </w:r>
    </w:p>
    <w:p w:rsidR="006D0927" w:rsidRDefault="006D0927" w:rsidP="006D092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وتتخذ عند الإمكان ترتيبات لكفالة الوصول إلى طبيبات أو اختصاصيات في أمراض</w:t>
      </w:r>
      <w:r>
        <w:rPr>
          <w:rFonts w:hint="eastAsia"/>
          <w:rtl/>
        </w:rPr>
        <w:t> </w:t>
      </w:r>
      <w:r>
        <w:rPr>
          <w:rFonts w:hint="cs"/>
          <w:rtl/>
        </w:rPr>
        <w:t>النساء.</w:t>
      </w:r>
    </w:p>
    <w:p w:rsidR="006D0927" w:rsidRPr="00DC3BC8" w:rsidRDefault="006D0927" w:rsidP="006D0927">
      <w:pPr>
        <w:pStyle w:val="SingleTxt"/>
        <w:tabs>
          <w:tab w:val="right" w:pos="1022"/>
          <w:tab w:val="left" w:pos="1267"/>
          <w:tab w:val="left" w:pos="1930"/>
          <w:tab w:val="left" w:pos="2592"/>
          <w:tab w:val="left" w:pos="3254"/>
          <w:tab w:val="left" w:pos="3917"/>
          <w:tab w:val="left" w:pos="4579"/>
          <w:tab w:val="left" w:pos="5242"/>
          <w:tab w:val="left" w:pos="5904"/>
          <w:tab w:val="left" w:pos="6566"/>
        </w:tabs>
        <w:spacing w:after="0" w:line="120" w:lineRule="exact"/>
        <w:ind w:hanging="1267"/>
        <w:rPr>
          <w:rFonts w:hint="cs"/>
          <w:i/>
          <w:iCs/>
          <w:sz w:val="10"/>
          <w:rtl/>
        </w:rPr>
      </w:pPr>
    </w:p>
    <w:p w:rsidR="006D0927" w:rsidRPr="00655E37" w:rsidRDefault="006D0927" w:rsidP="00655E37">
      <w:pPr>
        <w:pStyle w:val="SingleTxt"/>
        <w:tabs>
          <w:tab w:val="right" w:pos="1022"/>
          <w:tab w:val="left" w:pos="1267"/>
          <w:tab w:val="left" w:pos="1930"/>
          <w:tab w:val="left" w:pos="2592"/>
          <w:tab w:val="left" w:pos="3254"/>
          <w:tab w:val="left" w:pos="3917"/>
          <w:tab w:val="left" w:pos="4579"/>
          <w:tab w:val="left" w:pos="5242"/>
          <w:tab w:val="left" w:pos="5904"/>
          <w:tab w:val="left" w:pos="6566"/>
        </w:tabs>
        <w:ind w:hanging="1267"/>
        <w:rPr>
          <w:rFonts w:hint="cs"/>
          <w:i/>
          <w:iCs/>
          <w:rtl/>
        </w:rPr>
      </w:pPr>
      <w:r w:rsidRPr="00655E37">
        <w:rPr>
          <w:rFonts w:hint="cs"/>
          <w:rtl/>
        </w:rPr>
        <w:tab/>
      </w:r>
      <w:r w:rsidRPr="00655E37">
        <w:rPr>
          <w:rFonts w:hint="cs"/>
          <w:rtl/>
        </w:rPr>
        <w:tab/>
      </w:r>
      <w:r w:rsidR="00655E37" w:rsidRPr="00655E37">
        <w:rPr>
          <w:rFonts w:hint="cs"/>
          <w:rtl/>
        </w:rPr>
        <w:t>3-2-3-</w:t>
      </w:r>
      <w:r w:rsidR="00655E37">
        <w:rPr>
          <w:rFonts w:hint="cs"/>
          <w:spacing w:val="2"/>
          <w:rtl/>
        </w:rPr>
        <w:t xml:space="preserve">  </w:t>
      </w:r>
      <w:r w:rsidRPr="00655E37">
        <w:rPr>
          <w:rFonts w:hint="cs"/>
          <w:spacing w:val="2"/>
          <w:rtl/>
        </w:rPr>
        <w:t>اللوازم والمرافق</w:t>
      </w:r>
    </w:p>
    <w:p w:rsidR="006D0927" w:rsidRDefault="006D0927" w:rsidP="006D092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rtl/>
        </w:rPr>
        <w:tab/>
        <w:t>تتلقى النساء، في طرد من الأصناف القياسية الشهرية، أدوات للحماية الصحية والواقيات. ويتم عند الطلب تقديم مزيلات للروائح وشفرات.</w:t>
      </w:r>
    </w:p>
    <w:p w:rsidR="006D0927" w:rsidRDefault="006D0927" w:rsidP="006D092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وتتاح للنساء موانع للحمل عن طريق الدوائر الطبية في مراكز الاستقبال.</w:t>
      </w:r>
    </w:p>
    <w:p w:rsidR="006D0927" w:rsidRDefault="006D0927" w:rsidP="006D092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والمرافق الصحية الخاصة بالنساء منفصلة عن مرافق الرجال.</w:t>
      </w:r>
    </w:p>
    <w:p w:rsidR="006D0927" w:rsidRDefault="006D0927" w:rsidP="006D092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وتنشأ قاعات للألعاب من أجل النساء وأطفالهن.</w:t>
      </w:r>
    </w:p>
    <w:p w:rsidR="006D0927" w:rsidRDefault="006D0927" w:rsidP="006D092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وفي مراكز معينة تتاح للنساء حجرة خاصة لمشاهدة التليفزيون.</w:t>
      </w:r>
    </w:p>
    <w:p w:rsidR="006D0927" w:rsidRDefault="006D0927" w:rsidP="006D092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وفي مراكز الاستقبال الكبرى، تقيم النساء في الأجنحة الخاصة بهن.</w:t>
      </w:r>
    </w:p>
    <w:p w:rsidR="006D0927" w:rsidRDefault="006D0927" w:rsidP="006D092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وتسأل النساء عن احتياجاتهن من حيث المرافق واللوازم، وتلبي احتياجاتهن بقدر</w:t>
      </w:r>
      <w:r>
        <w:rPr>
          <w:rFonts w:hint="eastAsia"/>
          <w:rtl/>
        </w:rPr>
        <w:t> </w:t>
      </w:r>
      <w:r>
        <w:rPr>
          <w:rFonts w:hint="cs"/>
          <w:rtl/>
        </w:rPr>
        <w:t>الإمكان.</w:t>
      </w:r>
    </w:p>
    <w:p w:rsidR="006D0927" w:rsidRDefault="006D0927" w:rsidP="006D092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وبعض المراكز تهيئ حجرة للكي متاحة للنساء فقط؛ وبالمثل توفر بعض المراكز أماكن للطعام وأماكن مخصصة للحياكة وقاعات مخصصة للنساء دون غيرهن.</w:t>
      </w:r>
    </w:p>
    <w:p w:rsidR="006D0927" w:rsidRPr="00F71780" w:rsidRDefault="006D0927" w:rsidP="006D092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i/>
          <w:iCs/>
          <w:sz w:val="10"/>
          <w:rtl/>
        </w:rPr>
      </w:pPr>
    </w:p>
    <w:p w:rsidR="006D0927" w:rsidRPr="00F37023" w:rsidRDefault="006D0927" w:rsidP="006D0927">
      <w:pPr>
        <w:pStyle w:val="SingleTxt"/>
        <w:tabs>
          <w:tab w:val="right" w:pos="1022"/>
          <w:tab w:val="left" w:pos="1267"/>
          <w:tab w:val="left" w:pos="1930"/>
          <w:tab w:val="left" w:pos="2592"/>
          <w:tab w:val="left" w:pos="3254"/>
          <w:tab w:val="left" w:pos="3917"/>
          <w:tab w:val="left" w:pos="4579"/>
          <w:tab w:val="left" w:pos="5242"/>
          <w:tab w:val="left" w:pos="5904"/>
          <w:tab w:val="left" w:pos="6566"/>
        </w:tabs>
        <w:ind w:hanging="1267"/>
        <w:rPr>
          <w:rFonts w:hint="cs"/>
          <w:i/>
          <w:iCs/>
          <w:rtl/>
        </w:rPr>
      </w:pPr>
      <w:r>
        <w:rPr>
          <w:rFonts w:hint="cs"/>
          <w:rtl/>
        </w:rPr>
        <w:tab/>
      </w:r>
      <w:r>
        <w:rPr>
          <w:rFonts w:hint="cs"/>
          <w:rtl/>
        </w:rPr>
        <w:tab/>
      </w:r>
      <w:r w:rsidRPr="00655E37">
        <w:rPr>
          <w:rFonts w:hint="cs"/>
          <w:rtl/>
        </w:rPr>
        <w:t>3-2-4</w:t>
      </w:r>
      <w:r w:rsidRPr="00655E37">
        <w:rPr>
          <w:rFonts w:hint="cs"/>
          <w:i/>
          <w:iCs/>
          <w:rtl/>
        </w:rPr>
        <w:t xml:space="preserve"> -</w:t>
      </w:r>
      <w:r w:rsidRPr="00F37023">
        <w:rPr>
          <w:rFonts w:hint="cs"/>
          <w:i/>
          <w:iCs/>
          <w:rtl/>
        </w:rPr>
        <w:tab/>
      </w:r>
      <w:r w:rsidRPr="00655E37">
        <w:rPr>
          <w:rFonts w:hint="cs"/>
          <w:i/>
          <w:iCs/>
          <w:spacing w:val="2"/>
          <w:rtl/>
        </w:rPr>
        <w:t>الأنشطة</w:t>
      </w:r>
    </w:p>
    <w:p w:rsidR="006D0927" w:rsidRDefault="006D0927" w:rsidP="006D092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Pr>
          <w:rFonts w:hint="cs"/>
          <w:rtl/>
        </w:rPr>
        <w:tab/>
        <w:t>يتم تنظيم مجموعات للمناقشة مخصصة بشكل منفصل للنساء، أو</w:t>
      </w:r>
      <w:r>
        <w:rPr>
          <w:rFonts w:hint="eastAsia"/>
          <w:rtl/>
        </w:rPr>
        <w:t> </w:t>
      </w:r>
      <w:r>
        <w:rPr>
          <w:rFonts w:hint="cs"/>
          <w:rtl/>
        </w:rPr>
        <w:t>الرجال، أو النساء مع مهاجرات أخريات غير مقيمات في شبكة اللجوء، أو النساء الوحيدات اللاتي يتقاسمن عنبراً للنوم أو للأمهات. والهدف الرئيسي من مجموعات المناقشة المنفصلة هذه هو ضمان حرية التعبير عن المشاعر والتجارب، دون خوف أو ضغط، ومناقشة وحل النساء أنفسهن للمشكلات المشتركة.</w:t>
      </w:r>
    </w:p>
    <w:p w:rsidR="006D0927" w:rsidRDefault="006D0927" w:rsidP="006D092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وتقدم معلومات نوعية إلى المقيمين بشكل منفصل: وتتعلق هذه المعلومات بالأمراض التي تنتقل عن طريق الاتصال الجنسي، والمعاملة السيئة، والتجاوزات والانتصاف القانوني؛ والرعاية الصحية؛ ...</w:t>
      </w:r>
    </w:p>
    <w:p w:rsidR="006D0927" w:rsidRDefault="006D0927" w:rsidP="006D092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وتنظيم أنشطة نوعية من أجل المرأة، أو تحدد ساعات معينة متاحة للمرأة وحدها من أجل اللياقة البدنية على سبيل المثال، ومقاهي الإنترنت، وكرة السلة، والسباحة، ورياضة الإيروبيك، وجلسات الشاي، وأشغال الحياكة، ودروس الطهي، وتصفيف الشعر، وأشغال الإبرة، وصنع الحلي، وأعمال الترقيع، وأعمال المكياج، إلخ، والقيام بزيارات إلى المتاحف أو القيام بأعمال ثقافية أخرى، فضلاً عن القيام بأنشطة مسائية تتيح للمرأة الاختيار بين طائفة واسعة من الأنشطة.</w:t>
      </w:r>
    </w:p>
    <w:p w:rsidR="006D0927" w:rsidRDefault="006D0927" w:rsidP="006D092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ويجري تنظيم تدريبات تستهدف المرأة بوجه أخص (الحياكة وتصفيف الشعر، ...) وتم تخصيص بعض الدروس للمرأة.</w:t>
      </w:r>
    </w:p>
    <w:p w:rsidR="006D0927" w:rsidRDefault="006D0927" w:rsidP="006D092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ويجري تنظيم دور للحضانة، سواء بناءً على مبادرة من مركز الاستقبال، أو بمبادرة من الأمهات أنفسهن.</w:t>
      </w:r>
    </w:p>
    <w:p w:rsidR="006D0927" w:rsidRDefault="006D0927" w:rsidP="006D092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وتكفل المشاركة والتعاون من جانب مركز الاستقبال في الأحداث الإقليمية، مثل يوم المرأة أو يوم اللاجئين.</w:t>
      </w:r>
    </w:p>
    <w:p w:rsidR="006D0927" w:rsidRDefault="006D0927" w:rsidP="006D092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ويجري توفير رعاية طبية خصيصاً للنساء والمراهقات والحوامل.</w:t>
      </w:r>
    </w:p>
    <w:p w:rsidR="006D0927" w:rsidRDefault="006D0927" w:rsidP="006D092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ويجري تقديم معلومات ورعاية محددة للأمهات الشابات وأطفالهن بمعرفة مركز الاستقبال أو جهات خارجية، أو يجري بدلا من ذلك تبادل المعرفة والخبرات في جماعات النقاش التي تنظم لهذا الغرض بصفة خاصة.</w:t>
      </w:r>
    </w:p>
    <w:p w:rsidR="006D0927" w:rsidRDefault="006D0927" w:rsidP="006D092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وغالبا ما تتضمن أنشطة التبادل مع المتطوعين أو الجيران تناول وجبات غذائية متعددة الثقافات وتشكل بالتالي عامل جذب للمقيمين.</w:t>
      </w:r>
    </w:p>
    <w:p w:rsidR="006D0927" w:rsidRPr="008F22A3" w:rsidRDefault="006D0927" w:rsidP="006D092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i/>
          <w:iCs/>
          <w:sz w:val="10"/>
          <w:rtl/>
        </w:rPr>
      </w:pPr>
    </w:p>
    <w:p w:rsidR="006D0927" w:rsidRPr="00655E37" w:rsidRDefault="006D0927" w:rsidP="006D0927">
      <w:pPr>
        <w:pStyle w:val="SingleTxt"/>
        <w:tabs>
          <w:tab w:val="right" w:pos="1022"/>
          <w:tab w:val="left" w:pos="1267"/>
          <w:tab w:val="left" w:pos="1930"/>
          <w:tab w:val="left" w:pos="2592"/>
          <w:tab w:val="left" w:pos="3254"/>
          <w:tab w:val="left" w:pos="3917"/>
          <w:tab w:val="left" w:pos="4579"/>
          <w:tab w:val="left" w:pos="5242"/>
          <w:tab w:val="left" w:pos="5904"/>
          <w:tab w:val="left" w:pos="6566"/>
        </w:tabs>
        <w:ind w:hanging="1267"/>
        <w:rPr>
          <w:rFonts w:hint="cs"/>
          <w:i/>
          <w:iCs/>
          <w:rtl/>
        </w:rPr>
      </w:pPr>
      <w:r>
        <w:rPr>
          <w:rFonts w:hint="cs"/>
          <w:rtl/>
        </w:rPr>
        <w:tab/>
      </w:r>
      <w:r w:rsidRPr="00B81EDC">
        <w:rPr>
          <w:rFonts w:hint="cs"/>
          <w:b/>
          <w:bCs/>
          <w:rtl/>
        </w:rPr>
        <w:tab/>
      </w:r>
      <w:r w:rsidRPr="0039161D">
        <w:rPr>
          <w:rFonts w:hint="cs"/>
          <w:rtl/>
        </w:rPr>
        <w:t>3</w:t>
      </w:r>
      <w:r w:rsidRPr="00655E37">
        <w:rPr>
          <w:rFonts w:hint="cs"/>
          <w:rtl/>
        </w:rPr>
        <w:t>-2-5</w:t>
      </w:r>
      <w:r w:rsidRPr="00655E37">
        <w:rPr>
          <w:rFonts w:hint="cs"/>
          <w:i/>
          <w:iCs/>
          <w:rtl/>
        </w:rPr>
        <w:t xml:space="preserve"> -</w:t>
      </w:r>
      <w:r w:rsidRPr="00655E37">
        <w:rPr>
          <w:rFonts w:hint="cs"/>
          <w:i/>
          <w:iCs/>
          <w:rtl/>
        </w:rPr>
        <w:tab/>
      </w:r>
      <w:r w:rsidRPr="00655E37">
        <w:rPr>
          <w:rFonts w:hint="cs"/>
          <w:i/>
          <w:iCs/>
          <w:spacing w:val="2"/>
          <w:rtl/>
        </w:rPr>
        <w:t>خاتمة</w:t>
      </w:r>
    </w:p>
    <w:p w:rsidR="006D0927" w:rsidRDefault="006D0927" w:rsidP="006D0927">
      <w:pPr>
        <w:pStyle w:val="SingleTxt"/>
        <w:rPr>
          <w:rFonts w:hint="cs"/>
          <w:rtl/>
          <w:lang w:bidi="ar-EG"/>
        </w:rPr>
      </w:pPr>
      <w:r>
        <w:rPr>
          <w:rFonts w:hint="cs"/>
          <w:rtl/>
        </w:rPr>
        <w:tab/>
        <w:t>يتطلب القضاء على التمييز وتعزيز سلطة المرأة جهداً متواصلاً. وتعمل الوكالة الاتحادية لتلقي طلبات اللجوء باستمرار على تحسين ممارساتها وتأثيراتها. ويجري حالياً تنفيذ مشروع ينطوي على إطار قانوني ويكفل تنفيذ التوجيه الأوروبي (</w:t>
      </w:r>
      <w:r>
        <w:t>2003/9/EC</w:t>
      </w:r>
      <w:r>
        <w:rPr>
          <w:rFonts w:hint="cs"/>
          <w:rtl/>
          <w:lang w:bidi="ar-EG"/>
        </w:rPr>
        <w:t>) الذي ينشئ قواعد دنيا لاستقبال طالبي اللجوء. وعندما يتحول التوجيه إلى توجيهات عملية وتعليمات تصدر لجميع الشركاء النشطين في مجال الاستقبال، فإنه يولى اهتمام خاص لطالبات اللجوء واحتياجاتهن النوعية.</w:t>
      </w:r>
    </w:p>
    <w:p w:rsidR="006D0927" w:rsidRPr="00A214CE" w:rsidRDefault="006D0927" w:rsidP="006D0927">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szCs w:val="34"/>
          <w:rtl/>
        </w:rPr>
      </w:pPr>
    </w:p>
    <w:p w:rsidR="006D0927" w:rsidRPr="009B258E" w:rsidRDefault="006D0927" w:rsidP="006D0927">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9B258E">
        <w:rPr>
          <w:rFonts w:hint="cs"/>
          <w:rtl/>
        </w:rPr>
        <w:tab/>
        <w:t>ثانيا -</w:t>
      </w:r>
      <w:r w:rsidRPr="009B258E">
        <w:rPr>
          <w:rFonts w:hint="cs"/>
          <w:rtl/>
        </w:rPr>
        <w:tab/>
        <w:t>الكيانات الاتحادية</w:t>
      </w:r>
    </w:p>
    <w:p w:rsidR="006D0927" w:rsidRPr="009B258E" w:rsidRDefault="006D0927" w:rsidP="006D092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9B258E">
        <w:rPr>
          <w:rFonts w:hint="cs"/>
          <w:rtl/>
        </w:rPr>
        <w:tab/>
        <w:t>ألف -</w:t>
      </w:r>
      <w:r w:rsidRPr="009B258E">
        <w:rPr>
          <w:rFonts w:hint="cs"/>
          <w:rtl/>
        </w:rPr>
        <w:tab/>
      </w:r>
      <w:r>
        <w:rPr>
          <w:rFonts w:hint="cs"/>
          <w:rtl/>
        </w:rPr>
        <w:t xml:space="preserve">الإقليم </w:t>
      </w:r>
      <w:r w:rsidRPr="009B258E">
        <w:rPr>
          <w:rFonts w:hint="cs"/>
          <w:rtl/>
        </w:rPr>
        <w:t>و</w:t>
      </w:r>
      <w:r>
        <w:rPr>
          <w:rFonts w:hint="cs"/>
          <w:rtl/>
        </w:rPr>
        <w:t>ال</w:t>
      </w:r>
      <w:r w:rsidRPr="009B258E">
        <w:rPr>
          <w:rFonts w:hint="cs"/>
          <w:rtl/>
        </w:rPr>
        <w:t>مجتمع الفلمن</w:t>
      </w:r>
      <w:r>
        <w:rPr>
          <w:rFonts w:hint="cs"/>
          <w:rtl/>
        </w:rPr>
        <w:t>ديان</w:t>
      </w:r>
    </w:p>
    <w:p w:rsidR="006D0927" w:rsidRPr="009B258E" w:rsidRDefault="006D0927" w:rsidP="006D092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b w:val="0"/>
          <w:bCs w:val="0"/>
          <w:rtl/>
        </w:rPr>
      </w:pPr>
      <w:r>
        <w:rPr>
          <w:rFonts w:hint="cs"/>
          <w:rtl/>
        </w:rPr>
        <w:tab/>
      </w:r>
      <w:r w:rsidRPr="009B258E">
        <w:rPr>
          <w:rFonts w:hint="cs"/>
          <w:rtl/>
        </w:rPr>
        <w:t>1 -</w:t>
      </w:r>
      <w:r w:rsidRPr="009B258E">
        <w:rPr>
          <w:rFonts w:hint="cs"/>
          <w:rtl/>
        </w:rPr>
        <w:tab/>
        <w:t>أسلوب التنسيق المفتوح لتعميم مراعاة المنظور الجنساني</w:t>
      </w:r>
    </w:p>
    <w:p w:rsidR="006D0927" w:rsidRDefault="006D0927" w:rsidP="006D0927">
      <w:pPr>
        <w:pStyle w:val="SingleTxt"/>
        <w:rPr>
          <w:rFonts w:hint="cs"/>
          <w:rtl/>
          <w:lang w:bidi="ar-EG"/>
        </w:rPr>
      </w:pPr>
      <w:r>
        <w:rPr>
          <w:rFonts w:hint="cs"/>
          <w:rtl/>
          <w:lang w:bidi="ar-EG"/>
        </w:rPr>
        <w:tab/>
        <w:t>منذ عام 2005، تم تطوير العنصر الأفقي (تعميم المراعاة) في السياسة الفلمندية لتكافؤ الفرص وإدراجه بشكل هيكلي. وتحقيقاً لذلك، يستخدم أسلوب التنسيق المفتوح.</w:t>
      </w:r>
    </w:p>
    <w:p w:rsidR="006D0927" w:rsidRDefault="006D0927" w:rsidP="006D0927">
      <w:pPr>
        <w:pStyle w:val="SingleTxt"/>
        <w:rPr>
          <w:rFonts w:hint="cs"/>
          <w:rtl/>
          <w:lang w:bidi="ar-EG"/>
        </w:rPr>
      </w:pPr>
      <w:r>
        <w:rPr>
          <w:rFonts w:hint="cs"/>
          <w:rtl/>
          <w:lang w:bidi="ar-EG"/>
        </w:rPr>
        <w:tab/>
        <w:t xml:space="preserve">وفي خريف عام 2005، وبعد قرار الحكومة استخدام أسلوب التنسيق المفتوح بوصفه أسلوب عمل، عقدت محادثات ثنائية بين فعاليات السياسة الفلمندية لتكافؤ الفرص من ناحية وممثلي مكاتب مختلف الوزراء التنفيذيين من ناحية أخرى. وتم في هذه الحوارات مناقشة إمكانيات إدراج زاوية لتكافؤ الفرص في مجالات اختصاص كل مكتب. وبعد ذلك، قدم جميع الوزراء الفلمنديين مقترحات تتعلق بأهداف استراتيجية وعملية في ميدان تكافؤ الفرص، وعلى الأخص فيما يتعلق بمسائل الجنسانية والميول الجنسية وإمكانية اللقاء الجسدي. وأدرجت هذه المقترحات في </w:t>
      </w:r>
      <w:r>
        <w:rPr>
          <w:rFonts w:hint="eastAsia"/>
          <w:rtl/>
          <w:lang w:bidi="ar-EG"/>
        </w:rPr>
        <w:t>مذكرة أهداف</w:t>
      </w:r>
      <w:r>
        <w:rPr>
          <w:rFonts w:hint="cs"/>
          <w:rtl/>
          <w:lang w:bidi="ar-EG"/>
        </w:rPr>
        <w:t xml:space="preserve"> واحدة اعتمدتها اللجنة الوزارية الفلمندية لتكافؤ الفرص في 24 آذار/مارس 2006. ثم أصدرت هذه اللجنة تعليماتها إلى رؤساء الإدارات لإنشاء لجنة جديدة لتكافؤ الفرص تضم ممثلين لمجالات السياسة الثلاثة عشر.</w:t>
      </w:r>
    </w:p>
    <w:p w:rsidR="006D0927" w:rsidRDefault="006D0927" w:rsidP="006D0927">
      <w:pPr>
        <w:pStyle w:val="SingleTxt"/>
        <w:rPr>
          <w:rFonts w:hint="cs"/>
          <w:rtl/>
          <w:lang w:bidi="ar-EG"/>
        </w:rPr>
      </w:pPr>
      <w:r>
        <w:rPr>
          <w:rFonts w:hint="cs"/>
          <w:rtl/>
          <w:lang w:bidi="ar-EG"/>
        </w:rPr>
        <w:tab/>
        <w:t>وقد اجتمعت لجنة تكافؤ الفرص هذه لأول مرة في 19 أيار/مايو 2006. واتفق في ذلك اليوم على أن يقدم أعضاء اللجنة خطط عمل إداراتهم فيما يتعلق بالأهداف المتفق عليها قبل 15 تموز/يوليه 2006. وفي الوقت نفسه، قامت لجنة تكافؤ الفرص في وحدة الفلمند التي تدير أمانة اللجنة باستعراض الخطط.</w:t>
      </w:r>
    </w:p>
    <w:p w:rsidR="006D0927" w:rsidRDefault="006D0927" w:rsidP="006D0927">
      <w:pPr>
        <w:pStyle w:val="SingleTxt"/>
        <w:rPr>
          <w:rFonts w:hint="cs"/>
          <w:rtl/>
          <w:lang w:bidi="ar-EG"/>
        </w:rPr>
      </w:pPr>
      <w:r>
        <w:rPr>
          <w:rFonts w:hint="cs"/>
          <w:rtl/>
          <w:lang w:bidi="ar-EG"/>
        </w:rPr>
        <w:tab/>
        <w:t>وبعد ذلك، سوف تجري محادثات ثنائية بين ممثل اللجنة الرسمية لتكافؤ الفرص في وحدة الفلمند وأعضاء اللجنة لمناقشة الاقتراحات التي يمكنها تحسين خطط العمل. وتتمثل الفكرة في استكمال صياغة خطط العمل في أوائل تشرين الثاني/نوفمبر. ويمثل هذا اليوم البدء رسمياً في التنفيذ، على الرغم من أنه يتعين ملاحظة أن عدداً من المبادرات المبينة في خطط العمل جار تنفيذها بالفعل.</w:t>
      </w:r>
    </w:p>
    <w:p w:rsidR="00655E37" w:rsidRDefault="006D0927" w:rsidP="006D0927">
      <w:pPr>
        <w:pStyle w:val="SingleTxt"/>
        <w:rPr>
          <w:rFonts w:hint="cs"/>
          <w:rtl/>
          <w:lang w:bidi="ar-EG"/>
        </w:rPr>
      </w:pPr>
      <w:r>
        <w:rPr>
          <w:rFonts w:hint="cs"/>
          <w:rtl/>
          <w:lang w:bidi="ar-EG"/>
        </w:rPr>
        <w:tab/>
        <w:t>وسوف تجتمع لجنة تكافؤ الفرص مرتين في الشهر في الفترة من أيلول/سبتمبر 2006 فصاعدا. وسوف تكون هذه الاجتماعات بمثابة فرصة لتبادل الممارسات الجيدة، واكتساب المزيد من الخبرة فيما يتعلق بالجماعات المستهدفة والمسائل ذات الأهمية المركزية في عملية التنسيق، وإعداد وبلورة المراحل القادمة في العملية (مثل مرحلة تقديم التقارير وإعداد الأهداف و/أو خطط العمل الجديدة).</w:t>
      </w:r>
    </w:p>
    <w:p w:rsidR="006D0927" w:rsidRDefault="00655E37" w:rsidP="00655E37">
      <w:pPr>
        <w:pStyle w:val="SingleTxt"/>
        <w:rPr>
          <w:rFonts w:hint="cs"/>
          <w:rtl/>
          <w:lang w:bidi="ar-EG"/>
        </w:rPr>
      </w:pPr>
      <w:r>
        <w:rPr>
          <w:rFonts w:hint="cs"/>
          <w:rtl/>
          <w:lang w:bidi="ar-EG"/>
        </w:rPr>
        <w:tab/>
      </w:r>
      <w:r w:rsidR="006D0927">
        <w:rPr>
          <w:rFonts w:hint="cs"/>
          <w:rtl/>
          <w:lang w:bidi="ar-EG"/>
        </w:rPr>
        <w:t>ومن المقرر أن يقدم أعضاء اللجنة تقريراً عن التقدم في تنفيذ خطط العمل الجارية بحلول 15 تموز/يوليه 2007. وفي ذلك الوقت، من المقرر أن يقدموا أيضاً خطط العمل المستكملة والجديدة.</w:t>
      </w:r>
    </w:p>
    <w:p w:rsidR="006D0927" w:rsidRPr="00E83C2A" w:rsidRDefault="006D0927" w:rsidP="006D0927">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EG"/>
        </w:rPr>
      </w:pPr>
    </w:p>
    <w:p w:rsidR="006D0927" w:rsidRPr="003B14EC" w:rsidRDefault="006D0927" w:rsidP="006D092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lang w:bidi="ar-EG"/>
        </w:rPr>
        <w:tab/>
        <w:t>2</w:t>
      </w:r>
      <w:r w:rsidRPr="009B258E">
        <w:rPr>
          <w:rFonts w:hint="cs"/>
          <w:b w:val="0"/>
          <w:bCs w:val="0"/>
          <w:rtl/>
        </w:rPr>
        <w:t xml:space="preserve"> -</w:t>
      </w:r>
      <w:r w:rsidRPr="009B258E">
        <w:rPr>
          <w:rFonts w:hint="cs"/>
          <w:rtl/>
        </w:rPr>
        <w:tab/>
        <w:t xml:space="preserve">البحث الموجه </w:t>
      </w:r>
      <w:r>
        <w:rPr>
          <w:rFonts w:hint="cs"/>
          <w:rtl/>
        </w:rPr>
        <w:t>نحو السياسات</w:t>
      </w:r>
    </w:p>
    <w:p w:rsidR="006D0927" w:rsidRDefault="006D0927" w:rsidP="006D0927">
      <w:pPr>
        <w:pStyle w:val="SingleTxt"/>
        <w:rPr>
          <w:rFonts w:hint="cs"/>
          <w:rtl/>
        </w:rPr>
      </w:pPr>
      <w:r>
        <w:rPr>
          <w:rFonts w:hint="cs"/>
          <w:rtl/>
        </w:rPr>
        <w:tab/>
        <w:t>لا غنى عن البيانات العلمية المتعلقة بتكافؤ الفرص من أجل انتهاج سياسة تفي بالاحتياجات الدائمة التغير في هذا الشأن. والواقع أنه يتعين تكييف أهداف سياسة تكافؤ الفرص مع الواقع الاجتماعي. ومن خلال البحث العلمي يمكن اكتساب رؤى ومعرفة بشأن البيئة المعيشية لمختلف الجماعات المستهدفة، وبشأن آليات التمييز الفعلية ذات الأهمية، وبشأن الإحصاءات التي قد تبرهن على التمييز الفعلي أو عدم تكافؤ الفرص الفعلي بالنسبة للجماعات المستهدفة. وهذا هو السبب في أن تطوير البحث العملي يمثل أداة من الأدوات البالغة الأهمية في سياسة تكافؤ الفرص في السنوات العشر الأخيرة.</w:t>
      </w:r>
    </w:p>
    <w:p w:rsidR="006D0927" w:rsidRDefault="006D0927" w:rsidP="006D0927">
      <w:pPr>
        <w:pStyle w:val="SingleTxt"/>
        <w:rPr>
          <w:rFonts w:hint="cs"/>
          <w:rtl/>
        </w:rPr>
      </w:pPr>
      <w:r>
        <w:rPr>
          <w:rFonts w:hint="cs"/>
          <w:rtl/>
        </w:rPr>
        <w:tab/>
        <w:t xml:space="preserve">ومنذ أيلول/سبتمبر 2001، تم استثمار البحث العلمي ثانيا من خلال قناتين جديدتين. ومع قيام الحكومة الفلمندية بإنشاء 13 مركزاً للبحث المتعلق بالسياسات، تم أيضاً إنشاء مركز للأبحاث المتعلقة بالسياسات فيما يتعلق بتكافؤ الفرص (وهكذا يمثل تكافؤ الفرص ميداناً واحداً من الميادين الثلاثة عشر التي يتم فيها تحديدا تنظيم أبحاث تتعلق بالسياسات). ويتم تمويل هذا المركز هيكليا من جانب وزير التعليم الفلمندي بمبلغ سنوي قدره 733.81 619 يورو (من أجل تعميم المراعاة)، مع مشاركة في التمويل من لجنة تكافؤ الفرص في الإقليم الفلمندي بمبلغ سنوي قدره 890 247 يورو. وإلى جانب ذلك، تم تخصيص ميزانية قدرها 000 124 يورو من ميزانية </w:t>
      </w:r>
      <w:r>
        <w:rPr>
          <w:rFonts w:hint="eastAsia"/>
          <w:rtl/>
        </w:rPr>
        <w:t>تكافؤ الفرص</w:t>
      </w:r>
      <w:r>
        <w:rPr>
          <w:rFonts w:hint="cs"/>
          <w:rtl/>
        </w:rPr>
        <w:t xml:space="preserve"> في الإقليم الفلمندي، من أجل الأبحاث المخصصة.</w:t>
      </w:r>
    </w:p>
    <w:p w:rsidR="006D0927" w:rsidRPr="00C7266E" w:rsidRDefault="006D0927" w:rsidP="006D0927">
      <w:pPr>
        <w:pStyle w:val="SingleTxt"/>
        <w:spacing w:after="0" w:line="120" w:lineRule="exact"/>
        <w:rPr>
          <w:rFonts w:hint="cs"/>
          <w:sz w:val="10"/>
          <w:rtl/>
        </w:rPr>
      </w:pPr>
    </w:p>
    <w:p w:rsidR="006D0927" w:rsidRPr="00C7266E" w:rsidRDefault="00655E37" w:rsidP="006D0927">
      <w:pPr>
        <w:pStyle w:val="SingleTxt"/>
        <w:tabs>
          <w:tab w:val="right" w:pos="1022"/>
          <w:tab w:val="left" w:pos="1267"/>
          <w:tab w:val="left" w:pos="1930"/>
          <w:tab w:val="left" w:pos="2592"/>
          <w:tab w:val="left" w:pos="3254"/>
          <w:tab w:val="left" w:pos="3917"/>
          <w:tab w:val="left" w:pos="4579"/>
          <w:tab w:val="left" w:pos="5242"/>
          <w:tab w:val="left" w:pos="5904"/>
          <w:tab w:val="left" w:pos="6566"/>
        </w:tabs>
        <w:ind w:hanging="1267"/>
        <w:rPr>
          <w:rFonts w:hint="cs"/>
          <w:iCs/>
          <w:rtl/>
        </w:rPr>
      </w:pPr>
      <w:r>
        <w:rPr>
          <w:iCs/>
          <w:rtl/>
        </w:rPr>
        <w:br w:type="page"/>
      </w:r>
      <w:r w:rsidR="006D0927">
        <w:rPr>
          <w:rFonts w:hint="cs"/>
          <w:iCs/>
          <w:rtl/>
        </w:rPr>
        <w:tab/>
      </w:r>
      <w:r w:rsidR="006D0927" w:rsidRPr="00C7266E">
        <w:rPr>
          <w:rFonts w:hint="cs"/>
          <w:i/>
          <w:rtl/>
        </w:rPr>
        <w:t>2-1</w:t>
      </w:r>
      <w:r w:rsidR="006D0927" w:rsidRPr="00C7266E">
        <w:rPr>
          <w:rFonts w:hint="cs"/>
          <w:iCs/>
          <w:rtl/>
        </w:rPr>
        <w:tab/>
      </w:r>
      <w:r w:rsidR="006D0927" w:rsidRPr="00C7266E">
        <w:rPr>
          <w:rFonts w:hint="cs"/>
          <w:i/>
          <w:iCs/>
          <w:spacing w:val="3"/>
          <w:rtl/>
        </w:rPr>
        <w:t>مركز الأبحاث المتعلقة بالسياسات</w:t>
      </w:r>
    </w:p>
    <w:p w:rsidR="006D0927" w:rsidRPr="00655E37" w:rsidRDefault="006D0927" w:rsidP="00655E37">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655E37">
        <w:rPr>
          <w:rFonts w:hint="cs"/>
          <w:rtl/>
          <w:lang w:bidi="ar-EG"/>
        </w:rPr>
        <w:tab/>
      </w:r>
      <w:r w:rsidRPr="00655E37">
        <w:rPr>
          <w:rFonts w:hint="cs"/>
          <w:rtl/>
          <w:lang w:bidi="ar-EG"/>
        </w:rPr>
        <w:tab/>
      </w:r>
      <w:r w:rsidRPr="00655E37">
        <w:rPr>
          <w:rFonts w:hint="cs"/>
          <w:i w:val="0"/>
          <w:iCs w:val="0"/>
          <w:rtl/>
          <w:lang w:bidi="ar-EG"/>
        </w:rPr>
        <w:t>2-1-1</w:t>
      </w:r>
      <w:r w:rsidRPr="00655E37">
        <w:rPr>
          <w:rFonts w:hint="cs"/>
          <w:rtl/>
          <w:lang w:bidi="ar-EG"/>
        </w:rPr>
        <w:t xml:space="preserve"> - البحث</w:t>
      </w:r>
      <w:r w:rsidRPr="00655E37">
        <w:rPr>
          <w:vertAlign w:val="superscript"/>
          <w:rtl/>
          <w:lang w:bidi="ar-EG"/>
        </w:rPr>
        <w:t>(</w:t>
      </w:r>
      <w:r w:rsidRPr="00655E37">
        <w:rPr>
          <w:rStyle w:val="FootnoteReference"/>
          <w:rtl/>
        </w:rPr>
        <w:footnoteReference w:id="14"/>
      </w:r>
      <w:r w:rsidRPr="00655E37">
        <w:rPr>
          <w:vertAlign w:val="superscript"/>
          <w:rtl/>
          <w:lang w:bidi="ar-EG"/>
        </w:rPr>
        <w:t>)</w:t>
      </w:r>
    </w:p>
    <w:p w:rsidR="006D0927" w:rsidRDefault="006D0927" w:rsidP="006D0927">
      <w:pPr>
        <w:pStyle w:val="SingleTxt"/>
        <w:rPr>
          <w:rFonts w:hint="cs"/>
          <w:rtl/>
        </w:rPr>
      </w:pPr>
      <w:r>
        <w:rPr>
          <w:rFonts w:hint="cs"/>
          <w:rtl/>
        </w:rPr>
        <w:tab/>
        <w:t>تم في الوقت نفسه، استكمال بعض الأبحاث التي بدأت منذ عام 2001. وترد أدناه لمحة عن البحث الذي استكمل خلال هذه الفترة موضع الاستعراض والأبحاث الجارية الأخرى.</w:t>
      </w:r>
    </w:p>
    <w:p w:rsidR="006D0927" w:rsidRPr="00981907" w:rsidRDefault="006D0927" w:rsidP="006D0927">
      <w:pPr>
        <w:pStyle w:val="SingleTxt"/>
        <w:rPr>
          <w:rFonts w:hint="cs"/>
          <w:b/>
          <w:bCs/>
          <w:rtl/>
        </w:rPr>
      </w:pPr>
      <w:r w:rsidRPr="003749DE">
        <w:rPr>
          <w:rFonts w:hint="cs"/>
          <w:rtl/>
        </w:rPr>
        <w:t>لمحة عامة</w:t>
      </w:r>
      <w:r>
        <w:rPr>
          <w:rFonts w:hint="cs"/>
          <w:b/>
          <w:bCs/>
          <w:rtl/>
        </w:rPr>
        <w:t>:</w:t>
      </w:r>
    </w:p>
    <w:p w:rsidR="006D0927" w:rsidRDefault="006D0927" w:rsidP="006D092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الأبحاث المنجزة في عام 2006:</w:t>
      </w:r>
    </w:p>
    <w:p w:rsidR="006D0927" w:rsidRPr="003749DE" w:rsidRDefault="006D0927" w:rsidP="006D0927">
      <w:pPr>
        <w:pStyle w:val="SingleTxt"/>
        <w:tabs>
          <w:tab w:val="clear" w:pos="1267"/>
          <w:tab w:val="clear" w:pos="1930"/>
          <w:tab w:val="clear" w:pos="2592"/>
          <w:tab w:val="clear" w:pos="3254"/>
          <w:tab w:val="clear" w:pos="3917"/>
          <w:tab w:val="clear" w:pos="4579"/>
          <w:tab w:val="clear" w:pos="5242"/>
          <w:tab w:val="clear" w:pos="5904"/>
          <w:tab w:val="clear" w:pos="6566"/>
          <w:tab w:val="left" w:pos="1757"/>
          <w:tab w:val="left" w:pos="2022"/>
          <w:tab w:val="left" w:pos="2228"/>
        </w:tabs>
        <w:ind w:left="2022" w:right="1264" w:hanging="752"/>
        <w:rPr>
          <w:rFonts w:hint="cs"/>
          <w:i/>
          <w:iCs/>
          <w:rtl/>
        </w:rPr>
      </w:pPr>
      <w:r>
        <w:rPr>
          <w:rFonts w:hint="cs"/>
          <w:rtl/>
        </w:rPr>
        <w:tab/>
      </w:r>
      <w:r w:rsidRPr="003749DE">
        <w:rPr>
          <w:rFonts w:hint="cs"/>
          <w:i/>
          <w:iCs/>
          <w:rtl/>
        </w:rPr>
        <w:t>-</w:t>
      </w:r>
      <w:r w:rsidRPr="003749DE">
        <w:rPr>
          <w:rFonts w:hint="cs"/>
          <w:i/>
          <w:iCs/>
          <w:rtl/>
        </w:rPr>
        <w:tab/>
        <w:t>أين جميع مصففي الشعر؟ وضع المرأة ذات المستوى المتدني من التعليم في سوق العمل.</w:t>
      </w:r>
    </w:p>
    <w:p w:rsidR="006D0927" w:rsidRDefault="006D0927" w:rsidP="006D0927">
      <w:pPr>
        <w:pStyle w:val="SingleTxt"/>
        <w:tabs>
          <w:tab w:val="clear" w:pos="1267"/>
          <w:tab w:val="clear" w:pos="1930"/>
          <w:tab w:val="clear" w:pos="2592"/>
          <w:tab w:val="clear" w:pos="3254"/>
          <w:tab w:val="clear" w:pos="3917"/>
          <w:tab w:val="clear" w:pos="4579"/>
          <w:tab w:val="clear" w:pos="5242"/>
          <w:tab w:val="clear" w:pos="5904"/>
          <w:tab w:val="clear" w:pos="6566"/>
          <w:tab w:val="left" w:pos="1757"/>
          <w:tab w:val="left" w:pos="2022"/>
          <w:tab w:val="left" w:pos="2228"/>
        </w:tabs>
        <w:ind w:left="2022" w:right="1264" w:hanging="752"/>
        <w:rPr>
          <w:rFonts w:hint="cs"/>
          <w:rtl/>
        </w:rPr>
      </w:pPr>
      <w:r>
        <w:rPr>
          <w:rFonts w:hint="cs"/>
          <w:rtl/>
        </w:rPr>
        <w:tab/>
        <w:t>-</w:t>
      </w:r>
      <w:r>
        <w:rPr>
          <w:rFonts w:hint="cs"/>
          <w:rtl/>
        </w:rPr>
        <w:tab/>
        <w:t>الباحثون: ميرتنز، تيين، ستيغمانز، نيكو</w:t>
      </w:r>
    </w:p>
    <w:p w:rsidR="006D0927" w:rsidRDefault="006D0927" w:rsidP="006D0927">
      <w:pPr>
        <w:pStyle w:val="SingleTxt"/>
        <w:rPr>
          <w:rFonts w:hint="cs"/>
          <w:rtl/>
        </w:rPr>
      </w:pPr>
      <w:r>
        <w:rPr>
          <w:rFonts w:hint="cs"/>
          <w:rtl/>
        </w:rPr>
        <w:tab/>
        <w:t>تتابع المرأة ذات المستوى المتدني من التعليم عادة دورة دراسية في قطاع الرعاية والرفاهية؛ والمهن في هذا القطاع ذات وضع متدن إلى حد بعيد. والدورات الدراسية في تصفيف الشعر شائعة بين البنات، وإن كانت مهنة، تصفيف الشعر، مهنة من المهن الضيقة المجال. ويمكن للذين يتخرجون أن يبدأوا عملاً خاصاً بهم. ومن ثم فإن المهنة تقدم احتمالات في سوق العمل. غير أن عدداً منهم لن يفتحوا أبوابهم أبداً أو سيكون عليهم غلقها بعد فترة. فما الذي يحركهم؟ وتمت مقابلة شهود متميزين من قطاع التعليم والمنظمات القطاعية والنقابات، ونظمت جماعات استطلاعية مع الحلاقين ومصففي الشعر، ومصففي الشعر المقبلين والسابقين.</w:t>
      </w:r>
    </w:p>
    <w:p w:rsidR="006D0927" w:rsidRPr="001E60F7" w:rsidRDefault="006D0927" w:rsidP="006D092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i/>
          <w:iCs/>
          <w:rtl/>
        </w:rPr>
      </w:pPr>
      <w:r>
        <w:rPr>
          <w:rFonts w:hint="cs"/>
          <w:rtl/>
        </w:rPr>
        <w:tab/>
      </w:r>
      <w:r w:rsidRPr="001E60F7">
        <w:rPr>
          <w:rFonts w:hint="cs"/>
          <w:i/>
          <w:iCs/>
          <w:rtl/>
        </w:rPr>
        <w:t>-</w:t>
      </w:r>
      <w:r w:rsidRPr="001E60F7">
        <w:rPr>
          <w:rFonts w:hint="cs"/>
          <w:i/>
          <w:iCs/>
          <w:rtl/>
        </w:rPr>
        <w:tab/>
        <w:t>التركيز على المثلث المخملي: الشبكات والأفكار الاستراتيجيات داخل مشهد تكافؤ الفرص الفلمندي لحركات المثليين والسحقيات.</w:t>
      </w:r>
    </w:p>
    <w:p w:rsidR="006D0927" w:rsidRDefault="006D0927" w:rsidP="006D092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الباحثون: غودمونت، جوزفين، موتمانز، جوس</w:t>
      </w:r>
    </w:p>
    <w:p w:rsidR="006D0927" w:rsidRDefault="006D0927" w:rsidP="006D0927">
      <w:pPr>
        <w:pStyle w:val="SingleTxt"/>
        <w:rPr>
          <w:rFonts w:hint="cs"/>
          <w:rtl/>
        </w:rPr>
      </w:pPr>
      <w:r>
        <w:rPr>
          <w:rFonts w:hint="cs"/>
          <w:rtl/>
        </w:rPr>
        <w:tab/>
        <w:t>المثلث المخملي هو مفهوم نظري ابتدعه أليسون وودوارد ويشير إلى التفاعل القائم و/أو المحتمل بين الفعاليات النسائية في مجال السياسات وممثلات المجتمع النسائي المدني والأكاديميات في ميدان تكافؤ الفرص فيما يتعلق بالجنسانية. ويتعلق هذا المفهوم بنوع محتمل من الحكم المفتوح غير الرسمي تكون مشاركة المجتمع المدني فيه جوهرية. وتناقش شبكة وأفكار واستراتيجيات المثلث المخملي بمزيد من التفصيل في مقابلات متعمقة ومع جماعات استطلاع الفعاليات السياسية وممثلي المجتمع المدني من المنظمات النسائية ومنظمات المثليين والسحاقيات.</w:t>
      </w:r>
    </w:p>
    <w:p w:rsidR="006D0927" w:rsidRPr="00ED25CA" w:rsidRDefault="006D0927" w:rsidP="006D0927">
      <w:pPr>
        <w:pStyle w:val="SingleTxt"/>
        <w:spacing w:after="0" w:line="120" w:lineRule="exact"/>
        <w:rPr>
          <w:rFonts w:hint="cs"/>
          <w:b/>
          <w:bCs/>
          <w:sz w:val="10"/>
          <w:rtl/>
        </w:rPr>
      </w:pPr>
    </w:p>
    <w:p w:rsidR="006D0927" w:rsidRDefault="006D0927" w:rsidP="006D092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1E0F76">
        <w:rPr>
          <w:rFonts w:hint="cs"/>
          <w:rtl/>
        </w:rPr>
        <w:t>الأبحاث الجارية:</w:t>
      </w:r>
    </w:p>
    <w:p w:rsidR="006D0927" w:rsidRDefault="006D0927" w:rsidP="006D092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الجنسانية وتكنولوجيا المعلومات والاتصال - تقرير مؤقت في عام 2005 (الباحث: لورنس كلايس). (شبكة الإنترنت في الحياة اليومية: الظروف الحدية لتكافؤ الفرص في مجتمع من الربط الشبكي).</w:t>
      </w:r>
    </w:p>
    <w:p w:rsidR="006D0927" w:rsidRDefault="006D0927" w:rsidP="006D092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الجمع بين ميادين الحياة. تقرير مؤقت في عام 2006. (الباحث: ماريان فان ايرشوت) (السحب القرنفلية والثلج الأسود: إجازة الأمومة لدى العامل لحسابه)</w:t>
      </w:r>
    </w:p>
    <w:p w:rsidR="006D0927" w:rsidRPr="00C4531F" w:rsidRDefault="006D0927" w:rsidP="006D0927">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EG"/>
        </w:rPr>
      </w:pPr>
    </w:p>
    <w:p w:rsidR="006D0927" w:rsidRPr="00655E37" w:rsidRDefault="006D0927" w:rsidP="00655E37">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sidRPr="00655E37">
        <w:rPr>
          <w:rFonts w:hint="cs"/>
          <w:rtl/>
          <w:lang w:bidi="ar-EG"/>
        </w:rPr>
        <w:tab/>
      </w:r>
      <w:r w:rsidR="00655E37">
        <w:rPr>
          <w:rFonts w:hint="cs"/>
          <w:rtl/>
          <w:lang w:bidi="ar-EG"/>
        </w:rPr>
        <w:tab/>
      </w:r>
      <w:r w:rsidRPr="00655E37">
        <w:rPr>
          <w:rFonts w:hint="cs"/>
          <w:i w:val="0"/>
          <w:iCs w:val="0"/>
          <w:rtl/>
          <w:lang w:bidi="ar-EG"/>
        </w:rPr>
        <w:t>2-1-2</w:t>
      </w:r>
      <w:r w:rsidRPr="00655E37">
        <w:rPr>
          <w:rFonts w:hint="cs"/>
          <w:rtl/>
          <w:lang w:bidi="ar-EG"/>
        </w:rPr>
        <w:t xml:space="preserve"> -</w:t>
      </w:r>
      <w:r w:rsidRPr="00655E37">
        <w:rPr>
          <w:rFonts w:hint="cs"/>
          <w:rtl/>
          <w:lang w:bidi="ar-EG"/>
        </w:rPr>
        <w:tab/>
        <w:t>الاتصالات مع المجتمع المدني</w:t>
      </w:r>
    </w:p>
    <w:p w:rsidR="006D0927" w:rsidRDefault="006D0927" w:rsidP="006D0927">
      <w:pPr>
        <w:pStyle w:val="SingleTxt"/>
        <w:rPr>
          <w:rFonts w:hint="cs"/>
          <w:rtl/>
        </w:rPr>
      </w:pPr>
      <w:r>
        <w:rPr>
          <w:rFonts w:hint="cs"/>
          <w:rtl/>
        </w:rPr>
        <w:tab/>
        <w:t>يقيم مركز الأبحاث اتصالات جيدة مع المجتمع المدني، وذلك عن طريق عدة أمور، من بينها حضور حلقات العمل التي ينظمها المجتمع المدني، وتنظيم حلقات عمل حول المؤشرات الجنسانية يدعى إليها دائماً المجتمع المدني والتي يحضرها دائماً، وعن طريق التعاون الوثيق مع مركز تنسيق الدور والمجتمع، وعن طريق التعاون مع مؤسسة صوفيا وأمازون، التي تتيح لمركز الأبحاث اكتساب معلومات عن حركة المرأة ونشر معلومات عن أنشطتها ونتائج البحث، وعن طريق الالتحاق بمشاريع تعاونية مع مختلف الجامعات ومراكز البحث الجنساني، ونتيجة لذلك يمكن للطلبة توفير معلومات لمركز الأبحاث ويمكن لمركز الأبحاث أن يقدم نتائج البحث إلى الطلبة.</w:t>
      </w:r>
    </w:p>
    <w:p w:rsidR="006D0927" w:rsidRDefault="006D0927" w:rsidP="006D0927">
      <w:pPr>
        <w:pStyle w:val="SingleTxt"/>
        <w:rPr>
          <w:rFonts w:hint="cs"/>
          <w:rtl/>
        </w:rPr>
      </w:pPr>
      <w:r>
        <w:rPr>
          <w:rFonts w:hint="cs"/>
          <w:rtl/>
        </w:rPr>
        <w:tab/>
        <w:t xml:space="preserve">وفي إطار الجنسانية </w:t>
      </w:r>
      <w:r>
        <w:rPr>
          <w:rFonts w:hint="eastAsia"/>
          <w:rtl/>
        </w:rPr>
        <w:t xml:space="preserve">وتكنولوجيا المعلومات </w:t>
      </w:r>
      <w:r>
        <w:rPr>
          <w:rFonts w:hint="cs"/>
          <w:rtl/>
        </w:rPr>
        <w:t>والاتصال، يتم التعاون وتبادل المعلومات</w:t>
      </w:r>
      <w:r>
        <w:rPr>
          <w:rFonts w:hint="eastAsia"/>
          <w:rtl/>
        </w:rPr>
        <w:t> </w:t>
      </w:r>
      <w:r>
        <w:rPr>
          <w:rFonts w:hint="cs"/>
          <w:rtl/>
        </w:rPr>
        <w:t xml:space="preserve">مع مبـــــــادرة </w:t>
      </w:r>
      <w:r>
        <w:rPr>
          <w:rFonts w:hint="eastAsia"/>
          <w:rtl/>
        </w:rPr>
        <w:t>”</w:t>
      </w:r>
      <w:r>
        <w:t>Atel</w:t>
      </w:r>
      <w:r>
        <w:rPr>
          <w:rFonts w:hint="cs"/>
          <w:rtl/>
        </w:rPr>
        <w:t xml:space="preserve">“ ومبادرة </w:t>
      </w:r>
      <w:r>
        <w:rPr>
          <w:rFonts w:hint="eastAsia"/>
          <w:rtl/>
        </w:rPr>
        <w:t>”</w:t>
      </w:r>
      <w:r>
        <w:t>Digitale Ontmoetingen</w:t>
      </w:r>
      <w:r>
        <w:rPr>
          <w:rFonts w:hint="cs"/>
          <w:rtl/>
        </w:rPr>
        <w:t>“ ومع مبادرات أخرى تتعلق بتكنولوجيا المعلومات والاتصال تحققت من خلال الحركة النسائية.</w:t>
      </w:r>
    </w:p>
    <w:p w:rsidR="006D0927" w:rsidRDefault="006D0927" w:rsidP="006D0927">
      <w:pPr>
        <w:pStyle w:val="SingleTxt"/>
        <w:rPr>
          <w:rFonts w:hint="cs"/>
          <w:rtl/>
        </w:rPr>
      </w:pPr>
      <w:r>
        <w:rPr>
          <w:rFonts w:hint="cs"/>
          <w:rtl/>
        </w:rPr>
        <w:tab/>
        <w:t xml:space="preserve">وعلى الصعيد الدولي، تشترك في ذلك شبكة </w:t>
      </w:r>
      <w:r>
        <w:rPr>
          <w:rFonts w:hint="eastAsia"/>
          <w:rtl/>
        </w:rPr>
        <w:t>”</w:t>
      </w:r>
      <w:r>
        <w:t>Athena</w:t>
      </w:r>
      <w:r>
        <w:rPr>
          <w:rFonts w:hint="cs"/>
          <w:rtl/>
        </w:rPr>
        <w:t xml:space="preserve">“ ورابطة </w:t>
      </w:r>
      <w:r>
        <w:rPr>
          <w:rFonts w:hint="eastAsia"/>
          <w:rtl/>
        </w:rPr>
        <w:t>”</w:t>
      </w:r>
      <w:r>
        <w:t>AOIFE</w:t>
      </w:r>
      <w:r>
        <w:rPr>
          <w:rFonts w:hint="eastAsia"/>
          <w:rtl/>
        </w:rPr>
        <w:t xml:space="preserve">“. </w:t>
      </w:r>
      <w:r>
        <w:rPr>
          <w:rFonts w:hint="cs"/>
          <w:rtl/>
        </w:rPr>
        <w:t>وهذه منظمات تعمل على تنسيق ودعم الدراسات الجنسانية والبحث والتعليم على الصعيد الأوروبي. وفي هذا الإطار يقوم مركز الأبحاث بدور قيادي في مشروع يجمع بين صناع السياسات والمجتمع المدني والبحث العلمي.</w:t>
      </w:r>
    </w:p>
    <w:p w:rsidR="007023B4" w:rsidRPr="007023B4" w:rsidRDefault="007023B4" w:rsidP="007023B4">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lang w:bidi="ar-EG"/>
        </w:rPr>
      </w:pPr>
    </w:p>
    <w:p w:rsidR="006D0927" w:rsidRPr="00655E37" w:rsidRDefault="00655E37" w:rsidP="00655E37">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lang w:bidi="ar-EG"/>
        </w:rPr>
        <w:tab/>
      </w:r>
      <w:r>
        <w:rPr>
          <w:rFonts w:hint="cs"/>
          <w:rtl/>
          <w:lang w:bidi="ar-EG"/>
        </w:rPr>
        <w:tab/>
      </w:r>
      <w:r w:rsidR="006D0927" w:rsidRPr="00655E37">
        <w:rPr>
          <w:rFonts w:hint="cs"/>
          <w:i w:val="0"/>
          <w:iCs w:val="0"/>
          <w:rtl/>
          <w:lang w:bidi="ar-EG"/>
        </w:rPr>
        <w:t>2-1-3 -</w:t>
      </w:r>
      <w:r>
        <w:rPr>
          <w:rFonts w:hint="cs"/>
          <w:i w:val="0"/>
          <w:iCs w:val="0"/>
          <w:rtl/>
          <w:lang w:bidi="ar-EG"/>
        </w:rPr>
        <w:t xml:space="preserve">  </w:t>
      </w:r>
      <w:r w:rsidR="006D0927" w:rsidRPr="00655E37">
        <w:rPr>
          <w:rFonts w:hint="cs"/>
          <w:rtl/>
          <w:lang w:bidi="ar-EG"/>
        </w:rPr>
        <w:t>النهج المتكامل</w:t>
      </w:r>
    </w:p>
    <w:p w:rsidR="006D0927" w:rsidRDefault="006D0927" w:rsidP="006D0927">
      <w:pPr>
        <w:pStyle w:val="SingleTxt"/>
        <w:rPr>
          <w:rFonts w:hint="cs"/>
          <w:rtl/>
        </w:rPr>
      </w:pPr>
      <w:r>
        <w:rPr>
          <w:rFonts w:hint="cs"/>
          <w:rtl/>
        </w:rPr>
        <w:tab/>
        <w:t>تظهر المرأة (بصفتها موضوعاً للبحث) في جميع وحدات الأبحاث في مركز الأبحاث. وهي موضع مناقشة أيضاً في الأبحاث التالية التي تجريها وحدات الأبحاث التي تركز بالدرجة الأولى على الجماعات المستهدفة من المسنين والمهاجرين والمثليين والسحاقيات ومزدوجي</w:t>
      </w:r>
      <w:r>
        <w:rPr>
          <w:rFonts w:hint="eastAsia"/>
          <w:rtl/>
        </w:rPr>
        <w:t> </w:t>
      </w:r>
      <w:r>
        <w:rPr>
          <w:rFonts w:hint="cs"/>
          <w:rtl/>
        </w:rPr>
        <w:t>الجنس.</w:t>
      </w:r>
    </w:p>
    <w:p w:rsidR="006D0927" w:rsidRDefault="006D0927" w:rsidP="00655E37">
      <w:pPr>
        <w:pStyle w:val="SingleTxt"/>
        <w:rPr>
          <w:rFonts w:hint="cs"/>
          <w:rtl/>
          <w:lang w:bidi="ar-EG"/>
        </w:rPr>
      </w:pPr>
      <w:r>
        <w:rPr>
          <w:rFonts w:hint="cs"/>
          <w:rtl/>
        </w:rPr>
        <w:tab/>
        <w:t>ويمكن لأعضاء اللجنة المعنية بالقضاء على التمييز ضد المرأة أن يجدوا مزيداً من المعلومات عن أنشطة مركز السياسة الفلمندية للأبحاث من أجل تكافؤ الفرص على موقعها (باللغة ا</w:t>
      </w:r>
      <w:r w:rsidR="00655E37">
        <w:rPr>
          <w:rFonts w:hint="cs"/>
          <w:rtl/>
        </w:rPr>
        <w:t>لا</w:t>
      </w:r>
      <w:r>
        <w:rPr>
          <w:rFonts w:hint="cs"/>
          <w:rtl/>
        </w:rPr>
        <w:t xml:space="preserve">نكليزية أيضاً) </w:t>
      </w:r>
      <w:r w:rsidRPr="000423FD">
        <w:t>www.steunpuntgelijkekansen.be</w:t>
      </w:r>
      <w:r>
        <w:rPr>
          <w:rFonts w:hint="cs"/>
          <w:rtl/>
        </w:rPr>
        <w:t>.</w:t>
      </w:r>
    </w:p>
    <w:p w:rsidR="006D0927" w:rsidRPr="005C06C8" w:rsidRDefault="006D0927" w:rsidP="006D0927">
      <w:pPr>
        <w:pStyle w:val="SingleTxt"/>
        <w:rPr>
          <w:rFonts w:hint="cs"/>
          <w:i/>
          <w:iCs/>
          <w:rtl/>
          <w:lang w:bidi="ar-EG"/>
        </w:rPr>
      </w:pPr>
      <w:r w:rsidRPr="000423FD">
        <w:rPr>
          <w:rFonts w:hint="cs"/>
          <w:rtl/>
          <w:lang w:bidi="ar-EG"/>
        </w:rPr>
        <w:t>2</w:t>
      </w:r>
      <w:r>
        <w:rPr>
          <w:rFonts w:hint="cs"/>
          <w:rtl/>
          <w:lang w:bidi="ar-EG"/>
        </w:rPr>
        <w:t>-</w:t>
      </w:r>
      <w:r w:rsidRPr="000423FD">
        <w:rPr>
          <w:rFonts w:hint="cs"/>
          <w:rtl/>
          <w:lang w:bidi="ar-EG"/>
        </w:rPr>
        <w:t>2</w:t>
      </w:r>
      <w:r>
        <w:rPr>
          <w:rFonts w:hint="cs"/>
          <w:i/>
          <w:iCs/>
          <w:rtl/>
          <w:lang w:bidi="ar-EG"/>
        </w:rPr>
        <w:tab/>
        <w:t>البحث في احتياجات المرأة الفقيرة ذات الأصل الأجنبي</w:t>
      </w:r>
    </w:p>
    <w:p w:rsidR="006D0927" w:rsidRPr="00655E37" w:rsidRDefault="006D0927" w:rsidP="006D0927">
      <w:pPr>
        <w:pStyle w:val="SingleTxt"/>
        <w:rPr>
          <w:rFonts w:hint="cs"/>
          <w:rtl/>
          <w:lang w:bidi="ar-EG"/>
        </w:rPr>
      </w:pPr>
      <w:r w:rsidRPr="00655E37">
        <w:rPr>
          <w:rFonts w:hint="cs"/>
          <w:rtl/>
          <w:lang w:bidi="ar-EG"/>
        </w:rPr>
        <w:tab/>
        <w:t>تسعى سياسة تكافؤ الفرص الفلمندية إلى اكتساب رؤية متعمقة لاستراتيجيات البقاء، والبيئة المعيشية، واحتياجات المرأة الفقيرة ذات الأصل الأجنبي. والسبب في ذلك هو اكتشاف أن هناك فقراً طاحنا فيما بين النساء اللاتي من أصل تركي أو مغربي، واللاتي</w:t>
      </w:r>
      <w:r w:rsidRPr="00655E37">
        <w:rPr>
          <w:rFonts w:hint="eastAsia"/>
          <w:rtl/>
          <w:lang w:bidi="ar-EG"/>
        </w:rPr>
        <w:t> </w:t>
      </w:r>
      <w:r w:rsidRPr="00655E37">
        <w:rPr>
          <w:rFonts w:hint="cs"/>
          <w:rtl/>
          <w:lang w:bidi="ar-EG"/>
        </w:rPr>
        <w:t>يدبرن حياتهن بأنفسهن، غالبا ما يكون ذلك بسبب الطلاق. ونظراً لذلك أعلن</w:t>
      </w:r>
      <w:r w:rsidRPr="00655E37">
        <w:rPr>
          <w:rFonts w:hint="eastAsia"/>
          <w:rtl/>
          <w:lang w:bidi="ar-EG"/>
        </w:rPr>
        <w:t> </w:t>
      </w:r>
      <w:r w:rsidRPr="00655E37">
        <w:rPr>
          <w:rFonts w:hint="cs"/>
          <w:rtl/>
          <w:lang w:bidi="ar-EG"/>
        </w:rPr>
        <w:t>عقد للدراسة في أيلول/سبتمبر 2006. وينبغي إكمال الدراسة بحلول 15</w:t>
      </w:r>
      <w:r w:rsidRPr="00655E37">
        <w:rPr>
          <w:rFonts w:hint="eastAsia"/>
          <w:rtl/>
          <w:lang w:bidi="ar-EG"/>
        </w:rPr>
        <w:t> </w:t>
      </w:r>
      <w:r w:rsidRPr="00655E37">
        <w:rPr>
          <w:rFonts w:hint="cs"/>
          <w:rtl/>
          <w:lang w:bidi="ar-EG"/>
        </w:rPr>
        <w:t>تموز/يوليه 2008.</w:t>
      </w:r>
    </w:p>
    <w:p w:rsidR="006D0927" w:rsidRPr="00D8529D" w:rsidRDefault="006D0927" w:rsidP="006D0927">
      <w:pPr>
        <w:pStyle w:val="SingleTxt"/>
        <w:spacing w:after="0" w:line="120" w:lineRule="exact"/>
        <w:rPr>
          <w:rFonts w:hint="cs"/>
          <w:b/>
          <w:bCs/>
          <w:sz w:val="10"/>
          <w:rtl/>
          <w:lang w:bidi="ar-EG"/>
        </w:rPr>
      </w:pPr>
    </w:p>
    <w:p w:rsidR="006D0927" w:rsidRPr="009B258E" w:rsidRDefault="006D0927" w:rsidP="006D092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Pr="009B258E">
        <w:rPr>
          <w:rFonts w:hint="cs"/>
          <w:rtl/>
          <w:lang w:bidi="ar-EG"/>
        </w:rPr>
        <w:t>3 -</w:t>
      </w:r>
      <w:r w:rsidRPr="009B258E">
        <w:rPr>
          <w:rFonts w:hint="cs"/>
          <w:rtl/>
          <w:lang w:bidi="ar-EG"/>
        </w:rPr>
        <w:tab/>
        <w:t>التعاون مع المنظمات غير الحكومية</w:t>
      </w:r>
    </w:p>
    <w:p w:rsidR="006D0927" w:rsidRDefault="006D0927" w:rsidP="006D0927">
      <w:pPr>
        <w:pStyle w:val="SingleTxt"/>
        <w:rPr>
          <w:rFonts w:hint="cs"/>
          <w:rtl/>
          <w:lang w:bidi="ar-EG"/>
        </w:rPr>
      </w:pPr>
      <w:r>
        <w:rPr>
          <w:rFonts w:hint="cs"/>
          <w:rtl/>
          <w:lang w:bidi="ar-EG"/>
        </w:rPr>
        <w:tab/>
        <w:t>يعد المجتمع المدني شريكاً هاماً في وضع سياسة فعالة لتكافؤ الفرص. ويعمل المجتمع المدني كنقطة اتصال بالنسبة للجماعات المستهدفة، لا لمجرد الإبلاغ عن أنواع التمييز وحالات الأزمة، وإنما أيضاً لتشكيل سياسة تكافؤ الفرص والمساعدة في نشرها. وهذا هو السبب في أن من الضروري دعم المجتمع المدني في تنفيذ هذه السياسة، من خلال الإعانات</w:t>
      </w:r>
      <w:r>
        <w:rPr>
          <w:rFonts w:hint="eastAsia"/>
          <w:rtl/>
          <w:lang w:bidi="ar-EG"/>
        </w:rPr>
        <w:t> </w:t>
      </w:r>
      <w:r>
        <w:rPr>
          <w:rFonts w:hint="cs"/>
          <w:rtl/>
          <w:lang w:bidi="ar-EG"/>
        </w:rPr>
        <w:t>(المنح) وغيرها.</w:t>
      </w:r>
    </w:p>
    <w:p w:rsidR="006D0927" w:rsidRDefault="006D0927" w:rsidP="006D0927">
      <w:pPr>
        <w:pStyle w:val="SingleTxt"/>
        <w:rPr>
          <w:rFonts w:hint="cs"/>
          <w:rtl/>
          <w:lang w:bidi="ar-EG"/>
        </w:rPr>
      </w:pPr>
      <w:r>
        <w:rPr>
          <w:rFonts w:hint="cs"/>
          <w:rtl/>
          <w:lang w:bidi="ar-EG"/>
        </w:rPr>
        <w:tab/>
        <w:t>وخلال السنوات الماضية تطور هذا الحوار والدعم مع المجتمع المدني نحو إنشاء مستوى هيكلي بدرجة أكبر من خلال تقديم الإعانة ’بالاسم‘ عن طريق تكافؤ الفرص في الإقليم الفلمندي لعدة منظمات تنطوي أهدافها التشغيلية على أثر داعم لسياسة تكافؤ الفرص في الإقليم. ومن أجل جعل دعم السياسات هذا أكثر فعالية، يجري الدخول في عدد من الالتزامات كل عام بالتشاور مع المنظمات التي تتلقى إعانات ’</w:t>
      </w:r>
      <w:r>
        <w:rPr>
          <w:rFonts w:hint="eastAsia"/>
          <w:rtl/>
          <w:lang w:bidi="ar-EG"/>
        </w:rPr>
        <w:t>ب</w:t>
      </w:r>
      <w:r>
        <w:rPr>
          <w:rFonts w:hint="cs"/>
          <w:rtl/>
          <w:lang w:bidi="ar-EG"/>
        </w:rPr>
        <w:t>ا</w:t>
      </w:r>
      <w:r>
        <w:rPr>
          <w:rFonts w:hint="eastAsia"/>
          <w:rtl/>
          <w:lang w:bidi="ar-EG"/>
        </w:rPr>
        <w:t>لاسم</w:t>
      </w:r>
      <w:r>
        <w:rPr>
          <w:rFonts w:hint="cs"/>
          <w:rtl/>
          <w:lang w:bidi="ar-EG"/>
        </w:rPr>
        <w:t>‘. وتشمل هذه الاتفاقات جهوداً إضافية تتعلق بتطور المنظمات.</w:t>
      </w:r>
    </w:p>
    <w:p w:rsidR="006D0927" w:rsidRDefault="006D0927" w:rsidP="006D0927">
      <w:pPr>
        <w:pStyle w:val="SingleTxt"/>
        <w:rPr>
          <w:rFonts w:hint="cs"/>
          <w:rtl/>
          <w:lang w:bidi="ar-EG"/>
        </w:rPr>
      </w:pPr>
      <w:r>
        <w:rPr>
          <w:rFonts w:hint="cs"/>
          <w:rtl/>
          <w:lang w:bidi="ar-EG"/>
        </w:rPr>
        <w:tab/>
        <w:t>والمنظمات الثالثة تتلقى إعانات ’</w:t>
      </w:r>
      <w:r>
        <w:rPr>
          <w:rFonts w:hint="eastAsia"/>
          <w:rtl/>
          <w:lang w:bidi="ar-EG"/>
        </w:rPr>
        <w:t>بالاسم</w:t>
      </w:r>
      <w:r>
        <w:rPr>
          <w:rFonts w:hint="cs"/>
          <w:rtl/>
          <w:lang w:bidi="ar-EG"/>
        </w:rPr>
        <w:t>‘:</w:t>
      </w:r>
    </w:p>
    <w:p w:rsidR="006D0927" w:rsidRPr="005737CA" w:rsidRDefault="006D0927" w:rsidP="006D092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مجلس نساء الفلمند </w:t>
      </w:r>
      <w:r w:rsidRPr="00947529">
        <w:rPr>
          <w:lang w:bidi="ar-EG"/>
        </w:rPr>
        <w:t>http://www.urouwerraad.be</w:t>
      </w:r>
      <w:r>
        <w:rPr>
          <w:rFonts w:hint="cs"/>
          <w:rtl/>
          <w:lang w:bidi="ar-EG"/>
        </w:rPr>
        <w:t xml:space="preserve"> </w:t>
      </w:r>
    </w:p>
    <w:p w:rsidR="006D0927" w:rsidRDefault="006D0927" w:rsidP="006D0927">
      <w:pPr>
        <w:pStyle w:val="SingleTxt"/>
        <w:rPr>
          <w:rFonts w:hint="cs"/>
          <w:rtl/>
          <w:lang w:bidi="ar-EG"/>
        </w:rPr>
      </w:pPr>
      <w:r>
        <w:rPr>
          <w:rFonts w:hint="cs"/>
          <w:rtl/>
          <w:lang w:bidi="ar-EG"/>
        </w:rPr>
        <w:tab/>
        <w:t>وهو منظمة تتخذ شكل المظلة وتضم منظمات نسائية ذات خلفيات فلسفية وأيديولوجية متعددة. وهي تتعلق بمنظمات مهنية وكذلك رابطات تتألف من جماعات نسائية من الأحزاب السياسية والاجتماعية والثقافية والمستقلة. وتعبر المنظمة عن آرائها، وتنشر كتيبات وتقارير، وتحاول أن تدرج موضوعاتها في مختلف جداول الأعمال السياسية من خلال الضغط.</w:t>
      </w:r>
    </w:p>
    <w:p w:rsidR="006D0927" w:rsidRDefault="006D0927" w:rsidP="006D0927">
      <w:pPr>
        <w:pStyle w:val="SingleTxt"/>
        <w:rPr>
          <w:rFonts w:hint="cs"/>
          <w:rtl/>
          <w:lang w:bidi="ar-EG"/>
        </w:rPr>
      </w:pPr>
      <w:r>
        <w:rPr>
          <w:rFonts w:hint="cs"/>
          <w:rtl/>
          <w:lang w:bidi="ar-EG"/>
        </w:rPr>
        <w:tab/>
        <w:t>الإعانة في عام 2006: 000 421 يورو.</w:t>
      </w:r>
    </w:p>
    <w:p w:rsidR="006D0927" w:rsidRDefault="006D0927" w:rsidP="006D092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مركز توثيق </w:t>
      </w:r>
      <w:r>
        <w:rPr>
          <w:rFonts w:hint="eastAsia"/>
          <w:rtl/>
          <w:lang w:bidi="ar-EG"/>
        </w:rPr>
        <w:t>الدور والمجتمع</w:t>
      </w:r>
      <w:r>
        <w:rPr>
          <w:rFonts w:hint="cs"/>
          <w:rtl/>
          <w:lang w:bidi="ar-EG"/>
        </w:rPr>
        <w:t xml:space="preserve"> </w:t>
      </w:r>
      <w:r w:rsidRPr="0075743D">
        <w:rPr>
          <w:lang w:bidi="ar-EG"/>
        </w:rPr>
        <w:t>http://www.rosadoc.be</w:t>
      </w:r>
    </w:p>
    <w:p w:rsidR="006D0927" w:rsidRDefault="006D0927" w:rsidP="006D0927">
      <w:pPr>
        <w:pStyle w:val="SingleTxt"/>
        <w:rPr>
          <w:rFonts w:hint="cs"/>
          <w:rtl/>
          <w:lang w:bidi="ar-EG"/>
        </w:rPr>
      </w:pPr>
      <w:r>
        <w:rPr>
          <w:rFonts w:hint="cs"/>
          <w:rtl/>
          <w:lang w:bidi="ar-EG"/>
        </w:rPr>
        <w:tab/>
        <w:t xml:space="preserve">يقوم المركز بتجميع وإتاحة معلومات ووثائق عن وضع المرأة في المجتمع منذ عام 1978. وتقع المنظمة في الدار الفلمندية لتكافؤ الفرص حيث تقوم بإدارة مكتبة ضخمة وغير ذلك. وتشكل المنظمة أضخم مركز للتوثيق فيما يتعلق بالمرأة في بلجيكا. وتقوم المنظمة بانتظام بإعداد صحائف وقائع، وتشارك أيضاً بنشاط في مشروع </w:t>
      </w:r>
      <w:r>
        <w:rPr>
          <w:rFonts w:hint="eastAsia"/>
          <w:rtl/>
          <w:lang w:bidi="ar-EG"/>
        </w:rPr>
        <w:t>”</w:t>
      </w:r>
      <w:r>
        <w:rPr>
          <w:lang w:bidi="ar-EG"/>
        </w:rPr>
        <w:t>Athena</w:t>
      </w:r>
      <w:r>
        <w:rPr>
          <w:rFonts w:hint="cs"/>
          <w:rtl/>
          <w:lang w:bidi="ar-EG"/>
        </w:rPr>
        <w:t>“ التابع للاتحاد الأوروبي مع مركز الأبحاث المتعلقة بسياسات تكافؤ الفرص وكذلك تكافؤ الفرص في الإقليم الفلمندي. ويمكن لأعضاء اللجنة المعنية بالقضاء على التمييز ضد المرأة الاطلاع على مزيد من المعلومات المتعلقة بالسياسة الفلمندية لتكافؤ الفرص على الموقع الناطق بالانكليزية لمركز التوثيق.</w:t>
      </w:r>
    </w:p>
    <w:p w:rsidR="006D0927" w:rsidRDefault="006D0927" w:rsidP="006D0927">
      <w:pPr>
        <w:pStyle w:val="SingleTxt"/>
        <w:rPr>
          <w:rFonts w:hint="cs"/>
          <w:rtl/>
          <w:lang w:bidi="ar-EG"/>
        </w:rPr>
      </w:pPr>
      <w:r>
        <w:rPr>
          <w:rFonts w:hint="cs"/>
          <w:rtl/>
          <w:lang w:bidi="ar-EG"/>
        </w:rPr>
        <w:tab/>
        <w:t>الإعانة في عام 2006: 000 466 يورو.</w:t>
      </w:r>
    </w:p>
    <w:p w:rsidR="006D0927" w:rsidRPr="00BA6EF6" w:rsidRDefault="00655E37" w:rsidP="00655E3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6D0927">
        <w:rPr>
          <w:rFonts w:hint="cs"/>
          <w:rtl/>
          <w:lang w:bidi="ar-EG"/>
        </w:rPr>
        <w:t>-</w:t>
      </w:r>
      <w:r w:rsidR="006D0927">
        <w:rPr>
          <w:rFonts w:hint="cs"/>
          <w:rtl/>
          <w:lang w:bidi="ar-EG"/>
        </w:rPr>
        <w:tab/>
      </w:r>
      <w:r w:rsidR="006D0927">
        <w:rPr>
          <w:lang w:bidi="ar-EG"/>
        </w:rPr>
        <w:t>Gynaika vzw http://www.gynaika.be</w:t>
      </w:r>
      <w:r w:rsidR="006D0927">
        <w:rPr>
          <w:rFonts w:hint="cs"/>
          <w:rtl/>
          <w:lang w:bidi="ar-EG"/>
        </w:rPr>
        <w:t xml:space="preserve"> </w:t>
      </w:r>
    </w:p>
    <w:p w:rsidR="006D0927" w:rsidRDefault="006D0927" w:rsidP="006D0927">
      <w:pPr>
        <w:pStyle w:val="SingleTxt"/>
        <w:rPr>
          <w:rFonts w:hint="cs"/>
          <w:rtl/>
          <w:lang w:bidi="ar-EG"/>
        </w:rPr>
      </w:pPr>
      <w:r>
        <w:rPr>
          <w:rFonts w:hint="cs"/>
          <w:rtl/>
          <w:lang w:bidi="ar-EG"/>
        </w:rPr>
        <w:tab/>
        <w:t xml:space="preserve">تركز منظمة </w:t>
      </w:r>
      <w:r>
        <w:rPr>
          <w:lang w:bidi="ar-EG"/>
        </w:rPr>
        <w:t>VZW Gynaika</w:t>
      </w:r>
      <w:r>
        <w:rPr>
          <w:rFonts w:hint="cs"/>
          <w:rtl/>
          <w:lang w:bidi="ar-EG"/>
        </w:rPr>
        <w:t xml:space="preserve"> على الفنانات منذ عام 1994. وهي تقوم بذلك من ناحية من وجهة النظر الثقافية/التاريخية، وتدافع من ناحية أخرى لصالح منح الفنانات اليوم نفس فرص التطور مثل زملائهن من الذكور. وتدير المنظمة قاعدة بيانات تحتوي على معلومات عن مئات من الفنانات (يمكن لأي شخص الرجوع إليها) وتقوم بانتظام بتنظيم أنشطة.</w:t>
      </w:r>
    </w:p>
    <w:p w:rsidR="006D0927" w:rsidRDefault="006D0927" w:rsidP="00655E37">
      <w:pPr>
        <w:pStyle w:val="SingleTxt"/>
        <w:rPr>
          <w:rFonts w:hint="cs"/>
          <w:rtl/>
          <w:lang w:bidi="ar-EG"/>
        </w:rPr>
      </w:pPr>
      <w:r>
        <w:rPr>
          <w:rFonts w:hint="cs"/>
          <w:rtl/>
          <w:lang w:bidi="ar-EG"/>
        </w:rPr>
        <w:tab/>
        <w:t>الإعانة في عام 2006: 000 124 يورو.</w:t>
      </w:r>
    </w:p>
    <w:p w:rsidR="006D0927" w:rsidRDefault="00655E37" w:rsidP="00655E3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sidR="006D0927">
        <w:rPr>
          <w:rFonts w:hint="cs"/>
          <w:rtl/>
          <w:lang w:bidi="ar-EG"/>
        </w:rPr>
        <w:t>-</w:t>
      </w:r>
      <w:r w:rsidR="006D0927">
        <w:rPr>
          <w:rFonts w:hint="cs"/>
          <w:rtl/>
          <w:lang w:bidi="ar-EG"/>
        </w:rPr>
        <w:tab/>
        <w:t xml:space="preserve">لجنة المشورة النسائية </w:t>
      </w:r>
      <w:r w:rsidR="006D0927" w:rsidRPr="00C7601B">
        <w:rPr>
          <w:lang w:bidi="ar-EG"/>
        </w:rPr>
        <w:t>http://www.vrowerdag.be</w:t>
      </w:r>
    </w:p>
    <w:p w:rsidR="006D0927" w:rsidRDefault="006D0927" w:rsidP="006D0927">
      <w:pPr>
        <w:pStyle w:val="SingleTxt"/>
        <w:rPr>
          <w:rFonts w:hint="cs"/>
          <w:rtl/>
          <w:lang w:bidi="ar-EG"/>
        </w:rPr>
      </w:pPr>
      <w:r>
        <w:rPr>
          <w:lang w:bidi="ar-EG"/>
        </w:rPr>
        <w:tab/>
      </w:r>
      <w:r>
        <w:rPr>
          <w:rFonts w:hint="cs"/>
          <w:rtl/>
          <w:lang w:bidi="ar-EG"/>
        </w:rPr>
        <w:t>تقوم لجنة المشورة النسائية التعددية بتنظيم أنشطة ودعم مبادرات والاستفسار من صانعي السياسات، وتذكي الوعي بحرية المرأة. وتعرف اللجنة أيضاً بأنها البادئة بالاحتفال بيوم المرأة السنوي الذي يوافق 11 تشرين الثاني/نوفمبر من كل عام.</w:t>
      </w:r>
    </w:p>
    <w:p w:rsidR="006D0927" w:rsidRDefault="006D0927" w:rsidP="006D0927">
      <w:pPr>
        <w:pStyle w:val="SingleTxt"/>
        <w:rPr>
          <w:rFonts w:hint="cs"/>
          <w:rtl/>
          <w:lang w:bidi="ar-EG"/>
        </w:rPr>
      </w:pPr>
      <w:r>
        <w:rPr>
          <w:rFonts w:hint="cs"/>
          <w:rtl/>
          <w:lang w:bidi="ar-EG"/>
        </w:rPr>
        <w:tab/>
        <w:t>الإعانة في عام 2006: 000 50 يورو.</w:t>
      </w:r>
    </w:p>
    <w:p w:rsidR="006D0927" w:rsidRDefault="00655E37" w:rsidP="00655E3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6D0927">
        <w:rPr>
          <w:rFonts w:hint="cs"/>
          <w:rtl/>
          <w:lang w:bidi="ar-EG"/>
        </w:rPr>
        <w:t>-</w:t>
      </w:r>
      <w:r w:rsidR="006D0927">
        <w:rPr>
          <w:rFonts w:hint="cs"/>
          <w:rtl/>
          <w:lang w:bidi="ar-EG"/>
        </w:rPr>
        <w:tab/>
        <w:t xml:space="preserve">مركز الفتيات والنساء المهاجرات </w:t>
      </w:r>
      <w:r w:rsidR="006D0927" w:rsidRPr="00C7601B">
        <w:rPr>
          <w:lang w:bidi="ar-EG"/>
        </w:rPr>
        <w:t>http://www.samu.be</w:t>
      </w:r>
    </w:p>
    <w:p w:rsidR="006D0927" w:rsidRDefault="006D0927" w:rsidP="006D0927">
      <w:pPr>
        <w:pStyle w:val="SingleTxt"/>
        <w:rPr>
          <w:rFonts w:hint="cs"/>
          <w:rtl/>
          <w:lang w:bidi="ar-EG"/>
        </w:rPr>
      </w:pPr>
      <w:r>
        <w:rPr>
          <w:rFonts w:hint="cs"/>
          <w:rtl/>
          <w:lang w:bidi="ar-EG"/>
        </w:rPr>
        <w:tab/>
        <w:t>يحاول المركز تعزيز حرية النساء والفتيات المهاجرات ومشاركتهن بجعلهن ذوات حضور في المجتمع المتعدد الثقافات والتركيز على احتياجاتهن الخاصة. وتحقيقاً لذلك، فإنه يتعاون تعاوناً وثيقاً مع رابطات الفتيات والنساء المهاجرات.</w:t>
      </w:r>
    </w:p>
    <w:p w:rsidR="006D0927" w:rsidRDefault="006D0927" w:rsidP="006D0927">
      <w:pPr>
        <w:pStyle w:val="SingleTxt"/>
        <w:rPr>
          <w:rFonts w:hint="cs"/>
          <w:rtl/>
          <w:lang w:bidi="ar-EG"/>
        </w:rPr>
      </w:pPr>
      <w:r>
        <w:rPr>
          <w:rFonts w:hint="cs"/>
          <w:rtl/>
          <w:lang w:bidi="ar-EG"/>
        </w:rPr>
        <w:tab/>
        <w:t>الإعانة في عام 2006: 000 98 يورو.</w:t>
      </w:r>
    </w:p>
    <w:p w:rsidR="006D0927" w:rsidRDefault="006D0927" w:rsidP="006D0927">
      <w:pPr>
        <w:pStyle w:val="SingleTxt"/>
        <w:rPr>
          <w:rFonts w:hint="cs"/>
          <w:rtl/>
          <w:lang w:bidi="ar-EG"/>
        </w:rPr>
      </w:pPr>
      <w:r>
        <w:rPr>
          <w:rFonts w:hint="cs"/>
          <w:rtl/>
          <w:lang w:bidi="ar-EG"/>
        </w:rPr>
        <w:tab/>
        <w:t>وإلى جانب هذا التمويل الهيكلي، تخصص منح لمختلف المشروعات المقدمة من المنظمات النسائية.</w:t>
      </w:r>
    </w:p>
    <w:p w:rsidR="006D0927" w:rsidRDefault="006D0927" w:rsidP="006D092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Pr="00B52920">
        <w:rPr>
          <w:rFonts w:hint="cs"/>
          <w:rtl/>
          <w:lang w:bidi="ar-EG"/>
        </w:rPr>
        <w:t>4 -</w:t>
      </w:r>
      <w:r w:rsidRPr="00B52920">
        <w:rPr>
          <w:rFonts w:hint="cs"/>
          <w:rtl/>
          <w:lang w:bidi="ar-EG"/>
        </w:rPr>
        <w:tab/>
        <w:t>شبكة المنسقين الإقليميين</w:t>
      </w:r>
    </w:p>
    <w:p w:rsidR="006D0927" w:rsidRDefault="006D0927" w:rsidP="006D0927">
      <w:pPr>
        <w:pStyle w:val="SingleTxt"/>
        <w:rPr>
          <w:rFonts w:hint="cs"/>
          <w:rtl/>
          <w:lang w:bidi="ar-EG"/>
        </w:rPr>
      </w:pPr>
      <w:r>
        <w:rPr>
          <w:rFonts w:hint="cs"/>
          <w:rtl/>
          <w:lang w:bidi="ar-EG"/>
        </w:rPr>
        <w:tab/>
        <w:t>خلال هذه الفترة المستعرضة، استمر الربط الشبكي مع المسؤولين عن تكافؤ الفرص في المقاطعات الفلمندية والمدن الداخلية. وكانت الفكرة من هذه الاجتماعات هي تبادل المعلومات، والتعامل مع الموضوعات المشتركة، وتعزيز التشاور والتعاون من أجل القيام بمشروعات جديدة، على سبيل المثال.</w:t>
      </w:r>
    </w:p>
    <w:p w:rsidR="006D0927" w:rsidRDefault="006D0927" w:rsidP="006D0927">
      <w:pPr>
        <w:pStyle w:val="SingleTxt"/>
        <w:rPr>
          <w:rFonts w:hint="cs"/>
          <w:rtl/>
          <w:lang w:bidi="ar-EG"/>
        </w:rPr>
      </w:pPr>
      <w:r>
        <w:rPr>
          <w:rFonts w:hint="cs"/>
          <w:rtl/>
          <w:lang w:bidi="ar-EG"/>
        </w:rPr>
        <w:tab/>
        <w:t xml:space="preserve">ويشكل المسؤولون المحليون عن تكافؤ الفرص أيضاً قناة هامة من أجل نشر المعلومات والوثائق المتعلقة بالسياسة الفلمندية لتكافؤ الفرص ويمثلون بصفة خاصة فعاليات هامة في تنفيذ مختلف جوانب خطة العمل المعنونة </w:t>
      </w:r>
      <w:r>
        <w:rPr>
          <w:rFonts w:hint="cs"/>
          <w:rtl/>
        </w:rPr>
        <w:t>’</w:t>
      </w:r>
      <w:r>
        <w:rPr>
          <w:rFonts w:hint="eastAsia"/>
          <w:rtl/>
          <w:lang w:bidi="ar-EG"/>
        </w:rPr>
        <w:t>التنوع في اتخاذ القرار</w:t>
      </w:r>
      <w:r>
        <w:rPr>
          <w:rFonts w:hint="cs"/>
          <w:rtl/>
          <w:lang w:bidi="ar-EG"/>
        </w:rPr>
        <w:t>‘ (انظر المادة 7 أدناه). وتشكل المرأة مجموعة هامة لمناقشة هذه الإجراءات، ولكنها ليست الوحيدة. وتندرج أيضاً تحت مسمى ’ال</w:t>
      </w:r>
      <w:r>
        <w:rPr>
          <w:rFonts w:hint="eastAsia"/>
          <w:rtl/>
          <w:lang w:bidi="ar-EG"/>
        </w:rPr>
        <w:t xml:space="preserve">جماعات </w:t>
      </w:r>
      <w:r>
        <w:rPr>
          <w:rFonts w:hint="cs"/>
          <w:rtl/>
          <w:lang w:bidi="ar-EG"/>
        </w:rPr>
        <w:t>النقاشية‘ الجماعات والجماعات الفرعية الأخرى الممثلة تمثيلا</w:t>
      </w:r>
      <w:r>
        <w:rPr>
          <w:rFonts w:hint="eastAsia"/>
          <w:rtl/>
          <w:lang w:bidi="ar-EG"/>
        </w:rPr>
        <w:t> </w:t>
      </w:r>
      <w:r>
        <w:rPr>
          <w:rFonts w:hint="cs"/>
          <w:rtl/>
          <w:lang w:bidi="ar-EG"/>
        </w:rPr>
        <w:t>ناقصا.</w:t>
      </w:r>
    </w:p>
    <w:p w:rsidR="006D0927" w:rsidRPr="002139F2" w:rsidRDefault="006D0927" w:rsidP="006D0927">
      <w:pPr>
        <w:pStyle w:val="SingleTxt"/>
        <w:spacing w:after="0" w:line="120" w:lineRule="exact"/>
        <w:rPr>
          <w:rFonts w:hint="cs"/>
          <w:sz w:val="10"/>
          <w:rtl/>
          <w:lang w:bidi="ar-EG"/>
        </w:rPr>
      </w:pPr>
    </w:p>
    <w:p w:rsidR="006D0927" w:rsidRPr="00B52920" w:rsidRDefault="006D0927" w:rsidP="006D092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t>5 -</w:t>
      </w:r>
      <w:r>
        <w:rPr>
          <w:rFonts w:hint="cs"/>
          <w:rtl/>
          <w:lang w:bidi="ar-EG"/>
        </w:rPr>
        <w:tab/>
        <w:t>النساء المهاجرات</w:t>
      </w:r>
    </w:p>
    <w:p w:rsidR="006D0927" w:rsidRDefault="006D0927" w:rsidP="007023B4">
      <w:pPr>
        <w:pStyle w:val="SingleTxt"/>
        <w:spacing w:line="380" w:lineRule="exact"/>
        <w:rPr>
          <w:rFonts w:hint="cs"/>
          <w:rtl/>
          <w:lang w:bidi="ar-EG"/>
        </w:rPr>
      </w:pPr>
      <w:r>
        <w:rPr>
          <w:rFonts w:hint="cs"/>
          <w:rtl/>
          <w:lang w:bidi="ar-EG"/>
        </w:rPr>
        <w:tab/>
        <w:t>تواجه النساء المهاجرات اليوم مشكلات اجتماعية في مختلف مجالات المجتمع. ويمثلن جماعة فرعية ذات أولوية في السياسة الجارية لتكافؤ الفرص. وتسعى السياسة الفلمندية لتكافؤ الفرص إلى دعم كل من التحرر الداخلي والخارجي للمهاجرات. ويمثل التحرر الداخلي تحرر المرأة في مجتمعها الإثني/الثقافي. ويشير التحرر الخارجي إلى التحرر بصفتها مهاجرة في المجتمع الفلمندي. وفي السنة الأولى من ولاية الحكومة، اشترك مقررو السياسة الفلمندية لتكافؤ الفرص في حوار تفسيري مع الجماعة المستهدفة ذاتها خلال عدة محادثات غير رسمية مع مختلف جماعات النساء المهاجرات.</w:t>
      </w:r>
    </w:p>
    <w:p w:rsidR="006D0927" w:rsidRDefault="006D0927" w:rsidP="007023B4">
      <w:pPr>
        <w:pStyle w:val="SingleTxt"/>
        <w:spacing w:line="380" w:lineRule="exact"/>
        <w:rPr>
          <w:rFonts w:hint="cs"/>
          <w:rtl/>
          <w:lang w:bidi="ar-EG"/>
        </w:rPr>
      </w:pPr>
      <w:r>
        <w:rPr>
          <w:rFonts w:hint="cs"/>
          <w:rtl/>
          <w:lang w:bidi="ar-EG"/>
        </w:rPr>
        <w:tab/>
        <w:t>وقد قدمت نتائج هذه المحادثات في أواخر عام 2005 في صور ونصوص بطريقة ميسورة من خلال تقويم لعام 2006 يعبر عن البيئة الاجتماعية للمرأة المهاجرة. وتم توزيع 500 1 نسخة من هذا التقويم.</w:t>
      </w:r>
    </w:p>
    <w:p w:rsidR="006D0927" w:rsidRDefault="006D0927" w:rsidP="007023B4">
      <w:pPr>
        <w:pStyle w:val="SingleTxt"/>
        <w:spacing w:line="380" w:lineRule="exact"/>
        <w:rPr>
          <w:rFonts w:hint="cs"/>
          <w:rtl/>
          <w:lang w:bidi="ar-EG"/>
        </w:rPr>
      </w:pPr>
      <w:r>
        <w:rPr>
          <w:rFonts w:hint="cs"/>
          <w:rtl/>
          <w:lang w:bidi="ar-EG"/>
        </w:rPr>
        <w:tab/>
        <w:t>واستمرت المبادرة في ربيع عام 2006 مع إنشاء فريق تفكير للنساء المهاجرات. ويتألف هذا الفريق من نساء لديهن، باعتبار خلفيتهن الإثنية/الثقافية و/أو اتصالاتهن المهنية مع النساء المهاجرات، الخبرة اللازمة لتحويل الأفكار الجديدة إلى إجراءات واستعراض التدابير القائمة المتعلقة بالسياسات. وبذلك يكون القصد من سياسة تكافؤ الفرص هو تلبية الاحتياجات الفعلية للجماعة المستهدفة واكتساب دعم كاف.</w:t>
      </w:r>
    </w:p>
    <w:p w:rsidR="006D0927" w:rsidRDefault="006D0927" w:rsidP="006D0927">
      <w:pPr>
        <w:pStyle w:val="SingleTxt"/>
        <w:rPr>
          <w:rFonts w:hint="cs"/>
          <w:rtl/>
          <w:lang w:bidi="ar-EG"/>
        </w:rPr>
      </w:pPr>
      <w:r>
        <w:rPr>
          <w:rFonts w:hint="cs"/>
          <w:rtl/>
          <w:lang w:bidi="ar-EG"/>
        </w:rPr>
        <w:tab/>
        <w:t>وسوف تتم مناقشة الاحتياجات المحددة للنساء المهاجرات مع الوزراء الفلمنديين المختصين من خلال الأسلوب المفتوح للتنسيق.</w:t>
      </w:r>
    </w:p>
    <w:p w:rsidR="006D0927" w:rsidRPr="002B6B5C" w:rsidRDefault="006D0927" w:rsidP="006D0927">
      <w:pPr>
        <w:pStyle w:val="SingleTxt"/>
        <w:spacing w:after="0" w:line="120" w:lineRule="exact"/>
        <w:rPr>
          <w:rFonts w:hint="cs"/>
          <w:b/>
          <w:bCs/>
          <w:sz w:val="10"/>
          <w:rtl/>
          <w:lang w:bidi="ar-EG"/>
        </w:rPr>
      </w:pPr>
    </w:p>
    <w:p w:rsidR="006D0927" w:rsidRPr="00CE7BEC" w:rsidRDefault="006D0927" w:rsidP="006D092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Pr="00CE7BEC">
        <w:rPr>
          <w:rFonts w:hint="cs"/>
          <w:rtl/>
          <w:lang w:bidi="ar-EG"/>
        </w:rPr>
        <w:t>6 -</w:t>
      </w:r>
      <w:r w:rsidRPr="00CE7BEC">
        <w:rPr>
          <w:rFonts w:hint="cs"/>
          <w:rtl/>
          <w:lang w:bidi="ar-EG"/>
        </w:rPr>
        <w:tab/>
        <w:t xml:space="preserve">المبادرة التدريبية </w:t>
      </w:r>
      <w:r>
        <w:rPr>
          <w:rFonts w:hint="cs"/>
          <w:rtl/>
          <w:lang w:bidi="ar-EG"/>
        </w:rPr>
        <w:t>’</w:t>
      </w:r>
      <w:r w:rsidRPr="00CE7BEC">
        <w:rPr>
          <w:rFonts w:hint="eastAsia"/>
          <w:rtl/>
          <w:lang w:bidi="ar-EG"/>
        </w:rPr>
        <w:t xml:space="preserve">المركز </w:t>
      </w:r>
      <w:r>
        <w:rPr>
          <w:rFonts w:hint="cs"/>
          <w:rtl/>
          <w:lang w:bidi="ar-EG"/>
        </w:rPr>
        <w:t xml:space="preserve">المعني </w:t>
      </w:r>
      <w:r w:rsidRPr="00CE7BEC">
        <w:rPr>
          <w:rFonts w:hint="eastAsia"/>
          <w:rtl/>
          <w:lang w:bidi="ar-EG"/>
        </w:rPr>
        <w:t>بالقانون الدولي الخاص</w:t>
      </w:r>
      <w:r>
        <w:rPr>
          <w:rFonts w:hint="cs"/>
          <w:rtl/>
          <w:lang w:bidi="ar-EG"/>
        </w:rPr>
        <w:t>‘</w:t>
      </w:r>
    </w:p>
    <w:p w:rsidR="006D0927" w:rsidRDefault="006D0927" w:rsidP="006D0927">
      <w:pPr>
        <w:pStyle w:val="SingleTxt"/>
        <w:rPr>
          <w:rFonts w:hint="cs"/>
          <w:rtl/>
          <w:lang w:bidi="ar-EG"/>
        </w:rPr>
      </w:pPr>
      <w:r>
        <w:rPr>
          <w:rFonts w:hint="cs"/>
          <w:rtl/>
          <w:lang w:bidi="ar-EG"/>
        </w:rPr>
        <w:tab/>
        <w:t>سبقت الإشارة إلى أن سياسة تكافؤ الفرص تتطلب نهجاً إزاء النساء المهاجرات المهاجرة يركز على الجنسانية إلى جانب الإثنية. وهذا هو السبب في أن سياسة تكافؤ الفرص اعتمدت نهجا مزدوجا من أجل هذه الجماعة المستهدفة يقوم، من ناحية، على سياسة جامعة ومن ناحية أخرى على سياسة نوعية كلما كان ذلك مناسباً.</w:t>
      </w:r>
    </w:p>
    <w:p w:rsidR="006D0927" w:rsidRDefault="006D0927" w:rsidP="006D0927">
      <w:pPr>
        <w:pStyle w:val="SingleTxt"/>
        <w:rPr>
          <w:rFonts w:hint="cs"/>
          <w:rtl/>
          <w:lang w:bidi="ar-EG"/>
        </w:rPr>
      </w:pPr>
      <w:r>
        <w:rPr>
          <w:rFonts w:hint="cs"/>
          <w:rtl/>
          <w:lang w:bidi="ar-EG"/>
        </w:rPr>
        <w:tab/>
        <w:t>ويستدل بوضوح من لجنة الحوار بين الثقافات التي أنشأتها الحكومة الاتحادية يوم 23</w:t>
      </w:r>
      <w:r>
        <w:rPr>
          <w:rFonts w:hint="eastAsia"/>
          <w:rtl/>
          <w:lang w:bidi="ar-EG"/>
        </w:rPr>
        <w:t> </w:t>
      </w:r>
      <w:r>
        <w:rPr>
          <w:rFonts w:hint="cs"/>
          <w:rtl/>
          <w:lang w:bidi="ar-EG"/>
        </w:rPr>
        <w:t>شباط/فبراير 2004 على أن من المستصوب اتباع سياسة معينة إزاء النساء المهاجرات، عندما يكون الأمر معنيا، في جملة أمور، بالقانون الدولي الخاص. والسبب في ذلك هو أن النساء المهاجرات يواجهن، على سبيل المثال، صراعات قانونية بين القانون الدولي للأسرة والمعاهدات الدولية التي وقعتها بلجيكا وبعض القيم الأساسية في مجتمعنا. والحالة غير المؤكدة لبعض النساء تجعل من مركزهن القانوني مزعزعا بدرجة أكبر. وعلى أية حال، من الصعب بالنسبة للنساء تأكيد حقهن إذا لم يكنّ على علم بهذه الحقوق و/أو كانت هذه الحقوق موضع تجاهل في إطارهن الثقافي والاجتماعي ولا يمكنهن الحصول على أي معلومات بشأنها من أية سلطة.</w:t>
      </w:r>
    </w:p>
    <w:p w:rsidR="006D0927" w:rsidRDefault="006D0927" w:rsidP="006D0927">
      <w:pPr>
        <w:pStyle w:val="SingleTxt"/>
        <w:rPr>
          <w:rFonts w:hint="cs"/>
          <w:rtl/>
          <w:lang w:bidi="ar-EG"/>
        </w:rPr>
      </w:pPr>
      <w:r>
        <w:rPr>
          <w:rFonts w:hint="cs"/>
          <w:rtl/>
          <w:lang w:bidi="ar-EG"/>
        </w:rPr>
        <w:tab/>
        <w:t>وقد بدأ المركز المعني بالقانون الدولي الخاص أعماله في 1 كانون الأول/ديسمبر 2005 في إطار مركز الأقليات الفلمندي، وهو مشروع ريادي أنشئ بناء على مبادرة من الوزير الاتحادي لتكافؤ الفرص بالتعاون مع الأقاليم. والقانون الدولي الخاص هو الفرع القانوني الذي يضم القواعد التي تحدد أي قانون وطني ينطبق على أشخاص من جنسية أخرى خلاف جنسية البلد الذي يقيمون فيه. وهو يحدد على سبيل المثال أي قانون وطني ينطبق إذا</w:t>
      </w:r>
      <w:r>
        <w:rPr>
          <w:rFonts w:hint="eastAsia"/>
          <w:rtl/>
          <w:lang w:bidi="ar-EG"/>
        </w:rPr>
        <w:t> </w:t>
      </w:r>
      <w:r>
        <w:rPr>
          <w:rFonts w:hint="cs"/>
          <w:rtl/>
          <w:lang w:bidi="ar-EG"/>
        </w:rPr>
        <w:t>كان الأشخاص المختلفو الجنسية يتزوجون أو يطلقون في بلد آخر غير بلد جنسيتهم. وبالتالي ينبغي للمرء، من أجل أن يتمكن من أن يقدم لفرد من أصل أجنبي مساعدة قانونية في حالة محددة، أن يكون ذا إلمام بالقانون البلجيكي الدولي الخاص وكذلك بالنظام القانوني الأجنبي المطبق. ويتمثل الهدف الأوَّلي للمركز في توفير مساعدة قانونية لأي شخص يطلبها. وتتألف الجماعة المستهدفة في المقام الأول من الأطراف ذات الصلة المباشرة، وهي النساء ذوات الأصل الأجنبي أو النساء ذوات الجنسية الأجنبية، فضلا عن الخدمات الوسيطة التي تواجه هذه المشكلة. والفكرة بالنسبة للمركز هي أن ينظم أيضاً تدريباً للأشخاص الذين يعالجون المسألة مهنياً (المحامون، والقضاة، والموظفون المدنيون في سجل المواليد والوفيات والزيجات، والمستشارون القانونيون في إطار المساعدة القانونية، والمهنيون من قطاعات الأقليات والقطاعات الاجتماعية)، من أجل أن يتاح لهم تقديم مساعدة قانونية سليمة إلى الجماعة المستهدفة.</w:t>
      </w:r>
    </w:p>
    <w:p w:rsidR="006D0927" w:rsidRDefault="006D0927" w:rsidP="006D0927">
      <w:pPr>
        <w:pStyle w:val="SingleTxt"/>
        <w:rPr>
          <w:rFonts w:hint="cs"/>
          <w:rtl/>
          <w:lang w:bidi="ar-EG"/>
        </w:rPr>
      </w:pPr>
      <w:r>
        <w:rPr>
          <w:rFonts w:hint="cs"/>
          <w:rtl/>
          <w:lang w:bidi="ar-EG"/>
        </w:rPr>
        <w:tab/>
        <w:t>والسياسة الفلمندية لتكافؤ الفرص تدعم مالياً هذه المبادرة التدريبية مع الوزير الفلمندي المسؤول عن الهجرة المدنية ووزير دولة العاصمة بروكسل لتكافؤ الفرص.</w:t>
      </w:r>
    </w:p>
    <w:p w:rsidR="006D0927" w:rsidRPr="0083785B" w:rsidRDefault="006D0927" w:rsidP="006D092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t>7 -</w:t>
      </w:r>
      <w:r>
        <w:rPr>
          <w:rFonts w:hint="cs"/>
          <w:rtl/>
          <w:lang w:bidi="ar-EG"/>
        </w:rPr>
        <w:tab/>
        <w:t>الحولية الجنسانية</w:t>
      </w:r>
    </w:p>
    <w:p w:rsidR="006D0927" w:rsidRDefault="006D0927" w:rsidP="006D0927">
      <w:pPr>
        <w:pStyle w:val="SingleTxt"/>
        <w:rPr>
          <w:rFonts w:hint="cs"/>
          <w:rtl/>
          <w:lang w:bidi="ar-EG"/>
        </w:rPr>
      </w:pPr>
      <w:r>
        <w:rPr>
          <w:rFonts w:hint="cs"/>
          <w:rtl/>
          <w:lang w:bidi="ar-EG"/>
        </w:rPr>
        <w:tab/>
        <w:t xml:space="preserve">تقرر في أوائل عام 2006 دمج أربعة منشورات توجهها (جزئيا) السياسة الفلمندية لتكافؤ الفرص. وهي تتعلق في المقام الأول بحولية تكافؤ الفرص، وهي منشور سنوي صادر عن مركز أبحاث سياسات تكافؤ الفرص. وإلى جانب ذلك تم لبضع السنوات نشر مذكرة الجنسانية التي تتضمن إحصاءات عن وضع المرأة والرجل في سوق العمل. وثالثاً، تم إصدار منشور في إطار إجراء التنسيق المفتوح لرصد التقدم السنوي. وأخيراً، طلب صناع السياسة الفلمندية لتكافؤ الفرص إعداد مقال لشرح الفجوة المتعلقة بالعمل من وجهة النظر الجنسانية. والعنوان العامل للمنشور المتكامل هو </w:t>
      </w:r>
      <w:r>
        <w:rPr>
          <w:rFonts w:hint="eastAsia"/>
          <w:rtl/>
          <w:lang w:bidi="ar-EG"/>
        </w:rPr>
        <w:t>الحولية الفلمن</w:t>
      </w:r>
      <w:r>
        <w:rPr>
          <w:rFonts w:hint="cs"/>
          <w:rtl/>
          <w:lang w:bidi="ar-EG"/>
        </w:rPr>
        <w:t>د</w:t>
      </w:r>
      <w:r>
        <w:rPr>
          <w:rFonts w:hint="eastAsia"/>
          <w:rtl/>
          <w:lang w:bidi="ar-EG"/>
        </w:rPr>
        <w:t xml:space="preserve">ية </w:t>
      </w:r>
      <w:r>
        <w:rPr>
          <w:rFonts w:hint="cs"/>
          <w:rtl/>
          <w:lang w:bidi="ar-EG"/>
        </w:rPr>
        <w:t>للجنسانية.</w:t>
      </w:r>
    </w:p>
    <w:p w:rsidR="006D0927" w:rsidRDefault="006D0927" w:rsidP="006D0927">
      <w:pPr>
        <w:pStyle w:val="SingleTxt"/>
        <w:rPr>
          <w:rFonts w:hint="cs"/>
          <w:rtl/>
          <w:lang w:bidi="ar-EG"/>
        </w:rPr>
      </w:pPr>
      <w:r>
        <w:rPr>
          <w:rFonts w:hint="cs"/>
          <w:rtl/>
          <w:lang w:bidi="ar-EG"/>
        </w:rPr>
        <w:tab/>
        <w:t>وتركز طبعة عام 2006 للحولية الفلمندية للجنسانية على الفجوات المتعلقة بالأجر والمستقبل الوظيفي بالنسبة للنساء. ويقدم الجزء الأول إحصاءات عن الرجال والنساء في عدد من مجالات الحياة الاجتماعية التي ترتبط ارتباطاً وثيقاً بسوق العمل. ويتضمن جزء ثان أرقاماً عن الموضوع المحدد للرجل والمرأة في نهاية مرحلة العمل. والجزء الأول من إنتاج مركز أبحاث سياسات تكافؤ الفرص، والجزء الثاني من إنتاج مركز الاستخدام والعمل والتدريب. والجزء الثالث من إنتاج مركز أبحاث سياسات تكافؤ الفرص أيضاً، ويركز على الطريقة التي يتم بها إضعاف مفهوم تكافؤ الفرص من جانب مختلف الجوانب المتعلقة بالسياسة الفلمندية. وهو يبدأ من الأهداف الجنسانية المقدمة من مختلف مجالات السياسات في إطار أسلوب التنسيق المفتوح. والجزء الرابع عبارة عن مقال للبروفسور الدكتور لوك سيلز يعالج الفجوة المتعلقة بالمستقبل الوظيفي من وجهة نظر الجنسانية.</w:t>
      </w:r>
    </w:p>
    <w:p w:rsidR="006D0927" w:rsidRDefault="006D0927" w:rsidP="006D0927">
      <w:pPr>
        <w:pStyle w:val="SingleTxt"/>
        <w:rPr>
          <w:rFonts w:hint="cs"/>
          <w:rtl/>
          <w:lang w:bidi="ar-EG"/>
        </w:rPr>
      </w:pPr>
      <w:r>
        <w:rPr>
          <w:rFonts w:hint="cs"/>
          <w:rtl/>
          <w:lang w:bidi="ar-EG"/>
        </w:rPr>
        <w:tab/>
        <w:t>وستنشر الحولة الفلمندية الأولى للجنسانية في كانون الأول/ديسمبر 2006. وستصدر سنويا. وسيكون التركيز في عام 2007 على الفجوة بين الجنسين في الأجر والمستقبل الوظيفي.</w:t>
      </w:r>
    </w:p>
    <w:p w:rsidR="006D0927" w:rsidRPr="00C75EB3" w:rsidRDefault="006D0927" w:rsidP="006D0927">
      <w:pPr>
        <w:pStyle w:val="SingleTxt"/>
        <w:spacing w:after="0" w:line="120" w:lineRule="exact"/>
        <w:rPr>
          <w:rFonts w:hint="cs"/>
          <w:sz w:val="10"/>
          <w:rtl/>
          <w:lang w:bidi="ar-EG"/>
        </w:rPr>
      </w:pPr>
    </w:p>
    <w:p w:rsidR="006D0927" w:rsidRPr="00311975" w:rsidRDefault="006D0927" w:rsidP="006D0927">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lang w:bidi="ar-EG"/>
        </w:rPr>
      </w:pPr>
      <w:r>
        <w:rPr>
          <w:rFonts w:hint="cs"/>
          <w:rtl/>
          <w:lang w:bidi="ar-EG"/>
        </w:rPr>
        <w:tab/>
        <w:t>باء -</w:t>
      </w:r>
      <w:r>
        <w:rPr>
          <w:rFonts w:hint="cs"/>
          <w:rtl/>
          <w:lang w:bidi="ar-EG"/>
        </w:rPr>
        <w:tab/>
        <w:t>المجتمع الفرنسي</w:t>
      </w:r>
    </w:p>
    <w:p w:rsidR="006D0927" w:rsidRPr="009B258E" w:rsidRDefault="006D0927" w:rsidP="006D0927">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lang w:bidi="ar-EG"/>
        </w:rPr>
      </w:pPr>
      <w:r>
        <w:rPr>
          <w:rFonts w:hint="cs"/>
          <w:rtl/>
          <w:lang w:bidi="ar-EG"/>
        </w:rPr>
        <w:tab/>
      </w:r>
      <w:r w:rsidRPr="009B258E">
        <w:rPr>
          <w:rFonts w:hint="cs"/>
          <w:rtl/>
          <w:lang w:bidi="ar-EG"/>
        </w:rPr>
        <w:t>1 -</w:t>
      </w:r>
      <w:r w:rsidRPr="009B258E">
        <w:rPr>
          <w:rFonts w:hint="cs"/>
          <w:rtl/>
          <w:lang w:bidi="ar-EG"/>
        </w:rPr>
        <w:tab/>
      </w:r>
      <w:r>
        <w:rPr>
          <w:rFonts w:hint="cs"/>
          <w:rtl/>
          <w:lang w:bidi="ar-EG"/>
        </w:rPr>
        <w:t>وحدة</w:t>
      </w:r>
      <w:r w:rsidRPr="009B258E">
        <w:rPr>
          <w:rFonts w:hint="cs"/>
          <w:rtl/>
          <w:lang w:bidi="ar-EG"/>
        </w:rPr>
        <w:t xml:space="preserve"> متخصصة</w:t>
      </w:r>
    </w:p>
    <w:p w:rsidR="006D0927" w:rsidRDefault="006D0927" w:rsidP="006D0927">
      <w:pPr>
        <w:pStyle w:val="SingleTxt"/>
        <w:rPr>
          <w:rFonts w:hint="cs"/>
          <w:rtl/>
          <w:lang w:bidi="ar-EG"/>
        </w:rPr>
      </w:pPr>
      <w:r>
        <w:rPr>
          <w:rFonts w:hint="cs"/>
          <w:rtl/>
          <w:lang w:bidi="ar-EG"/>
        </w:rPr>
        <w:tab/>
        <w:t xml:space="preserve">من أجل النهوض بديناميكية لتكافؤ الفرص في المجالات التي تدخل في اختصاص المجتمع الفرنسي، فإن لدى المجتمع الفرنسي في والون - </w:t>
      </w:r>
      <w:r>
        <w:rPr>
          <w:rFonts w:hint="eastAsia"/>
          <w:rtl/>
          <w:lang w:bidi="ar-EG"/>
        </w:rPr>
        <w:t>بروكسل</w:t>
      </w:r>
      <w:r>
        <w:rPr>
          <w:rFonts w:hint="cs"/>
          <w:rtl/>
          <w:lang w:bidi="ar-EG"/>
        </w:rPr>
        <w:t xml:space="preserve"> إدارة متخصصة. وتتبع دائرة تكافؤ الفرص مباشرة الأمانة العامة لوزارة المجتمع الفرنسي والوزيرة - رئيسة حكومة المجتمع الفرنسي المكلفة بتكافؤ الفرص. وتتمثل مهام الإدارة فيما يلي:</w:t>
      </w:r>
    </w:p>
    <w:p w:rsidR="006D0927" w:rsidRDefault="006D0927" w:rsidP="006D092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تعزيز وتحريك ديناميكية لتكافؤ الفرص في المجالات التي تدخل في اختصاص المجتمع الفرنسي؛</w:t>
      </w:r>
    </w:p>
    <w:p w:rsidR="006D0927" w:rsidRDefault="006D0927" w:rsidP="006D092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توفير مرجعية مهيأة للتبادل والتفكير والإبداع؛</w:t>
      </w:r>
    </w:p>
    <w:p w:rsidR="006D0927" w:rsidRDefault="006D0927" w:rsidP="006D092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تثقيف القطاع التعاوني، والاستماع إليه، وتقديم المساعدة والدعم إليه فيما يقوم به من أبحاث ومساع؛</w:t>
      </w:r>
    </w:p>
    <w:p w:rsidR="006D0927" w:rsidRDefault="006D0927" w:rsidP="006D092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اتخاذ مبادرات إبداعية في صالح سياسة عملية لتكافؤ الفرص، وبخاصة عن طريق استحداث أدوات، في المجتمع الفرنسي.</w:t>
      </w:r>
    </w:p>
    <w:p w:rsidR="006D0927" w:rsidRDefault="006D0927" w:rsidP="006D0927">
      <w:pPr>
        <w:pStyle w:val="SingleTxt"/>
        <w:rPr>
          <w:rFonts w:hint="cs"/>
          <w:rtl/>
          <w:lang w:bidi="ar-EG"/>
        </w:rPr>
      </w:pPr>
      <w:r>
        <w:rPr>
          <w:rFonts w:hint="cs"/>
          <w:rtl/>
          <w:lang w:bidi="ar-EG"/>
        </w:rPr>
        <w:tab/>
        <w:t>ومن ثم فإن إدارة تكافؤ الفرص بوزارة المجتمع الفرنسي تعكف على مسألة المساواة بين المرأة والرجل في إطار اختصاصات المجتمع الفرنسي. ويتعلق الأمر بمجالات ذاتية مثل مختلف مستويات وأنواع التعليم، والتربية، والبحث العلمي، والثقافة، والموسيقى، والرقص، وفنون المسرح، والتعليم الدائم، والمراكز الثقافية، وفنون الآداب، والتراث الثقافي، إلخ)، والنهوض بالصحة، والرياضة، والشباب، ومساعدة الشباب، والوسائل السمعية والبصرية، ووسائل الإعلام.</w:t>
      </w:r>
    </w:p>
    <w:p w:rsidR="006D0927" w:rsidRPr="00751DBF" w:rsidRDefault="006D0927" w:rsidP="006D0927">
      <w:pPr>
        <w:pStyle w:val="H1"/>
        <w:spacing w:line="120" w:lineRule="exact"/>
        <w:rPr>
          <w:rFonts w:hint="cs"/>
          <w:sz w:val="10"/>
          <w:szCs w:val="30"/>
          <w:rtl/>
          <w:lang w:bidi="ar-EG"/>
        </w:rPr>
      </w:pPr>
    </w:p>
    <w:p w:rsidR="006D0927" w:rsidRPr="009B258E" w:rsidRDefault="006D0927" w:rsidP="006D0927">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lang w:bidi="ar-EG"/>
        </w:rPr>
      </w:pPr>
      <w:r>
        <w:rPr>
          <w:rFonts w:hint="cs"/>
          <w:rtl/>
          <w:lang w:bidi="ar-EG"/>
        </w:rPr>
        <w:tab/>
      </w:r>
      <w:r w:rsidRPr="009B258E">
        <w:rPr>
          <w:rFonts w:hint="cs"/>
          <w:rtl/>
          <w:lang w:bidi="ar-EG"/>
        </w:rPr>
        <w:t>2 -</w:t>
      </w:r>
      <w:r w:rsidRPr="009B258E">
        <w:rPr>
          <w:rFonts w:hint="cs"/>
          <w:rtl/>
          <w:lang w:bidi="ar-EG"/>
        </w:rPr>
        <w:tab/>
        <w:t>الشراكات ودعم المجتمع المدني</w:t>
      </w:r>
    </w:p>
    <w:p w:rsidR="006D0927" w:rsidRDefault="006D0927" w:rsidP="006D0927">
      <w:pPr>
        <w:pStyle w:val="SingleTxt"/>
        <w:rPr>
          <w:rFonts w:hint="cs"/>
          <w:rtl/>
          <w:lang w:bidi="ar-EG"/>
        </w:rPr>
      </w:pPr>
      <w:r>
        <w:rPr>
          <w:rFonts w:hint="cs"/>
          <w:rtl/>
          <w:lang w:bidi="ar-EG"/>
        </w:rPr>
        <w:tab/>
        <w:t>تعمل إدارة تكافؤ الفرص على تطوير أنشطة مختلفة (حملات التوعية، وإعداد ونشر أدوات تربوية، وتقديم آراء نوعية حول مسألة أخذ البعد المتعلق بالجنسانية في الاعتبار، والاتفاقات الثنائية على الصعيد الدولي، إلخ)، وتعمل بالتعاون أو بالتنسيق مع الوسط التعاوني والجامعات و/أو مع مستويات أخرى من السلطة.</w:t>
      </w:r>
    </w:p>
    <w:p w:rsidR="006D0927" w:rsidRDefault="006D0927" w:rsidP="006D0927">
      <w:pPr>
        <w:pStyle w:val="SingleTxt"/>
        <w:rPr>
          <w:rFonts w:hint="cs"/>
          <w:rtl/>
          <w:lang w:bidi="ar-EG"/>
        </w:rPr>
      </w:pPr>
      <w:r>
        <w:rPr>
          <w:rFonts w:hint="cs"/>
          <w:rtl/>
          <w:lang w:bidi="ar-EG"/>
        </w:rPr>
        <w:tab/>
        <w:t>وتعزز الإدارة مختلف شبكات الرابطات النسائية و/أو المؤيدة لحقوق المرأة (كما في مجال مكافحة العنف بين القرناء وفي مجال إدراج البعد الجنساني في نظام التعليم) حيث يتم إبلاغ المطالبات إلى السلطة السياسية. ويرتبط القطاع التعاوني بإعداد حملات للتوعية من خلال مشاركة الشبكات الفعالة في الأفرقة العاملة التحضيرية.</w:t>
      </w:r>
    </w:p>
    <w:p w:rsidR="006D0927" w:rsidRDefault="006D0927" w:rsidP="006D0927">
      <w:pPr>
        <w:pStyle w:val="SingleTxt"/>
        <w:rPr>
          <w:rFonts w:hint="cs"/>
          <w:rtl/>
          <w:lang w:bidi="ar-EG"/>
        </w:rPr>
      </w:pPr>
      <w:r>
        <w:rPr>
          <w:rFonts w:hint="cs"/>
          <w:rtl/>
          <w:lang w:bidi="ar-EG"/>
        </w:rPr>
        <w:tab/>
        <w:t>وتقوم الإدارة أيضاً بتمويل و/أو المشاركة في تمويل مشروعات مختلفة منبثقة عن القطاع التعاوني. وفي الفترة من عام 2002 إلى عام 2005، تم تمويل 140 مشروعاً (متوسط الميزانية السنوية المدفوعة على هيئة تبرعات: 000 400 يورو).</w:t>
      </w:r>
    </w:p>
    <w:p w:rsidR="006D0927" w:rsidRDefault="006D0927" w:rsidP="006D0927">
      <w:pPr>
        <w:pStyle w:val="SingleTxt"/>
        <w:rPr>
          <w:rFonts w:hint="cs"/>
          <w:rtl/>
          <w:lang w:bidi="ar-EG"/>
        </w:rPr>
      </w:pPr>
      <w:r>
        <w:rPr>
          <w:rFonts w:hint="cs"/>
          <w:rtl/>
          <w:lang w:bidi="ar-EG"/>
        </w:rPr>
        <w:tab/>
        <w:t>ومن ناحية أخرى، تحدد دائرة التعليم الدائم في وزارة المجتمع الفرنسي نوعين من التدابير المتعلقة بالمساواة بين المرأة والرجل:</w:t>
      </w:r>
    </w:p>
    <w:p w:rsidR="006D0927" w:rsidRDefault="006D0927" w:rsidP="00655E37">
      <w:pPr>
        <w:pStyle w:val="SingleTxt"/>
        <w:rPr>
          <w:rFonts w:hint="cs"/>
          <w:rtl/>
          <w:lang w:bidi="ar-EG"/>
        </w:rPr>
      </w:pPr>
      <w:r>
        <w:rPr>
          <w:rFonts w:hint="cs"/>
          <w:rtl/>
          <w:lang w:bidi="ar-EG"/>
        </w:rPr>
        <w:tab/>
      </w:r>
      <w:r w:rsidR="00655E37">
        <w:rPr>
          <w:rFonts w:hint="cs"/>
          <w:rtl/>
          <w:lang w:bidi="ar-EG"/>
        </w:rPr>
        <w:t>1 -</w:t>
      </w:r>
      <w:r>
        <w:rPr>
          <w:rFonts w:hint="cs"/>
          <w:rtl/>
          <w:lang w:bidi="ar-EG"/>
        </w:rPr>
        <w:tab/>
        <w:t xml:space="preserve">المعاونة الهيكلية للجمعيات التي تنشط في مجالات ومشروعات </w:t>
      </w:r>
      <w:r>
        <w:rPr>
          <w:rFonts w:hint="eastAsia"/>
          <w:rtl/>
          <w:lang w:bidi="ar-EG"/>
        </w:rPr>
        <w:t>”</w:t>
      </w:r>
      <w:r>
        <w:rPr>
          <w:rFonts w:hint="cs"/>
          <w:rtl/>
          <w:lang w:bidi="ar-EG"/>
        </w:rPr>
        <w:t>ن</w:t>
      </w:r>
      <w:r>
        <w:rPr>
          <w:rFonts w:hint="eastAsia"/>
          <w:rtl/>
          <w:lang w:bidi="ar-EG"/>
        </w:rPr>
        <w:t>سوية</w:t>
      </w:r>
      <w:r>
        <w:rPr>
          <w:rFonts w:hint="cs"/>
          <w:rtl/>
          <w:lang w:bidi="ar-EG"/>
        </w:rPr>
        <w:t>“. وهذه الجمعيات التي تتلقى المعونة والتي يتمثل هدفها الاجتماعي في المساواة بين المرأة والرجل، يحكمها المرسوم المؤرخ 17 تموز/يوليه 2003.</w:t>
      </w:r>
    </w:p>
    <w:p w:rsidR="006D0927" w:rsidRDefault="006D0927" w:rsidP="006D0927">
      <w:pPr>
        <w:pStyle w:val="SingleTxt"/>
        <w:rPr>
          <w:rFonts w:hint="cs"/>
          <w:rtl/>
          <w:lang w:bidi="ar-EG"/>
        </w:rPr>
      </w:pPr>
      <w:r>
        <w:rPr>
          <w:rFonts w:hint="cs"/>
          <w:rtl/>
          <w:lang w:bidi="ar-EG"/>
        </w:rPr>
        <w:tab/>
        <w:t>وتعزيز وحماية الحقوق الأساسية وكذلك مسائل التحرر تحتل أيضاً محور أعمال التعليم الدائم.</w:t>
      </w:r>
    </w:p>
    <w:p w:rsidR="006D0927" w:rsidRDefault="006D0927" w:rsidP="006D0927">
      <w:pPr>
        <w:pStyle w:val="SingleTxt"/>
        <w:rPr>
          <w:rFonts w:hint="cs"/>
          <w:rtl/>
          <w:lang w:bidi="ar-EG"/>
        </w:rPr>
      </w:pPr>
      <w:r>
        <w:rPr>
          <w:rFonts w:hint="cs"/>
          <w:rtl/>
          <w:lang w:bidi="ar-EG"/>
        </w:rPr>
        <w:tab/>
        <w:t xml:space="preserve">وترد هذه الأهداف صراحة في المادة الأولى من مرسوم عام 2003. وهدف هذا المرسوم هو </w:t>
      </w:r>
      <w:r>
        <w:rPr>
          <w:rFonts w:hint="eastAsia"/>
          <w:rtl/>
          <w:lang w:bidi="ar-EG"/>
        </w:rPr>
        <w:t xml:space="preserve">”تطوير عمل الجمعيات في حقل التعليم الدائم الرامي إلى إجراء تحليل نقدي للمجتمع، والحفز </w:t>
      </w:r>
      <w:r>
        <w:rPr>
          <w:rFonts w:hint="cs"/>
          <w:rtl/>
          <w:lang w:bidi="ar-EG"/>
        </w:rPr>
        <w:t xml:space="preserve">إلى </w:t>
      </w:r>
      <w:r>
        <w:rPr>
          <w:rFonts w:hint="eastAsia"/>
          <w:rtl/>
          <w:lang w:bidi="ar-EG"/>
        </w:rPr>
        <w:t>اتخاذ مبادرات ديمقراطية وجماعية، وتطوير المواطنة النشطة، وممارسة الحقوق الاجتماعية والثقافية والبيئية والاقتصادية في منظور من التحرر الفردي والجماعي للجماهير</w:t>
      </w:r>
      <w:r>
        <w:rPr>
          <w:rFonts w:hint="cs"/>
          <w:rtl/>
          <w:lang w:bidi="ar-EG"/>
        </w:rPr>
        <w:t>، بتعزيز</w:t>
      </w:r>
      <w:r>
        <w:rPr>
          <w:rFonts w:hint="eastAsia"/>
          <w:rtl/>
          <w:lang w:bidi="ar-EG"/>
        </w:rPr>
        <w:t xml:space="preserve"> المشاركة الفعالة للجماهير المستهدفة والتعبير الثقافي. </w:t>
      </w:r>
      <w:r>
        <w:rPr>
          <w:rFonts w:hint="cs"/>
          <w:rtl/>
          <w:lang w:bidi="ar-EG"/>
        </w:rPr>
        <w:t>ويتأكد هذا الهدف من خلال تقديم الدعم إلى الجمعيات التي تهدف، وبصفة رئيسية لدى الكبار، إلى تعزيز</w:t>
      </w:r>
      <w:r>
        <w:rPr>
          <w:rFonts w:hint="eastAsia"/>
          <w:rtl/>
          <w:lang w:bidi="ar-EG"/>
        </w:rPr>
        <w:t> </w:t>
      </w:r>
      <w:r>
        <w:rPr>
          <w:rFonts w:hint="cs"/>
          <w:rtl/>
          <w:lang w:bidi="ar-EG"/>
        </w:rPr>
        <w:t>وتطوير:</w:t>
      </w:r>
    </w:p>
    <w:p w:rsidR="006D0927" w:rsidRDefault="006D0927" w:rsidP="006D0927">
      <w:pPr>
        <w:pStyle w:val="SingleTxt"/>
        <w:rPr>
          <w:rFonts w:hint="cs"/>
          <w:rtl/>
          <w:lang w:bidi="ar-EG"/>
        </w:rPr>
      </w:pPr>
      <w:r>
        <w:rPr>
          <w:rFonts w:hint="cs"/>
          <w:rtl/>
          <w:lang w:bidi="ar-EG"/>
        </w:rPr>
        <w:tab/>
        <w:t>(أ)</w:t>
      </w:r>
      <w:r>
        <w:rPr>
          <w:rFonts w:hint="cs"/>
          <w:rtl/>
          <w:lang w:bidi="ar-EG"/>
        </w:rPr>
        <w:tab/>
        <w:t>الوعي والمعرفة الانتقادية بحقائق المجتمع؛</w:t>
      </w:r>
    </w:p>
    <w:p w:rsidR="006D0927" w:rsidRDefault="006D0927" w:rsidP="006D0927">
      <w:pPr>
        <w:pStyle w:val="SingleTxt"/>
        <w:rPr>
          <w:rFonts w:hint="cs"/>
          <w:rtl/>
          <w:lang w:bidi="ar-EG"/>
        </w:rPr>
      </w:pPr>
      <w:r>
        <w:rPr>
          <w:rFonts w:hint="cs"/>
          <w:rtl/>
          <w:lang w:bidi="ar-EG"/>
        </w:rPr>
        <w:tab/>
        <w:t>(ب)</w:t>
      </w:r>
      <w:r>
        <w:rPr>
          <w:rFonts w:hint="cs"/>
          <w:rtl/>
          <w:lang w:bidi="ar-EG"/>
        </w:rPr>
        <w:tab/>
        <w:t>القدرات على التحليل والاختيار والتصرف والتقييم؛</w:t>
      </w:r>
    </w:p>
    <w:p w:rsidR="007023B4" w:rsidRPr="00CC46CF" w:rsidRDefault="007023B4" w:rsidP="007023B4">
      <w:pPr>
        <w:pStyle w:val="SingleTxt"/>
        <w:rPr>
          <w:rFonts w:hint="cs"/>
          <w:rtl/>
          <w:lang w:bidi="ar-EG"/>
        </w:rPr>
      </w:pPr>
      <w:r w:rsidRPr="00CC46CF">
        <w:rPr>
          <w:rFonts w:hint="cs"/>
          <w:rtl/>
          <w:lang w:bidi="ar-EG"/>
        </w:rPr>
        <w:tab/>
        <w:t>(ج)</w:t>
      </w:r>
      <w:r w:rsidRPr="00CC46CF">
        <w:rPr>
          <w:rFonts w:hint="cs"/>
          <w:rtl/>
          <w:lang w:bidi="ar-EG"/>
        </w:rPr>
        <w:tab/>
      </w:r>
      <w:r>
        <w:rPr>
          <w:rFonts w:hint="cs"/>
          <w:rtl/>
          <w:lang w:bidi="ar-EG"/>
        </w:rPr>
        <w:t>ال</w:t>
      </w:r>
      <w:r w:rsidRPr="00CC46CF">
        <w:rPr>
          <w:rFonts w:hint="cs"/>
          <w:rtl/>
          <w:lang w:bidi="ar-EG"/>
        </w:rPr>
        <w:t xml:space="preserve">اتجاهات </w:t>
      </w:r>
      <w:r>
        <w:rPr>
          <w:rFonts w:hint="cs"/>
          <w:rtl/>
          <w:lang w:bidi="ar-EG"/>
        </w:rPr>
        <w:t xml:space="preserve">التي </w:t>
      </w:r>
      <w:r w:rsidRPr="00CC46CF">
        <w:rPr>
          <w:rFonts w:hint="cs"/>
          <w:rtl/>
          <w:lang w:bidi="ar-EG"/>
        </w:rPr>
        <w:t>تتسم بالمسؤولية والمشاركة النشطة في الحياة الاجتماعية والاقتصادية والثقافية والسياسية.</w:t>
      </w:r>
    </w:p>
    <w:p w:rsidR="00655E37" w:rsidRDefault="007023B4" w:rsidP="007023B4">
      <w:pPr>
        <w:pStyle w:val="SingleTxt"/>
        <w:rPr>
          <w:rFonts w:hint="cs"/>
          <w:rtl/>
          <w:lang w:bidi="ar-EG"/>
        </w:rPr>
      </w:pPr>
      <w:r w:rsidRPr="00CC46CF">
        <w:rPr>
          <w:rFonts w:hint="cs"/>
          <w:rtl/>
          <w:lang w:bidi="ar-EG"/>
        </w:rPr>
        <w:tab/>
        <w:t>ويندرج سعي الجمعيات المستهدفة في إطار من المساواة والتقدم الاجتماعي</w:t>
      </w:r>
      <w:r>
        <w:rPr>
          <w:rFonts w:hint="cs"/>
          <w:rtl/>
          <w:lang w:bidi="ar-EG"/>
        </w:rPr>
        <w:t>،</w:t>
      </w:r>
      <w:r w:rsidRPr="00CC46CF">
        <w:rPr>
          <w:rFonts w:hint="cs"/>
          <w:rtl/>
          <w:lang w:bidi="ar-EG"/>
        </w:rPr>
        <w:t xml:space="preserve"> بغية إقامة مجتمع يتميز بقدر أكبر من العدل والديمقراطية والتضامن </w:t>
      </w:r>
      <w:r>
        <w:rPr>
          <w:rFonts w:hint="cs"/>
          <w:rtl/>
          <w:lang w:bidi="ar-EG"/>
        </w:rPr>
        <w:t>و</w:t>
      </w:r>
      <w:r w:rsidRPr="00CC46CF">
        <w:rPr>
          <w:rFonts w:hint="cs"/>
          <w:rtl/>
          <w:lang w:bidi="ar-EG"/>
        </w:rPr>
        <w:t xml:space="preserve">يحبذ اللقاء بين الثقافات من خلال </w:t>
      </w:r>
      <w:r>
        <w:rPr>
          <w:rFonts w:hint="cs"/>
          <w:rtl/>
          <w:lang w:bidi="ar-EG"/>
        </w:rPr>
        <w:t>خلق</w:t>
      </w:r>
      <w:r w:rsidRPr="00CC46CF">
        <w:rPr>
          <w:rFonts w:hint="cs"/>
          <w:rtl/>
          <w:lang w:bidi="ar-EG"/>
        </w:rPr>
        <w:t xml:space="preserve"> مواطنة نشطة وانتقادية وديمقراطية ثقافية.</w:t>
      </w:r>
    </w:p>
    <w:p w:rsidR="007023B4" w:rsidRPr="00CC46CF" w:rsidRDefault="00655E37" w:rsidP="00655E37">
      <w:pPr>
        <w:pStyle w:val="SingleTxt"/>
        <w:rPr>
          <w:rFonts w:hint="cs"/>
          <w:rtl/>
          <w:lang w:bidi="ar-EG"/>
        </w:rPr>
      </w:pPr>
      <w:r>
        <w:rPr>
          <w:rFonts w:hint="cs"/>
          <w:rtl/>
          <w:lang w:bidi="ar-EG"/>
        </w:rPr>
        <w:tab/>
      </w:r>
      <w:r w:rsidR="007023B4" w:rsidRPr="00CC46CF">
        <w:rPr>
          <w:rFonts w:hint="cs"/>
          <w:rtl/>
          <w:lang w:bidi="ar-EG"/>
        </w:rPr>
        <w:t>وفي أعوام 2003 و</w:t>
      </w:r>
      <w:r w:rsidR="007023B4">
        <w:rPr>
          <w:rFonts w:hint="cs"/>
          <w:rtl/>
          <w:lang w:bidi="ar-EG"/>
        </w:rPr>
        <w:t xml:space="preserve"> </w:t>
      </w:r>
      <w:r w:rsidR="007023B4" w:rsidRPr="00CC46CF">
        <w:rPr>
          <w:rFonts w:hint="cs"/>
          <w:rtl/>
          <w:lang w:bidi="ar-EG"/>
        </w:rPr>
        <w:t>2004 و</w:t>
      </w:r>
      <w:r w:rsidR="007023B4">
        <w:rPr>
          <w:rFonts w:hint="eastAsia"/>
          <w:rtl/>
          <w:lang w:bidi="ar-EG"/>
        </w:rPr>
        <w:t> </w:t>
      </w:r>
      <w:r w:rsidR="007023B4" w:rsidRPr="00CC46CF">
        <w:rPr>
          <w:rFonts w:hint="cs"/>
          <w:rtl/>
          <w:lang w:bidi="ar-EG"/>
        </w:rPr>
        <w:t xml:space="preserve">2005، </w:t>
      </w:r>
      <w:r w:rsidR="007023B4">
        <w:rPr>
          <w:rFonts w:hint="cs"/>
          <w:rtl/>
          <w:lang w:bidi="ar-EG"/>
        </w:rPr>
        <w:t xml:space="preserve">كانت </w:t>
      </w:r>
      <w:r w:rsidR="007023B4" w:rsidRPr="00CC46CF">
        <w:rPr>
          <w:rFonts w:hint="cs"/>
          <w:rtl/>
          <w:lang w:bidi="ar-EG"/>
        </w:rPr>
        <w:t xml:space="preserve">توجد 67 من الجمعيات المعترف بها في مجال التعليم الدائم، والنشطة في المشاريع </w:t>
      </w:r>
      <w:r w:rsidR="007023B4" w:rsidRPr="00CC46CF">
        <w:rPr>
          <w:rFonts w:hint="eastAsia"/>
          <w:rtl/>
          <w:lang w:bidi="ar-EG"/>
        </w:rPr>
        <w:t>”النسائية</w:t>
      </w:r>
      <w:r w:rsidR="007023B4" w:rsidRPr="00CC46CF">
        <w:rPr>
          <w:rFonts w:hint="cs"/>
          <w:rtl/>
          <w:lang w:bidi="ar-EG"/>
        </w:rPr>
        <w:t xml:space="preserve">“ والمستفيدة من الإعانات الهيكلية. والعديد من الجمعيات المعترف بها </w:t>
      </w:r>
      <w:r w:rsidR="007023B4">
        <w:rPr>
          <w:rFonts w:hint="cs"/>
          <w:rtl/>
          <w:lang w:bidi="ar-EG"/>
        </w:rPr>
        <w:t xml:space="preserve">اكتسبت الاعتراف بها من تميزها </w:t>
      </w:r>
      <w:r w:rsidR="007023B4" w:rsidRPr="00CC46CF">
        <w:rPr>
          <w:rFonts w:hint="cs"/>
          <w:rtl/>
          <w:lang w:bidi="ar-EG"/>
        </w:rPr>
        <w:t>بموضوعها الاجتماعي، المص</w:t>
      </w:r>
      <w:r w:rsidR="007023B4">
        <w:rPr>
          <w:rFonts w:hint="cs"/>
          <w:rtl/>
          <w:lang w:bidi="ar-EG"/>
        </w:rPr>
        <w:t>و</w:t>
      </w:r>
      <w:r w:rsidR="007023B4" w:rsidRPr="00CC46CF">
        <w:rPr>
          <w:rFonts w:hint="cs"/>
          <w:rtl/>
          <w:lang w:bidi="ar-EG"/>
        </w:rPr>
        <w:t>غ في إطار مكافحة العنف ضد المرأة.</w:t>
      </w:r>
    </w:p>
    <w:p w:rsidR="007023B4" w:rsidRPr="00CC46CF" w:rsidRDefault="00655E37" w:rsidP="00655E37">
      <w:pPr>
        <w:pStyle w:val="SingleTxt"/>
        <w:rPr>
          <w:rFonts w:hint="cs"/>
          <w:rtl/>
          <w:lang w:bidi="ar-EG"/>
        </w:rPr>
      </w:pPr>
      <w:r>
        <w:rPr>
          <w:rFonts w:hint="cs"/>
          <w:rtl/>
          <w:lang w:bidi="ar-EG"/>
        </w:rPr>
        <w:tab/>
        <w:t>2 -</w:t>
      </w:r>
      <w:r w:rsidR="007023B4" w:rsidRPr="00CC46CF">
        <w:rPr>
          <w:rFonts w:hint="cs"/>
          <w:rtl/>
          <w:lang w:bidi="ar-EG"/>
        </w:rPr>
        <w:tab/>
        <w:t xml:space="preserve">الإعانة المنتظمة للمشاريع </w:t>
      </w:r>
      <w:r w:rsidR="007023B4">
        <w:rPr>
          <w:rFonts w:hint="cs"/>
          <w:rtl/>
          <w:lang w:bidi="ar-EG"/>
        </w:rPr>
        <w:t>المنتظمة</w:t>
      </w:r>
      <w:r w:rsidR="007023B4" w:rsidRPr="00CC46CF">
        <w:rPr>
          <w:rFonts w:hint="cs"/>
          <w:rtl/>
          <w:lang w:bidi="ar-EG"/>
        </w:rPr>
        <w:t xml:space="preserve"> للجمعيات التي تنظم حدثا أو نشاطا يتركز حول المرأة</w:t>
      </w:r>
      <w:r w:rsidR="007023B4">
        <w:rPr>
          <w:rFonts w:hint="cs"/>
          <w:rtl/>
          <w:lang w:bidi="ar-EG"/>
        </w:rPr>
        <w:t>.</w:t>
      </w:r>
      <w:r w:rsidR="007023B4" w:rsidRPr="00CC46CF">
        <w:rPr>
          <w:rFonts w:hint="cs"/>
          <w:rtl/>
          <w:lang w:bidi="ar-EG"/>
        </w:rPr>
        <w:t xml:space="preserve"> ويحكم دعم المشاريع </w:t>
      </w:r>
      <w:r w:rsidR="007023B4">
        <w:rPr>
          <w:rFonts w:hint="cs"/>
          <w:rtl/>
          <w:lang w:bidi="ar-EG"/>
        </w:rPr>
        <w:t>المنتظمة</w:t>
      </w:r>
      <w:r w:rsidR="007023B4" w:rsidRPr="00CC46CF">
        <w:rPr>
          <w:rFonts w:hint="cs"/>
          <w:rtl/>
          <w:lang w:bidi="ar-EG"/>
        </w:rPr>
        <w:t xml:space="preserve"> التي تستهدف تحقيق المساواة بين المرأة والرجل التعميم الصادر في 15 أيار/مايو 2001، والمتعلق بالإعانات الخاصة بالمشاريع </w:t>
      </w:r>
      <w:r w:rsidR="007023B4">
        <w:rPr>
          <w:rFonts w:hint="cs"/>
          <w:rtl/>
          <w:lang w:bidi="ar-EG"/>
        </w:rPr>
        <w:t>المنتظمة</w:t>
      </w:r>
      <w:r w:rsidR="007023B4" w:rsidRPr="00CC46CF">
        <w:rPr>
          <w:rFonts w:hint="cs"/>
          <w:rtl/>
          <w:lang w:bidi="ar-EG"/>
        </w:rPr>
        <w:t xml:space="preserve"> للتعليم الدائم والإبداع.</w:t>
      </w:r>
    </w:p>
    <w:p w:rsidR="007023B4" w:rsidRPr="00CC46CF" w:rsidRDefault="007023B4" w:rsidP="007023B4">
      <w:pPr>
        <w:pStyle w:val="SingleTxt"/>
        <w:rPr>
          <w:rFonts w:hint="cs"/>
          <w:rtl/>
          <w:lang w:bidi="ar-EG"/>
        </w:rPr>
      </w:pPr>
      <w:r w:rsidRPr="00CC46CF">
        <w:rPr>
          <w:rFonts w:hint="cs"/>
          <w:rtl/>
          <w:lang w:bidi="ar-EG"/>
        </w:rPr>
        <w:tab/>
        <w:t xml:space="preserve">وعلى سبيل المثال، تم في عام 2004 منح مبالغ قيمتها 750 38 يورو في إطار دعم مشروعات منتظمة لجمعيات حول أنشطة نسائية </w:t>
      </w:r>
      <w:r w:rsidRPr="00CC46CF">
        <w:rPr>
          <w:rFonts w:hint="eastAsia"/>
          <w:rtl/>
          <w:lang w:bidi="ar-EG"/>
        </w:rPr>
        <w:t>”تتعلق ب</w:t>
      </w:r>
      <w:r>
        <w:rPr>
          <w:rFonts w:hint="cs"/>
          <w:rtl/>
          <w:lang w:bidi="ar-EG"/>
        </w:rPr>
        <w:t>أ</w:t>
      </w:r>
      <w:r w:rsidRPr="00CC46CF">
        <w:rPr>
          <w:rFonts w:hint="eastAsia"/>
          <w:rtl/>
          <w:lang w:bidi="ar-EG"/>
        </w:rPr>
        <w:t xml:space="preserve">حد عشر مشروعاً ترتبط إلى حد بعيد بجمعيات للنساء المهاجرات أو بأنشطة تستهدفهن. </w:t>
      </w:r>
      <w:r w:rsidRPr="00CC46CF">
        <w:rPr>
          <w:rFonts w:hint="cs"/>
          <w:rtl/>
          <w:lang w:bidi="ar-EG"/>
        </w:rPr>
        <w:t xml:space="preserve">وفي حزيران/يونيه 2005، </w:t>
      </w:r>
      <w:r>
        <w:rPr>
          <w:rFonts w:hint="cs"/>
          <w:rtl/>
          <w:lang w:bidi="ar-EG"/>
        </w:rPr>
        <w:t xml:space="preserve">كانت </w:t>
      </w:r>
      <w:r w:rsidRPr="00CC46CF">
        <w:rPr>
          <w:rFonts w:hint="cs"/>
          <w:rtl/>
          <w:lang w:bidi="ar-EG"/>
        </w:rPr>
        <w:t xml:space="preserve">قائمة المشروعات المنتظمة </w:t>
      </w:r>
      <w:r>
        <w:rPr>
          <w:rFonts w:hint="cs"/>
          <w:rtl/>
          <w:lang w:bidi="ar-EG"/>
        </w:rPr>
        <w:t xml:space="preserve">المستبقاة تشمل </w:t>
      </w:r>
      <w:r w:rsidRPr="00CC46CF">
        <w:rPr>
          <w:rFonts w:hint="cs"/>
          <w:rtl/>
          <w:lang w:bidi="ar-EG"/>
        </w:rPr>
        <w:t>23 مشروعا</w:t>
      </w:r>
      <w:r>
        <w:rPr>
          <w:rFonts w:hint="cs"/>
          <w:rtl/>
          <w:lang w:bidi="ar-EG"/>
        </w:rPr>
        <w:t>،</w:t>
      </w:r>
      <w:r w:rsidRPr="00CC46CF">
        <w:rPr>
          <w:rFonts w:hint="cs"/>
          <w:rtl/>
          <w:lang w:bidi="ar-EG"/>
        </w:rPr>
        <w:t>ً منها 50 في المائة تتعلق بالنساء المهاجرات.</w:t>
      </w:r>
    </w:p>
    <w:p w:rsidR="007023B4" w:rsidRPr="00CC46CF" w:rsidRDefault="007023B4" w:rsidP="007023B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Pr="00CC46CF">
        <w:rPr>
          <w:rFonts w:hint="cs"/>
          <w:rtl/>
          <w:lang w:bidi="ar-EG"/>
        </w:rPr>
        <w:t>3 -</w:t>
      </w:r>
      <w:r w:rsidRPr="00CC46CF">
        <w:rPr>
          <w:rFonts w:hint="cs"/>
          <w:rtl/>
          <w:lang w:bidi="ar-EG"/>
        </w:rPr>
        <w:tab/>
        <w:t>سياسة البحث</w:t>
      </w:r>
      <w:r w:rsidRPr="00CC46CF">
        <w:rPr>
          <w:vertAlign w:val="superscript"/>
          <w:rtl/>
          <w:lang w:bidi="ar-EG"/>
        </w:rPr>
        <w:t>(</w:t>
      </w:r>
      <w:r w:rsidRPr="00D13567">
        <w:rPr>
          <w:b w:val="0"/>
          <w:bCs w:val="0"/>
          <w:vertAlign w:val="superscript"/>
          <w:rtl/>
        </w:rPr>
        <w:footnoteReference w:id="15"/>
      </w:r>
      <w:r w:rsidRPr="00D13567">
        <w:rPr>
          <w:b w:val="0"/>
          <w:bCs w:val="0"/>
          <w:vertAlign w:val="superscript"/>
          <w:rtl/>
          <w:lang w:bidi="ar-EG"/>
        </w:rPr>
        <w:t>)</w:t>
      </w:r>
    </w:p>
    <w:p w:rsidR="007023B4" w:rsidRPr="00CC46CF" w:rsidRDefault="007023B4" w:rsidP="007023B4">
      <w:pPr>
        <w:pStyle w:val="SingleTxt"/>
        <w:rPr>
          <w:rFonts w:hint="cs"/>
          <w:rtl/>
          <w:lang w:bidi="ar-EG"/>
        </w:rPr>
      </w:pPr>
      <w:r w:rsidRPr="00CC46CF">
        <w:rPr>
          <w:rFonts w:hint="cs"/>
          <w:rtl/>
          <w:lang w:bidi="ar-EG"/>
        </w:rPr>
        <w:tab/>
        <w:t xml:space="preserve">أجرت </w:t>
      </w:r>
      <w:r>
        <w:rPr>
          <w:rFonts w:hint="cs"/>
          <w:rtl/>
          <w:lang w:bidi="ar-EG"/>
        </w:rPr>
        <w:t>إ</w:t>
      </w:r>
      <w:r w:rsidRPr="00CC46CF">
        <w:rPr>
          <w:rFonts w:hint="cs"/>
          <w:rtl/>
          <w:lang w:bidi="ar-EG"/>
        </w:rPr>
        <w:t>دارة تكافؤ الفرص عدة أبحاث منذ عام 2002:</w:t>
      </w:r>
    </w:p>
    <w:p w:rsidR="007023B4" w:rsidRPr="00CC46CF" w:rsidRDefault="007023B4" w:rsidP="007023B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sidRPr="00CC46CF">
        <w:rPr>
          <w:rFonts w:hint="cs"/>
          <w:rtl/>
          <w:lang w:bidi="ar-EG"/>
        </w:rPr>
        <w:tab/>
        <w:t>-</w:t>
      </w:r>
      <w:r w:rsidRPr="00CC46CF">
        <w:rPr>
          <w:rFonts w:hint="cs"/>
          <w:rtl/>
          <w:lang w:bidi="ar-EG"/>
        </w:rPr>
        <w:tab/>
        <w:t>أمراض الطفولة ورعاية الأطفال المرضى: مصدر لعدم المساواة بين الرجل والمرأة (2003)</w:t>
      </w:r>
    </w:p>
    <w:p w:rsidR="007023B4" w:rsidRPr="00CC46CF" w:rsidRDefault="007023B4" w:rsidP="007023B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sidRPr="00CC46CF">
        <w:rPr>
          <w:rFonts w:hint="cs"/>
          <w:rtl/>
          <w:lang w:bidi="ar-EG"/>
        </w:rPr>
        <w:tab/>
        <w:t>-</w:t>
      </w:r>
      <w:r w:rsidRPr="00CC46CF">
        <w:rPr>
          <w:rFonts w:hint="cs"/>
          <w:rtl/>
          <w:lang w:bidi="ar-EG"/>
        </w:rPr>
        <w:tab/>
      </w:r>
      <w:r w:rsidRPr="00CC46CF">
        <w:rPr>
          <w:rFonts w:hint="eastAsia"/>
          <w:rtl/>
          <w:lang w:bidi="ar-EG"/>
        </w:rPr>
        <w:t>”نيوتونيا</w:t>
      </w:r>
      <w:r w:rsidRPr="00CC46CF">
        <w:rPr>
          <w:rFonts w:hint="cs"/>
          <w:rtl/>
          <w:lang w:bidi="ar-EG"/>
        </w:rPr>
        <w:t>“ - وصول الشابات إلى الدراسات الجامعية العلمية والتقنية (2002)</w:t>
      </w:r>
    </w:p>
    <w:p w:rsidR="007023B4" w:rsidRPr="00CC46CF" w:rsidRDefault="007023B4" w:rsidP="007023B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sidRPr="00CC46CF">
        <w:rPr>
          <w:rFonts w:hint="cs"/>
          <w:rtl/>
          <w:lang w:bidi="ar-EG"/>
        </w:rPr>
        <w:tab/>
        <w:t>-</w:t>
      </w:r>
      <w:r w:rsidRPr="00CC46CF">
        <w:rPr>
          <w:rFonts w:hint="cs"/>
          <w:rtl/>
          <w:lang w:bidi="ar-EG"/>
        </w:rPr>
        <w:tab/>
      </w:r>
      <w:r w:rsidRPr="00CC46CF">
        <w:rPr>
          <w:rFonts w:hint="eastAsia"/>
          <w:rtl/>
          <w:lang w:bidi="ar-EG"/>
        </w:rPr>
        <w:t>”نيوتونيا</w:t>
      </w:r>
      <w:r>
        <w:rPr>
          <w:rFonts w:hint="cs"/>
          <w:rtl/>
          <w:lang w:bidi="ar-EG"/>
        </w:rPr>
        <w:t xml:space="preserve"> 2</w:t>
      </w:r>
      <w:r w:rsidRPr="00CC46CF">
        <w:rPr>
          <w:rFonts w:hint="eastAsia"/>
          <w:rtl/>
          <w:lang w:bidi="ar-EG"/>
        </w:rPr>
        <w:t>“، تعزيز وصول الشابات إلى الدراسات الجامعية في العلوم والعلوم التطبيقية (2003)</w:t>
      </w:r>
    </w:p>
    <w:p w:rsidR="007023B4" w:rsidRPr="00CC46CF" w:rsidRDefault="007023B4" w:rsidP="007023B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sidRPr="00CC46CF">
        <w:rPr>
          <w:rFonts w:hint="cs"/>
          <w:rtl/>
          <w:lang w:bidi="ar-EG"/>
        </w:rPr>
        <w:tab/>
        <w:t>-</w:t>
      </w:r>
      <w:r w:rsidRPr="00CC46CF">
        <w:rPr>
          <w:rFonts w:hint="cs"/>
          <w:rtl/>
          <w:lang w:bidi="ar-EG"/>
        </w:rPr>
        <w:tab/>
        <w:t xml:space="preserve">بحث حول مسألة الزواج القسري </w:t>
      </w:r>
      <w:r w:rsidRPr="00CC46CF">
        <w:rPr>
          <w:rFonts w:hint="eastAsia"/>
          <w:rtl/>
          <w:lang w:bidi="ar-EG"/>
        </w:rPr>
        <w:t xml:space="preserve">”الزواج: خيار من أجل الحياة؟ </w:t>
      </w:r>
      <w:r>
        <w:rPr>
          <w:rFonts w:hint="cs"/>
          <w:rtl/>
          <w:lang w:bidi="ar-EG"/>
        </w:rPr>
        <w:t>دراسة استقصائية ل</w:t>
      </w:r>
      <w:r w:rsidRPr="00CC46CF">
        <w:rPr>
          <w:rFonts w:hint="eastAsia"/>
          <w:rtl/>
          <w:lang w:bidi="ar-EG"/>
        </w:rPr>
        <w:t>تطلعات وتوقعات الشباب من الزواج</w:t>
      </w:r>
      <w:r w:rsidRPr="00CC46CF">
        <w:rPr>
          <w:rFonts w:hint="cs"/>
          <w:rtl/>
          <w:lang w:bidi="ar-EG"/>
        </w:rPr>
        <w:t>“ (2004)</w:t>
      </w:r>
    </w:p>
    <w:p w:rsidR="007023B4" w:rsidRPr="00CC46CF" w:rsidRDefault="007023B4" w:rsidP="007023B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sidRPr="00CC46CF">
        <w:rPr>
          <w:rFonts w:hint="cs"/>
          <w:rtl/>
          <w:lang w:bidi="ar-EG"/>
        </w:rPr>
        <w:tab/>
        <w:t>-</w:t>
      </w:r>
      <w:r w:rsidRPr="00CC46CF">
        <w:rPr>
          <w:rFonts w:hint="cs"/>
          <w:rtl/>
          <w:lang w:bidi="ar-EG"/>
        </w:rPr>
        <w:tab/>
        <w:t>دراسة حول قيام الشباب بإدماج أنماط جنسية تروِّج لها وسائ</w:t>
      </w:r>
      <w:r>
        <w:rPr>
          <w:rFonts w:hint="cs"/>
          <w:rtl/>
          <w:lang w:bidi="ar-EG"/>
        </w:rPr>
        <w:t>ل</w:t>
      </w:r>
      <w:r w:rsidRPr="00CC46CF">
        <w:rPr>
          <w:rFonts w:hint="cs"/>
          <w:rtl/>
          <w:lang w:bidi="ar-EG"/>
        </w:rPr>
        <w:t xml:space="preserve"> الإعلام (2006)</w:t>
      </w:r>
    </w:p>
    <w:p w:rsidR="007023B4" w:rsidRPr="00443242" w:rsidRDefault="007023B4" w:rsidP="007023B4">
      <w:pPr>
        <w:pStyle w:val="SingleTxt"/>
        <w:rPr>
          <w:rFonts w:hint="cs"/>
          <w:b/>
          <w:bCs/>
          <w:rtl/>
          <w:lang w:bidi="ar-EG"/>
        </w:rPr>
      </w:pPr>
      <w:r w:rsidRPr="00443242">
        <w:rPr>
          <w:rFonts w:hint="cs"/>
          <w:b/>
          <w:bCs/>
          <w:rtl/>
          <w:lang w:bidi="ar-EG"/>
        </w:rPr>
        <w:tab/>
        <w:t>ومنذ أيلول/سبتمبر 2006، هناك دراسة كمية ونوعية جارية تتعلق بالعنف في العلاقات القائمة على الحب بين الشباب.</w:t>
      </w:r>
    </w:p>
    <w:p w:rsidR="007023B4" w:rsidRPr="00443242" w:rsidRDefault="007023B4" w:rsidP="007023B4">
      <w:pPr>
        <w:pStyle w:val="SingleTxt"/>
        <w:rPr>
          <w:rFonts w:hint="cs"/>
          <w:b/>
          <w:bCs/>
          <w:rtl/>
          <w:lang w:bidi="ar-EG"/>
        </w:rPr>
      </w:pPr>
      <w:r w:rsidRPr="00443242">
        <w:rPr>
          <w:rFonts w:hint="cs"/>
          <w:b/>
          <w:bCs/>
          <w:rtl/>
          <w:lang w:bidi="ar-EG"/>
        </w:rPr>
        <w:tab/>
        <w:t>وإلى جانب ذلك، تنشر إدارة  تكافؤ الفرص كل عام، منذ عام 2001، تقريراً عن الأنشطة التي تقوم بها: أولوياتها، ومهامها، وأنشطتها، وآفاق عملها، وكذلك مجموع أبحاث ومشاريع المجتمع المدني التي تمولها الإدارة بقروض.</w:t>
      </w:r>
    </w:p>
    <w:p w:rsidR="007023B4" w:rsidRPr="00CC46CF" w:rsidRDefault="007023B4" w:rsidP="007023B4">
      <w:pPr>
        <w:pStyle w:val="SingleTxt"/>
        <w:rPr>
          <w:rFonts w:hint="cs"/>
          <w:b/>
          <w:bCs/>
          <w:rtl/>
          <w:lang w:bidi="ar-EG"/>
        </w:rPr>
      </w:pPr>
      <w:r w:rsidRPr="00443242">
        <w:rPr>
          <w:rFonts w:hint="cs"/>
          <w:rtl/>
          <w:lang w:bidi="ar-EG"/>
        </w:rPr>
        <w:t>منشورات وزارة المجتمع الفرنسي</w:t>
      </w:r>
      <w:r w:rsidRPr="00CC46CF">
        <w:rPr>
          <w:rFonts w:hint="cs"/>
          <w:b/>
          <w:bCs/>
          <w:rtl/>
          <w:lang w:bidi="ar-EG"/>
        </w:rPr>
        <w:t>:</w:t>
      </w:r>
    </w:p>
    <w:p w:rsidR="007023B4" w:rsidRPr="00CC46CF" w:rsidRDefault="007023B4" w:rsidP="007023B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sidRPr="00CC46CF">
        <w:rPr>
          <w:rFonts w:hint="cs"/>
          <w:rtl/>
          <w:lang w:bidi="ar-EG"/>
        </w:rPr>
        <w:tab/>
        <w:t>-</w:t>
      </w:r>
      <w:r w:rsidRPr="00CC46CF">
        <w:rPr>
          <w:rFonts w:hint="cs"/>
          <w:rtl/>
          <w:lang w:bidi="ar-EG"/>
        </w:rPr>
        <w:tab/>
        <w:t>وقائع</w:t>
      </w:r>
      <w:r>
        <w:rPr>
          <w:rFonts w:hint="cs"/>
          <w:rtl/>
          <w:lang w:bidi="ar-EG"/>
        </w:rPr>
        <w:t xml:space="preserve"> ومنجزات، العدد</w:t>
      </w:r>
      <w:r w:rsidRPr="00CC46CF">
        <w:rPr>
          <w:rFonts w:hint="cs"/>
          <w:rtl/>
          <w:lang w:bidi="ar-EG"/>
        </w:rPr>
        <w:t xml:space="preserve"> رقم 6: </w:t>
      </w:r>
      <w:r w:rsidRPr="00443242">
        <w:rPr>
          <w:rFonts w:hint="eastAsia"/>
          <w:i/>
          <w:iCs/>
          <w:rtl/>
          <w:lang w:bidi="ar-EG"/>
        </w:rPr>
        <w:t>”رعاية الأطفال المرضى: وجه من عدم المساواة بين المرأة والرجل</w:t>
      </w:r>
      <w:r w:rsidRPr="00443242">
        <w:rPr>
          <w:rFonts w:hint="cs"/>
          <w:i/>
          <w:iCs/>
          <w:rtl/>
          <w:lang w:bidi="ar-EG"/>
        </w:rPr>
        <w:t>“، 2002.</w:t>
      </w:r>
    </w:p>
    <w:p w:rsidR="007023B4" w:rsidRPr="00CC46CF" w:rsidRDefault="007023B4" w:rsidP="007023B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sidRPr="00CC46CF">
        <w:rPr>
          <w:rFonts w:hint="cs"/>
          <w:rtl/>
          <w:lang w:bidi="ar-EG"/>
        </w:rPr>
        <w:tab/>
        <w:t>-</w:t>
      </w:r>
      <w:r w:rsidRPr="00CC46CF">
        <w:rPr>
          <w:rFonts w:hint="cs"/>
          <w:rtl/>
          <w:lang w:bidi="ar-EG"/>
        </w:rPr>
        <w:tab/>
        <w:t xml:space="preserve">وقائع </w:t>
      </w:r>
      <w:r>
        <w:rPr>
          <w:rFonts w:hint="cs"/>
          <w:rtl/>
          <w:lang w:bidi="ar-EG"/>
        </w:rPr>
        <w:t xml:space="preserve">ومنجزات، العدد </w:t>
      </w:r>
      <w:r w:rsidRPr="00CC46CF">
        <w:rPr>
          <w:rFonts w:hint="cs"/>
          <w:rtl/>
          <w:lang w:bidi="ar-EG"/>
        </w:rPr>
        <w:t xml:space="preserve">رقم 7: </w:t>
      </w:r>
      <w:r w:rsidRPr="00443242">
        <w:rPr>
          <w:rFonts w:hint="eastAsia"/>
          <w:i/>
          <w:iCs/>
          <w:rtl/>
          <w:lang w:bidi="ar-EG"/>
        </w:rPr>
        <w:t>”البنات والمستقبل العلمي والتقني</w:t>
      </w:r>
      <w:r w:rsidRPr="00443242">
        <w:rPr>
          <w:rFonts w:hint="cs"/>
          <w:i/>
          <w:iCs/>
          <w:rtl/>
          <w:lang w:bidi="ar-EG"/>
        </w:rPr>
        <w:t>“، 2002.</w:t>
      </w:r>
    </w:p>
    <w:p w:rsidR="007023B4" w:rsidRPr="00CC46CF" w:rsidRDefault="007023B4" w:rsidP="007023B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sidRPr="00CC46CF">
        <w:rPr>
          <w:rFonts w:hint="cs"/>
          <w:rtl/>
          <w:lang w:bidi="ar-EG"/>
        </w:rPr>
        <w:tab/>
        <w:t>-</w:t>
      </w:r>
      <w:r w:rsidRPr="00CC46CF">
        <w:rPr>
          <w:rFonts w:hint="cs"/>
          <w:rtl/>
          <w:lang w:bidi="ar-EG"/>
        </w:rPr>
        <w:tab/>
        <w:t xml:space="preserve">وقائع </w:t>
      </w:r>
      <w:r>
        <w:rPr>
          <w:rFonts w:hint="cs"/>
          <w:rtl/>
          <w:lang w:bidi="ar-EG"/>
        </w:rPr>
        <w:t xml:space="preserve">ومنجزات، العدد </w:t>
      </w:r>
      <w:r w:rsidRPr="00CC46CF">
        <w:rPr>
          <w:rFonts w:hint="cs"/>
          <w:rtl/>
          <w:lang w:bidi="ar-EG"/>
        </w:rPr>
        <w:t xml:space="preserve">رقم 12 </w:t>
      </w:r>
      <w:r w:rsidRPr="00443242">
        <w:rPr>
          <w:rFonts w:hint="eastAsia"/>
          <w:i/>
          <w:iCs/>
          <w:rtl/>
          <w:lang w:bidi="ar-EG"/>
        </w:rPr>
        <w:t>”الدراسات والمستقبل العلمي للمرأة</w:t>
      </w:r>
      <w:r w:rsidRPr="00443242">
        <w:rPr>
          <w:rFonts w:hint="cs"/>
          <w:i/>
          <w:iCs/>
          <w:rtl/>
          <w:lang w:bidi="ar-EG"/>
        </w:rPr>
        <w:t>“، 2004.</w:t>
      </w:r>
    </w:p>
    <w:p w:rsidR="007023B4" w:rsidRPr="00CC46CF" w:rsidRDefault="007023B4" w:rsidP="007023B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sidRPr="00CC46CF">
        <w:rPr>
          <w:rFonts w:hint="cs"/>
          <w:rtl/>
          <w:lang w:bidi="ar-EG"/>
        </w:rPr>
        <w:tab/>
        <w:t>-</w:t>
      </w:r>
      <w:r w:rsidRPr="00CC46CF">
        <w:rPr>
          <w:rFonts w:hint="cs"/>
          <w:rtl/>
          <w:lang w:bidi="ar-EG"/>
        </w:rPr>
        <w:tab/>
        <w:t xml:space="preserve">وقائع </w:t>
      </w:r>
      <w:r>
        <w:rPr>
          <w:rFonts w:hint="cs"/>
          <w:rtl/>
          <w:lang w:bidi="ar-EG"/>
        </w:rPr>
        <w:t xml:space="preserve">ومنجزات، العدد </w:t>
      </w:r>
      <w:r w:rsidRPr="00CC46CF">
        <w:rPr>
          <w:rFonts w:hint="cs"/>
          <w:rtl/>
          <w:lang w:bidi="ar-EG"/>
        </w:rPr>
        <w:t xml:space="preserve">رقم 15: </w:t>
      </w:r>
      <w:r w:rsidRPr="00443242">
        <w:rPr>
          <w:rFonts w:hint="eastAsia"/>
          <w:i/>
          <w:iCs/>
          <w:rtl/>
          <w:lang w:bidi="ar-EG"/>
        </w:rPr>
        <w:t xml:space="preserve">”الزواج بالاختيار، الزواج </w:t>
      </w:r>
      <w:r>
        <w:rPr>
          <w:rFonts w:hint="cs"/>
          <w:i/>
          <w:iCs/>
          <w:rtl/>
          <w:lang w:bidi="ar-EG"/>
        </w:rPr>
        <w:t>القسري</w:t>
      </w:r>
      <w:r w:rsidRPr="00443242">
        <w:rPr>
          <w:rFonts w:hint="eastAsia"/>
          <w:i/>
          <w:iCs/>
          <w:rtl/>
          <w:lang w:bidi="ar-EG"/>
        </w:rPr>
        <w:t xml:space="preserve">: </w:t>
      </w:r>
      <w:r>
        <w:rPr>
          <w:rFonts w:hint="cs"/>
          <w:i/>
          <w:iCs/>
          <w:rtl/>
          <w:lang w:bidi="ar-EG"/>
        </w:rPr>
        <w:t>ما</w:t>
      </w:r>
      <w:r>
        <w:rPr>
          <w:rFonts w:hint="eastAsia"/>
          <w:i/>
          <w:iCs/>
          <w:rtl/>
          <w:lang w:bidi="ar-EG"/>
        </w:rPr>
        <w:t> </w:t>
      </w:r>
      <w:r>
        <w:rPr>
          <w:rFonts w:hint="cs"/>
          <w:i/>
          <w:iCs/>
          <w:rtl/>
          <w:lang w:bidi="ar-EG"/>
        </w:rPr>
        <w:t xml:space="preserve">التحديات التي يواجهها </w:t>
      </w:r>
      <w:r w:rsidRPr="00443242">
        <w:rPr>
          <w:rFonts w:hint="eastAsia"/>
          <w:i/>
          <w:iCs/>
          <w:rtl/>
          <w:lang w:bidi="ar-EG"/>
        </w:rPr>
        <w:t>الشباب؟</w:t>
      </w:r>
      <w:r w:rsidRPr="00443242">
        <w:rPr>
          <w:rFonts w:hint="cs"/>
          <w:i/>
          <w:iCs/>
          <w:rtl/>
          <w:lang w:bidi="ar-EG"/>
        </w:rPr>
        <w:t>“، 2004.</w:t>
      </w:r>
    </w:p>
    <w:p w:rsidR="007023B4" w:rsidRPr="00CC46CF" w:rsidRDefault="007023B4" w:rsidP="007023B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sidRPr="00CC46CF">
        <w:rPr>
          <w:rFonts w:hint="cs"/>
          <w:rtl/>
          <w:lang w:bidi="ar-EG"/>
        </w:rPr>
        <w:tab/>
        <w:t>-</w:t>
      </w:r>
      <w:r w:rsidRPr="00CC46CF">
        <w:rPr>
          <w:rFonts w:hint="cs"/>
          <w:rtl/>
          <w:lang w:bidi="ar-EG"/>
        </w:rPr>
        <w:tab/>
        <w:t xml:space="preserve">وقائع </w:t>
      </w:r>
      <w:r>
        <w:rPr>
          <w:rFonts w:hint="cs"/>
          <w:rtl/>
          <w:lang w:bidi="ar-EG"/>
        </w:rPr>
        <w:t xml:space="preserve">ومنجزات، العدد </w:t>
      </w:r>
      <w:r w:rsidRPr="00CC46CF">
        <w:rPr>
          <w:rFonts w:hint="cs"/>
          <w:rtl/>
          <w:lang w:bidi="ar-EG"/>
        </w:rPr>
        <w:t xml:space="preserve">رقم 22: </w:t>
      </w:r>
      <w:r w:rsidRPr="00443242">
        <w:rPr>
          <w:rFonts w:hint="eastAsia"/>
          <w:i/>
          <w:iCs/>
          <w:rtl/>
          <w:lang w:bidi="ar-EG"/>
        </w:rPr>
        <w:t xml:space="preserve">”الشباب في مواجهة </w:t>
      </w:r>
      <w:r>
        <w:rPr>
          <w:rFonts w:hint="cs"/>
          <w:i/>
          <w:iCs/>
          <w:rtl/>
          <w:lang w:bidi="ar-EG"/>
        </w:rPr>
        <w:t xml:space="preserve">التحيز الجنساني في </w:t>
      </w:r>
      <w:r w:rsidRPr="00443242">
        <w:rPr>
          <w:rFonts w:hint="eastAsia"/>
          <w:i/>
          <w:iCs/>
          <w:rtl/>
          <w:lang w:bidi="ar-EG"/>
        </w:rPr>
        <w:t>التليفزيون</w:t>
      </w:r>
      <w:r w:rsidRPr="00443242">
        <w:rPr>
          <w:rFonts w:hint="cs"/>
          <w:i/>
          <w:iCs/>
          <w:rtl/>
          <w:lang w:bidi="ar-EG"/>
        </w:rPr>
        <w:t>“، 2006.</w:t>
      </w:r>
    </w:p>
    <w:p w:rsidR="007023B4" w:rsidRPr="00CC46CF" w:rsidRDefault="007023B4" w:rsidP="007023B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sidRPr="00CC46CF">
        <w:rPr>
          <w:rFonts w:hint="cs"/>
          <w:rtl/>
          <w:lang w:bidi="ar-EG"/>
        </w:rPr>
        <w:tab/>
      </w:r>
      <w:r>
        <w:rPr>
          <w:rFonts w:hint="cs"/>
          <w:rtl/>
          <w:lang w:bidi="ar-EG"/>
        </w:rPr>
        <w:t>-</w:t>
      </w:r>
      <w:r>
        <w:rPr>
          <w:rFonts w:hint="cs"/>
          <w:rtl/>
          <w:lang w:bidi="ar-EG"/>
        </w:rPr>
        <w:tab/>
      </w:r>
      <w:r w:rsidRPr="00443242">
        <w:rPr>
          <w:rFonts w:hint="eastAsia"/>
          <w:i/>
          <w:iCs/>
          <w:rtl/>
          <w:lang w:bidi="ar-EG"/>
        </w:rPr>
        <w:t>”معاً ... نبني مستقبلاً يقوم على المساواة</w:t>
      </w:r>
      <w:r w:rsidRPr="00443242">
        <w:rPr>
          <w:rFonts w:hint="cs"/>
          <w:i/>
          <w:iCs/>
          <w:rtl/>
          <w:lang w:bidi="ar-EG"/>
        </w:rPr>
        <w:t>“</w:t>
      </w:r>
      <w:r w:rsidRPr="00CC46CF">
        <w:rPr>
          <w:rFonts w:hint="cs"/>
          <w:rtl/>
          <w:lang w:bidi="ar-EG"/>
        </w:rPr>
        <w:t>، وثيقة لتوعية المعلمين ومعلمي المستقبل، نيسان/أبريل 2003.</w:t>
      </w:r>
    </w:p>
    <w:p w:rsidR="007023B4" w:rsidRPr="00CC46CF" w:rsidRDefault="007023B4" w:rsidP="007023B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sidRPr="00CC46CF">
        <w:rPr>
          <w:rFonts w:hint="cs"/>
          <w:rtl/>
          <w:lang w:bidi="ar-EG"/>
        </w:rPr>
        <w:tab/>
        <w:t>-</w:t>
      </w:r>
      <w:r w:rsidRPr="00CC46CF">
        <w:rPr>
          <w:rFonts w:hint="cs"/>
          <w:rtl/>
          <w:lang w:bidi="ar-EG"/>
        </w:rPr>
        <w:tab/>
        <w:t xml:space="preserve">دليل تربوي: </w:t>
      </w:r>
      <w:r w:rsidRPr="00443242">
        <w:rPr>
          <w:rFonts w:hint="eastAsia"/>
          <w:i/>
          <w:iCs/>
          <w:rtl/>
          <w:lang w:bidi="ar-EG"/>
        </w:rPr>
        <w:t>”النساء/الرجال في العالم</w:t>
      </w:r>
      <w:r>
        <w:rPr>
          <w:rFonts w:hint="cs"/>
          <w:rtl/>
          <w:lang w:bidi="ar-EG"/>
        </w:rPr>
        <w:t xml:space="preserve">“ </w:t>
      </w:r>
      <w:r w:rsidRPr="00CC46CF">
        <w:rPr>
          <w:rFonts w:hint="cs"/>
          <w:rtl/>
          <w:lang w:bidi="ar-EG"/>
        </w:rPr>
        <w:t>يستهدف الفئة العمرية 12-15 سنة، آذار/مارس 2004.</w:t>
      </w:r>
    </w:p>
    <w:p w:rsidR="007023B4" w:rsidRPr="00CC46CF" w:rsidRDefault="007023B4" w:rsidP="007023B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sidRPr="00CC46CF">
        <w:rPr>
          <w:rFonts w:hint="cs"/>
          <w:rtl/>
          <w:lang w:bidi="ar-EG"/>
        </w:rPr>
        <w:tab/>
        <w:t>-</w:t>
      </w:r>
      <w:r w:rsidRPr="00CC46CF">
        <w:rPr>
          <w:rFonts w:hint="cs"/>
          <w:rtl/>
          <w:lang w:bidi="ar-EG"/>
        </w:rPr>
        <w:tab/>
      </w:r>
      <w:r w:rsidRPr="00CC46CF">
        <w:rPr>
          <w:rFonts w:hint="eastAsia"/>
          <w:rtl/>
          <w:lang w:bidi="ar-EG"/>
        </w:rPr>
        <w:t>”</w:t>
      </w:r>
      <w:r w:rsidRPr="00443242">
        <w:rPr>
          <w:rFonts w:hint="eastAsia"/>
          <w:i/>
          <w:iCs/>
          <w:rtl/>
          <w:lang w:bidi="ar-EG"/>
        </w:rPr>
        <w:t>أحبك</w:t>
      </w:r>
      <w:r w:rsidRPr="00443242">
        <w:rPr>
          <w:rFonts w:hint="cs"/>
          <w:i/>
          <w:iCs/>
          <w:rtl/>
          <w:lang w:bidi="ar-EG"/>
        </w:rPr>
        <w:t>، العنف يضر الحب بشدة</w:t>
      </w:r>
      <w:r w:rsidRPr="00CC46CF">
        <w:rPr>
          <w:rFonts w:hint="eastAsia"/>
          <w:rtl/>
          <w:lang w:bidi="ar-EG"/>
        </w:rPr>
        <w:t xml:space="preserve">“ </w:t>
      </w:r>
      <w:r w:rsidRPr="00CC46CF">
        <w:rPr>
          <w:rFonts w:hint="cs"/>
          <w:rtl/>
          <w:lang w:bidi="ar-EG"/>
        </w:rPr>
        <w:t>أ</w:t>
      </w:r>
      <w:r w:rsidRPr="00CC46CF">
        <w:rPr>
          <w:rFonts w:hint="eastAsia"/>
          <w:rtl/>
          <w:lang w:bidi="ar-EG"/>
        </w:rPr>
        <w:t xml:space="preserve">داة لوقاية وتوعية بين الشباب فيما يتعلق </w:t>
      </w:r>
      <w:r w:rsidRPr="00CC46CF">
        <w:rPr>
          <w:rFonts w:hint="cs"/>
          <w:rtl/>
          <w:lang w:bidi="ar-EG"/>
        </w:rPr>
        <w:t xml:space="preserve">بالعنف في العلاقات القائمة على الحب، </w:t>
      </w:r>
      <w:r>
        <w:rPr>
          <w:rFonts w:hint="cs"/>
          <w:rtl/>
          <w:lang w:bidi="ar-EG"/>
        </w:rPr>
        <w:t>ت</w:t>
      </w:r>
      <w:r w:rsidRPr="00CC46CF">
        <w:rPr>
          <w:rFonts w:hint="cs"/>
          <w:rtl/>
          <w:lang w:bidi="ar-EG"/>
        </w:rPr>
        <w:t>ستهدف الفئة العمرية 15-24 سنة، 2004.</w:t>
      </w:r>
    </w:p>
    <w:p w:rsidR="007023B4" w:rsidRPr="00CC46CF" w:rsidRDefault="007023B4" w:rsidP="007023B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t>4 -</w:t>
      </w:r>
      <w:r>
        <w:rPr>
          <w:rFonts w:hint="cs"/>
          <w:rtl/>
          <w:lang w:bidi="ar-EG"/>
        </w:rPr>
        <w:tab/>
      </w:r>
      <w:r w:rsidRPr="00CC46CF">
        <w:rPr>
          <w:rFonts w:hint="cs"/>
          <w:rtl/>
          <w:lang w:bidi="ar-EG"/>
        </w:rPr>
        <w:t>السياسة المحلية لتكافؤ الفرص</w:t>
      </w:r>
    </w:p>
    <w:p w:rsidR="007023B4" w:rsidRPr="00CC46CF" w:rsidRDefault="007023B4" w:rsidP="007023B4">
      <w:pPr>
        <w:pStyle w:val="SingleTxt"/>
        <w:rPr>
          <w:rFonts w:hint="cs"/>
          <w:rtl/>
          <w:lang w:bidi="ar-EG"/>
        </w:rPr>
      </w:pPr>
      <w:r w:rsidRPr="00CC46CF">
        <w:rPr>
          <w:rFonts w:hint="cs"/>
          <w:rtl/>
          <w:lang w:bidi="ar-EG"/>
        </w:rPr>
        <w:tab/>
        <w:t>في إطار نشاط شبكة المنسق</w:t>
      </w:r>
      <w:r>
        <w:rPr>
          <w:rFonts w:hint="cs"/>
          <w:rtl/>
          <w:lang w:bidi="ar-EG"/>
        </w:rPr>
        <w:t>ات الإقليميات</w:t>
      </w:r>
      <w:r w:rsidRPr="00CC46CF">
        <w:rPr>
          <w:rFonts w:hint="cs"/>
          <w:rtl/>
          <w:lang w:bidi="ar-EG"/>
        </w:rPr>
        <w:t xml:space="preserve">، يتدخل المجتمع الفرنسي في المشاركة في تمويل رواتب ومكافآت المنسقين والمنسقات </w:t>
      </w:r>
      <w:r>
        <w:rPr>
          <w:rFonts w:hint="cs"/>
          <w:rtl/>
          <w:lang w:bidi="ar-EG"/>
        </w:rPr>
        <w:t>الإقليميين</w:t>
      </w:r>
      <w:r w:rsidRPr="00CC46CF">
        <w:rPr>
          <w:rFonts w:hint="cs"/>
          <w:rtl/>
          <w:lang w:bidi="ar-EG"/>
        </w:rPr>
        <w:t xml:space="preserve"> النشطين في إطار تنسيق محلي (تحت رقابة الوفد الدائم) وفي دعم المشروعات المقدمة في إطار الدعوة إلى </w:t>
      </w:r>
      <w:r>
        <w:rPr>
          <w:rFonts w:hint="cs"/>
          <w:rtl/>
          <w:lang w:bidi="ar-EG"/>
        </w:rPr>
        <w:t>القيام</w:t>
      </w:r>
      <w:r w:rsidRPr="00CC46CF">
        <w:rPr>
          <w:rFonts w:hint="cs"/>
          <w:rtl/>
          <w:lang w:bidi="ar-EG"/>
        </w:rPr>
        <w:t xml:space="preserve"> </w:t>
      </w:r>
      <w:r>
        <w:rPr>
          <w:rFonts w:hint="cs"/>
          <w:rtl/>
          <w:lang w:bidi="ar-EG"/>
        </w:rPr>
        <w:t>ب</w:t>
      </w:r>
      <w:r w:rsidRPr="00CC46CF">
        <w:rPr>
          <w:rFonts w:hint="cs"/>
          <w:rtl/>
          <w:lang w:bidi="ar-EG"/>
        </w:rPr>
        <w:t xml:space="preserve">مشروعات سنوية </w:t>
      </w:r>
      <w:r>
        <w:rPr>
          <w:rFonts w:hint="cs"/>
          <w:rtl/>
          <w:lang w:bidi="ar-EG"/>
        </w:rPr>
        <w:t xml:space="preserve">الموجهة </w:t>
      </w:r>
      <w:r w:rsidRPr="00CC46CF">
        <w:rPr>
          <w:rFonts w:hint="cs"/>
          <w:rtl/>
          <w:lang w:bidi="ar-EG"/>
        </w:rPr>
        <w:t>إلى الجمعيات من خلال المنسقين</w:t>
      </w:r>
      <w:r>
        <w:rPr>
          <w:rFonts w:hint="cs"/>
          <w:rtl/>
          <w:lang w:bidi="ar-EG"/>
        </w:rPr>
        <w:t xml:space="preserve"> والمنسقات</w:t>
      </w:r>
      <w:r w:rsidRPr="00CC46CF">
        <w:rPr>
          <w:rFonts w:hint="cs"/>
          <w:rtl/>
          <w:lang w:bidi="ar-EG"/>
        </w:rPr>
        <w:t>.</w:t>
      </w:r>
    </w:p>
    <w:p w:rsidR="007023B4" w:rsidRPr="00CC46CF" w:rsidRDefault="007023B4" w:rsidP="007023B4">
      <w:pPr>
        <w:pStyle w:val="SingleTxt"/>
        <w:rPr>
          <w:rFonts w:hint="cs"/>
          <w:rtl/>
          <w:lang w:bidi="ar-EG"/>
        </w:rPr>
      </w:pPr>
      <w:r w:rsidRPr="00CC46CF">
        <w:rPr>
          <w:rFonts w:hint="cs"/>
          <w:rtl/>
          <w:lang w:bidi="ar-EG"/>
        </w:rPr>
        <w:tab/>
      </w:r>
      <w:r>
        <w:rPr>
          <w:rFonts w:hint="cs"/>
          <w:rtl/>
          <w:lang w:bidi="ar-EG"/>
        </w:rPr>
        <w:t>و</w:t>
      </w:r>
      <w:r w:rsidRPr="00CC46CF">
        <w:rPr>
          <w:rFonts w:hint="cs"/>
          <w:rtl/>
          <w:lang w:bidi="ar-EG"/>
        </w:rPr>
        <w:t>يعمل مختلف الشركاء (الدولة الاتحادية والمجتمع والإقليم)</w:t>
      </w:r>
      <w:r>
        <w:rPr>
          <w:rFonts w:hint="cs"/>
          <w:rtl/>
          <w:lang w:bidi="ar-EG"/>
        </w:rPr>
        <w:t>،</w:t>
      </w:r>
      <w:r w:rsidRPr="00CC46CF">
        <w:rPr>
          <w:rFonts w:hint="cs"/>
          <w:rtl/>
          <w:lang w:bidi="ar-EG"/>
        </w:rPr>
        <w:t xml:space="preserve"> في إطار صلاحيات كل منهم،</w:t>
      </w:r>
      <w:r>
        <w:rPr>
          <w:rFonts w:hint="cs"/>
          <w:rtl/>
          <w:lang w:bidi="ar-EG"/>
        </w:rPr>
        <w:t xml:space="preserve"> </w:t>
      </w:r>
      <w:r w:rsidRPr="00CC46CF">
        <w:rPr>
          <w:rFonts w:hint="cs"/>
          <w:rtl/>
          <w:lang w:bidi="ar-EG"/>
        </w:rPr>
        <w:t>على متابعة وتنسيق سياستهم المحلية للمساواة بين المرأة والرجل على النحو التالي:</w:t>
      </w:r>
    </w:p>
    <w:p w:rsidR="007023B4" w:rsidRPr="00CC46CF" w:rsidRDefault="00655E37" w:rsidP="007023B4">
      <w:pPr>
        <w:pStyle w:val="SingleTxt"/>
        <w:rPr>
          <w:rFonts w:hint="cs"/>
          <w:rtl/>
          <w:lang w:bidi="ar-EG"/>
        </w:rPr>
      </w:pPr>
      <w:r>
        <w:rPr>
          <w:rFonts w:hint="cs"/>
          <w:rtl/>
          <w:lang w:bidi="ar-EG"/>
        </w:rPr>
        <w:tab/>
      </w:r>
      <w:r w:rsidR="007023B4" w:rsidRPr="00CC46CF">
        <w:rPr>
          <w:rFonts w:hint="cs"/>
          <w:rtl/>
          <w:lang w:bidi="ar-EG"/>
        </w:rPr>
        <w:t>1 -</w:t>
      </w:r>
      <w:r w:rsidR="007023B4" w:rsidRPr="00CC46CF">
        <w:rPr>
          <w:rFonts w:hint="cs"/>
          <w:rtl/>
          <w:lang w:bidi="ar-EG"/>
        </w:rPr>
        <w:tab/>
        <w:t xml:space="preserve">عن طريق دعم التنسيق الإقليمي </w:t>
      </w:r>
      <w:r w:rsidR="007023B4">
        <w:rPr>
          <w:rFonts w:hint="cs"/>
          <w:rtl/>
          <w:lang w:bidi="ar-EG"/>
        </w:rPr>
        <w:t xml:space="preserve">(وتتولاه منسقتان متفرغتان) </w:t>
      </w:r>
      <w:r w:rsidR="007023B4" w:rsidRPr="00CC46CF">
        <w:rPr>
          <w:rFonts w:hint="cs"/>
          <w:rtl/>
          <w:lang w:bidi="ar-EG"/>
        </w:rPr>
        <w:t>في كل مقاطعة ناطقة بالفرنسية.</w:t>
      </w:r>
    </w:p>
    <w:p w:rsidR="007023B4" w:rsidRPr="00CC46CF" w:rsidRDefault="00655E37" w:rsidP="007023B4">
      <w:pPr>
        <w:pStyle w:val="SingleTxt"/>
        <w:rPr>
          <w:rFonts w:hint="cs"/>
          <w:rtl/>
          <w:lang w:bidi="ar-EG"/>
        </w:rPr>
      </w:pPr>
      <w:r>
        <w:rPr>
          <w:rFonts w:hint="cs"/>
          <w:rtl/>
          <w:lang w:bidi="ar-EG"/>
        </w:rPr>
        <w:tab/>
      </w:r>
      <w:r w:rsidR="007023B4" w:rsidRPr="00CC46CF">
        <w:rPr>
          <w:rFonts w:hint="cs"/>
          <w:rtl/>
          <w:lang w:bidi="ar-EG"/>
        </w:rPr>
        <w:t>2 -</w:t>
      </w:r>
      <w:r w:rsidR="007023B4" w:rsidRPr="00CC46CF">
        <w:rPr>
          <w:rFonts w:hint="cs"/>
          <w:rtl/>
          <w:lang w:bidi="ar-EG"/>
        </w:rPr>
        <w:tab/>
        <w:t xml:space="preserve">عن طريق توجيه نداء </w:t>
      </w:r>
      <w:r w:rsidR="007023B4">
        <w:rPr>
          <w:rFonts w:hint="cs"/>
          <w:rtl/>
          <w:lang w:bidi="ar-EG"/>
        </w:rPr>
        <w:t xml:space="preserve">سنوي </w:t>
      </w:r>
      <w:r w:rsidR="007023B4" w:rsidRPr="00CC46CF">
        <w:rPr>
          <w:rFonts w:hint="cs"/>
          <w:rtl/>
          <w:lang w:bidi="ar-EG"/>
        </w:rPr>
        <w:t>إلى القيام بمشروعات هدفها دعم مشاريع رائدة في إطار سياسة المساواة بين ا</w:t>
      </w:r>
      <w:r w:rsidR="007023B4">
        <w:rPr>
          <w:rFonts w:hint="cs"/>
          <w:rtl/>
          <w:lang w:bidi="ar-EG"/>
        </w:rPr>
        <w:t xml:space="preserve">لمرأة والرجل على الصعيد المحلي في </w:t>
      </w:r>
      <w:r w:rsidR="007023B4" w:rsidRPr="00CC46CF">
        <w:rPr>
          <w:rFonts w:hint="cs"/>
          <w:rtl/>
          <w:lang w:bidi="ar-EG"/>
        </w:rPr>
        <w:t>المقاطعات الخمس الناطقة بالفرنسية.</w:t>
      </w:r>
    </w:p>
    <w:p w:rsidR="007023B4" w:rsidRPr="00CC46CF" w:rsidRDefault="00655E37" w:rsidP="007023B4">
      <w:pPr>
        <w:pStyle w:val="SingleTxt"/>
        <w:rPr>
          <w:rFonts w:hint="cs"/>
          <w:rtl/>
          <w:lang w:bidi="ar-EG"/>
        </w:rPr>
      </w:pPr>
      <w:r>
        <w:rPr>
          <w:rFonts w:hint="cs"/>
          <w:rtl/>
          <w:lang w:bidi="ar-EG"/>
        </w:rPr>
        <w:tab/>
      </w:r>
      <w:r w:rsidR="007023B4" w:rsidRPr="00CC46CF">
        <w:rPr>
          <w:rFonts w:hint="cs"/>
          <w:rtl/>
          <w:lang w:bidi="ar-EG"/>
        </w:rPr>
        <w:t>3 -</w:t>
      </w:r>
      <w:r w:rsidR="007023B4" w:rsidRPr="00CC46CF">
        <w:rPr>
          <w:rFonts w:hint="cs"/>
          <w:rtl/>
          <w:lang w:bidi="ar-EG"/>
        </w:rPr>
        <w:tab/>
        <w:t>العمل على ضمان انسجام بين المشاريع التي تتعلق بالإطار الاجتماعي والاقتصادي والتي يقوم المنسقون الإقليميون بالتنسيق بينها.</w:t>
      </w:r>
    </w:p>
    <w:p w:rsidR="007023B4" w:rsidRPr="00CC46CF" w:rsidRDefault="007023B4" w:rsidP="007023B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sidRPr="00CC46CF">
        <w:rPr>
          <w:rFonts w:hint="cs"/>
          <w:rtl/>
          <w:lang w:bidi="ar-EG"/>
        </w:rPr>
        <w:tab/>
        <w:t>5 -</w:t>
      </w:r>
      <w:r w:rsidRPr="00CC46CF">
        <w:rPr>
          <w:rFonts w:hint="cs"/>
          <w:rtl/>
          <w:lang w:bidi="ar-EG"/>
        </w:rPr>
        <w:tab/>
        <w:t>سياسة محددة: مكافحة أعمال العنف ضد المرأة في المجتمع الفرنسي</w:t>
      </w:r>
    </w:p>
    <w:p w:rsidR="007023B4" w:rsidRPr="00CC46CF" w:rsidRDefault="007023B4" w:rsidP="007023B4">
      <w:pPr>
        <w:pStyle w:val="SingleTxt"/>
        <w:rPr>
          <w:rFonts w:hint="cs"/>
          <w:rtl/>
          <w:lang w:bidi="ar-EG"/>
        </w:rPr>
      </w:pPr>
      <w:r w:rsidRPr="00CC46CF">
        <w:rPr>
          <w:rFonts w:hint="cs"/>
          <w:rtl/>
          <w:lang w:bidi="ar-EG"/>
        </w:rPr>
        <w:tab/>
        <w:t xml:space="preserve">من الجدير بالذكر أن صلاحيات المجتمعات في مجال مكافحة العنف </w:t>
      </w:r>
      <w:r>
        <w:rPr>
          <w:rFonts w:hint="cs"/>
          <w:rtl/>
          <w:lang w:bidi="ar-EG"/>
        </w:rPr>
        <w:t>المنزلي</w:t>
      </w:r>
      <w:r w:rsidRPr="00CC46CF">
        <w:rPr>
          <w:rFonts w:hint="cs"/>
          <w:rtl/>
          <w:lang w:bidi="ar-EG"/>
        </w:rPr>
        <w:t xml:space="preserve"> </w:t>
      </w:r>
      <w:r>
        <w:rPr>
          <w:rFonts w:hint="cs"/>
          <w:rtl/>
          <w:lang w:bidi="ar-EG"/>
        </w:rPr>
        <w:t>ت</w:t>
      </w:r>
      <w:r w:rsidRPr="00CC46CF">
        <w:rPr>
          <w:rFonts w:hint="cs"/>
          <w:rtl/>
          <w:lang w:bidi="ar-EG"/>
        </w:rPr>
        <w:t>تعلق بصفة رئيسية بالوقاية.</w:t>
      </w:r>
    </w:p>
    <w:p w:rsidR="007023B4" w:rsidRPr="00CC46CF" w:rsidRDefault="007023B4" w:rsidP="007023B4">
      <w:pPr>
        <w:pStyle w:val="SingleTxt"/>
        <w:rPr>
          <w:rFonts w:hint="cs"/>
          <w:rtl/>
          <w:lang w:bidi="ar-EG"/>
        </w:rPr>
      </w:pPr>
      <w:r w:rsidRPr="00CC46CF">
        <w:rPr>
          <w:rFonts w:hint="cs"/>
          <w:rtl/>
          <w:lang w:bidi="ar-EG"/>
        </w:rPr>
        <w:tab/>
        <w:t>و</w:t>
      </w:r>
      <w:r>
        <w:rPr>
          <w:rFonts w:hint="cs"/>
          <w:rtl/>
          <w:lang w:bidi="ar-EG"/>
        </w:rPr>
        <w:t>تشترك في</w:t>
      </w:r>
      <w:r w:rsidRPr="00CC46CF">
        <w:rPr>
          <w:rFonts w:hint="cs"/>
          <w:rtl/>
          <w:lang w:bidi="ar-EG"/>
        </w:rPr>
        <w:t xml:space="preserve"> </w:t>
      </w:r>
      <w:r w:rsidRPr="00655E37">
        <w:rPr>
          <w:rFonts w:hint="cs"/>
          <w:i/>
          <w:iCs/>
          <w:rtl/>
          <w:lang w:bidi="ar-EG"/>
        </w:rPr>
        <w:t>الخطة الوطنية لمكافحة العنف ضد المرأة</w:t>
      </w:r>
      <w:r w:rsidRPr="00CC46CF">
        <w:rPr>
          <w:rFonts w:hint="cs"/>
          <w:rtl/>
          <w:lang w:bidi="ar-EG"/>
        </w:rPr>
        <w:t xml:space="preserve">، التي أطلقت في تشرين الثاني/نوفمبر 2001، الدولة الاتحادية والأقاليم والمجتمعات على مختلف المستويات. وفي هذه المرحلة، فإنه ليس من المقترح تعزيز </w:t>
      </w:r>
      <w:r>
        <w:rPr>
          <w:rFonts w:hint="cs"/>
          <w:rtl/>
          <w:lang w:bidi="ar-EG"/>
        </w:rPr>
        <w:t>الجهاز</w:t>
      </w:r>
      <w:r w:rsidRPr="00CC46CF">
        <w:rPr>
          <w:rFonts w:hint="cs"/>
          <w:rtl/>
          <w:lang w:bidi="ar-EG"/>
        </w:rPr>
        <w:t xml:space="preserve"> التشريعي، وإنما تحسين استغلال الأدوات القائمة.</w:t>
      </w:r>
    </w:p>
    <w:p w:rsidR="007023B4" w:rsidRPr="00CC46CF" w:rsidRDefault="007023B4" w:rsidP="007023B4">
      <w:pPr>
        <w:pStyle w:val="SingleTxt"/>
        <w:rPr>
          <w:rFonts w:hint="cs"/>
          <w:rtl/>
          <w:lang w:bidi="ar-EG"/>
        </w:rPr>
      </w:pPr>
      <w:r>
        <w:rPr>
          <w:rFonts w:hint="cs"/>
          <w:b/>
          <w:bCs/>
          <w:rtl/>
          <w:lang w:bidi="ar-EG"/>
        </w:rPr>
        <w:tab/>
      </w:r>
      <w:r w:rsidRPr="00655E37">
        <w:rPr>
          <w:rFonts w:hint="cs"/>
          <w:i/>
          <w:iCs/>
          <w:rtl/>
          <w:lang w:bidi="ar-EG"/>
        </w:rPr>
        <w:t>يعبِّر</w:t>
      </w:r>
      <w:r w:rsidRPr="00655E37">
        <w:rPr>
          <w:rFonts w:hint="cs"/>
          <w:b/>
          <w:bCs/>
          <w:i/>
          <w:iCs/>
          <w:rtl/>
          <w:lang w:bidi="ar-EG"/>
        </w:rPr>
        <w:t xml:space="preserve"> </w:t>
      </w:r>
      <w:r w:rsidRPr="00655E37">
        <w:rPr>
          <w:rFonts w:hint="cs"/>
          <w:i/>
          <w:iCs/>
          <w:rtl/>
          <w:lang w:bidi="ar-EG"/>
        </w:rPr>
        <w:t xml:space="preserve">برنامج العمل الحكومي لتعزيز المساواة بين المرأة والرجل </w:t>
      </w:r>
      <w:r w:rsidRPr="0069295B">
        <w:rPr>
          <w:rFonts w:hint="cs"/>
          <w:rtl/>
          <w:lang w:bidi="ar-EG"/>
        </w:rPr>
        <w:t>و</w:t>
      </w:r>
      <w:r>
        <w:rPr>
          <w:rFonts w:hint="cs"/>
          <w:rtl/>
          <w:lang w:bidi="ar-EG"/>
        </w:rPr>
        <w:t xml:space="preserve">التفاعل بين </w:t>
      </w:r>
      <w:r w:rsidRPr="0069295B">
        <w:rPr>
          <w:rFonts w:hint="cs"/>
          <w:rtl/>
          <w:lang w:bidi="ar-EG"/>
        </w:rPr>
        <w:t>الثقافات والإدماج الاجتماعي</w:t>
      </w:r>
      <w:r w:rsidRPr="00CC46CF">
        <w:rPr>
          <w:rFonts w:hint="cs"/>
          <w:b/>
          <w:bCs/>
          <w:rtl/>
          <w:lang w:bidi="ar-EG"/>
        </w:rPr>
        <w:t>،</w:t>
      </w:r>
      <w:r w:rsidRPr="00CC46CF">
        <w:rPr>
          <w:rFonts w:hint="cs"/>
          <w:rtl/>
          <w:lang w:bidi="ar-EG"/>
        </w:rPr>
        <w:t xml:space="preserve"> الذي تم اعتماده في 25 شباط/فبراير 2005، عن إرادة حكومة المجتمع الفرنسي بجعل مكافحة أنواع العنف ضد المرأة أولوية </w:t>
      </w:r>
      <w:r>
        <w:rPr>
          <w:rFonts w:hint="cs"/>
          <w:rtl/>
          <w:lang w:bidi="ar-EG"/>
        </w:rPr>
        <w:t>سياسية</w:t>
      </w:r>
      <w:r w:rsidRPr="00CC46CF">
        <w:rPr>
          <w:rFonts w:hint="cs"/>
          <w:rtl/>
          <w:lang w:bidi="ar-EG"/>
        </w:rPr>
        <w:t>.</w:t>
      </w:r>
    </w:p>
    <w:p w:rsidR="007023B4" w:rsidRPr="00CC46CF" w:rsidRDefault="007023B4" w:rsidP="007023B4">
      <w:pPr>
        <w:pStyle w:val="SingleTxt"/>
        <w:rPr>
          <w:rFonts w:hint="cs"/>
          <w:rtl/>
          <w:lang w:bidi="ar-EG"/>
        </w:rPr>
      </w:pPr>
      <w:r w:rsidRPr="00CC46CF">
        <w:rPr>
          <w:rFonts w:hint="cs"/>
          <w:b/>
          <w:bCs/>
          <w:rtl/>
          <w:lang w:bidi="ar-EG"/>
        </w:rPr>
        <w:tab/>
      </w:r>
      <w:r w:rsidRPr="00655E37">
        <w:rPr>
          <w:rFonts w:hint="cs"/>
          <w:i/>
          <w:iCs/>
          <w:rtl/>
          <w:lang w:bidi="ar-EG"/>
        </w:rPr>
        <w:t>وينص برنامج العمل، بوجه خاص</w:t>
      </w:r>
      <w:r w:rsidRPr="00CC46CF">
        <w:rPr>
          <w:rFonts w:hint="cs"/>
          <w:rtl/>
          <w:lang w:bidi="ar-EG"/>
        </w:rPr>
        <w:t xml:space="preserve">، على أن يسهم المجتمع الفرنسي بنشاط في تنفيذ خطة العمل الوطنية لمكافحة العنف </w:t>
      </w:r>
      <w:r>
        <w:rPr>
          <w:rFonts w:hint="cs"/>
          <w:rtl/>
          <w:lang w:bidi="ar-EG"/>
        </w:rPr>
        <w:t xml:space="preserve">المنزلي للفترة </w:t>
      </w:r>
      <w:r w:rsidRPr="00CC46CF">
        <w:rPr>
          <w:rFonts w:hint="cs"/>
          <w:rtl/>
          <w:lang w:bidi="ar-EG"/>
        </w:rPr>
        <w:t xml:space="preserve">2004-2007. وباعتبار هذه الصلاحيات، فإن المحاور الثلاثة الممكنة لتدخل المجتمع الفرنسي في إطار خطة العمل الوطنية لمكافحة العنف </w:t>
      </w:r>
      <w:r>
        <w:rPr>
          <w:rFonts w:hint="cs"/>
          <w:rtl/>
          <w:lang w:bidi="ar-EG"/>
        </w:rPr>
        <w:t>المنزلي</w:t>
      </w:r>
      <w:r w:rsidRPr="00CC46CF">
        <w:rPr>
          <w:rFonts w:hint="cs"/>
          <w:rtl/>
          <w:lang w:bidi="ar-EG"/>
        </w:rPr>
        <w:t xml:space="preserve"> هي التوعية والتدريب </w:t>
      </w:r>
      <w:r>
        <w:rPr>
          <w:rFonts w:hint="cs"/>
          <w:rtl/>
          <w:lang w:bidi="ar-EG"/>
        </w:rPr>
        <w:t>والمنع</w:t>
      </w:r>
      <w:r w:rsidRPr="00CC46CF">
        <w:rPr>
          <w:rFonts w:hint="cs"/>
          <w:rtl/>
          <w:lang w:bidi="ar-EG"/>
        </w:rPr>
        <w:t>.</w:t>
      </w:r>
    </w:p>
    <w:p w:rsidR="007023B4" w:rsidRPr="0069295B" w:rsidRDefault="007023B4" w:rsidP="00655E37">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b w:val="0"/>
          <w:bCs w:val="0"/>
          <w:i/>
          <w:iCs/>
          <w:rtl/>
          <w:lang w:bidi="ar-EG"/>
        </w:rPr>
      </w:pPr>
      <w:r>
        <w:rPr>
          <w:rFonts w:hint="cs"/>
          <w:rtl/>
          <w:lang w:bidi="ar-EG"/>
        </w:rPr>
        <w:tab/>
      </w:r>
      <w:r w:rsidR="00655E37">
        <w:rPr>
          <w:rFonts w:hint="cs"/>
          <w:b w:val="0"/>
          <w:bCs w:val="0"/>
          <w:i/>
          <w:iCs/>
          <w:sz w:val="20"/>
          <w:szCs w:val="30"/>
          <w:rtl/>
          <w:lang w:bidi="ar-EG"/>
        </w:rPr>
        <w:tab/>
      </w:r>
      <w:r w:rsidRPr="00D13567">
        <w:rPr>
          <w:rFonts w:hint="cs"/>
          <w:b w:val="0"/>
          <w:bCs w:val="0"/>
          <w:i/>
          <w:iCs/>
          <w:sz w:val="20"/>
          <w:szCs w:val="30"/>
          <w:rtl/>
          <w:lang w:bidi="ar-EG"/>
        </w:rPr>
        <w:t>الهدف 1: التوعية</w:t>
      </w:r>
    </w:p>
    <w:p w:rsidR="007023B4" w:rsidRPr="00CC46CF" w:rsidRDefault="007023B4" w:rsidP="007023B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sidRPr="00CC46CF">
        <w:rPr>
          <w:rFonts w:hint="cs"/>
          <w:rtl/>
          <w:lang w:bidi="ar-EG"/>
        </w:rPr>
        <w:tab/>
        <w:t>•</w:t>
      </w:r>
      <w:r w:rsidRPr="00CC46CF">
        <w:rPr>
          <w:rFonts w:hint="cs"/>
          <w:rtl/>
          <w:lang w:bidi="ar-EG"/>
        </w:rPr>
        <w:tab/>
        <w:t xml:space="preserve">حملة لتوعية وإعلام الشباب، </w:t>
      </w:r>
      <w:r>
        <w:rPr>
          <w:rFonts w:hint="cs"/>
          <w:rtl/>
          <w:lang w:bidi="ar-EG"/>
        </w:rPr>
        <w:t>ب</w:t>
      </w:r>
      <w:r w:rsidRPr="00CC46CF">
        <w:rPr>
          <w:rFonts w:hint="cs"/>
          <w:rtl/>
          <w:lang w:bidi="ar-EG"/>
        </w:rPr>
        <w:t xml:space="preserve">العنف في العلاقات القائمة على </w:t>
      </w:r>
      <w:r>
        <w:rPr>
          <w:rFonts w:hint="cs"/>
          <w:rtl/>
          <w:lang w:bidi="ar-EG"/>
        </w:rPr>
        <w:t>الحب</w:t>
      </w:r>
      <w:r w:rsidRPr="00CC46CF">
        <w:rPr>
          <w:rFonts w:hint="cs"/>
          <w:rtl/>
          <w:lang w:bidi="ar-EG"/>
        </w:rPr>
        <w:t xml:space="preserve">، </w:t>
      </w:r>
      <w:r>
        <w:rPr>
          <w:rFonts w:hint="cs"/>
          <w:rtl/>
          <w:lang w:bidi="ar-EG"/>
        </w:rPr>
        <w:t xml:space="preserve">تنفذ </w:t>
      </w:r>
      <w:r w:rsidRPr="00CC46CF">
        <w:rPr>
          <w:rFonts w:hint="cs"/>
          <w:rtl/>
          <w:lang w:bidi="ar-EG"/>
        </w:rPr>
        <w:t>بالدرجة الأولى في المدارس والمراكز الرياضية والثقافية ومراكز الشباب؛</w:t>
      </w:r>
    </w:p>
    <w:p w:rsidR="007023B4" w:rsidRPr="00CC46CF" w:rsidRDefault="007023B4" w:rsidP="007023B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sidRPr="00CC46CF">
        <w:rPr>
          <w:rFonts w:hint="cs"/>
          <w:rtl/>
          <w:lang w:bidi="ar-EG"/>
        </w:rPr>
        <w:tab/>
        <w:t>•</w:t>
      </w:r>
      <w:r w:rsidRPr="00CC46CF">
        <w:rPr>
          <w:rFonts w:hint="cs"/>
          <w:rtl/>
          <w:lang w:bidi="ar-EG"/>
        </w:rPr>
        <w:tab/>
        <w:t xml:space="preserve">حملة حكومية للتوعية بأعمال العنف </w:t>
      </w:r>
      <w:r>
        <w:rPr>
          <w:rFonts w:hint="cs"/>
          <w:rtl/>
          <w:lang w:bidi="ar-EG"/>
        </w:rPr>
        <w:t>المنزلي</w:t>
      </w:r>
      <w:r w:rsidRPr="00CC46CF">
        <w:rPr>
          <w:rFonts w:hint="cs"/>
          <w:rtl/>
          <w:lang w:bidi="ar-EG"/>
        </w:rPr>
        <w:t xml:space="preserve"> وموجهة إلى الجمهور العام؛</w:t>
      </w:r>
    </w:p>
    <w:p w:rsidR="007023B4" w:rsidRPr="00CC46CF" w:rsidRDefault="0039161D" w:rsidP="007023B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tl/>
          <w:lang w:bidi="ar-EG"/>
        </w:rPr>
        <w:br w:type="page"/>
      </w:r>
      <w:r w:rsidR="007023B4" w:rsidRPr="00CC46CF">
        <w:rPr>
          <w:rFonts w:hint="cs"/>
          <w:rtl/>
          <w:lang w:bidi="ar-EG"/>
        </w:rPr>
        <w:tab/>
        <w:t>•</w:t>
      </w:r>
      <w:r w:rsidR="007023B4" w:rsidRPr="00CC46CF">
        <w:rPr>
          <w:rFonts w:hint="cs"/>
          <w:rtl/>
          <w:lang w:bidi="ar-EG"/>
        </w:rPr>
        <w:tab/>
        <w:t>إعلام الفنيين في وسائ</w:t>
      </w:r>
      <w:r w:rsidR="007023B4">
        <w:rPr>
          <w:rFonts w:hint="cs"/>
          <w:rtl/>
          <w:lang w:bidi="ar-EG"/>
        </w:rPr>
        <w:t>ل</w:t>
      </w:r>
      <w:r w:rsidR="007023B4" w:rsidRPr="00CC46CF">
        <w:rPr>
          <w:rFonts w:hint="cs"/>
          <w:rtl/>
          <w:lang w:bidi="ar-EG"/>
        </w:rPr>
        <w:t xml:space="preserve"> الإعلام بمسألة العنف </w:t>
      </w:r>
      <w:r w:rsidR="007023B4">
        <w:rPr>
          <w:rFonts w:hint="cs"/>
          <w:rtl/>
          <w:lang w:bidi="ar-EG"/>
        </w:rPr>
        <w:t xml:space="preserve">بين القرناء </w:t>
      </w:r>
      <w:r w:rsidR="007023B4" w:rsidRPr="00CC46CF">
        <w:rPr>
          <w:rFonts w:hint="cs"/>
          <w:rtl/>
          <w:lang w:bidi="ar-EG"/>
        </w:rPr>
        <w:t xml:space="preserve">بما يتيح لهؤلاء معالجة المسألة على نحو كاف، والامتناع عن </w:t>
      </w:r>
      <w:r w:rsidR="007023B4">
        <w:rPr>
          <w:rFonts w:hint="cs"/>
          <w:rtl/>
          <w:lang w:bidi="ar-EG"/>
        </w:rPr>
        <w:t xml:space="preserve">تكرار الأفكار الجامدة </w:t>
      </w:r>
      <w:r w:rsidR="007023B4" w:rsidRPr="00CC46CF">
        <w:rPr>
          <w:rFonts w:hint="cs"/>
          <w:rtl/>
          <w:lang w:bidi="ar-EG"/>
        </w:rPr>
        <w:t>في هذا المجال وعرض صورة إيجابية للمرأة والرجل؛</w:t>
      </w:r>
    </w:p>
    <w:p w:rsidR="007023B4" w:rsidRPr="00CC46CF" w:rsidRDefault="007023B4" w:rsidP="007023B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sidRPr="00CC46CF">
        <w:rPr>
          <w:rFonts w:hint="cs"/>
          <w:rtl/>
          <w:lang w:bidi="ar-EG"/>
        </w:rPr>
        <w:tab/>
        <w:t>•</w:t>
      </w:r>
      <w:r w:rsidRPr="00CC46CF">
        <w:rPr>
          <w:rFonts w:hint="cs"/>
          <w:rtl/>
          <w:lang w:bidi="ar-EG"/>
        </w:rPr>
        <w:tab/>
      </w:r>
      <w:r w:rsidRPr="00541240">
        <w:rPr>
          <w:rFonts w:hint="cs"/>
          <w:i/>
          <w:iCs/>
          <w:rtl/>
          <w:lang w:bidi="ar-EG"/>
        </w:rPr>
        <w:t>توعية الشباب بظاهرة العنف بين القرناء في إطار التثقيف الجنسي والعاطفي</w:t>
      </w:r>
      <w:r w:rsidRPr="00CC46CF">
        <w:rPr>
          <w:rFonts w:hint="cs"/>
          <w:rtl/>
          <w:lang w:bidi="ar-EG"/>
        </w:rPr>
        <w:t>؛</w:t>
      </w:r>
    </w:p>
    <w:p w:rsidR="007023B4" w:rsidRPr="00CC46CF" w:rsidRDefault="007023B4" w:rsidP="007023B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sidRPr="00CC46CF">
        <w:rPr>
          <w:rFonts w:hint="cs"/>
          <w:rtl/>
          <w:lang w:bidi="ar-EG"/>
        </w:rPr>
        <w:tab/>
        <w:t>•</w:t>
      </w:r>
      <w:r w:rsidRPr="00CC46CF">
        <w:rPr>
          <w:rFonts w:hint="cs"/>
          <w:rtl/>
          <w:lang w:bidi="ar-EG"/>
        </w:rPr>
        <w:tab/>
        <w:t>وضع قائمة بأدوات التوعية القائمة في المجتمع الفرنسي ونشرها بين المعلمين؛</w:t>
      </w:r>
    </w:p>
    <w:p w:rsidR="007023B4" w:rsidRPr="00541240" w:rsidRDefault="007023B4" w:rsidP="007023B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i/>
          <w:iCs/>
          <w:rtl/>
          <w:lang w:bidi="ar-EG"/>
        </w:rPr>
      </w:pPr>
      <w:r w:rsidRPr="00CC46CF">
        <w:rPr>
          <w:rFonts w:hint="cs"/>
          <w:rtl/>
          <w:lang w:bidi="ar-EG"/>
        </w:rPr>
        <w:tab/>
        <w:t>•</w:t>
      </w:r>
      <w:r w:rsidRPr="00CC46CF">
        <w:rPr>
          <w:rFonts w:hint="cs"/>
          <w:rtl/>
          <w:lang w:bidi="ar-EG"/>
        </w:rPr>
        <w:tab/>
      </w:r>
      <w:r w:rsidRPr="00541240">
        <w:rPr>
          <w:rFonts w:hint="cs"/>
          <w:i/>
          <w:iCs/>
          <w:rtl/>
          <w:lang w:bidi="ar-EG"/>
        </w:rPr>
        <w:t>تنظيم مائدة مستديرة بشأن العنف بين القرناء لدى الشباب؛</w:t>
      </w:r>
    </w:p>
    <w:p w:rsidR="007023B4" w:rsidRPr="00541240" w:rsidRDefault="007023B4" w:rsidP="007023B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i/>
          <w:iCs/>
          <w:rtl/>
          <w:lang w:bidi="ar-EG"/>
        </w:rPr>
      </w:pPr>
      <w:r w:rsidRPr="00541240">
        <w:rPr>
          <w:rFonts w:hint="cs"/>
          <w:i/>
          <w:iCs/>
          <w:rtl/>
          <w:lang w:bidi="ar-EG"/>
        </w:rPr>
        <w:tab/>
        <w:t>•</w:t>
      </w:r>
      <w:r w:rsidRPr="00541240">
        <w:rPr>
          <w:rFonts w:hint="cs"/>
          <w:i/>
          <w:iCs/>
          <w:rtl/>
          <w:lang w:bidi="ar-EG"/>
        </w:rPr>
        <w:tab/>
        <w:t>توعية الشباب مرتكبي العنف في إطار مساعدة الشباب.</w:t>
      </w:r>
    </w:p>
    <w:p w:rsidR="007023B4" w:rsidRPr="00CC46CF" w:rsidRDefault="007023B4" w:rsidP="00655E37">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sidRPr="00CC46CF">
        <w:rPr>
          <w:rFonts w:hint="cs"/>
          <w:rtl/>
          <w:lang w:bidi="ar-EG"/>
        </w:rPr>
        <w:tab/>
      </w:r>
      <w:r w:rsidRPr="00CC46CF">
        <w:rPr>
          <w:rFonts w:hint="cs"/>
          <w:rtl/>
          <w:lang w:bidi="ar-EG"/>
        </w:rPr>
        <w:tab/>
      </w:r>
      <w:r w:rsidRPr="00D13567">
        <w:rPr>
          <w:rFonts w:hint="cs"/>
          <w:b w:val="0"/>
          <w:bCs w:val="0"/>
          <w:i/>
          <w:iCs/>
          <w:sz w:val="20"/>
          <w:szCs w:val="30"/>
          <w:rtl/>
          <w:lang w:bidi="ar-EG"/>
        </w:rPr>
        <w:t>الهدف 2: التدريب</w:t>
      </w:r>
    </w:p>
    <w:p w:rsidR="007023B4" w:rsidRPr="00655E37" w:rsidRDefault="007023B4" w:rsidP="007023B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i/>
          <w:iCs/>
          <w:rtl/>
          <w:lang w:bidi="ar-EG"/>
        </w:rPr>
      </w:pPr>
      <w:r w:rsidRPr="00655E37">
        <w:rPr>
          <w:rFonts w:hint="cs"/>
          <w:i/>
          <w:iCs/>
          <w:rtl/>
          <w:lang w:bidi="ar-EG"/>
        </w:rPr>
        <w:tab/>
        <w:t>•</w:t>
      </w:r>
      <w:r w:rsidRPr="00655E37">
        <w:rPr>
          <w:rFonts w:hint="cs"/>
          <w:i/>
          <w:iCs/>
          <w:rtl/>
          <w:lang w:bidi="ar-EG"/>
        </w:rPr>
        <w:tab/>
        <w:t>تدريب أوَّلي للمعلمين على المساواة بين المرأة والرجل/تدريب معلمي المستقبل على مفاهيم المساواة بين المرأة والرجل وعلى الأفكار الجامدة المتحيزة؛</w:t>
      </w:r>
    </w:p>
    <w:p w:rsidR="007023B4" w:rsidRPr="00CC46CF" w:rsidRDefault="007023B4" w:rsidP="007023B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sidRPr="00CC46CF">
        <w:rPr>
          <w:rFonts w:hint="cs"/>
          <w:rtl/>
          <w:lang w:bidi="ar-EG"/>
        </w:rPr>
        <w:tab/>
        <w:t>•</w:t>
      </w:r>
      <w:r w:rsidRPr="00CC46CF">
        <w:rPr>
          <w:rFonts w:hint="cs"/>
          <w:rtl/>
          <w:lang w:bidi="ar-EG"/>
        </w:rPr>
        <w:tab/>
        <w:t xml:space="preserve">تدريب مستمر للمعلمين وتدريب ملاك الموظفين في مجال </w:t>
      </w:r>
      <w:r>
        <w:rPr>
          <w:rFonts w:hint="cs"/>
          <w:rtl/>
          <w:lang w:bidi="ar-EG"/>
        </w:rPr>
        <w:t>الجنسانية</w:t>
      </w:r>
      <w:r w:rsidRPr="00CC46CF">
        <w:rPr>
          <w:rFonts w:hint="cs"/>
          <w:rtl/>
          <w:lang w:bidi="ar-EG"/>
        </w:rPr>
        <w:t>؛</w:t>
      </w:r>
    </w:p>
    <w:p w:rsidR="007023B4" w:rsidRPr="00CC46CF" w:rsidRDefault="007023B4" w:rsidP="007023B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sidRPr="00CC46CF">
        <w:rPr>
          <w:rFonts w:hint="cs"/>
          <w:rtl/>
          <w:lang w:bidi="ar-EG"/>
        </w:rPr>
        <w:tab/>
        <w:t>•</w:t>
      </w:r>
      <w:r w:rsidRPr="00CC46CF">
        <w:rPr>
          <w:rFonts w:hint="cs"/>
          <w:rtl/>
          <w:lang w:bidi="ar-EG"/>
        </w:rPr>
        <w:tab/>
        <w:t xml:space="preserve">تدريب مستمر للعاملين </w:t>
      </w:r>
      <w:r>
        <w:rPr>
          <w:rFonts w:hint="cs"/>
          <w:rtl/>
          <w:lang w:bidi="ar-EG"/>
        </w:rPr>
        <w:t xml:space="preserve">في الفرق المجتمعية النفسية والطبية </w:t>
      </w:r>
      <w:r w:rsidRPr="00CC46CF">
        <w:rPr>
          <w:rFonts w:hint="cs"/>
          <w:rtl/>
          <w:lang w:bidi="ar-EG"/>
        </w:rPr>
        <w:t xml:space="preserve">على المساواة بين المرأة والرجل </w:t>
      </w:r>
      <w:r>
        <w:rPr>
          <w:rFonts w:hint="cs"/>
          <w:rtl/>
          <w:lang w:bidi="ar-EG"/>
        </w:rPr>
        <w:t>و</w:t>
      </w:r>
      <w:r w:rsidRPr="00CC46CF">
        <w:rPr>
          <w:rFonts w:hint="cs"/>
          <w:rtl/>
          <w:lang w:bidi="ar-EG"/>
        </w:rPr>
        <w:t xml:space="preserve">على </w:t>
      </w:r>
      <w:r>
        <w:rPr>
          <w:rFonts w:hint="cs"/>
          <w:rtl/>
          <w:lang w:bidi="ar-EG"/>
        </w:rPr>
        <w:t>الأفكار الجامدة المتحيزة</w:t>
      </w:r>
      <w:r w:rsidRPr="00CC46CF">
        <w:rPr>
          <w:rFonts w:hint="cs"/>
          <w:rtl/>
          <w:lang w:bidi="ar-EG"/>
        </w:rPr>
        <w:t>؛</w:t>
      </w:r>
    </w:p>
    <w:p w:rsidR="007023B4" w:rsidRPr="00CC46CF" w:rsidRDefault="007023B4" w:rsidP="007023B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sidRPr="00CC46CF">
        <w:rPr>
          <w:rFonts w:hint="cs"/>
          <w:rtl/>
          <w:lang w:bidi="ar-EG"/>
        </w:rPr>
        <w:tab/>
        <w:t>•</w:t>
      </w:r>
      <w:r w:rsidRPr="00CC46CF">
        <w:rPr>
          <w:rFonts w:hint="cs"/>
          <w:rtl/>
          <w:lang w:bidi="ar-EG"/>
        </w:rPr>
        <w:tab/>
        <w:t>إدراج فكرة المساواة بين الفتيات والفتيان</w:t>
      </w:r>
      <w:r w:rsidRPr="00CC46CF">
        <w:rPr>
          <w:vertAlign w:val="superscript"/>
          <w:rtl/>
          <w:lang w:bidi="ar-EG"/>
        </w:rPr>
        <w:t>(</w:t>
      </w:r>
      <w:r w:rsidRPr="00CC46CF">
        <w:rPr>
          <w:vertAlign w:val="superscript"/>
          <w:rtl/>
        </w:rPr>
        <w:footnoteReference w:id="16"/>
      </w:r>
      <w:r w:rsidRPr="00CC46CF">
        <w:rPr>
          <w:vertAlign w:val="superscript"/>
          <w:rtl/>
          <w:lang w:bidi="ar-EG"/>
        </w:rPr>
        <w:t>)</w:t>
      </w:r>
      <w:r w:rsidRPr="00CC46CF">
        <w:rPr>
          <w:rFonts w:hint="cs"/>
          <w:rtl/>
          <w:lang w:bidi="ar-EG"/>
        </w:rPr>
        <w:t xml:space="preserve"> في تدريبات العنف/إدارة </w:t>
      </w:r>
      <w:r>
        <w:rPr>
          <w:rFonts w:hint="cs"/>
          <w:rtl/>
          <w:lang w:bidi="ar-EG"/>
        </w:rPr>
        <w:t>الخلافات</w:t>
      </w:r>
      <w:r w:rsidRPr="00CC46CF">
        <w:rPr>
          <w:rFonts w:hint="cs"/>
          <w:rtl/>
          <w:lang w:bidi="ar-EG"/>
        </w:rPr>
        <w:t xml:space="preserve"> التي يقترحها معهد التدريب </w:t>
      </w:r>
      <w:r>
        <w:rPr>
          <w:rFonts w:hint="cs"/>
          <w:rtl/>
          <w:lang w:bidi="ar-EG"/>
        </w:rPr>
        <w:t>في أثناء العمل.</w:t>
      </w:r>
    </w:p>
    <w:p w:rsidR="007023B4" w:rsidRPr="00CC46CF" w:rsidRDefault="00655E37" w:rsidP="007023B4">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b w:val="0"/>
          <w:bCs w:val="0"/>
          <w:i/>
          <w:iCs/>
          <w:sz w:val="20"/>
          <w:szCs w:val="30"/>
          <w:rtl/>
          <w:lang w:bidi="ar-EG"/>
        </w:rPr>
        <w:tab/>
      </w:r>
      <w:r>
        <w:rPr>
          <w:rFonts w:hint="cs"/>
          <w:b w:val="0"/>
          <w:bCs w:val="0"/>
          <w:i/>
          <w:iCs/>
          <w:sz w:val="20"/>
          <w:szCs w:val="30"/>
          <w:rtl/>
          <w:lang w:bidi="ar-EG"/>
        </w:rPr>
        <w:tab/>
      </w:r>
      <w:r w:rsidR="007023B4" w:rsidRPr="00D13567">
        <w:rPr>
          <w:rFonts w:hint="cs"/>
          <w:b w:val="0"/>
          <w:bCs w:val="0"/>
          <w:i/>
          <w:iCs/>
          <w:sz w:val="20"/>
          <w:szCs w:val="30"/>
          <w:rtl/>
          <w:lang w:bidi="ar-EG"/>
        </w:rPr>
        <w:t>الهدف 3: المنع</w:t>
      </w:r>
    </w:p>
    <w:p w:rsidR="007023B4" w:rsidRPr="00CC46CF" w:rsidRDefault="007023B4" w:rsidP="007023B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sidRPr="00CC46CF">
        <w:rPr>
          <w:rFonts w:hint="cs"/>
          <w:rtl/>
          <w:lang w:bidi="ar-EG"/>
        </w:rPr>
        <w:tab/>
        <w:t>•</w:t>
      </w:r>
      <w:r w:rsidRPr="00CC46CF">
        <w:rPr>
          <w:rFonts w:hint="cs"/>
          <w:rtl/>
          <w:lang w:bidi="ar-EG"/>
        </w:rPr>
        <w:tab/>
        <w:t xml:space="preserve">إدراج البعد </w:t>
      </w:r>
      <w:r>
        <w:rPr>
          <w:rFonts w:hint="cs"/>
          <w:rtl/>
          <w:lang w:bidi="ar-EG"/>
        </w:rPr>
        <w:t>الجنساني</w:t>
      </w:r>
      <w:r w:rsidRPr="00CC46CF">
        <w:rPr>
          <w:rFonts w:hint="cs"/>
          <w:rtl/>
          <w:lang w:bidi="ar-EG"/>
        </w:rPr>
        <w:t xml:space="preserve"> في عملية وضع العلامات على الكتب المدرسية والوثائق (بما في ذلك دعائم الاسطوانات الخاصة بذاكرة القراءة فقط)؛</w:t>
      </w:r>
    </w:p>
    <w:p w:rsidR="007023B4" w:rsidRPr="00CC46CF" w:rsidRDefault="007023B4" w:rsidP="007023B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sidRPr="00CC46CF">
        <w:rPr>
          <w:rFonts w:hint="cs"/>
          <w:rtl/>
          <w:lang w:bidi="ar-EG"/>
        </w:rPr>
        <w:tab/>
        <w:t>•</w:t>
      </w:r>
      <w:r w:rsidRPr="00CC46CF">
        <w:rPr>
          <w:rFonts w:hint="cs"/>
          <w:rtl/>
          <w:lang w:bidi="ar-EG"/>
        </w:rPr>
        <w:tab/>
        <w:t xml:space="preserve">إدراج مسألة أنواع العنف </w:t>
      </w:r>
      <w:r>
        <w:rPr>
          <w:rFonts w:hint="cs"/>
          <w:rtl/>
          <w:lang w:bidi="ar-EG"/>
        </w:rPr>
        <w:t>القائم على الجنس</w:t>
      </w:r>
      <w:r w:rsidRPr="00CC46CF">
        <w:rPr>
          <w:rFonts w:hint="cs"/>
          <w:rtl/>
          <w:lang w:bidi="ar-EG"/>
        </w:rPr>
        <w:t xml:space="preserve"> في الخطوط العريضة للمنشورات بغية مساعدة </w:t>
      </w:r>
      <w:r>
        <w:rPr>
          <w:rFonts w:hint="cs"/>
          <w:rtl/>
          <w:lang w:bidi="ar-EG"/>
        </w:rPr>
        <w:t xml:space="preserve">مؤلفيها </w:t>
      </w:r>
      <w:r w:rsidRPr="00CC46CF">
        <w:rPr>
          <w:rFonts w:hint="cs"/>
          <w:rtl/>
          <w:lang w:bidi="ar-EG"/>
        </w:rPr>
        <w:t xml:space="preserve">على </w:t>
      </w:r>
      <w:r>
        <w:rPr>
          <w:rFonts w:hint="cs"/>
          <w:rtl/>
          <w:lang w:bidi="ar-EG"/>
        </w:rPr>
        <w:t>وضع</w:t>
      </w:r>
      <w:r w:rsidRPr="00CC46CF">
        <w:rPr>
          <w:rFonts w:hint="cs"/>
          <w:rtl/>
          <w:lang w:bidi="ar-EG"/>
        </w:rPr>
        <w:t xml:space="preserve"> الرسائل الإعلانية التي تعكس صورة إيجابية للمرأة والرجل؛</w:t>
      </w:r>
    </w:p>
    <w:p w:rsidR="007023B4" w:rsidRPr="00CC46CF" w:rsidRDefault="007023B4" w:rsidP="007023B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sidRPr="00CC46CF">
        <w:rPr>
          <w:rFonts w:hint="cs"/>
          <w:rtl/>
          <w:lang w:bidi="ar-EG"/>
        </w:rPr>
        <w:tab/>
        <w:t>•</w:t>
      </w:r>
      <w:r w:rsidRPr="00CC46CF">
        <w:rPr>
          <w:rFonts w:hint="cs"/>
          <w:rtl/>
          <w:lang w:bidi="ar-EG"/>
        </w:rPr>
        <w:tab/>
        <w:t>إنشاء جائزة سنوية</w:t>
      </w:r>
      <w:r>
        <w:rPr>
          <w:rFonts w:hint="cs"/>
          <w:rtl/>
          <w:lang w:bidi="ar-EG"/>
        </w:rPr>
        <w:t>،</w:t>
      </w:r>
      <w:r w:rsidRPr="00CC46CF">
        <w:rPr>
          <w:rFonts w:hint="cs"/>
          <w:rtl/>
          <w:lang w:bidi="ar-EG"/>
        </w:rPr>
        <w:t xml:space="preserve"> تُمنح باشتراك المجتمع الفرنسي والفنيين، لأي منشور أو برنامج سمعي بصري أو إذاعي يسهم في تغيير الصور التقليدية عن أدوار الذك</w:t>
      </w:r>
      <w:r>
        <w:rPr>
          <w:rFonts w:hint="cs"/>
          <w:rtl/>
          <w:lang w:bidi="ar-EG"/>
        </w:rPr>
        <w:t>و</w:t>
      </w:r>
      <w:r w:rsidRPr="00CC46CF">
        <w:rPr>
          <w:rFonts w:hint="cs"/>
          <w:rtl/>
          <w:lang w:bidi="ar-EG"/>
        </w:rPr>
        <w:t>ر وا</w:t>
      </w:r>
      <w:r>
        <w:rPr>
          <w:rFonts w:hint="cs"/>
          <w:rtl/>
          <w:lang w:bidi="ar-EG"/>
        </w:rPr>
        <w:t>لإناث</w:t>
      </w:r>
      <w:r w:rsidRPr="00CC46CF">
        <w:rPr>
          <w:rFonts w:hint="cs"/>
          <w:rtl/>
          <w:lang w:bidi="ar-EG"/>
        </w:rPr>
        <w:t xml:space="preserve"> وتعزيز مبدأ المساواة بين الجنسين؛</w:t>
      </w:r>
    </w:p>
    <w:p w:rsidR="007023B4" w:rsidRPr="00CC46CF" w:rsidRDefault="007023B4" w:rsidP="007023B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sidRPr="00CC46CF">
        <w:rPr>
          <w:rFonts w:hint="cs"/>
          <w:rtl/>
          <w:lang w:bidi="ar-EG"/>
        </w:rPr>
        <w:tab/>
        <w:t>•</w:t>
      </w:r>
      <w:r w:rsidRPr="00CC46CF">
        <w:rPr>
          <w:rFonts w:hint="cs"/>
          <w:rtl/>
          <w:lang w:bidi="ar-EG"/>
        </w:rPr>
        <w:tab/>
        <w:t xml:space="preserve">تطوير توعية النساء والرجال في إدارة المجتمع الفرنسي والدواوين </w:t>
      </w:r>
      <w:r>
        <w:rPr>
          <w:rFonts w:hint="cs"/>
          <w:rtl/>
          <w:lang w:bidi="ar-EG"/>
        </w:rPr>
        <w:t>الملحقة بها</w:t>
      </w:r>
      <w:r w:rsidRPr="00CC46CF">
        <w:rPr>
          <w:rFonts w:hint="cs"/>
          <w:rtl/>
          <w:lang w:bidi="ar-EG"/>
        </w:rPr>
        <w:t>.</w:t>
      </w:r>
    </w:p>
    <w:p w:rsidR="007023B4" w:rsidRPr="00CC46CF" w:rsidRDefault="007023B4" w:rsidP="007023B4">
      <w:pPr>
        <w:pStyle w:val="SingleTxt"/>
        <w:rPr>
          <w:rFonts w:hint="cs"/>
          <w:rtl/>
          <w:lang w:bidi="ar-EG"/>
        </w:rPr>
      </w:pPr>
      <w:r w:rsidRPr="00CC46CF">
        <w:rPr>
          <w:rFonts w:hint="cs"/>
          <w:rtl/>
          <w:lang w:bidi="ar-EG"/>
        </w:rPr>
        <w:tab/>
        <w:t xml:space="preserve">وبعد مرور ثلاث سنوات على نشر الكتيب المعنون </w:t>
      </w:r>
      <w:r w:rsidRPr="00CC46CF">
        <w:rPr>
          <w:rFonts w:hint="eastAsia"/>
          <w:rtl/>
          <w:lang w:bidi="ar-EG"/>
        </w:rPr>
        <w:t>”</w:t>
      </w:r>
      <w:r w:rsidRPr="00541240">
        <w:rPr>
          <w:rFonts w:hint="eastAsia"/>
          <w:i/>
          <w:iCs/>
          <w:rtl/>
          <w:lang w:bidi="ar-EG"/>
        </w:rPr>
        <w:t xml:space="preserve">أنواع العنف </w:t>
      </w:r>
      <w:r w:rsidRPr="00541240">
        <w:rPr>
          <w:rFonts w:hint="cs"/>
          <w:i/>
          <w:iCs/>
          <w:rtl/>
          <w:lang w:bidi="ar-EG"/>
        </w:rPr>
        <w:t>في العلاقات القائمة على الحب</w:t>
      </w:r>
      <w:r w:rsidRPr="00CC46CF">
        <w:rPr>
          <w:rFonts w:hint="eastAsia"/>
          <w:rtl/>
          <w:lang w:bidi="ar-EG"/>
        </w:rPr>
        <w:t>“، فإن دائرة تكافؤ الفرص أطلقت في تشرين الثاني/نوفمبر 2004</w:t>
      </w:r>
      <w:r w:rsidRPr="00CC46CF">
        <w:rPr>
          <w:vertAlign w:val="superscript"/>
          <w:rtl/>
          <w:lang w:bidi="ar-EG"/>
        </w:rPr>
        <w:t>(</w:t>
      </w:r>
      <w:r w:rsidRPr="00CC46CF">
        <w:rPr>
          <w:vertAlign w:val="superscript"/>
          <w:rtl/>
        </w:rPr>
        <w:footnoteReference w:id="17"/>
      </w:r>
      <w:r w:rsidRPr="00CC46CF">
        <w:rPr>
          <w:vertAlign w:val="superscript"/>
          <w:rtl/>
          <w:lang w:bidi="ar-EG"/>
        </w:rPr>
        <w:t>)</w:t>
      </w:r>
      <w:r w:rsidRPr="00CC46CF">
        <w:rPr>
          <w:rFonts w:hint="eastAsia"/>
          <w:rtl/>
          <w:lang w:bidi="ar-EG"/>
        </w:rPr>
        <w:t xml:space="preserve"> </w:t>
      </w:r>
      <w:r w:rsidRPr="00F71071">
        <w:rPr>
          <w:rFonts w:hint="cs"/>
          <w:rtl/>
          <w:lang w:bidi="ar-EG"/>
        </w:rPr>
        <w:t>حملة جديدة للتوعية والوقاية</w:t>
      </w:r>
      <w:r w:rsidRPr="00CC46CF">
        <w:rPr>
          <w:rFonts w:hint="cs"/>
          <w:rtl/>
          <w:lang w:bidi="ar-EG"/>
        </w:rPr>
        <w:t xml:space="preserve"> من العنف </w:t>
      </w:r>
      <w:r>
        <w:rPr>
          <w:rFonts w:hint="cs"/>
          <w:rtl/>
          <w:lang w:bidi="ar-EG"/>
        </w:rPr>
        <w:t>بين القرناء،</w:t>
      </w:r>
      <w:r w:rsidRPr="00CC46CF">
        <w:rPr>
          <w:rFonts w:hint="cs"/>
          <w:rtl/>
          <w:lang w:bidi="ar-EG"/>
        </w:rPr>
        <w:t xml:space="preserve"> و</w:t>
      </w:r>
      <w:r>
        <w:rPr>
          <w:rFonts w:hint="cs"/>
          <w:rtl/>
          <w:lang w:bidi="ar-EG"/>
        </w:rPr>
        <w:t>ب</w:t>
      </w:r>
      <w:r w:rsidRPr="00CC46CF">
        <w:rPr>
          <w:rFonts w:hint="cs"/>
          <w:rtl/>
          <w:lang w:bidi="ar-EG"/>
        </w:rPr>
        <w:t xml:space="preserve">خاصة فيما بين الشباب. وهذه الحملة الثانية المعنونة </w:t>
      </w:r>
      <w:r w:rsidRPr="00CC46CF">
        <w:rPr>
          <w:rFonts w:hint="eastAsia"/>
          <w:rtl/>
          <w:lang w:bidi="ar-EG"/>
        </w:rPr>
        <w:t>”</w:t>
      </w:r>
      <w:r w:rsidRPr="00F71071">
        <w:rPr>
          <w:rFonts w:hint="eastAsia"/>
          <w:i/>
          <w:iCs/>
          <w:rtl/>
          <w:lang w:bidi="ar-EG"/>
        </w:rPr>
        <w:t>أحبك</w:t>
      </w:r>
      <w:r w:rsidRPr="00F71071">
        <w:rPr>
          <w:rFonts w:hint="cs"/>
          <w:i/>
          <w:iCs/>
          <w:rtl/>
          <w:lang w:bidi="ar-EG"/>
        </w:rPr>
        <w:t>.</w:t>
      </w:r>
      <w:r w:rsidRPr="00F71071">
        <w:rPr>
          <w:rFonts w:hint="eastAsia"/>
          <w:i/>
          <w:iCs/>
          <w:rtl/>
          <w:lang w:bidi="ar-EG"/>
        </w:rPr>
        <w:t xml:space="preserve"> العنف يضر الحب بشكل خطير</w:t>
      </w:r>
      <w:r w:rsidRPr="00CC46CF">
        <w:rPr>
          <w:rFonts w:hint="cs"/>
          <w:rtl/>
          <w:lang w:bidi="ar-EG"/>
        </w:rPr>
        <w:t xml:space="preserve">“ </w:t>
      </w:r>
      <w:r>
        <w:rPr>
          <w:rFonts w:hint="cs"/>
          <w:rtl/>
          <w:lang w:bidi="ar-EG"/>
        </w:rPr>
        <w:t xml:space="preserve">استفادت من نتائج </w:t>
      </w:r>
      <w:r w:rsidRPr="00CC46CF">
        <w:rPr>
          <w:rFonts w:hint="cs"/>
          <w:rtl/>
          <w:lang w:bidi="ar-EG"/>
        </w:rPr>
        <w:t xml:space="preserve">تقييم الحملة الأولى والتعليقات الصادرة عن الرابطات المجتمعة في </w:t>
      </w:r>
      <w:r>
        <w:rPr>
          <w:rFonts w:hint="cs"/>
          <w:rtl/>
          <w:lang w:bidi="ar-EG"/>
        </w:rPr>
        <w:t>الفريق العامل</w:t>
      </w:r>
      <w:r w:rsidRPr="00CC46CF">
        <w:rPr>
          <w:vertAlign w:val="superscript"/>
          <w:rtl/>
          <w:lang w:bidi="ar-EG"/>
        </w:rPr>
        <w:t>(</w:t>
      </w:r>
      <w:r w:rsidRPr="00CC46CF">
        <w:rPr>
          <w:vertAlign w:val="superscript"/>
          <w:rtl/>
        </w:rPr>
        <w:footnoteReference w:id="18"/>
      </w:r>
      <w:r w:rsidRPr="00CC46CF">
        <w:rPr>
          <w:vertAlign w:val="superscript"/>
          <w:rtl/>
          <w:lang w:bidi="ar-EG"/>
        </w:rPr>
        <w:t>)</w:t>
      </w:r>
      <w:r w:rsidRPr="00CC46CF">
        <w:rPr>
          <w:rFonts w:hint="cs"/>
          <w:rtl/>
          <w:lang w:bidi="ar-EG"/>
        </w:rPr>
        <w:t xml:space="preserve"> </w:t>
      </w:r>
      <w:r>
        <w:rPr>
          <w:rFonts w:hint="cs"/>
          <w:rtl/>
          <w:lang w:bidi="ar-EG"/>
        </w:rPr>
        <w:t>في وضع</w:t>
      </w:r>
      <w:r w:rsidRPr="00CC46CF">
        <w:rPr>
          <w:rFonts w:hint="cs"/>
          <w:rtl/>
          <w:lang w:bidi="ar-EG"/>
        </w:rPr>
        <w:t xml:space="preserve"> نص الكتيِّب.</w:t>
      </w:r>
    </w:p>
    <w:p w:rsidR="00655E37" w:rsidRDefault="007023B4" w:rsidP="007023B4">
      <w:pPr>
        <w:pStyle w:val="SingleTxt"/>
        <w:rPr>
          <w:rFonts w:hint="cs"/>
          <w:rtl/>
          <w:lang w:bidi="ar-EG"/>
        </w:rPr>
      </w:pPr>
      <w:r w:rsidRPr="00CC46CF">
        <w:rPr>
          <w:rFonts w:hint="cs"/>
          <w:rtl/>
          <w:lang w:bidi="ar-EG"/>
        </w:rPr>
        <w:tab/>
        <w:t>وهذه الحملة</w:t>
      </w:r>
      <w:r>
        <w:rPr>
          <w:rFonts w:hint="cs"/>
          <w:rtl/>
          <w:lang w:bidi="ar-EG"/>
        </w:rPr>
        <w:t>،</w:t>
      </w:r>
      <w:r w:rsidRPr="00CC46CF">
        <w:rPr>
          <w:rFonts w:hint="cs"/>
          <w:rtl/>
          <w:lang w:bidi="ar-EG"/>
        </w:rPr>
        <w:t xml:space="preserve"> الموجهة إلى جمهور يتراوح سنه بين 15 و 25 سنة و</w:t>
      </w:r>
      <w:r>
        <w:rPr>
          <w:rFonts w:hint="cs"/>
          <w:rtl/>
          <w:lang w:bidi="ar-EG"/>
        </w:rPr>
        <w:t xml:space="preserve">التي </w:t>
      </w:r>
      <w:r w:rsidRPr="00CC46CF">
        <w:rPr>
          <w:rFonts w:hint="cs"/>
          <w:rtl/>
          <w:lang w:bidi="ar-EG"/>
        </w:rPr>
        <w:t>تتعلق بموضوع ما</w:t>
      </w:r>
      <w:r w:rsidRPr="00CC46CF">
        <w:rPr>
          <w:rFonts w:hint="eastAsia"/>
          <w:rtl/>
          <w:lang w:bidi="ar-EG"/>
        </w:rPr>
        <w:t> </w:t>
      </w:r>
      <w:r w:rsidRPr="00CC46CF">
        <w:rPr>
          <w:rFonts w:hint="cs"/>
          <w:rtl/>
          <w:lang w:bidi="ar-EG"/>
        </w:rPr>
        <w:t>زال من المحرمات إلى حد بعيد</w:t>
      </w:r>
      <w:r>
        <w:rPr>
          <w:rFonts w:hint="cs"/>
          <w:rtl/>
          <w:lang w:bidi="ar-EG"/>
        </w:rPr>
        <w:t xml:space="preserve">، وهو موضوع </w:t>
      </w:r>
      <w:r w:rsidRPr="00CC46CF">
        <w:rPr>
          <w:rFonts w:hint="cs"/>
          <w:rtl/>
          <w:lang w:bidi="ar-EG"/>
        </w:rPr>
        <w:t>العنف اللفظي والنفسي والبدني والجنسي في العلاقات القائمة على الحب لدى الشباب، تخاطب الضحية والمعتدي والمحيطين بهما.</w:t>
      </w:r>
    </w:p>
    <w:p w:rsidR="007023B4" w:rsidRPr="00CC46CF" w:rsidRDefault="00655E37" w:rsidP="00655E37">
      <w:pPr>
        <w:pStyle w:val="SingleTxt"/>
        <w:rPr>
          <w:rFonts w:hint="cs"/>
          <w:rtl/>
          <w:lang w:bidi="ar-EG"/>
        </w:rPr>
      </w:pPr>
      <w:r>
        <w:rPr>
          <w:rFonts w:hint="cs"/>
          <w:rtl/>
          <w:lang w:bidi="ar-EG"/>
        </w:rPr>
        <w:tab/>
      </w:r>
      <w:r w:rsidR="007023B4" w:rsidRPr="00CC46CF">
        <w:rPr>
          <w:rFonts w:hint="cs"/>
          <w:rtl/>
          <w:lang w:bidi="ar-EG"/>
        </w:rPr>
        <w:t>وهي تتوخى عدة أهداف:</w:t>
      </w:r>
    </w:p>
    <w:p w:rsidR="007023B4" w:rsidRPr="00CC46CF" w:rsidRDefault="007023B4" w:rsidP="007023B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sidRPr="00CC46CF">
        <w:rPr>
          <w:rFonts w:hint="cs"/>
          <w:rtl/>
          <w:lang w:bidi="ar-EG"/>
        </w:rPr>
        <w:tab/>
        <w:t>-</w:t>
      </w:r>
      <w:r w:rsidRPr="00CC46CF">
        <w:rPr>
          <w:rFonts w:hint="cs"/>
          <w:rtl/>
          <w:lang w:bidi="ar-EG"/>
        </w:rPr>
        <w:tab/>
        <w:t>أن يتاح للشباب معرفة دلائل العنف النفسي والبدني والجنسي في علاقاتهم القائمة على الحب والعلاقات القائمة مع المحيطين بهم؛</w:t>
      </w:r>
    </w:p>
    <w:p w:rsidR="007023B4" w:rsidRPr="00CC46CF" w:rsidRDefault="007023B4" w:rsidP="007023B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sidRPr="00CC46CF">
        <w:rPr>
          <w:rFonts w:hint="cs"/>
          <w:rtl/>
          <w:lang w:bidi="ar-EG"/>
        </w:rPr>
        <w:tab/>
        <w:t>-</w:t>
      </w:r>
      <w:r w:rsidRPr="00CC46CF">
        <w:rPr>
          <w:rFonts w:hint="cs"/>
          <w:rtl/>
          <w:lang w:bidi="ar-EG"/>
        </w:rPr>
        <w:tab/>
        <w:t xml:space="preserve">إسداء النصح إلى الضحايا من الشباب </w:t>
      </w:r>
      <w:r>
        <w:rPr>
          <w:rFonts w:hint="cs"/>
          <w:rtl/>
          <w:lang w:bidi="ar-EG"/>
        </w:rPr>
        <w:t>أ</w:t>
      </w:r>
      <w:r w:rsidRPr="00CC46CF">
        <w:rPr>
          <w:rFonts w:hint="cs"/>
          <w:rtl/>
          <w:lang w:bidi="ar-EG"/>
        </w:rPr>
        <w:t>و</w:t>
      </w:r>
      <w:r>
        <w:rPr>
          <w:rFonts w:hint="cs"/>
          <w:rtl/>
          <w:lang w:bidi="ar-EG"/>
        </w:rPr>
        <w:t xml:space="preserve"> </w:t>
      </w:r>
      <w:r w:rsidRPr="00CC46CF">
        <w:rPr>
          <w:rFonts w:hint="cs"/>
          <w:rtl/>
          <w:lang w:bidi="ar-EG"/>
        </w:rPr>
        <w:t xml:space="preserve">إلى شهود هذه الأنواع من العنف، وموافاتهم بالعناوين وأرقام الهاتف </w:t>
      </w:r>
      <w:r>
        <w:rPr>
          <w:rFonts w:hint="cs"/>
          <w:rtl/>
          <w:lang w:bidi="ar-EG"/>
        </w:rPr>
        <w:t>اللازمة للحصول</w:t>
      </w:r>
      <w:r w:rsidRPr="00CC46CF">
        <w:rPr>
          <w:rFonts w:hint="cs"/>
          <w:rtl/>
          <w:lang w:bidi="ar-EG"/>
        </w:rPr>
        <w:t xml:space="preserve"> على مساعدة؛</w:t>
      </w:r>
    </w:p>
    <w:p w:rsidR="007023B4" w:rsidRPr="00CC46CF" w:rsidRDefault="007023B4" w:rsidP="007023B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sidRPr="00CC46CF">
        <w:rPr>
          <w:rFonts w:hint="cs"/>
          <w:rtl/>
          <w:lang w:bidi="ar-EG"/>
        </w:rPr>
        <w:tab/>
        <w:t>-</w:t>
      </w:r>
      <w:r w:rsidRPr="00CC46CF">
        <w:rPr>
          <w:rFonts w:hint="cs"/>
          <w:rtl/>
          <w:lang w:bidi="ar-EG"/>
        </w:rPr>
        <w:tab/>
        <w:t>محاربة الأ</w:t>
      </w:r>
      <w:r>
        <w:rPr>
          <w:rFonts w:hint="cs"/>
          <w:rtl/>
          <w:lang w:bidi="ar-EG"/>
        </w:rPr>
        <w:t>فكار الجامدة والخرافات</w:t>
      </w:r>
      <w:r w:rsidRPr="00CC46CF">
        <w:rPr>
          <w:rFonts w:hint="cs"/>
          <w:rtl/>
          <w:lang w:bidi="ar-EG"/>
        </w:rPr>
        <w:t xml:space="preserve"> التي تحيط بالعلاقات القائمة على الحب والعنف والقضاء عليها.</w:t>
      </w:r>
    </w:p>
    <w:p w:rsidR="007023B4" w:rsidRPr="00CC46CF" w:rsidRDefault="007023B4" w:rsidP="007023B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sidRPr="00CC46CF">
        <w:rPr>
          <w:rFonts w:hint="cs"/>
          <w:rtl/>
          <w:lang w:bidi="ar-EG"/>
        </w:rPr>
        <w:tab/>
      </w:r>
      <w:r>
        <w:rPr>
          <w:rFonts w:hint="cs"/>
          <w:rtl/>
          <w:lang w:bidi="ar-EG"/>
        </w:rPr>
        <w:tab/>
      </w:r>
      <w:r w:rsidRPr="00CC46CF">
        <w:rPr>
          <w:rFonts w:hint="cs"/>
          <w:rtl/>
          <w:lang w:bidi="ar-EG"/>
        </w:rPr>
        <w:t xml:space="preserve">ومن ناحية أخرى عمل المجتمع الفرنسي على </w:t>
      </w:r>
      <w:r>
        <w:rPr>
          <w:rFonts w:hint="cs"/>
          <w:rtl/>
          <w:lang w:bidi="ar-EG"/>
        </w:rPr>
        <w:t xml:space="preserve">إيجاد </w:t>
      </w:r>
      <w:r w:rsidRPr="00F71071">
        <w:rPr>
          <w:rFonts w:hint="cs"/>
          <w:rtl/>
          <w:lang w:bidi="ar-EG"/>
        </w:rPr>
        <w:t>شراكات مختلفة</w:t>
      </w:r>
      <w:r w:rsidRPr="00CC46CF">
        <w:rPr>
          <w:rFonts w:hint="cs"/>
          <w:rtl/>
          <w:lang w:bidi="ar-EG"/>
        </w:rPr>
        <w:t xml:space="preserve"> مع الوسط التعاوني:</w:t>
      </w:r>
    </w:p>
    <w:p w:rsidR="007023B4" w:rsidRPr="00F71071" w:rsidRDefault="007023B4" w:rsidP="007023B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bCs/>
          <w:rtl/>
          <w:lang w:bidi="ar-EG"/>
        </w:rPr>
      </w:pPr>
      <w:r w:rsidRPr="00F71071">
        <w:rPr>
          <w:rFonts w:hint="cs"/>
          <w:b/>
          <w:bCs/>
          <w:rtl/>
          <w:lang w:bidi="ar-EG"/>
        </w:rPr>
        <w:tab/>
        <w:t>-</w:t>
      </w:r>
      <w:r w:rsidRPr="00655E37">
        <w:rPr>
          <w:rFonts w:hint="cs"/>
          <w:rtl/>
          <w:lang w:bidi="ar-EG"/>
        </w:rPr>
        <w:tab/>
      </w:r>
      <w:r w:rsidRPr="00655E37">
        <w:rPr>
          <w:rFonts w:hint="eastAsia"/>
          <w:rtl/>
          <w:lang w:bidi="ar-EG"/>
        </w:rPr>
        <w:t>”</w:t>
      </w:r>
      <w:r w:rsidRPr="00655E37">
        <w:rPr>
          <w:rFonts w:hint="cs"/>
          <w:rtl/>
          <w:lang w:bidi="ar-EG"/>
        </w:rPr>
        <w:t>الشبكة البلجيكية الناطقة بالفرنسية للقضاء على العنف بين القرناء</w:t>
      </w:r>
      <w:r w:rsidRPr="00655E37">
        <w:rPr>
          <w:rFonts w:hint="eastAsia"/>
          <w:rtl/>
          <w:lang w:bidi="ar-EG"/>
        </w:rPr>
        <w:t>“</w:t>
      </w:r>
      <w:r w:rsidRPr="00655E37">
        <w:rPr>
          <w:rFonts w:hint="cs"/>
          <w:rtl/>
          <w:lang w:bidi="ar-EG"/>
        </w:rPr>
        <w:t>؛</w:t>
      </w:r>
    </w:p>
    <w:p w:rsidR="007023B4" w:rsidRPr="00CC46CF" w:rsidRDefault="007023B4" w:rsidP="00655E3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sidRPr="00CC46CF">
        <w:rPr>
          <w:rFonts w:hint="cs"/>
          <w:rtl/>
          <w:lang w:bidi="ar-EG"/>
        </w:rPr>
        <w:tab/>
      </w:r>
      <w:r w:rsidR="00655E37">
        <w:rPr>
          <w:rFonts w:hint="cs"/>
          <w:rtl/>
          <w:lang w:bidi="ar-EG"/>
        </w:rPr>
        <w:t>-</w:t>
      </w:r>
      <w:r w:rsidRPr="00CC46CF">
        <w:rPr>
          <w:rFonts w:hint="cs"/>
          <w:rtl/>
          <w:lang w:bidi="ar-EG"/>
        </w:rPr>
        <w:tab/>
        <w:t xml:space="preserve">الحملة الوطنية والدولية لمنظمة العفو الدولية حول موضوع </w:t>
      </w:r>
      <w:r w:rsidRPr="00CC46CF">
        <w:rPr>
          <w:rFonts w:hint="eastAsia"/>
          <w:rtl/>
          <w:lang w:bidi="ar-EG"/>
        </w:rPr>
        <w:t>”إنهاء أعمال العنف ضد المرأة</w:t>
      </w:r>
      <w:r>
        <w:rPr>
          <w:rFonts w:hint="cs"/>
          <w:rtl/>
          <w:lang w:bidi="ar-EG"/>
        </w:rPr>
        <w:t>“</w:t>
      </w:r>
      <w:r w:rsidRPr="00CC46CF">
        <w:rPr>
          <w:rFonts w:hint="cs"/>
          <w:rtl/>
          <w:lang w:bidi="ar-EG"/>
        </w:rPr>
        <w:t xml:space="preserve"> </w:t>
      </w:r>
      <w:r>
        <w:rPr>
          <w:rFonts w:hint="cs"/>
          <w:rtl/>
          <w:lang w:bidi="ar-EG"/>
        </w:rPr>
        <w:t>بشأن</w:t>
      </w:r>
      <w:r w:rsidRPr="00CC46CF">
        <w:rPr>
          <w:rFonts w:hint="cs"/>
          <w:rtl/>
          <w:lang w:bidi="ar-EG"/>
        </w:rPr>
        <w:t xml:space="preserve"> العنف الأسري وفي الوسط الاجتماعي والعنف الذي ترتكبه الدولة.</w:t>
      </w:r>
    </w:p>
    <w:p w:rsidR="007023B4" w:rsidRPr="00CC46CF" w:rsidRDefault="007023B4" w:rsidP="00CB4FD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sidRPr="00CC46CF">
        <w:rPr>
          <w:rFonts w:hint="cs"/>
          <w:rtl/>
          <w:lang w:bidi="ar-EG"/>
        </w:rPr>
        <w:tab/>
      </w:r>
      <w:r w:rsidR="00CB4FD6">
        <w:rPr>
          <w:rFonts w:hint="cs"/>
          <w:rtl/>
          <w:lang w:bidi="ar-EG"/>
        </w:rPr>
        <w:t>-</w:t>
      </w:r>
      <w:r w:rsidRPr="00CC46CF">
        <w:rPr>
          <w:rFonts w:hint="cs"/>
          <w:rtl/>
          <w:lang w:bidi="ar-EG"/>
        </w:rPr>
        <w:tab/>
        <w:t xml:space="preserve">جمعية التضامن النسائية في إطار مشروعها </w:t>
      </w:r>
      <w:r w:rsidRPr="00CC46CF">
        <w:rPr>
          <w:rFonts w:hint="eastAsia"/>
          <w:rtl/>
          <w:lang w:bidi="ar-EG"/>
        </w:rPr>
        <w:t>”الوقاية من العنف المرتكب ضد المرأة</w:t>
      </w:r>
      <w:r w:rsidRPr="00CC46CF">
        <w:rPr>
          <w:rFonts w:hint="cs"/>
          <w:rtl/>
          <w:lang w:bidi="ar-EG"/>
        </w:rPr>
        <w:t xml:space="preserve">“: تدريب معلمي المستقبل على </w:t>
      </w:r>
      <w:r>
        <w:rPr>
          <w:rFonts w:hint="cs"/>
          <w:rtl/>
          <w:lang w:bidi="ar-EG"/>
        </w:rPr>
        <w:t>ال</w:t>
      </w:r>
      <w:r w:rsidRPr="00CC46CF">
        <w:rPr>
          <w:rFonts w:hint="cs"/>
          <w:rtl/>
          <w:lang w:bidi="ar-EG"/>
        </w:rPr>
        <w:t xml:space="preserve">تعليم غير </w:t>
      </w:r>
      <w:r>
        <w:rPr>
          <w:rFonts w:hint="cs"/>
          <w:rtl/>
          <w:lang w:bidi="ar-EG"/>
        </w:rPr>
        <w:t>المتحيز</w:t>
      </w:r>
      <w:r>
        <w:rPr>
          <w:rFonts w:hint="eastAsia"/>
          <w:rtl/>
          <w:lang w:bidi="ar-EG"/>
        </w:rPr>
        <w:t>“</w:t>
      </w:r>
      <w:r>
        <w:rPr>
          <w:rFonts w:hint="cs"/>
          <w:rtl/>
          <w:lang w:bidi="ar-EG"/>
        </w:rPr>
        <w:t>،</w:t>
      </w:r>
      <w:r w:rsidRPr="00CC46CF">
        <w:rPr>
          <w:rFonts w:hint="cs"/>
          <w:rtl/>
          <w:lang w:bidi="ar-EG"/>
        </w:rPr>
        <w:t xml:space="preserve"> وذلك في إطار </w:t>
      </w:r>
      <w:r>
        <w:rPr>
          <w:rFonts w:hint="cs"/>
          <w:rtl/>
          <w:lang w:bidi="ar-EG"/>
        </w:rPr>
        <w:t>البرنامج الأوروبي لمكافحة العنف ضد الطفل والمراهق والمرأة (</w:t>
      </w:r>
      <w:r>
        <w:rPr>
          <w:lang w:bidi="ar-EG"/>
        </w:rPr>
        <w:t>DAPHNE</w:t>
      </w:r>
      <w:r>
        <w:rPr>
          <w:rFonts w:hint="cs"/>
          <w:rtl/>
        </w:rPr>
        <w:t>).</w:t>
      </w:r>
    </w:p>
    <w:p w:rsidR="007023B4" w:rsidRPr="00CC46CF" w:rsidRDefault="007023B4" w:rsidP="007023B4">
      <w:pPr>
        <w:pStyle w:val="SingleTxt"/>
        <w:rPr>
          <w:rFonts w:hint="cs"/>
          <w:rtl/>
          <w:lang w:bidi="ar-EG"/>
        </w:rPr>
      </w:pPr>
      <w:r w:rsidRPr="00CC46CF">
        <w:rPr>
          <w:rFonts w:hint="cs"/>
          <w:rtl/>
          <w:lang w:bidi="ar-EG"/>
        </w:rPr>
        <w:tab/>
        <w:t xml:space="preserve">فضلاً عن ذلك، قدم المجتمع الفرنسي دعماً لأعمال مختلفة تتعلق بمسألة </w:t>
      </w:r>
      <w:r>
        <w:rPr>
          <w:rFonts w:hint="cs"/>
          <w:rtl/>
          <w:lang w:bidi="ar-EG"/>
        </w:rPr>
        <w:t xml:space="preserve">ختان الإناث </w:t>
      </w:r>
      <w:r w:rsidRPr="00CC46CF">
        <w:rPr>
          <w:rFonts w:hint="cs"/>
          <w:rtl/>
          <w:lang w:bidi="ar-EG"/>
        </w:rPr>
        <w:t>(ندوات</w:t>
      </w:r>
      <w:r>
        <w:rPr>
          <w:rFonts w:hint="cs"/>
          <w:rtl/>
          <w:lang w:bidi="ar-EG"/>
        </w:rPr>
        <w:t>،</w:t>
      </w:r>
      <w:r w:rsidRPr="00CC46CF">
        <w:rPr>
          <w:rFonts w:hint="cs"/>
          <w:rtl/>
          <w:lang w:bidi="ar-EG"/>
        </w:rPr>
        <w:t xml:space="preserve"> وأدوات تربوية تهدف إلى توعية الشباب بصفة خاصة، إلخ)</w:t>
      </w:r>
    </w:p>
    <w:p w:rsidR="007023B4" w:rsidRPr="00CC46CF" w:rsidRDefault="007023B4" w:rsidP="007023B4">
      <w:pPr>
        <w:pStyle w:val="SingleTxt"/>
        <w:rPr>
          <w:rFonts w:hint="cs"/>
          <w:rtl/>
          <w:lang w:bidi="ar-EG"/>
        </w:rPr>
      </w:pPr>
      <w:r w:rsidRPr="00CC46CF">
        <w:rPr>
          <w:rFonts w:hint="cs"/>
          <w:rtl/>
          <w:lang w:bidi="ar-EG"/>
        </w:rPr>
        <w:tab/>
        <w:t xml:space="preserve">ومن ناحية أخرى، قام مكتب </w:t>
      </w:r>
      <w:r>
        <w:rPr>
          <w:rFonts w:hint="cs"/>
          <w:rtl/>
          <w:lang w:bidi="ar-EG"/>
        </w:rPr>
        <w:t>المواليد</w:t>
      </w:r>
      <w:r w:rsidRPr="00CC46CF">
        <w:rPr>
          <w:rFonts w:hint="cs"/>
          <w:rtl/>
          <w:lang w:bidi="ar-EG"/>
        </w:rPr>
        <w:t xml:space="preserve"> والطفولة</w:t>
      </w:r>
      <w:r w:rsidRPr="00CC46CF">
        <w:rPr>
          <w:vertAlign w:val="superscript"/>
          <w:rtl/>
          <w:lang w:bidi="ar-EG"/>
        </w:rPr>
        <w:t>(</w:t>
      </w:r>
      <w:r w:rsidRPr="00CC46CF">
        <w:rPr>
          <w:vertAlign w:val="superscript"/>
          <w:rtl/>
        </w:rPr>
        <w:footnoteReference w:id="19"/>
      </w:r>
      <w:r w:rsidRPr="00CC46CF">
        <w:rPr>
          <w:vertAlign w:val="superscript"/>
          <w:rtl/>
          <w:lang w:bidi="ar-EG"/>
        </w:rPr>
        <w:t>)</w:t>
      </w:r>
      <w:r w:rsidRPr="00CC46CF">
        <w:rPr>
          <w:rFonts w:hint="cs"/>
          <w:rtl/>
          <w:lang w:bidi="ar-EG"/>
        </w:rPr>
        <w:t>، بغية مكافحة العنف ضد المرأة</w:t>
      </w:r>
      <w:r>
        <w:rPr>
          <w:rFonts w:hint="cs"/>
          <w:rtl/>
          <w:lang w:bidi="ar-EG"/>
        </w:rPr>
        <w:t>،</w:t>
      </w:r>
      <w:r w:rsidRPr="00CC46CF">
        <w:rPr>
          <w:rFonts w:hint="cs"/>
          <w:rtl/>
          <w:lang w:bidi="ar-EG"/>
        </w:rPr>
        <w:t xml:space="preserve"> بما يلي:</w:t>
      </w:r>
    </w:p>
    <w:p w:rsidR="007023B4" w:rsidRPr="00CC46CF" w:rsidRDefault="007023B4" w:rsidP="007023B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sidRPr="00CC46CF">
        <w:rPr>
          <w:rFonts w:hint="cs"/>
          <w:rtl/>
          <w:lang w:bidi="ar-EG"/>
        </w:rPr>
        <w:tab/>
        <w:t>•</w:t>
      </w:r>
      <w:r w:rsidRPr="00CC46CF">
        <w:rPr>
          <w:rFonts w:hint="cs"/>
          <w:rtl/>
          <w:lang w:bidi="ar-EG"/>
        </w:rPr>
        <w:tab/>
        <w:t xml:space="preserve">إقامة </w:t>
      </w:r>
      <w:r>
        <w:rPr>
          <w:rFonts w:hint="cs"/>
          <w:rtl/>
          <w:lang w:bidi="ar-EG"/>
        </w:rPr>
        <w:t>وحدة</w:t>
      </w:r>
      <w:r w:rsidRPr="00CC46CF">
        <w:rPr>
          <w:rFonts w:hint="cs"/>
          <w:rtl/>
          <w:lang w:bidi="ar-EG"/>
        </w:rPr>
        <w:t xml:space="preserve"> تُعنى </w:t>
      </w:r>
      <w:r w:rsidRPr="00CC46CF">
        <w:rPr>
          <w:rFonts w:hint="eastAsia"/>
          <w:rtl/>
          <w:lang w:bidi="ar-EG"/>
        </w:rPr>
        <w:t>”</w:t>
      </w:r>
      <w:r w:rsidRPr="00CC46CF">
        <w:rPr>
          <w:rFonts w:hint="cs"/>
          <w:rtl/>
          <w:lang w:bidi="ar-EG"/>
        </w:rPr>
        <w:t>ب</w:t>
      </w:r>
      <w:r w:rsidRPr="00CC46CF">
        <w:rPr>
          <w:rFonts w:hint="eastAsia"/>
          <w:rtl/>
          <w:lang w:bidi="ar-EG"/>
        </w:rPr>
        <w:t>التحرش الأخلاقي والجنس</w:t>
      </w:r>
      <w:r w:rsidRPr="00CC46CF">
        <w:rPr>
          <w:rFonts w:hint="cs"/>
          <w:rtl/>
          <w:lang w:bidi="ar-EG"/>
        </w:rPr>
        <w:t>ي</w:t>
      </w:r>
      <w:r w:rsidRPr="00CC46CF">
        <w:rPr>
          <w:rFonts w:hint="eastAsia"/>
          <w:rtl/>
          <w:lang w:bidi="ar-EG"/>
        </w:rPr>
        <w:t xml:space="preserve"> في مواقع العمل</w:t>
      </w:r>
      <w:r w:rsidRPr="00CC46CF">
        <w:rPr>
          <w:rFonts w:hint="cs"/>
          <w:rtl/>
          <w:lang w:bidi="ar-EG"/>
        </w:rPr>
        <w:t>“.</w:t>
      </w:r>
    </w:p>
    <w:p w:rsidR="007023B4" w:rsidRPr="00CC46CF" w:rsidRDefault="007023B4" w:rsidP="007023B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sidRPr="00CC46CF">
        <w:rPr>
          <w:rFonts w:hint="cs"/>
          <w:rtl/>
          <w:lang w:bidi="ar-EG"/>
        </w:rPr>
        <w:tab/>
        <w:t>•</w:t>
      </w:r>
      <w:r w:rsidRPr="00CC46CF">
        <w:rPr>
          <w:rFonts w:hint="cs"/>
          <w:rtl/>
          <w:lang w:bidi="ar-EG"/>
        </w:rPr>
        <w:tab/>
        <w:t>لصق إعلانات للتوعية بالعنف ضد المرأة في أماكن الاستشارات الطبية للأطفال.</w:t>
      </w:r>
    </w:p>
    <w:p w:rsidR="007023B4" w:rsidRPr="00CC46CF" w:rsidRDefault="007023B4" w:rsidP="007023B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sidRPr="00CC46CF">
        <w:rPr>
          <w:rFonts w:hint="cs"/>
          <w:rtl/>
          <w:lang w:bidi="ar-EG"/>
        </w:rPr>
        <w:tab/>
        <w:t>•</w:t>
      </w:r>
      <w:r w:rsidRPr="00CC46CF">
        <w:rPr>
          <w:rFonts w:hint="cs"/>
          <w:rtl/>
          <w:lang w:bidi="ar-EG"/>
        </w:rPr>
        <w:tab/>
        <w:t xml:space="preserve">إصدار كتيبات للتوعية بالعنف ضد المرأة وجعلها في متناول </w:t>
      </w:r>
      <w:r>
        <w:rPr>
          <w:rFonts w:hint="cs"/>
          <w:rtl/>
          <w:lang w:bidi="ar-EG"/>
        </w:rPr>
        <w:t xml:space="preserve">المستفيدين من خدمات مكتب المواليد </w:t>
      </w:r>
      <w:r w:rsidRPr="00CC46CF">
        <w:rPr>
          <w:rFonts w:hint="cs"/>
          <w:rtl/>
          <w:lang w:bidi="ar-EG"/>
        </w:rPr>
        <w:t>والأطفال.</w:t>
      </w:r>
    </w:p>
    <w:p w:rsidR="007023B4" w:rsidRPr="00CC46CF" w:rsidRDefault="007023B4" w:rsidP="007023B4">
      <w:pPr>
        <w:pStyle w:val="SingleTxt"/>
        <w:rPr>
          <w:rFonts w:hint="cs"/>
          <w:rtl/>
          <w:lang w:bidi="ar-EG"/>
        </w:rPr>
      </w:pPr>
      <w:r w:rsidRPr="00CC46CF">
        <w:rPr>
          <w:rFonts w:hint="cs"/>
          <w:rtl/>
          <w:lang w:bidi="ar-EG"/>
        </w:rPr>
        <w:tab/>
      </w:r>
      <w:r w:rsidRPr="00CB4FD6">
        <w:rPr>
          <w:rFonts w:hint="cs"/>
          <w:i/>
          <w:iCs/>
          <w:rtl/>
          <w:lang w:bidi="ar-EG"/>
        </w:rPr>
        <w:t>وعلى الصعيد السمعي والبصري</w:t>
      </w:r>
      <w:r w:rsidRPr="00CC46CF">
        <w:rPr>
          <w:rFonts w:hint="cs"/>
          <w:rtl/>
          <w:lang w:bidi="ar-EG"/>
        </w:rPr>
        <w:t xml:space="preserve">، </w:t>
      </w:r>
      <w:r>
        <w:rPr>
          <w:rFonts w:hint="cs"/>
          <w:rtl/>
          <w:lang w:bidi="ar-EG"/>
        </w:rPr>
        <w:t>و</w:t>
      </w:r>
      <w:r w:rsidRPr="00CC46CF">
        <w:rPr>
          <w:rFonts w:hint="cs"/>
          <w:rtl/>
          <w:lang w:bidi="ar-EG"/>
        </w:rPr>
        <w:t xml:space="preserve">بناءً على دعوة من حكومة المجتمع الفرنسي </w:t>
      </w:r>
      <w:r>
        <w:rPr>
          <w:rFonts w:hint="cs"/>
          <w:rtl/>
          <w:lang w:bidi="ar-EG"/>
        </w:rPr>
        <w:t xml:space="preserve">إلى إبداء الرأي ووضع </w:t>
      </w:r>
      <w:r w:rsidRPr="00CC46CF">
        <w:rPr>
          <w:rFonts w:hint="cs"/>
          <w:rtl/>
          <w:lang w:bidi="ar-EG"/>
        </w:rPr>
        <w:t>توصيات بشأن معاملة المعلومات المتعلقة بحالات العنف المرتكب ضد المرأة، قام مجمع الرأي بالمجلس الأعلى للوسائل السمعية والبصرية</w:t>
      </w:r>
      <w:r w:rsidRPr="00CC46CF">
        <w:rPr>
          <w:vertAlign w:val="superscript"/>
          <w:rtl/>
          <w:lang w:bidi="ar-EG"/>
        </w:rPr>
        <w:t>(</w:t>
      </w:r>
      <w:r w:rsidRPr="00CC46CF">
        <w:rPr>
          <w:vertAlign w:val="superscript"/>
          <w:rtl/>
        </w:rPr>
        <w:footnoteReference w:id="20"/>
      </w:r>
      <w:r w:rsidRPr="00CC46CF">
        <w:rPr>
          <w:vertAlign w:val="superscript"/>
          <w:rtl/>
          <w:lang w:bidi="ar-EG"/>
        </w:rPr>
        <w:t>)</w:t>
      </w:r>
      <w:r w:rsidRPr="00CC46CF">
        <w:rPr>
          <w:rFonts w:hint="cs"/>
          <w:rtl/>
          <w:lang w:bidi="ar-EG"/>
        </w:rPr>
        <w:t xml:space="preserve"> بإدراج هذه المسألة في رأيه الصادر في 4 تموز/يوليه 2006 بعنوان </w:t>
      </w:r>
      <w:r w:rsidRPr="00CC46CF">
        <w:rPr>
          <w:rFonts w:hint="eastAsia"/>
          <w:rtl/>
          <w:lang w:bidi="ar-EG"/>
        </w:rPr>
        <w:t>”</w:t>
      </w:r>
      <w:r w:rsidRPr="00EA3323">
        <w:rPr>
          <w:rFonts w:hint="eastAsia"/>
          <w:i/>
          <w:iCs/>
          <w:rtl/>
          <w:lang w:bidi="ar-EG"/>
        </w:rPr>
        <w:t xml:space="preserve">المساواة وتعدد الثقافات والإدماج الاجتماعي - </w:t>
      </w:r>
      <w:r>
        <w:rPr>
          <w:rFonts w:hint="cs"/>
          <w:i/>
          <w:iCs/>
          <w:rtl/>
          <w:lang w:bidi="ar-EG"/>
        </w:rPr>
        <w:t>وجود</w:t>
      </w:r>
      <w:r w:rsidRPr="00EA3323">
        <w:rPr>
          <w:rFonts w:hint="eastAsia"/>
          <w:i/>
          <w:iCs/>
          <w:rtl/>
          <w:lang w:bidi="ar-EG"/>
        </w:rPr>
        <w:t xml:space="preserve"> وتمثيل المرأة في دوائر البث الإذاعي</w:t>
      </w:r>
      <w:r w:rsidRPr="00CC46CF">
        <w:rPr>
          <w:rFonts w:hint="cs"/>
          <w:rtl/>
          <w:lang w:bidi="ar-EG"/>
        </w:rPr>
        <w:t xml:space="preserve">“ (انظر النص المتكامل للرأي على موقع المجلس الأعلى للوسائل السمعية والبصرية على شبكة الإنترنت على العنوان </w:t>
      </w:r>
      <w:hyperlink r:id="rId17" w:history="1">
        <w:r w:rsidRPr="00CB4FD6">
          <w:rPr>
            <w:rStyle w:val="Hyperlink"/>
          </w:rPr>
          <w:t>http://www.csa.be/avis/caavis.asp</w:t>
        </w:r>
      </w:hyperlink>
      <w:r w:rsidRPr="00CB4FD6">
        <w:rPr>
          <w:rFonts w:hint="cs"/>
          <w:rtl/>
          <w:lang w:bidi="ar-EG"/>
        </w:rPr>
        <w:t>)</w:t>
      </w:r>
      <w:r>
        <w:rPr>
          <w:rFonts w:hint="cs"/>
          <w:rtl/>
          <w:lang w:bidi="ar-EG"/>
        </w:rPr>
        <w:t>،</w:t>
      </w:r>
      <w:r w:rsidRPr="00CC46CF">
        <w:rPr>
          <w:rFonts w:hint="cs"/>
          <w:rtl/>
          <w:lang w:bidi="ar-EG"/>
        </w:rPr>
        <w:t xml:space="preserve"> مع توصية محرري هذه الدوائر وغيرهم من ممثلي قناة المنوعات السمعية والبصرية بتدابير مختلفة في مجال المعالجة الصح</w:t>
      </w:r>
      <w:r>
        <w:rPr>
          <w:rFonts w:hint="cs"/>
          <w:rtl/>
          <w:lang w:bidi="ar-EG"/>
        </w:rPr>
        <w:t>ف</w:t>
      </w:r>
      <w:r w:rsidRPr="00CC46CF">
        <w:rPr>
          <w:rFonts w:hint="cs"/>
          <w:rtl/>
          <w:lang w:bidi="ar-EG"/>
        </w:rPr>
        <w:t xml:space="preserve">ية لحالات العنف ضد المرأة، بما في ذلك العنف </w:t>
      </w:r>
      <w:r>
        <w:rPr>
          <w:rFonts w:hint="cs"/>
          <w:rtl/>
          <w:lang w:bidi="ar-EG"/>
        </w:rPr>
        <w:t>بين القرناء</w:t>
      </w:r>
      <w:r w:rsidRPr="00CC46CF">
        <w:rPr>
          <w:rFonts w:hint="cs"/>
          <w:rtl/>
          <w:lang w:bidi="ar-EG"/>
        </w:rPr>
        <w:t>.</w:t>
      </w:r>
    </w:p>
    <w:p w:rsidR="007023B4" w:rsidRPr="00CC46CF" w:rsidRDefault="007023B4" w:rsidP="007023B4">
      <w:pPr>
        <w:pStyle w:val="SingleTxt"/>
        <w:rPr>
          <w:rFonts w:hint="cs"/>
          <w:rtl/>
          <w:lang w:bidi="ar-EG"/>
        </w:rPr>
      </w:pPr>
      <w:r w:rsidRPr="00CC46CF">
        <w:rPr>
          <w:rFonts w:hint="cs"/>
          <w:rtl/>
          <w:lang w:bidi="ar-EG"/>
        </w:rPr>
        <w:tab/>
        <w:t xml:space="preserve">وفي </w:t>
      </w:r>
      <w:r w:rsidRPr="00CB4FD6">
        <w:rPr>
          <w:rFonts w:hint="cs"/>
          <w:i/>
          <w:iCs/>
          <w:rtl/>
          <w:lang w:bidi="ar-EG"/>
        </w:rPr>
        <w:t>المؤسسات العامة لحماية الشباب</w:t>
      </w:r>
      <w:r w:rsidRPr="00CC46CF">
        <w:rPr>
          <w:rFonts w:hint="cs"/>
          <w:rtl/>
          <w:lang w:bidi="ar-EG"/>
        </w:rPr>
        <w:t>، تم اتخاذ تدابير مختلفة أو وضعها موضع التنفيذ من أجل تأكيد حقوق المرأة وحرياتها</w:t>
      </w:r>
      <w:r>
        <w:rPr>
          <w:rFonts w:hint="cs"/>
          <w:rtl/>
          <w:lang w:bidi="ar-EG"/>
        </w:rPr>
        <w:t>،</w:t>
      </w:r>
      <w:r w:rsidRPr="00CC46CF">
        <w:rPr>
          <w:rFonts w:hint="cs"/>
          <w:rtl/>
          <w:lang w:bidi="ar-EG"/>
        </w:rPr>
        <w:t xml:space="preserve"> و</w:t>
      </w:r>
      <w:r>
        <w:rPr>
          <w:rFonts w:hint="cs"/>
          <w:rtl/>
          <w:lang w:bidi="ar-EG"/>
        </w:rPr>
        <w:t>ب</w:t>
      </w:r>
      <w:r w:rsidRPr="00CC46CF">
        <w:rPr>
          <w:rFonts w:hint="cs"/>
          <w:rtl/>
          <w:lang w:bidi="ar-EG"/>
        </w:rPr>
        <w:t>خاصة فيما يتعلق بالعنف:</w:t>
      </w:r>
    </w:p>
    <w:p w:rsidR="007023B4" w:rsidRPr="00CC46CF" w:rsidRDefault="007023B4" w:rsidP="007023B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sidRPr="00CC46CF">
        <w:rPr>
          <w:rFonts w:hint="cs"/>
          <w:rtl/>
          <w:lang w:bidi="ar-EG"/>
        </w:rPr>
        <w:tab/>
        <w:t>-</w:t>
      </w:r>
      <w:r w:rsidRPr="00CC46CF">
        <w:rPr>
          <w:rFonts w:hint="cs"/>
          <w:rtl/>
          <w:lang w:bidi="ar-EG"/>
        </w:rPr>
        <w:tab/>
        <w:t>منذ عام 2002، تم إدخال الاختلاط في</w:t>
      </w:r>
      <w:r>
        <w:rPr>
          <w:rFonts w:hint="cs"/>
          <w:rtl/>
          <w:lang w:bidi="ar-EG"/>
        </w:rPr>
        <w:t xml:space="preserve"> </w:t>
      </w:r>
      <w:r w:rsidRPr="00CC46CF">
        <w:rPr>
          <w:rFonts w:hint="cs"/>
          <w:rtl/>
          <w:lang w:bidi="ar-EG"/>
        </w:rPr>
        <w:t>الفرق التعليمية بالمعاهد العامة لحماية الشباب</w:t>
      </w:r>
      <w:r>
        <w:rPr>
          <w:rFonts w:hint="cs"/>
          <w:rtl/>
          <w:lang w:bidi="ar-EG"/>
        </w:rPr>
        <w:t>.</w:t>
      </w:r>
      <w:r w:rsidRPr="00CC46CF">
        <w:rPr>
          <w:rFonts w:hint="cs"/>
          <w:rtl/>
          <w:lang w:bidi="ar-EG"/>
        </w:rPr>
        <w:t xml:space="preserve"> ومن الملاحظ أن هذا الاختلاط كان موجوداً منذ عشرات السنين في فرق الإدارة و</w:t>
      </w:r>
      <w:r>
        <w:rPr>
          <w:rFonts w:hint="cs"/>
          <w:rtl/>
          <w:lang w:bidi="ar-EG"/>
        </w:rPr>
        <w:t>ال</w:t>
      </w:r>
      <w:r w:rsidRPr="00CC46CF">
        <w:rPr>
          <w:rFonts w:hint="cs"/>
          <w:rtl/>
          <w:lang w:bidi="ar-EG"/>
        </w:rPr>
        <w:t xml:space="preserve">فرق </w:t>
      </w:r>
      <w:r>
        <w:rPr>
          <w:rFonts w:hint="cs"/>
          <w:rtl/>
          <w:lang w:bidi="ar-EG"/>
        </w:rPr>
        <w:t>المجتمعية النفسية والطبية.</w:t>
      </w:r>
    </w:p>
    <w:p w:rsidR="007023B4" w:rsidRPr="00CC46CF" w:rsidRDefault="007023B4" w:rsidP="007023B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sidRPr="00CC46CF">
        <w:rPr>
          <w:rFonts w:hint="cs"/>
          <w:rtl/>
          <w:lang w:bidi="ar-EG"/>
        </w:rPr>
        <w:tab/>
        <w:t>-</w:t>
      </w:r>
      <w:r w:rsidRPr="00CC46CF">
        <w:rPr>
          <w:rFonts w:hint="cs"/>
          <w:rtl/>
          <w:lang w:bidi="ar-EG"/>
        </w:rPr>
        <w:tab/>
        <w:t xml:space="preserve">وفي إطار الوقاية من العنف في المعاهد العامة لحماية الشباب، فإن </w:t>
      </w:r>
      <w:r>
        <w:rPr>
          <w:rFonts w:hint="cs"/>
          <w:rtl/>
          <w:lang w:bidi="ar-EG"/>
        </w:rPr>
        <w:t xml:space="preserve">الإدارة </w:t>
      </w:r>
      <w:r w:rsidRPr="00CC46CF">
        <w:rPr>
          <w:rFonts w:hint="cs"/>
          <w:rtl/>
          <w:lang w:bidi="ar-EG"/>
        </w:rPr>
        <w:t xml:space="preserve">العامة لمعاونة الشباب عقدت اتفاقية مع دائرة التدخل النفسي والاجتماعي العاجل. وأصبح بوسع </w:t>
      </w:r>
      <w:r>
        <w:rPr>
          <w:rFonts w:hint="cs"/>
          <w:rtl/>
          <w:lang w:bidi="ar-EG"/>
        </w:rPr>
        <w:t xml:space="preserve">الموظفات </w:t>
      </w:r>
      <w:r w:rsidRPr="00CC46CF">
        <w:rPr>
          <w:rFonts w:hint="cs"/>
          <w:rtl/>
          <w:lang w:bidi="ar-EG"/>
        </w:rPr>
        <w:t>والفتيات المسجلات، و</w:t>
      </w:r>
      <w:r>
        <w:rPr>
          <w:rFonts w:hint="cs"/>
          <w:rtl/>
          <w:lang w:bidi="ar-EG"/>
        </w:rPr>
        <w:t>ب</w:t>
      </w:r>
      <w:r w:rsidRPr="00CC46CF">
        <w:rPr>
          <w:rFonts w:hint="cs"/>
          <w:rtl/>
          <w:lang w:bidi="ar-EG"/>
        </w:rPr>
        <w:t>خاصة</w:t>
      </w:r>
      <w:r>
        <w:rPr>
          <w:rFonts w:hint="cs"/>
          <w:rtl/>
          <w:lang w:bidi="ar-EG"/>
        </w:rPr>
        <w:t xml:space="preserve"> ضحايا</w:t>
      </w:r>
      <w:r w:rsidRPr="00CC46CF">
        <w:rPr>
          <w:rFonts w:hint="cs"/>
          <w:rtl/>
          <w:lang w:bidi="ar-EG"/>
        </w:rPr>
        <w:t xml:space="preserve"> العنف اللفظي أو البدني أو الأخلاقي</w:t>
      </w:r>
      <w:r>
        <w:rPr>
          <w:rFonts w:hint="cs"/>
          <w:rtl/>
          <w:lang w:bidi="ar-EG"/>
        </w:rPr>
        <w:t>،</w:t>
      </w:r>
      <w:r w:rsidRPr="00CC46CF">
        <w:rPr>
          <w:rFonts w:hint="cs"/>
          <w:rtl/>
          <w:lang w:bidi="ar-EG"/>
        </w:rPr>
        <w:t xml:space="preserve"> طلب هذه الخدمة من الصليب الأحمر البلجيكي.</w:t>
      </w:r>
    </w:p>
    <w:p w:rsidR="007023B4" w:rsidRPr="00CC46CF" w:rsidRDefault="007023B4" w:rsidP="007023B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sidRPr="00CC46CF">
        <w:rPr>
          <w:rFonts w:hint="cs"/>
          <w:rtl/>
          <w:lang w:bidi="ar-EG"/>
        </w:rPr>
        <w:tab/>
      </w:r>
      <w:r>
        <w:rPr>
          <w:rFonts w:hint="cs"/>
          <w:rtl/>
          <w:lang w:bidi="ar-EG"/>
        </w:rPr>
        <w:t>-</w:t>
      </w:r>
      <w:r>
        <w:rPr>
          <w:rFonts w:hint="cs"/>
          <w:rtl/>
          <w:lang w:bidi="ar-EG"/>
        </w:rPr>
        <w:tab/>
        <w:t>وتعقد</w:t>
      </w:r>
      <w:r w:rsidRPr="00CC46CF">
        <w:rPr>
          <w:rFonts w:hint="cs"/>
          <w:rtl/>
          <w:lang w:bidi="ar-EG"/>
        </w:rPr>
        <w:t xml:space="preserve"> المؤسسات جلسات للتربية العاطفية والجنسية. وتتولى رعاية هذه الجلسات دوائر تنظيم الأسرة:</w:t>
      </w:r>
    </w:p>
    <w:p w:rsidR="007023B4" w:rsidRPr="00CC46CF" w:rsidRDefault="007023B4" w:rsidP="007023B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sidRPr="00CC46CF">
        <w:rPr>
          <w:rFonts w:hint="cs"/>
          <w:rtl/>
          <w:lang w:bidi="ar-EG"/>
        </w:rPr>
        <w:tab/>
      </w:r>
      <w:r>
        <w:rPr>
          <w:rFonts w:hint="cs"/>
          <w:rtl/>
          <w:lang w:bidi="ar-EG"/>
        </w:rPr>
        <w:t>-</w:t>
      </w:r>
      <w:r>
        <w:rPr>
          <w:rFonts w:hint="cs"/>
          <w:rtl/>
          <w:lang w:bidi="ar-EG"/>
        </w:rPr>
        <w:tab/>
        <w:t xml:space="preserve">وطلبت الإدارة </w:t>
      </w:r>
      <w:r w:rsidRPr="00CC46CF">
        <w:rPr>
          <w:rFonts w:hint="cs"/>
          <w:rtl/>
          <w:lang w:bidi="ar-EG"/>
        </w:rPr>
        <w:t>العامة لمعاونة الشباب إجراء دراسات</w:t>
      </w:r>
      <w:r>
        <w:rPr>
          <w:rFonts w:hint="cs"/>
          <w:rtl/>
          <w:lang w:bidi="ar-EG"/>
        </w:rPr>
        <w:t>،</w:t>
      </w:r>
      <w:r w:rsidRPr="00CC46CF">
        <w:rPr>
          <w:rFonts w:hint="cs"/>
          <w:rtl/>
          <w:lang w:bidi="ar-EG"/>
        </w:rPr>
        <w:t xml:space="preserve"> </w:t>
      </w:r>
      <w:r>
        <w:rPr>
          <w:rFonts w:hint="cs"/>
          <w:rtl/>
          <w:lang w:bidi="ar-EG"/>
        </w:rPr>
        <w:t xml:space="preserve">ونظمت </w:t>
      </w:r>
      <w:r w:rsidRPr="00CC46CF">
        <w:rPr>
          <w:rFonts w:hint="cs"/>
          <w:rtl/>
          <w:lang w:bidi="ar-EG"/>
        </w:rPr>
        <w:t xml:space="preserve">تدريبات بشأن </w:t>
      </w:r>
      <w:r>
        <w:rPr>
          <w:rFonts w:hint="cs"/>
          <w:rtl/>
          <w:lang w:bidi="ar-EG"/>
        </w:rPr>
        <w:t xml:space="preserve">مرتكبي الإساءات الجنسية، </w:t>
      </w:r>
      <w:r w:rsidRPr="00CC46CF">
        <w:rPr>
          <w:rFonts w:hint="cs"/>
          <w:rtl/>
          <w:lang w:bidi="ar-EG"/>
        </w:rPr>
        <w:t xml:space="preserve">بغية التأكيد على توفير قدر أكبر من الرعاية </w:t>
      </w:r>
      <w:r>
        <w:rPr>
          <w:rFonts w:hint="cs"/>
          <w:rtl/>
          <w:lang w:bidi="ar-EG"/>
        </w:rPr>
        <w:t>ل</w:t>
      </w:r>
      <w:r w:rsidRPr="00CC46CF">
        <w:rPr>
          <w:rFonts w:hint="cs"/>
          <w:rtl/>
          <w:lang w:bidi="ar-EG"/>
        </w:rPr>
        <w:t>لقُصَّر الذين عهد بهم إلى المعاهد العامة لحماية الشباب ومن ثم تجنب المعاودة.</w:t>
      </w:r>
    </w:p>
    <w:p w:rsidR="007023B4" w:rsidRPr="00CC46CF" w:rsidRDefault="007023B4" w:rsidP="007023B4">
      <w:pPr>
        <w:pStyle w:val="SingleTxt"/>
        <w:rPr>
          <w:rFonts w:hint="cs"/>
          <w:rtl/>
          <w:lang w:bidi="ar-EG"/>
        </w:rPr>
      </w:pPr>
      <w:r>
        <w:rPr>
          <w:rFonts w:hint="cs"/>
          <w:rtl/>
          <w:lang w:bidi="ar-EG"/>
        </w:rPr>
        <w:tab/>
        <w:t>وأخيراً، فإن</w:t>
      </w:r>
      <w:r w:rsidRPr="00CC46CF">
        <w:rPr>
          <w:rFonts w:hint="cs"/>
          <w:rtl/>
          <w:lang w:bidi="ar-EG"/>
        </w:rPr>
        <w:t xml:space="preserve"> من الجدير بالذكر أن الشباب المسجل يستفيدون من المساعدة التي يقدمها المستشارون الدينيون أو الأخلاقيون الذين يمارسون </w:t>
      </w:r>
      <w:r>
        <w:rPr>
          <w:rFonts w:hint="cs"/>
          <w:rtl/>
          <w:lang w:bidi="ar-EG"/>
        </w:rPr>
        <w:t xml:space="preserve">أيضا </w:t>
      </w:r>
      <w:r w:rsidRPr="00CC46CF">
        <w:rPr>
          <w:rFonts w:hint="cs"/>
          <w:rtl/>
          <w:lang w:bidi="ar-EG"/>
        </w:rPr>
        <w:t>تعليماً</w:t>
      </w:r>
      <w:r>
        <w:rPr>
          <w:rFonts w:hint="cs"/>
          <w:rtl/>
          <w:lang w:bidi="ar-EG"/>
        </w:rPr>
        <w:t xml:space="preserve"> يتطرق عادة إلى هذه الموضوعات</w:t>
      </w:r>
      <w:r w:rsidRPr="00CC46CF">
        <w:rPr>
          <w:rFonts w:hint="cs"/>
          <w:rtl/>
          <w:lang w:bidi="ar-EG"/>
        </w:rPr>
        <w:t>.</w:t>
      </w:r>
    </w:p>
    <w:p w:rsidR="007023B4" w:rsidRPr="007023B4" w:rsidRDefault="007023B4" w:rsidP="007023B4">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lang w:bidi="ar-EG"/>
        </w:rPr>
      </w:pPr>
    </w:p>
    <w:p w:rsidR="007023B4" w:rsidRPr="00CC46CF" w:rsidRDefault="007023B4" w:rsidP="007023B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sidRPr="00CC46CF">
        <w:rPr>
          <w:rFonts w:hint="cs"/>
          <w:rtl/>
          <w:lang w:bidi="ar-EG"/>
        </w:rPr>
        <w:tab/>
        <w:t>جيم -</w:t>
      </w:r>
      <w:r>
        <w:rPr>
          <w:rFonts w:hint="cs"/>
          <w:rtl/>
          <w:lang w:bidi="ar-EG"/>
        </w:rPr>
        <w:tab/>
      </w:r>
      <w:r w:rsidRPr="00CC46CF">
        <w:rPr>
          <w:rFonts w:hint="cs"/>
          <w:rtl/>
          <w:lang w:bidi="ar-EG"/>
        </w:rPr>
        <w:t xml:space="preserve"> إقليم والون</w:t>
      </w:r>
    </w:p>
    <w:p w:rsidR="007023B4" w:rsidRPr="009B61E1" w:rsidRDefault="007023B4" w:rsidP="007023B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b w:val="0"/>
          <w:bCs w:val="0"/>
          <w:i/>
          <w:iCs/>
          <w:rtl/>
          <w:lang w:bidi="ar-EG"/>
        </w:rPr>
      </w:pPr>
      <w:r w:rsidRPr="00CC46CF">
        <w:rPr>
          <w:rFonts w:hint="cs"/>
          <w:rtl/>
          <w:lang w:bidi="ar-EG"/>
        </w:rPr>
        <w:tab/>
        <w:t>1 -</w:t>
      </w:r>
      <w:r w:rsidRPr="00CC46CF">
        <w:rPr>
          <w:rFonts w:hint="cs"/>
          <w:rtl/>
          <w:lang w:bidi="ar-EG"/>
        </w:rPr>
        <w:tab/>
      </w:r>
      <w:r w:rsidRPr="009B61E1">
        <w:rPr>
          <w:rFonts w:hint="cs"/>
          <w:b w:val="0"/>
          <w:bCs w:val="0"/>
          <w:i/>
          <w:iCs/>
          <w:rtl/>
          <w:lang w:bidi="ar-EG"/>
        </w:rPr>
        <w:t>الفقر</w:t>
      </w:r>
    </w:p>
    <w:p w:rsidR="007023B4" w:rsidRPr="00CC46CF" w:rsidRDefault="007023B4" w:rsidP="007023B4">
      <w:pPr>
        <w:pStyle w:val="SingleTxt"/>
        <w:rPr>
          <w:rFonts w:hint="cs"/>
          <w:rtl/>
          <w:lang w:bidi="ar-EG"/>
        </w:rPr>
      </w:pPr>
      <w:r w:rsidRPr="00CC46CF">
        <w:rPr>
          <w:rFonts w:hint="cs"/>
          <w:rtl/>
          <w:lang w:bidi="ar-EG"/>
        </w:rPr>
        <w:tab/>
        <w:t xml:space="preserve">ارتفعت </w:t>
      </w:r>
      <w:r>
        <w:rPr>
          <w:rFonts w:hint="cs"/>
          <w:rtl/>
          <w:lang w:bidi="ar-EG"/>
        </w:rPr>
        <w:t xml:space="preserve">في والون </w:t>
      </w:r>
      <w:r w:rsidRPr="00CC46CF">
        <w:rPr>
          <w:rFonts w:hint="cs"/>
          <w:rtl/>
          <w:lang w:bidi="ar-EG"/>
        </w:rPr>
        <w:t>النسبة المئوية ل</w:t>
      </w:r>
      <w:r>
        <w:rPr>
          <w:rFonts w:hint="cs"/>
          <w:rtl/>
          <w:lang w:bidi="ar-EG"/>
        </w:rPr>
        <w:t>خطر</w:t>
      </w:r>
      <w:r w:rsidRPr="00CC46CF">
        <w:rPr>
          <w:rFonts w:hint="cs"/>
          <w:rtl/>
          <w:lang w:bidi="ar-EG"/>
        </w:rPr>
        <w:t xml:space="preserve"> الفقر إلى 18 في المائة بالنسبة للمرأة</w:t>
      </w:r>
      <w:r>
        <w:rPr>
          <w:rFonts w:hint="cs"/>
          <w:rtl/>
          <w:lang w:bidi="ar-EG"/>
        </w:rPr>
        <w:t>،</w:t>
      </w:r>
      <w:r w:rsidRPr="00CC46CF">
        <w:rPr>
          <w:rFonts w:hint="cs"/>
          <w:rtl/>
          <w:lang w:bidi="ar-EG"/>
        </w:rPr>
        <w:t xml:space="preserve"> في حين أنها تبلغ 12 في المائة بالنسبة للرجل. و</w:t>
      </w:r>
      <w:r>
        <w:rPr>
          <w:rFonts w:hint="cs"/>
          <w:rtl/>
          <w:lang w:bidi="ar-EG"/>
        </w:rPr>
        <w:t xml:space="preserve">لذلك </w:t>
      </w:r>
      <w:r w:rsidRPr="00CC46CF">
        <w:rPr>
          <w:rFonts w:hint="cs"/>
          <w:rtl/>
          <w:lang w:bidi="ar-EG"/>
        </w:rPr>
        <w:t xml:space="preserve">يمكن اعتبار أن التدابير المتخذة بغية تشجيع </w:t>
      </w:r>
      <w:r>
        <w:rPr>
          <w:rFonts w:hint="cs"/>
          <w:rtl/>
          <w:lang w:bidi="ar-EG"/>
        </w:rPr>
        <w:t>حصول</w:t>
      </w:r>
      <w:r w:rsidRPr="00CC46CF">
        <w:rPr>
          <w:rFonts w:hint="cs"/>
          <w:rtl/>
          <w:lang w:bidi="ar-EG"/>
        </w:rPr>
        <w:t xml:space="preserve"> الأشخاص المزعزعين اقتصادياً </w:t>
      </w:r>
      <w:r>
        <w:rPr>
          <w:rFonts w:hint="cs"/>
          <w:rtl/>
          <w:lang w:bidi="ar-EG"/>
        </w:rPr>
        <w:t>ع</w:t>
      </w:r>
      <w:r w:rsidRPr="00CC46CF">
        <w:rPr>
          <w:rFonts w:hint="cs"/>
          <w:rtl/>
          <w:lang w:bidi="ar-EG"/>
        </w:rPr>
        <w:t xml:space="preserve">لى حق ممارسة حياة تتفق وكرامة الإنسان تسهم </w:t>
      </w:r>
      <w:r>
        <w:rPr>
          <w:rFonts w:hint="cs"/>
          <w:rtl/>
          <w:lang w:bidi="ar-EG"/>
        </w:rPr>
        <w:t xml:space="preserve">بشكل ما </w:t>
      </w:r>
      <w:r w:rsidRPr="00CC46CF">
        <w:rPr>
          <w:rFonts w:hint="cs"/>
          <w:rtl/>
          <w:lang w:bidi="ar-EG"/>
        </w:rPr>
        <w:t>في الحد من التمييز ضد المرأة.</w:t>
      </w:r>
    </w:p>
    <w:p w:rsidR="007023B4" w:rsidRPr="00CC46CF" w:rsidRDefault="007023B4" w:rsidP="007023B4">
      <w:pPr>
        <w:pStyle w:val="SingleTxt"/>
        <w:rPr>
          <w:rFonts w:hint="cs"/>
          <w:rtl/>
          <w:lang w:bidi="ar-EG"/>
        </w:rPr>
      </w:pPr>
      <w:r w:rsidRPr="00CC46CF">
        <w:rPr>
          <w:rFonts w:hint="cs"/>
          <w:rtl/>
          <w:lang w:bidi="ar-EG"/>
        </w:rPr>
        <w:tab/>
        <w:t xml:space="preserve">وهكذا، فإن إعانات </w:t>
      </w:r>
      <w:r>
        <w:rPr>
          <w:rFonts w:hint="cs"/>
          <w:rtl/>
          <w:lang w:bidi="ar-EG"/>
        </w:rPr>
        <w:t>ا</w:t>
      </w:r>
      <w:r w:rsidRPr="00CC46CF">
        <w:rPr>
          <w:rFonts w:hint="cs"/>
          <w:rtl/>
          <w:lang w:bidi="ar-EG"/>
        </w:rPr>
        <w:t>لنقل والإيجار</w:t>
      </w:r>
      <w:r>
        <w:rPr>
          <w:rFonts w:hint="cs"/>
          <w:rtl/>
          <w:lang w:bidi="ar-EG"/>
        </w:rPr>
        <w:t>، التي</w:t>
      </w:r>
      <w:r w:rsidRPr="00CC46CF">
        <w:rPr>
          <w:rFonts w:hint="cs"/>
          <w:rtl/>
          <w:lang w:bidi="ar-EG"/>
        </w:rPr>
        <w:t xml:space="preserve"> تتألف من معونة مالية تقدم إلى الأشخاص الذين </w:t>
      </w:r>
      <w:r>
        <w:rPr>
          <w:rFonts w:hint="cs"/>
          <w:rtl/>
          <w:lang w:bidi="ar-EG"/>
        </w:rPr>
        <w:t xml:space="preserve">يخرجون من حالة انعدام المأوى أو من مسكن غير صحي إلى مسكن صحي، تذهب إلى </w:t>
      </w:r>
      <w:r w:rsidRPr="00CC46CF">
        <w:rPr>
          <w:rFonts w:hint="cs"/>
          <w:rtl/>
          <w:lang w:bidi="ar-EG"/>
        </w:rPr>
        <w:t>النساء في غالبية الحالات. ومن الأمثلة الأخرى التدابير المتخذة في قطاع الطاقة، و</w:t>
      </w:r>
      <w:r>
        <w:rPr>
          <w:rFonts w:hint="cs"/>
          <w:rtl/>
          <w:lang w:bidi="ar-EG"/>
        </w:rPr>
        <w:t>ب</w:t>
      </w:r>
      <w:r w:rsidRPr="00CC46CF">
        <w:rPr>
          <w:rFonts w:hint="cs"/>
          <w:rtl/>
          <w:lang w:bidi="ar-EG"/>
        </w:rPr>
        <w:t>خاصة الإعانة المقدمة إلى الأسر ذات الدخل المنخفض (و</w:t>
      </w:r>
      <w:r>
        <w:rPr>
          <w:rFonts w:hint="cs"/>
          <w:rtl/>
          <w:lang w:bidi="ar-EG"/>
        </w:rPr>
        <w:t>ب</w:t>
      </w:r>
      <w:r w:rsidRPr="00CC46CF">
        <w:rPr>
          <w:rFonts w:hint="cs"/>
          <w:rtl/>
          <w:lang w:bidi="ar-EG"/>
        </w:rPr>
        <w:t>خاصة الأسر الوحيدة الأ</w:t>
      </w:r>
      <w:r>
        <w:rPr>
          <w:rFonts w:hint="cs"/>
          <w:rtl/>
          <w:lang w:bidi="ar-EG"/>
        </w:rPr>
        <w:t>بوين</w:t>
      </w:r>
      <w:r w:rsidRPr="00CC46CF">
        <w:rPr>
          <w:rFonts w:hint="cs"/>
          <w:rtl/>
          <w:lang w:bidi="ar-EG"/>
        </w:rPr>
        <w:t xml:space="preserve">، التي </w:t>
      </w:r>
      <w:r>
        <w:rPr>
          <w:rFonts w:hint="cs"/>
          <w:rtl/>
          <w:lang w:bidi="ar-EG"/>
        </w:rPr>
        <w:t xml:space="preserve">تعولها المرأة </w:t>
      </w:r>
      <w:r w:rsidRPr="00CC46CF">
        <w:rPr>
          <w:rFonts w:hint="cs"/>
          <w:rtl/>
          <w:lang w:bidi="ar-EG"/>
        </w:rPr>
        <w:t>غالباً) من أجل تعزيز الاستخدام الرشيد للطاقة</w:t>
      </w:r>
      <w:r>
        <w:rPr>
          <w:rFonts w:hint="cs"/>
          <w:rtl/>
          <w:lang w:bidi="ar-EG"/>
        </w:rPr>
        <w:t>،</w:t>
      </w:r>
      <w:r w:rsidRPr="00CC46CF">
        <w:rPr>
          <w:rFonts w:hint="cs"/>
          <w:rtl/>
          <w:lang w:bidi="ar-EG"/>
        </w:rPr>
        <w:t xml:space="preserve"> واقتصادات الطاقة والطاقة المتجددة، </w:t>
      </w:r>
      <w:r>
        <w:rPr>
          <w:rFonts w:hint="cs"/>
          <w:rtl/>
          <w:lang w:bidi="ar-EG"/>
        </w:rPr>
        <w:t xml:space="preserve">والتوفير المضمون للحد </w:t>
      </w:r>
      <w:r w:rsidRPr="00CC46CF">
        <w:rPr>
          <w:rFonts w:hint="cs"/>
          <w:rtl/>
          <w:lang w:bidi="ar-EG"/>
        </w:rPr>
        <w:t xml:space="preserve">الأدنى من الكهرباء والغاز </w:t>
      </w:r>
      <w:r>
        <w:rPr>
          <w:rFonts w:hint="cs"/>
          <w:rtl/>
          <w:lang w:bidi="ar-EG"/>
        </w:rPr>
        <w:t>ل</w:t>
      </w:r>
      <w:r w:rsidRPr="00CC46CF">
        <w:rPr>
          <w:rFonts w:hint="cs"/>
          <w:rtl/>
          <w:lang w:bidi="ar-EG"/>
        </w:rPr>
        <w:t xml:space="preserve">فئات الأشخاص </w:t>
      </w:r>
      <w:r>
        <w:rPr>
          <w:rFonts w:hint="cs"/>
          <w:rtl/>
          <w:lang w:bidi="ar-EG"/>
        </w:rPr>
        <w:t>المحرومين</w:t>
      </w:r>
      <w:r w:rsidRPr="00CC46CF">
        <w:rPr>
          <w:rFonts w:hint="cs"/>
          <w:rtl/>
          <w:lang w:bidi="ar-EG"/>
        </w:rPr>
        <w:t>.</w:t>
      </w:r>
    </w:p>
    <w:p w:rsidR="007023B4" w:rsidRPr="00CC46CF" w:rsidRDefault="007023B4" w:rsidP="007023B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sidRPr="00CC46CF">
        <w:rPr>
          <w:rFonts w:hint="cs"/>
          <w:rtl/>
          <w:lang w:bidi="ar-EG"/>
        </w:rPr>
        <w:tab/>
        <w:t>2 -</w:t>
      </w:r>
      <w:r w:rsidRPr="00CC46CF">
        <w:rPr>
          <w:rFonts w:hint="cs"/>
          <w:rtl/>
          <w:lang w:bidi="ar-EG"/>
        </w:rPr>
        <w:tab/>
        <w:t>مكافحة أنواع العنف ضد المرأة</w:t>
      </w:r>
    </w:p>
    <w:p w:rsidR="00CB4FD6" w:rsidRDefault="007023B4" w:rsidP="007023B4">
      <w:pPr>
        <w:pStyle w:val="SingleTxt"/>
        <w:rPr>
          <w:rFonts w:hint="cs"/>
          <w:rtl/>
          <w:lang w:bidi="ar-EG"/>
        </w:rPr>
      </w:pPr>
      <w:r w:rsidRPr="00CC46CF">
        <w:rPr>
          <w:rFonts w:hint="cs"/>
          <w:rtl/>
          <w:lang w:bidi="ar-EG"/>
        </w:rPr>
        <w:tab/>
        <w:t>تتعلق صلاحيات إقليم والون في مجال مكافحة العنف ضد المرأة بشكل أساسي بوظائف الحماية والتعويض.</w:t>
      </w:r>
    </w:p>
    <w:p w:rsidR="007023B4" w:rsidRPr="00CC46CF" w:rsidRDefault="00CB4FD6" w:rsidP="00CB4FD6">
      <w:pPr>
        <w:pStyle w:val="SingleTxt"/>
        <w:rPr>
          <w:rFonts w:hint="cs"/>
          <w:rtl/>
          <w:lang w:bidi="ar-EG"/>
        </w:rPr>
      </w:pPr>
      <w:r>
        <w:rPr>
          <w:rFonts w:hint="cs"/>
          <w:rtl/>
          <w:lang w:bidi="ar-EG"/>
        </w:rPr>
        <w:tab/>
      </w:r>
      <w:r w:rsidR="007023B4" w:rsidRPr="00CC46CF">
        <w:rPr>
          <w:rFonts w:hint="cs"/>
          <w:rtl/>
          <w:lang w:bidi="ar-EG"/>
        </w:rPr>
        <w:t>ويتيح المرسوم المؤرخ 12 شباط/فبراير 2004</w:t>
      </w:r>
      <w:r w:rsidR="007023B4">
        <w:rPr>
          <w:rFonts w:hint="cs"/>
          <w:rtl/>
          <w:lang w:bidi="ar-EG"/>
        </w:rPr>
        <w:t>،</w:t>
      </w:r>
      <w:r w:rsidR="007023B4" w:rsidRPr="00CC46CF">
        <w:rPr>
          <w:rFonts w:hint="cs"/>
          <w:rtl/>
          <w:lang w:bidi="ar-EG"/>
        </w:rPr>
        <w:t xml:space="preserve"> والمتعلق باستقبال وإيواء ومرافقة الأشخاص الذين يمرون بمصاعب اجتماعية</w:t>
      </w:r>
      <w:r w:rsidR="007023B4">
        <w:rPr>
          <w:rFonts w:hint="cs"/>
          <w:rtl/>
          <w:lang w:bidi="ar-EG"/>
        </w:rPr>
        <w:t>، اعتماد ومعاونة 13</w:t>
      </w:r>
      <w:r w:rsidR="007023B4">
        <w:rPr>
          <w:rFonts w:hint="eastAsia"/>
          <w:rtl/>
          <w:lang w:bidi="ar-EG"/>
        </w:rPr>
        <w:t> </w:t>
      </w:r>
      <w:r w:rsidR="007023B4" w:rsidRPr="00CC46CF">
        <w:rPr>
          <w:rFonts w:hint="cs"/>
          <w:rtl/>
          <w:lang w:bidi="ar-EG"/>
        </w:rPr>
        <w:t xml:space="preserve">داراً للأمومة وملجأين </w:t>
      </w:r>
      <w:r w:rsidR="007023B4">
        <w:rPr>
          <w:rFonts w:hint="cs"/>
          <w:rtl/>
          <w:lang w:bidi="ar-EG"/>
        </w:rPr>
        <w:t>للنساء</w:t>
      </w:r>
      <w:r w:rsidR="007023B4" w:rsidRPr="00CC46CF">
        <w:rPr>
          <w:rFonts w:hint="cs"/>
          <w:rtl/>
          <w:lang w:bidi="ar-EG"/>
        </w:rPr>
        <w:t xml:space="preserve"> ضحايا العنف </w:t>
      </w:r>
      <w:r w:rsidR="007023B4">
        <w:rPr>
          <w:rFonts w:hint="cs"/>
          <w:rtl/>
          <w:lang w:bidi="ar-EG"/>
        </w:rPr>
        <w:t>المنزلي</w:t>
      </w:r>
      <w:r w:rsidR="007023B4" w:rsidRPr="00CC46CF">
        <w:rPr>
          <w:rFonts w:hint="cs"/>
          <w:rtl/>
          <w:lang w:bidi="ar-EG"/>
        </w:rPr>
        <w:t xml:space="preserve">. وفضلاً عن ذلك، يتم أيضاً تقديم </w:t>
      </w:r>
      <w:r w:rsidR="007023B4">
        <w:rPr>
          <w:rFonts w:hint="cs"/>
          <w:rtl/>
          <w:lang w:bidi="ar-EG"/>
        </w:rPr>
        <w:t xml:space="preserve">إعانات </w:t>
      </w:r>
      <w:r w:rsidR="007023B4" w:rsidRPr="00CC46CF">
        <w:rPr>
          <w:rFonts w:hint="cs"/>
          <w:rtl/>
          <w:lang w:bidi="ar-EG"/>
        </w:rPr>
        <w:t>للانتقال والتأجير لتسهيل إسكان الضحايا.</w:t>
      </w:r>
    </w:p>
    <w:p w:rsidR="007023B4" w:rsidRPr="00CC46CF" w:rsidRDefault="007023B4" w:rsidP="007023B4">
      <w:pPr>
        <w:pStyle w:val="SingleTxt"/>
        <w:rPr>
          <w:rFonts w:hint="cs"/>
          <w:rtl/>
          <w:lang w:bidi="ar-EG"/>
        </w:rPr>
      </w:pPr>
      <w:r w:rsidRPr="00CC46CF">
        <w:rPr>
          <w:rFonts w:hint="cs"/>
          <w:rtl/>
          <w:lang w:bidi="ar-EG"/>
        </w:rPr>
        <w:tab/>
        <w:t>ويقوم إقليم والون أيضاً بت</w:t>
      </w:r>
      <w:r>
        <w:rPr>
          <w:rFonts w:hint="cs"/>
          <w:rtl/>
          <w:lang w:bidi="ar-EG"/>
        </w:rPr>
        <w:t>م</w:t>
      </w:r>
      <w:r w:rsidRPr="00CC46CF">
        <w:rPr>
          <w:rFonts w:hint="cs"/>
          <w:rtl/>
          <w:lang w:bidi="ar-EG"/>
        </w:rPr>
        <w:t xml:space="preserve">ويل مركز لاستقبال ضحايا العنف </w:t>
      </w:r>
      <w:r>
        <w:rPr>
          <w:rFonts w:hint="cs"/>
          <w:rtl/>
          <w:lang w:bidi="ar-EG"/>
        </w:rPr>
        <w:t xml:space="preserve">المنزلي </w:t>
      </w:r>
      <w:r w:rsidRPr="00CC46CF">
        <w:rPr>
          <w:rFonts w:hint="cs"/>
          <w:rtl/>
          <w:lang w:bidi="ar-EG"/>
        </w:rPr>
        <w:t>داخل مستشفى</w:t>
      </w:r>
      <w:r>
        <w:rPr>
          <w:rFonts w:hint="cs"/>
          <w:rtl/>
          <w:lang w:bidi="ar-EG"/>
        </w:rPr>
        <w:t>،</w:t>
      </w:r>
      <w:r w:rsidRPr="00CC46CF">
        <w:rPr>
          <w:rFonts w:hint="cs"/>
          <w:rtl/>
          <w:lang w:bidi="ar-EG"/>
        </w:rPr>
        <w:t xml:space="preserve"> إلى جانب مبادرات متنوعة عامة أو خاصة ترمي إلى مرافقة الضحايا أو توعية السلطات العامة والمجتمع المدني بضرورة مكافحة أنواع العنف هذه. وتقدم دوائر م</w:t>
      </w:r>
      <w:r>
        <w:rPr>
          <w:rFonts w:hint="cs"/>
          <w:rtl/>
          <w:lang w:bidi="ar-EG"/>
        </w:rPr>
        <w:t>ساعدة</w:t>
      </w:r>
      <w:r w:rsidRPr="00CC46CF">
        <w:rPr>
          <w:rFonts w:hint="cs"/>
          <w:rtl/>
          <w:lang w:bidi="ar-EG"/>
        </w:rPr>
        <w:t xml:space="preserve"> المتقاضين في إقليم والون دعماً إدارياً و</w:t>
      </w:r>
      <w:r>
        <w:rPr>
          <w:rFonts w:hint="cs"/>
          <w:rtl/>
          <w:lang w:bidi="ar-EG"/>
        </w:rPr>
        <w:t xml:space="preserve">معنويا </w:t>
      </w:r>
      <w:r w:rsidRPr="00CC46CF">
        <w:rPr>
          <w:rFonts w:hint="cs"/>
          <w:rtl/>
          <w:lang w:bidi="ar-EG"/>
        </w:rPr>
        <w:t xml:space="preserve"> للضحايا.</w:t>
      </w:r>
    </w:p>
    <w:p w:rsidR="007023B4" w:rsidRPr="00CC46CF" w:rsidRDefault="007023B4" w:rsidP="007023B4">
      <w:pPr>
        <w:pStyle w:val="SingleTxt"/>
        <w:rPr>
          <w:rFonts w:hint="cs"/>
          <w:rtl/>
          <w:lang w:bidi="ar-EG"/>
        </w:rPr>
      </w:pPr>
      <w:r w:rsidRPr="00CC46CF">
        <w:rPr>
          <w:rFonts w:hint="cs"/>
          <w:rtl/>
          <w:lang w:bidi="ar-EG"/>
        </w:rPr>
        <w:tab/>
        <w:t xml:space="preserve">ويشارك إقليم والون بنشاط في خطة </w:t>
      </w:r>
      <w:r>
        <w:rPr>
          <w:rFonts w:hint="cs"/>
          <w:rtl/>
          <w:lang w:bidi="ar-EG"/>
        </w:rPr>
        <w:t>ال</w:t>
      </w:r>
      <w:r w:rsidRPr="00CC46CF">
        <w:rPr>
          <w:rFonts w:hint="cs"/>
          <w:rtl/>
          <w:lang w:bidi="ar-EG"/>
        </w:rPr>
        <w:t xml:space="preserve">عمل </w:t>
      </w:r>
      <w:r>
        <w:rPr>
          <w:rFonts w:hint="cs"/>
          <w:rtl/>
          <w:lang w:bidi="ar-EG"/>
        </w:rPr>
        <w:t>ال</w:t>
      </w:r>
      <w:r w:rsidRPr="00CC46CF">
        <w:rPr>
          <w:rFonts w:hint="cs"/>
          <w:rtl/>
          <w:lang w:bidi="ar-EG"/>
        </w:rPr>
        <w:t xml:space="preserve">وطنية لمكافحة العنف </w:t>
      </w:r>
      <w:r>
        <w:rPr>
          <w:rFonts w:hint="cs"/>
          <w:rtl/>
          <w:lang w:bidi="ar-EG"/>
        </w:rPr>
        <w:t>المنزلي</w:t>
      </w:r>
      <w:r w:rsidRPr="00CC46CF">
        <w:rPr>
          <w:rFonts w:hint="cs"/>
          <w:rtl/>
          <w:lang w:bidi="ar-EG"/>
        </w:rPr>
        <w:t>، و</w:t>
      </w:r>
      <w:r>
        <w:rPr>
          <w:rFonts w:hint="cs"/>
          <w:rtl/>
          <w:lang w:bidi="ar-EG"/>
        </w:rPr>
        <w:t>ب</w:t>
      </w:r>
      <w:r w:rsidRPr="00CC46CF">
        <w:rPr>
          <w:rFonts w:hint="cs"/>
          <w:rtl/>
          <w:lang w:bidi="ar-EG"/>
        </w:rPr>
        <w:t>خاصة عن طريق التمويل المشترك لعلاج مرتكبي العنف و</w:t>
      </w:r>
      <w:r>
        <w:rPr>
          <w:rFonts w:hint="cs"/>
          <w:rtl/>
          <w:lang w:bidi="ar-EG"/>
        </w:rPr>
        <w:t>ل</w:t>
      </w:r>
      <w:r w:rsidRPr="00CC46CF">
        <w:rPr>
          <w:rFonts w:hint="cs"/>
          <w:rtl/>
          <w:lang w:bidi="ar-EG"/>
        </w:rPr>
        <w:t>أعمال تنسيق إقليمية لتكافؤ الفرص.</w:t>
      </w:r>
    </w:p>
    <w:p w:rsidR="007023B4" w:rsidRPr="00CC46CF" w:rsidRDefault="007023B4" w:rsidP="007023B4">
      <w:pPr>
        <w:pStyle w:val="SingleTxt"/>
        <w:rPr>
          <w:rFonts w:hint="cs"/>
          <w:rtl/>
          <w:lang w:bidi="ar-EG"/>
        </w:rPr>
      </w:pPr>
      <w:r w:rsidRPr="00CC46CF">
        <w:rPr>
          <w:rFonts w:hint="cs"/>
          <w:rtl/>
          <w:lang w:bidi="ar-EG"/>
        </w:rPr>
        <w:tab/>
        <w:t xml:space="preserve">وفي </w:t>
      </w:r>
      <w:r>
        <w:rPr>
          <w:rFonts w:hint="cs"/>
          <w:rtl/>
          <w:lang w:bidi="ar-EG"/>
        </w:rPr>
        <w:t>الإدارة</w:t>
      </w:r>
      <w:r w:rsidRPr="00CC46CF">
        <w:rPr>
          <w:rFonts w:hint="cs"/>
          <w:rtl/>
          <w:lang w:bidi="ar-EG"/>
        </w:rPr>
        <w:t xml:space="preserve"> العامة الوالونية للتدريب المهني والتوظيف أقيم جهاز لوقاية وحماية العمال والعاملات في مجال العنف والتحرش </w:t>
      </w:r>
      <w:r>
        <w:rPr>
          <w:rFonts w:hint="cs"/>
          <w:rtl/>
          <w:lang w:bidi="ar-EG"/>
        </w:rPr>
        <w:t xml:space="preserve">المعنوي </w:t>
      </w:r>
      <w:r w:rsidRPr="00CC46CF">
        <w:rPr>
          <w:rFonts w:hint="cs"/>
          <w:rtl/>
          <w:lang w:bidi="ar-EG"/>
        </w:rPr>
        <w:t xml:space="preserve">والتحرش الجنسي في مكان العمل. </w:t>
      </w:r>
      <w:r>
        <w:rPr>
          <w:rFonts w:hint="cs"/>
          <w:rtl/>
          <w:lang w:bidi="ar-EG"/>
        </w:rPr>
        <w:t xml:space="preserve">ومهمة الجهاز أن تدرج </w:t>
      </w:r>
      <w:r w:rsidRPr="00CC46CF">
        <w:rPr>
          <w:rFonts w:hint="cs"/>
          <w:rtl/>
          <w:lang w:bidi="ar-EG"/>
        </w:rPr>
        <w:t xml:space="preserve">في اللائحة الجديدة للعمل في </w:t>
      </w:r>
      <w:r>
        <w:rPr>
          <w:rFonts w:hint="cs"/>
          <w:rtl/>
          <w:lang w:bidi="ar-EG"/>
        </w:rPr>
        <w:t xml:space="preserve">الإدارة </w:t>
      </w:r>
      <w:r w:rsidRPr="00CC46CF">
        <w:rPr>
          <w:rFonts w:hint="cs"/>
          <w:rtl/>
          <w:lang w:bidi="ar-EG"/>
        </w:rPr>
        <w:t>(</w:t>
      </w:r>
      <w:r>
        <w:rPr>
          <w:rFonts w:hint="cs"/>
          <w:rtl/>
          <w:lang w:bidi="ar-EG"/>
        </w:rPr>
        <w:t>يبدأ سريانها</w:t>
      </w:r>
      <w:r w:rsidRPr="00CC46CF">
        <w:rPr>
          <w:rFonts w:hint="cs"/>
          <w:rtl/>
          <w:lang w:bidi="ar-EG"/>
        </w:rPr>
        <w:t xml:space="preserve"> في أول كانون الثاني</w:t>
      </w:r>
      <w:r>
        <w:rPr>
          <w:rFonts w:hint="cs"/>
          <w:rtl/>
          <w:lang w:bidi="ar-EG"/>
        </w:rPr>
        <w:t>/يناير</w:t>
      </w:r>
      <w:r w:rsidRPr="00CC46CF">
        <w:rPr>
          <w:rFonts w:hint="cs"/>
          <w:rtl/>
          <w:lang w:bidi="ar-EG"/>
        </w:rPr>
        <w:t xml:space="preserve"> 2006) تعليمات تتعلق بالعنف والتحرش </w:t>
      </w:r>
      <w:r>
        <w:rPr>
          <w:rFonts w:hint="cs"/>
          <w:rtl/>
          <w:lang w:bidi="ar-EG"/>
        </w:rPr>
        <w:t>المعنوي</w:t>
      </w:r>
      <w:r w:rsidRPr="00CC46CF">
        <w:rPr>
          <w:rFonts w:hint="cs"/>
          <w:rtl/>
          <w:lang w:bidi="ar-EG"/>
        </w:rPr>
        <w:t xml:space="preserve"> أو الجنسي في العمل </w:t>
      </w:r>
      <w:r>
        <w:rPr>
          <w:rFonts w:hint="cs"/>
          <w:rtl/>
          <w:lang w:bidi="ar-EG"/>
        </w:rPr>
        <w:t>و</w:t>
      </w:r>
      <w:r w:rsidRPr="00CC46CF">
        <w:rPr>
          <w:rFonts w:hint="cs"/>
          <w:rtl/>
          <w:lang w:bidi="ar-EG"/>
        </w:rPr>
        <w:t>تشمل ما يلي:</w:t>
      </w:r>
    </w:p>
    <w:p w:rsidR="007023B4" w:rsidRPr="00CC46CF" w:rsidRDefault="007023B4" w:rsidP="007023B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sidRPr="00CC46CF">
        <w:rPr>
          <w:rFonts w:hint="cs"/>
          <w:rtl/>
          <w:lang w:bidi="ar-EG"/>
        </w:rPr>
        <w:tab/>
        <w:t>•</w:t>
      </w:r>
      <w:r w:rsidRPr="00CC46CF">
        <w:rPr>
          <w:rFonts w:hint="cs"/>
          <w:rtl/>
          <w:lang w:bidi="ar-EG"/>
        </w:rPr>
        <w:tab/>
        <w:t>إعلان مبادئ؛</w:t>
      </w:r>
    </w:p>
    <w:p w:rsidR="007023B4" w:rsidRPr="00CC46CF" w:rsidRDefault="007023B4" w:rsidP="007023B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sidRPr="00CC46CF">
        <w:rPr>
          <w:rFonts w:hint="cs"/>
          <w:rtl/>
          <w:lang w:bidi="ar-EG"/>
        </w:rPr>
        <w:tab/>
        <w:t>•</w:t>
      </w:r>
      <w:r w:rsidRPr="00CC46CF">
        <w:rPr>
          <w:rFonts w:hint="cs"/>
          <w:rtl/>
          <w:lang w:bidi="ar-EG"/>
        </w:rPr>
        <w:tab/>
        <w:t>التع</w:t>
      </w:r>
      <w:r>
        <w:rPr>
          <w:rFonts w:hint="cs"/>
          <w:rtl/>
          <w:lang w:bidi="ar-EG"/>
        </w:rPr>
        <w:t>ا</w:t>
      </w:r>
      <w:r w:rsidRPr="00CC46CF">
        <w:rPr>
          <w:rFonts w:hint="cs"/>
          <w:rtl/>
          <w:lang w:bidi="ar-EG"/>
        </w:rPr>
        <w:t>ريف والإطار القانوني؛</w:t>
      </w:r>
    </w:p>
    <w:p w:rsidR="007023B4" w:rsidRPr="00CC46CF" w:rsidRDefault="007023B4" w:rsidP="007023B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sidRPr="00CC46CF">
        <w:rPr>
          <w:rFonts w:hint="cs"/>
          <w:rtl/>
          <w:lang w:bidi="ar-EG"/>
        </w:rPr>
        <w:tab/>
        <w:t>•</w:t>
      </w:r>
      <w:r w:rsidRPr="00CC46CF">
        <w:rPr>
          <w:rFonts w:hint="cs"/>
          <w:rtl/>
          <w:lang w:bidi="ar-EG"/>
        </w:rPr>
        <w:tab/>
        <w:t>إعلان سياسة الوقاية والحماية؛</w:t>
      </w:r>
    </w:p>
    <w:p w:rsidR="007023B4" w:rsidRPr="00CC46CF" w:rsidRDefault="007023B4" w:rsidP="007023B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sidRPr="00CC46CF">
        <w:rPr>
          <w:rFonts w:hint="cs"/>
          <w:rtl/>
          <w:lang w:bidi="ar-EG"/>
        </w:rPr>
        <w:tab/>
        <w:t>•</w:t>
      </w:r>
      <w:r w:rsidRPr="00CC46CF">
        <w:rPr>
          <w:rFonts w:hint="cs"/>
          <w:rtl/>
          <w:lang w:bidi="ar-EG"/>
        </w:rPr>
        <w:tab/>
      </w:r>
      <w:r>
        <w:rPr>
          <w:rFonts w:hint="cs"/>
          <w:rtl/>
          <w:lang w:bidi="ar-EG"/>
        </w:rPr>
        <w:t>وصف</w:t>
      </w:r>
      <w:r w:rsidRPr="00CC46CF">
        <w:rPr>
          <w:rFonts w:hint="cs"/>
          <w:rtl/>
          <w:lang w:bidi="ar-EG"/>
        </w:rPr>
        <w:t xml:space="preserve"> الجهاز </w:t>
      </w:r>
      <w:r>
        <w:rPr>
          <w:rFonts w:hint="cs"/>
          <w:rtl/>
          <w:lang w:bidi="ar-EG"/>
        </w:rPr>
        <w:t>المنشأ</w:t>
      </w:r>
      <w:r w:rsidRPr="00CC46CF">
        <w:rPr>
          <w:rFonts w:hint="cs"/>
          <w:rtl/>
          <w:lang w:bidi="ar-EG"/>
        </w:rPr>
        <w:t>؛</w:t>
      </w:r>
    </w:p>
    <w:p w:rsidR="007023B4" w:rsidRDefault="007023B4" w:rsidP="007023B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sidRPr="00CC46CF">
        <w:rPr>
          <w:rFonts w:hint="cs"/>
          <w:rtl/>
          <w:lang w:bidi="ar-EG"/>
        </w:rPr>
        <w:tab/>
        <w:t>•</w:t>
      </w:r>
      <w:r w:rsidRPr="00CC46CF">
        <w:rPr>
          <w:rFonts w:hint="cs"/>
          <w:rtl/>
          <w:lang w:bidi="ar-EG"/>
        </w:rPr>
        <w:tab/>
      </w:r>
      <w:r>
        <w:rPr>
          <w:rFonts w:hint="cs"/>
          <w:rtl/>
          <w:lang w:bidi="ar-EG"/>
        </w:rPr>
        <w:t>وصف</w:t>
      </w:r>
      <w:r w:rsidRPr="00CC46CF">
        <w:rPr>
          <w:rFonts w:hint="cs"/>
          <w:rtl/>
          <w:lang w:bidi="ar-EG"/>
        </w:rPr>
        <w:t xml:space="preserve"> الإجراء</w:t>
      </w:r>
      <w:r>
        <w:rPr>
          <w:rFonts w:hint="cs"/>
          <w:rtl/>
          <w:lang w:bidi="ar-EG"/>
        </w:rPr>
        <w:t>ات</w:t>
      </w:r>
      <w:r w:rsidRPr="00CC46CF">
        <w:rPr>
          <w:rFonts w:hint="cs"/>
          <w:rtl/>
          <w:lang w:bidi="ar-EG"/>
        </w:rPr>
        <w:t xml:space="preserve"> المقرر </w:t>
      </w:r>
      <w:r>
        <w:rPr>
          <w:rFonts w:hint="cs"/>
          <w:rtl/>
          <w:lang w:bidi="ar-EG"/>
        </w:rPr>
        <w:t xml:space="preserve">أن يتبعها الموظفون والمتدربون الذين يعتبرون أنفسهم </w:t>
      </w:r>
      <w:r w:rsidRPr="00CC46CF">
        <w:rPr>
          <w:rFonts w:hint="cs"/>
          <w:rtl/>
          <w:lang w:bidi="ar-EG"/>
        </w:rPr>
        <w:t xml:space="preserve">ضحايا </w:t>
      </w:r>
      <w:r>
        <w:rPr>
          <w:rFonts w:hint="cs"/>
          <w:rtl/>
          <w:lang w:bidi="ar-EG"/>
        </w:rPr>
        <w:t>ل</w:t>
      </w:r>
      <w:r w:rsidRPr="00CC46CF">
        <w:rPr>
          <w:rFonts w:hint="cs"/>
          <w:rtl/>
          <w:lang w:bidi="ar-EG"/>
        </w:rPr>
        <w:t xml:space="preserve">لعنف أو التحرش من جانب </w:t>
      </w:r>
      <w:r>
        <w:rPr>
          <w:rFonts w:hint="cs"/>
          <w:rtl/>
          <w:lang w:bidi="ar-EG"/>
        </w:rPr>
        <w:t>موظفين</w:t>
      </w:r>
      <w:r w:rsidRPr="00CC46CF">
        <w:rPr>
          <w:rFonts w:hint="cs"/>
          <w:rtl/>
          <w:lang w:bidi="ar-EG"/>
        </w:rPr>
        <w:t xml:space="preserve"> آخرين أو متدربين (الداخليين) أو من جانب أشخاص آخرين (خارجيين)؛</w:t>
      </w:r>
    </w:p>
    <w:p w:rsidR="007023B4" w:rsidRPr="00CC46CF" w:rsidRDefault="007023B4" w:rsidP="007023B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مخطط لإجراءات التعامل مع شكاوى الموظفين (الداخليين)؛</w:t>
      </w:r>
    </w:p>
    <w:p w:rsidR="007023B4" w:rsidRPr="00CC46CF" w:rsidRDefault="007023B4" w:rsidP="007023B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sidRPr="00CC46CF">
        <w:rPr>
          <w:rFonts w:hint="cs"/>
          <w:rtl/>
          <w:lang w:bidi="ar-EG"/>
        </w:rPr>
        <w:tab/>
        <w:t>•</w:t>
      </w:r>
      <w:r w:rsidRPr="00CC46CF">
        <w:rPr>
          <w:rFonts w:hint="cs"/>
          <w:rtl/>
          <w:lang w:bidi="ar-EG"/>
        </w:rPr>
        <w:tab/>
      </w:r>
      <w:r>
        <w:rPr>
          <w:rFonts w:hint="cs"/>
          <w:rtl/>
          <w:lang w:bidi="ar-EG"/>
        </w:rPr>
        <w:t>وصف</w:t>
      </w:r>
      <w:r w:rsidRPr="00CC46CF">
        <w:rPr>
          <w:rFonts w:hint="cs"/>
          <w:rtl/>
          <w:lang w:bidi="ar-EG"/>
        </w:rPr>
        <w:t xml:space="preserve"> الإجراءات التأديبية والجزاءات؛</w:t>
      </w:r>
    </w:p>
    <w:p w:rsidR="007023B4" w:rsidRPr="00CC46CF" w:rsidRDefault="007023B4" w:rsidP="007023B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sidRPr="00CC46CF">
        <w:rPr>
          <w:rFonts w:hint="cs"/>
          <w:rtl/>
          <w:lang w:bidi="ar-EG"/>
        </w:rPr>
        <w:tab/>
        <w:t>•</w:t>
      </w:r>
      <w:r w:rsidRPr="00CC46CF">
        <w:rPr>
          <w:rFonts w:hint="cs"/>
          <w:rtl/>
          <w:lang w:bidi="ar-EG"/>
        </w:rPr>
        <w:tab/>
        <w:t>العناوين المفيدة؛</w:t>
      </w:r>
    </w:p>
    <w:p w:rsidR="007023B4" w:rsidRPr="00CC46CF" w:rsidRDefault="007023B4" w:rsidP="007023B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sidRPr="00CC46CF">
        <w:rPr>
          <w:rFonts w:hint="cs"/>
          <w:rtl/>
          <w:lang w:bidi="ar-EG"/>
        </w:rPr>
        <w:tab/>
        <w:t>•</w:t>
      </w:r>
      <w:r w:rsidRPr="00CC46CF">
        <w:rPr>
          <w:rFonts w:hint="cs"/>
          <w:rtl/>
          <w:lang w:bidi="ar-EG"/>
        </w:rPr>
        <w:tab/>
      </w:r>
      <w:r>
        <w:rPr>
          <w:rFonts w:hint="cs"/>
          <w:rtl/>
          <w:lang w:bidi="ar-EG"/>
        </w:rPr>
        <w:t xml:space="preserve">بيانات </w:t>
      </w:r>
      <w:r w:rsidRPr="00CC46CF">
        <w:rPr>
          <w:rFonts w:hint="cs"/>
          <w:rtl/>
          <w:lang w:bidi="ar-EG"/>
        </w:rPr>
        <w:t>وعناوين الاتصال بالأشخاص الذين يستمع إليهم؛</w:t>
      </w:r>
    </w:p>
    <w:p w:rsidR="007023B4" w:rsidRPr="00CC46CF" w:rsidRDefault="007023B4" w:rsidP="007023B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sidRPr="00CC46CF">
        <w:rPr>
          <w:rFonts w:hint="cs"/>
          <w:rtl/>
          <w:lang w:bidi="ar-EG"/>
        </w:rPr>
        <w:tab/>
        <w:t>•</w:t>
      </w:r>
      <w:r w:rsidRPr="00CC46CF">
        <w:rPr>
          <w:rFonts w:hint="cs"/>
          <w:rtl/>
          <w:lang w:bidi="ar-EG"/>
        </w:rPr>
        <w:tab/>
      </w:r>
      <w:r>
        <w:rPr>
          <w:rFonts w:hint="cs"/>
          <w:rtl/>
          <w:lang w:bidi="ar-EG"/>
        </w:rPr>
        <w:t>وصف</w:t>
      </w:r>
      <w:r w:rsidRPr="00CC46CF">
        <w:rPr>
          <w:rFonts w:hint="cs"/>
          <w:rtl/>
          <w:lang w:bidi="ar-EG"/>
        </w:rPr>
        <w:t xml:space="preserve"> الوثائق المتاحة.</w:t>
      </w:r>
    </w:p>
    <w:p w:rsidR="007023B4" w:rsidRPr="00CC46CF" w:rsidRDefault="007023B4" w:rsidP="007023B4">
      <w:pPr>
        <w:pStyle w:val="SingleTxt"/>
        <w:rPr>
          <w:rFonts w:hint="cs"/>
          <w:rtl/>
          <w:lang w:bidi="ar-EG"/>
        </w:rPr>
      </w:pPr>
      <w:r w:rsidRPr="00CC46CF">
        <w:rPr>
          <w:rFonts w:hint="cs"/>
          <w:rtl/>
          <w:lang w:bidi="ar-EG"/>
        </w:rPr>
        <w:tab/>
        <w:t>والإجراء</w:t>
      </w:r>
      <w:r>
        <w:rPr>
          <w:rFonts w:hint="cs"/>
          <w:rtl/>
          <w:lang w:bidi="ar-EG"/>
        </w:rPr>
        <w:t>ات</w:t>
      </w:r>
      <w:r w:rsidRPr="00CC46CF">
        <w:rPr>
          <w:rFonts w:hint="cs"/>
          <w:rtl/>
          <w:lang w:bidi="ar-EG"/>
        </w:rPr>
        <w:t xml:space="preserve"> في مجموعه</w:t>
      </w:r>
      <w:r>
        <w:rPr>
          <w:rFonts w:hint="cs"/>
          <w:rtl/>
          <w:lang w:bidi="ar-EG"/>
        </w:rPr>
        <w:t>ا</w:t>
      </w:r>
      <w:r w:rsidRPr="00CC46CF">
        <w:rPr>
          <w:rFonts w:hint="cs"/>
          <w:rtl/>
          <w:lang w:bidi="ar-EG"/>
        </w:rPr>
        <w:t xml:space="preserve"> ميسور</w:t>
      </w:r>
      <w:r>
        <w:rPr>
          <w:rFonts w:hint="cs"/>
          <w:rtl/>
          <w:lang w:bidi="ar-EG"/>
        </w:rPr>
        <w:t>ة</w:t>
      </w:r>
      <w:r w:rsidRPr="00CC46CF">
        <w:rPr>
          <w:rFonts w:hint="cs"/>
          <w:rtl/>
          <w:lang w:bidi="ar-EG"/>
        </w:rPr>
        <w:t xml:space="preserve"> وفي المتناول بالنسبة لجميع الموظفين على موقع </w:t>
      </w:r>
      <w:r>
        <w:rPr>
          <w:rFonts w:hint="cs"/>
          <w:rtl/>
          <w:lang w:bidi="ar-EG"/>
        </w:rPr>
        <w:t>الإدارة</w:t>
      </w:r>
      <w:r w:rsidRPr="00CC46CF">
        <w:rPr>
          <w:rFonts w:hint="cs"/>
          <w:rtl/>
          <w:lang w:bidi="ar-EG"/>
        </w:rPr>
        <w:t xml:space="preserve"> على الإنترنت.</w:t>
      </w:r>
    </w:p>
    <w:p w:rsidR="007023B4" w:rsidRDefault="007023B4" w:rsidP="007023B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sidRPr="00CC46CF">
        <w:rPr>
          <w:rFonts w:hint="cs"/>
          <w:rtl/>
          <w:lang w:bidi="ar-EG"/>
        </w:rPr>
        <w:tab/>
        <w:t>3 -</w:t>
      </w:r>
      <w:r w:rsidRPr="00CC46CF">
        <w:rPr>
          <w:rFonts w:hint="cs"/>
          <w:rtl/>
          <w:lang w:bidi="ar-EG"/>
        </w:rPr>
        <w:tab/>
        <w:t>المهاجرات</w:t>
      </w:r>
    </w:p>
    <w:p w:rsidR="007023B4" w:rsidRDefault="007023B4" w:rsidP="007023B4">
      <w:pPr>
        <w:pStyle w:val="SingleTxt"/>
        <w:rPr>
          <w:rFonts w:hint="cs"/>
          <w:rtl/>
          <w:lang w:bidi="ar-EG"/>
        </w:rPr>
      </w:pPr>
      <w:r>
        <w:rPr>
          <w:rFonts w:hint="cs"/>
          <w:rtl/>
          <w:lang w:bidi="ar-EG"/>
        </w:rPr>
        <w:tab/>
        <w:t xml:space="preserve">ينظم المرسوم الصادر في 4 </w:t>
      </w:r>
      <w:r>
        <w:rPr>
          <w:rFonts w:hint="eastAsia"/>
          <w:rtl/>
          <w:lang w:bidi="ar-EG"/>
        </w:rPr>
        <w:t>تموز</w:t>
      </w:r>
      <w:r>
        <w:rPr>
          <w:rtl/>
          <w:lang w:bidi="ar-EG"/>
        </w:rPr>
        <w:t xml:space="preserve">/يوليه </w:t>
      </w:r>
      <w:r>
        <w:rPr>
          <w:rFonts w:hint="cs"/>
          <w:rtl/>
          <w:lang w:bidi="ar-EG"/>
        </w:rPr>
        <w:t>1996 بشأن إدماج الأجانب أو الأشخاص المنحدرين من أصول أجنبية موافقة سبعة مراكز إقليمية. وينص أيضا على تقديم المساعدة إلى المبادرات المحلية للتنمية الاجتماعية.</w:t>
      </w:r>
    </w:p>
    <w:p w:rsidR="007023B4" w:rsidRDefault="007023B4" w:rsidP="007023B4">
      <w:pPr>
        <w:pStyle w:val="SingleTxt"/>
        <w:rPr>
          <w:rFonts w:hint="cs"/>
          <w:rtl/>
          <w:lang w:bidi="ar-EG"/>
        </w:rPr>
      </w:pPr>
      <w:r>
        <w:rPr>
          <w:rFonts w:hint="cs"/>
          <w:rtl/>
          <w:lang w:bidi="ar-EG"/>
        </w:rPr>
        <w:tab/>
        <w:t>وفي هذا الإطار يدعم إقليم والون تدابير عديدة للتحرر الاجتماعي تستهدف المهاجرات، ولا سيما الآتيات من أوساط شعبية. وتهدف هذه التدابير إلى تمكين هؤلاء النساء من استيفاء الشروط الدنيا اللازمة للانخراط في عملية الاندماج الاجتماعي والمهني، عن طريق تعلم الفرنسية باعتبارها لغة أجنبية، واكتساب المعارف الاجتماعية والثقافية الكافية عن البيئة المستقبلة لهن. ويجري كل عام تقديم المساعدة إلى ما يقرب من مائة وخمسين مبادرة.</w:t>
      </w:r>
    </w:p>
    <w:p w:rsidR="007023B4" w:rsidRPr="007023B4" w:rsidRDefault="007023B4" w:rsidP="007023B4">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lang w:bidi="ar-EG"/>
        </w:rPr>
      </w:pPr>
    </w:p>
    <w:p w:rsidR="007023B4" w:rsidRPr="001B1504" w:rsidRDefault="007023B4" w:rsidP="007023B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t>دال -</w:t>
      </w:r>
      <w:r>
        <w:rPr>
          <w:rFonts w:hint="cs"/>
          <w:rtl/>
          <w:lang w:bidi="ar-EG"/>
        </w:rPr>
        <w:tab/>
        <w:t>إقليم بروكسل العاصمة</w:t>
      </w:r>
    </w:p>
    <w:p w:rsidR="007023B4" w:rsidRPr="00CC46CF" w:rsidRDefault="007023B4" w:rsidP="007023B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Pr="00CC46CF">
        <w:rPr>
          <w:rFonts w:hint="cs"/>
          <w:rtl/>
          <w:lang w:bidi="ar-EG"/>
        </w:rPr>
        <w:t>1 -</w:t>
      </w:r>
      <w:r w:rsidRPr="00CC46CF">
        <w:rPr>
          <w:rFonts w:hint="cs"/>
          <w:rtl/>
          <w:lang w:bidi="ar-EG"/>
        </w:rPr>
        <w:tab/>
        <w:t>بيانات و</w:t>
      </w:r>
      <w:r>
        <w:rPr>
          <w:rFonts w:hint="cs"/>
          <w:rtl/>
          <w:lang w:bidi="ar-EG"/>
        </w:rPr>
        <w:t>قائعية</w:t>
      </w:r>
    </w:p>
    <w:p w:rsidR="007023B4" w:rsidRPr="00CC46CF" w:rsidRDefault="007023B4" w:rsidP="007023B4">
      <w:pPr>
        <w:pStyle w:val="SingleTxt"/>
        <w:rPr>
          <w:rFonts w:hint="cs"/>
          <w:rtl/>
          <w:lang w:bidi="ar-EG"/>
        </w:rPr>
      </w:pPr>
      <w:r w:rsidRPr="00CC46CF">
        <w:rPr>
          <w:rFonts w:hint="cs"/>
          <w:rtl/>
          <w:lang w:bidi="ar-EG"/>
        </w:rPr>
        <w:tab/>
        <w:t>تؤكد إعلانات حكومة بروكسل منذ عدة سنوات على المساواة وتتعاظم العملية بموجب هذا التشريع</w:t>
      </w:r>
      <w:r w:rsidRPr="00CC46CF">
        <w:rPr>
          <w:vertAlign w:val="superscript"/>
          <w:rtl/>
          <w:lang w:bidi="ar-EG"/>
        </w:rPr>
        <w:t>(</w:t>
      </w:r>
      <w:r w:rsidRPr="00CC46CF">
        <w:rPr>
          <w:vertAlign w:val="superscript"/>
          <w:rtl/>
        </w:rPr>
        <w:footnoteReference w:id="21"/>
      </w:r>
      <w:r w:rsidRPr="00CC46CF">
        <w:rPr>
          <w:vertAlign w:val="superscript"/>
          <w:rtl/>
          <w:lang w:bidi="ar-EG"/>
        </w:rPr>
        <w:t>)</w:t>
      </w:r>
      <w:r w:rsidRPr="00CC46CF">
        <w:rPr>
          <w:rFonts w:hint="cs"/>
          <w:rtl/>
          <w:lang w:bidi="ar-EG"/>
        </w:rPr>
        <w:t>. ولتأييد إدراج تعميم مراعاة المنظور الجنساني فإن الإقليم خصص له عدة آليات.</w:t>
      </w:r>
    </w:p>
    <w:p w:rsidR="007023B4" w:rsidRPr="00CC46CF" w:rsidRDefault="007023B4" w:rsidP="007023B4">
      <w:pPr>
        <w:pStyle w:val="SingleTxt"/>
        <w:rPr>
          <w:rFonts w:hint="cs"/>
          <w:rtl/>
          <w:lang w:bidi="ar-EG"/>
        </w:rPr>
      </w:pPr>
      <w:r w:rsidRPr="00CC46CF">
        <w:rPr>
          <w:rFonts w:hint="cs"/>
          <w:rtl/>
          <w:lang w:bidi="ar-EG"/>
        </w:rPr>
        <w:tab/>
      </w:r>
      <w:r>
        <w:rPr>
          <w:rFonts w:hint="cs"/>
          <w:rtl/>
          <w:lang w:bidi="ar-EG"/>
        </w:rPr>
        <w:t xml:space="preserve">ولدى الوزارة </w:t>
      </w:r>
      <w:r w:rsidRPr="00CC46CF">
        <w:rPr>
          <w:rFonts w:hint="cs"/>
          <w:rtl/>
          <w:lang w:bidi="ar-EG"/>
        </w:rPr>
        <w:t xml:space="preserve">عدة دوائر مسؤولة عن هذا المجال على الصعيد الداخلي </w:t>
      </w:r>
      <w:r>
        <w:rPr>
          <w:rFonts w:hint="cs"/>
          <w:rtl/>
          <w:lang w:bidi="ar-EG"/>
        </w:rPr>
        <w:t>و</w:t>
      </w:r>
      <w:r w:rsidRPr="00CC46CF">
        <w:rPr>
          <w:rFonts w:hint="cs"/>
          <w:rtl/>
          <w:lang w:bidi="ar-EG"/>
        </w:rPr>
        <w:t>الخارجي</w:t>
      </w:r>
      <w:r>
        <w:rPr>
          <w:rFonts w:hint="cs"/>
          <w:rtl/>
          <w:lang w:bidi="ar-EG"/>
        </w:rPr>
        <w:t xml:space="preserve"> معا</w:t>
      </w:r>
      <w:r w:rsidRPr="00CC46CF">
        <w:rPr>
          <w:rFonts w:hint="cs"/>
          <w:rtl/>
          <w:lang w:bidi="ar-EG"/>
        </w:rPr>
        <w:t>.</w:t>
      </w:r>
    </w:p>
    <w:p w:rsidR="007023B4" w:rsidRPr="00CC46CF" w:rsidRDefault="00CB4FD6" w:rsidP="00CB4FD6">
      <w:pPr>
        <w:pStyle w:val="SingleTxt"/>
        <w:rPr>
          <w:rFonts w:hint="cs"/>
          <w:rtl/>
          <w:lang w:bidi="ar-EG"/>
        </w:rPr>
      </w:pPr>
      <w:r>
        <w:rPr>
          <w:rFonts w:hint="cs"/>
          <w:rtl/>
          <w:lang w:bidi="ar-EG"/>
        </w:rPr>
        <w:tab/>
      </w:r>
      <w:r w:rsidR="007023B4" w:rsidRPr="00CC46CF">
        <w:rPr>
          <w:rFonts w:hint="cs"/>
          <w:rtl/>
          <w:lang w:bidi="ar-EG"/>
        </w:rPr>
        <w:t xml:space="preserve">ولدى </w:t>
      </w:r>
      <w:r w:rsidR="007023B4">
        <w:rPr>
          <w:rFonts w:hint="cs"/>
          <w:rtl/>
          <w:lang w:bidi="ar-EG"/>
        </w:rPr>
        <w:t xml:space="preserve">إدارة </w:t>
      </w:r>
      <w:r w:rsidR="007023B4" w:rsidRPr="00CC46CF">
        <w:rPr>
          <w:rFonts w:hint="cs"/>
          <w:rtl/>
          <w:lang w:bidi="ar-EG"/>
        </w:rPr>
        <w:t xml:space="preserve">الموارد البشرية وتكافؤ الفرص </w:t>
      </w:r>
      <w:r w:rsidR="007023B4">
        <w:rPr>
          <w:rFonts w:hint="cs"/>
          <w:rtl/>
          <w:lang w:bidi="ar-EG"/>
        </w:rPr>
        <w:t xml:space="preserve">وحدة </w:t>
      </w:r>
      <w:r w:rsidR="007023B4" w:rsidRPr="00CC46CF">
        <w:rPr>
          <w:rFonts w:hint="cs"/>
          <w:rtl/>
          <w:lang w:bidi="ar-EG"/>
        </w:rPr>
        <w:t xml:space="preserve">مكلفة بالنهوض بالمساواة والتنوع داخل الوزارة. ويتم كل عام </w:t>
      </w:r>
      <w:r w:rsidR="007023B4">
        <w:rPr>
          <w:rFonts w:hint="cs"/>
          <w:rtl/>
          <w:lang w:bidi="ar-EG"/>
        </w:rPr>
        <w:t xml:space="preserve">داخليا </w:t>
      </w:r>
      <w:r w:rsidR="007023B4" w:rsidRPr="00CC46CF">
        <w:rPr>
          <w:rFonts w:hint="cs"/>
          <w:rtl/>
          <w:lang w:bidi="ar-EG"/>
        </w:rPr>
        <w:t xml:space="preserve">اقتراح عدة إجراءات لتدريب </w:t>
      </w:r>
      <w:r w:rsidR="007023B4">
        <w:rPr>
          <w:rFonts w:hint="cs"/>
          <w:rtl/>
          <w:lang w:bidi="ar-EG"/>
        </w:rPr>
        <w:t xml:space="preserve">الموظفين </w:t>
      </w:r>
      <w:r w:rsidR="007023B4" w:rsidRPr="00CC46CF">
        <w:rPr>
          <w:rFonts w:hint="cs"/>
          <w:rtl/>
          <w:lang w:bidi="ar-EG"/>
        </w:rPr>
        <w:t>على التوعية والاتصال</w:t>
      </w:r>
      <w:r w:rsidR="007023B4">
        <w:rPr>
          <w:rFonts w:hint="cs"/>
          <w:rtl/>
          <w:lang w:bidi="ar-EG"/>
        </w:rPr>
        <w:t>، وتزويدهم بصفة</w:t>
      </w:r>
      <w:r w:rsidR="007023B4" w:rsidRPr="00CC46CF">
        <w:rPr>
          <w:rFonts w:hint="cs"/>
          <w:rtl/>
          <w:lang w:bidi="ar-EG"/>
        </w:rPr>
        <w:t xml:space="preserve"> خاصة </w:t>
      </w:r>
      <w:r w:rsidR="007023B4">
        <w:rPr>
          <w:rFonts w:hint="cs"/>
          <w:rtl/>
          <w:lang w:bidi="ar-EG"/>
        </w:rPr>
        <w:t>ب</w:t>
      </w:r>
      <w:r w:rsidR="007023B4" w:rsidRPr="00CC46CF">
        <w:rPr>
          <w:rFonts w:hint="cs"/>
          <w:rtl/>
          <w:lang w:bidi="ar-EG"/>
        </w:rPr>
        <w:t>المعلومات ذات الطابع القانوني.</w:t>
      </w:r>
    </w:p>
    <w:p w:rsidR="007023B4" w:rsidRPr="00CC46CF" w:rsidRDefault="007023B4" w:rsidP="00CB4FD6">
      <w:pPr>
        <w:pStyle w:val="SingleTxt"/>
        <w:rPr>
          <w:rFonts w:hint="cs"/>
          <w:rtl/>
          <w:lang w:bidi="ar-EG"/>
        </w:rPr>
      </w:pPr>
      <w:r w:rsidRPr="00CC46CF">
        <w:rPr>
          <w:rFonts w:hint="cs"/>
          <w:rtl/>
          <w:lang w:bidi="ar-EG"/>
        </w:rPr>
        <w:tab/>
        <w:t xml:space="preserve">وتعمل الوزارة على تطبيق </w:t>
      </w:r>
      <w:r>
        <w:rPr>
          <w:rFonts w:hint="cs"/>
          <w:rtl/>
          <w:lang w:bidi="ar-EG"/>
        </w:rPr>
        <w:t>الأمر</w:t>
      </w:r>
      <w:r w:rsidRPr="00CC46CF">
        <w:rPr>
          <w:rFonts w:hint="cs"/>
          <w:rtl/>
          <w:lang w:bidi="ar-EG"/>
        </w:rPr>
        <w:t xml:space="preserve"> الملكي المؤرخ 27 شباط/فبراير 1990 والمتعلق بالتدابير الرامية إلى تعزيز تكافؤ الفرص بين الرجل والمرأة في الدوائر العامة.</w:t>
      </w:r>
      <w:r w:rsidR="00CB4FD6">
        <w:rPr>
          <w:rFonts w:hint="cs"/>
          <w:rtl/>
          <w:lang w:bidi="ar-EG"/>
        </w:rPr>
        <w:t xml:space="preserve"> </w:t>
      </w:r>
      <w:r w:rsidRPr="00CC46CF">
        <w:rPr>
          <w:rFonts w:hint="cs"/>
          <w:rtl/>
          <w:lang w:bidi="ar-EG"/>
        </w:rPr>
        <w:t xml:space="preserve">وفي هذا الإطار، </w:t>
      </w:r>
      <w:r>
        <w:rPr>
          <w:rFonts w:hint="cs"/>
          <w:rtl/>
          <w:lang w:bidi="ar-EG"/>
        </w:rPr>
        <w:t xml:space="preserve">عينت </w:t>
      </w:r>
      <w:r w:rsidRPr="00CC46CF">
        <w:rPr>
          <w:rFonts w:hint="cs"/>
          <w:rtl/>
          <w:lang w:bidi="ar-EG"/>
        </w:rPr>
        <w:t>موظف</w:t>
      </w:r>
      <w:r>
        <w:rPr>
          <w:rFonts w:hint="cs"/>
          <w:rtl/>
          <w:lang w:bidi="ar-EG"/>
        </w:rPr>
        <w:t>ة</w:t>
      </w:r>
      <w:r w:rsidRPr="00CC46CF">
        <w:rPr>
          <w:rFonts w:hint="cs"/>
          <w:rtl/>
          <w:lang w:bidi="ar-EG"/>
        </w:rPr>
        <w:t xml:space="preserve"> مكلف</w:t>
      </w:r>
      <w:r>
        <w:rPr>
          <w:rFonts w:hint="cs"/>
          <w:rtl/>
          <w:lang w:bidi="ar-EG"/>
        </w:rPr>
        <w:t>ة</w:t>
      </w:r>
      <w:r w:rsidRPr="00CC46CF">
        <w:rPr>
          <w:rFonts w:hint="cs"/>
          <w:rtl/>
          <w:lang w:bidi="ar-EG"/>
        </w:rPr>
        <w:t xml:space="preserve"> بتكافؤ الفرص، </w:t>
      </w:r>
      <w:r>
        <w:rPr>
          <w:rFonts w:hint="cs"/>
          <w:rtl/>
          <w:lang w:bidi="ar-EG"/>
        </w:rPr>
        <w:t xml:space="preserve">ويجري بانتظام </w:t>
      </w:r>
      <w:r w:rsidRPr="00CC46CF">
        <w:rPr>
          <w:rFonts w:hint="cs"/>
          <w:rtl/>
          <w:lang w:bidi="ar-EG"/>
        </w:rPr>
        <w:t>إعداد تقرير تحليلي يحتوي على بيانات جنسية تتعلق بالموظفين، وتحقيق خطة عمل لتكافؤ الفرص، و</w:t>
      </w:r>
      <w:r>
        <w:rPr>
          <w:rFonts w:hint="cs"/>
          <w:rtl/>
          <w:lang w:bidi="ar-EG"/>
        </w:rPr>
        <w:t>أنشئت</w:t>
      </w:r>
      <w:r w:rsidRPr="00CC46CF">
        <w:rPr>
          <w:rFonts w:hint="cs"/>
          <w:rtl/>
          <w:lang w:bidi="ar-EG"/>
        </w:rPr>
        <w:t xml:space="preserve"> لجنة داخلية </w:t>
      </w:r>
      <w:r>
        <w:rPr>
          <w:rFonts w:hint="cs"/>
          <w:rtl/>
          <w:lang w:bidi="ar-EG"/>
        </w:rPr>
        <w:t>لل</w:t>
      </w:r>
      <w:r w:rsidRPr="00CC46CF">
        <w:rPr>
          <w:rFonts w:hint="cs"/>
          <w:rtl/>
          <w:lang w:bidi="ar-EG"/>
        </w:rPr>
        <w:t>مرافقة.</w:t>
      </w:r>
    </w:p>
    <w:p w:rsidR="007023B4" w:rsidRPr="00CC46CF" w:rsidRDefault="007023B4" w:rsidP="00CB4FD6">
      <w:pPr>
        <w:pStyle w:val="SingleTxt"/>
        <w:rPr>
          <w:rFonts w:hint="cs"/>
          <w:rtl/>
          <w:lang w:bidi="ar-EG"/>
        </w:rPr>
      </w:pPr>
      <w:r w:rsidRPr="00CC46CF">
        <w:rPr>
          <w:rFonts w:hint="cs"/>
          <w:rtl/>
          <w:lang w:bidi="ar-EG"/>
        </w:rPr>
        <w:tab/>
        <w:t xml:space="preserve">وتقدم </w:t>
      </w:r>
      <w:r>
        <w:rPr>
          <w:rFonts w:hint="cs"/>
          <w:rtl/>
          <w:lang w:bidi="ar-EG"/>
        </w:rPr>
        <w:t>الوحدة</w:t>
      </w:r>
      <w:r w:rsidRPr="00CC46CF">
        <w:rPr>
          <w:rFonts w:hint="cs"/>
          <w:rtl/>
          <w:lang w:bidi="ar-EG"/>
        </w:rPr>
        <w:t xml:space="preserve"> دعماً مالياً للرابطات التي تقوم ب</w:t>
      </w:r>
      <w:r>
        <w:rPr>
          <w:rFonts w:hint="cs"/>
          <w:rtl/>
          <w:lang w:bidi="ar-EG"/>
        </w:rPr>
        <w:t>وضع</w:t>
      </w:r>
      <w:r w:rsidRPr="00CC46CF">
        <w:rPr>
          <w:rFonts w:hint="cs"/>
          <w:rtl/>
          <w:lang w:bidi="ar-EG"/>
        </w:rPr>
        <w:t xml:space="preserve"> مشروعات في هذا المجال.</w:t>
      </w:r>
      <w:r w:rsidR="00CB4FD6">
        <w:rPr>
          <w:rFonts w:hint="cs"/>
          <w:rtl/>
          <w:lang w:bidi="ar-EG"/>
        </w:rPr>
        <w:t xml:space="preserve"> </w:t>
      </w:r>
      <w:r w:rsidRPr="00CC46CF">
        <w:rPr>
          <w:rFonts w:hint="cs"/>
          <w:rtl/>
          <w:lang w:bidi="ar-EG"/>
        </w:rPr>
        <w:t>و</w:t>
      </w:r>
      <w:r>
        <w:rPr>
          <w:rFonts w:hint="cs"/>
          <w:rtl/>
          <w:lang w:bidi="ar-EG"/>
        </w:rPr>
        <w:t>ت</w:t>
      </w:r>
      <w:r w:rsidRPr="00CC46CF">
        <w:rPr>
          <w:rFonts w:hint="cs"/>
          <w:rtl/>
          <w:lang w:bidi="ar-EG"/>
        </w:rPr>
        <w:t xml:space="preserve">عمل في </w:t>
      </w:r>
      <w:r>
        <w:rPr>
          <w:rFonts w:hint="cs"/>
          <w:rtl/>
          <w:lang w:bidi="ar-EG"/>
        </w:rPr>
        <w:t>الوحدة</w:t>
      </w:r>
      <w:r w:rsidRPr="00CC46CF">
        <w:rPr>
          <w:rFonts w:hint="cs"/>
          <w:rtl/>
          <w:lang w:bidi="ar-EG"/>
        </w:rPr>
        <w:t xml:space="preserve"> موظف</w:t>
      </w:r>
      <w:r>
        <w:rPr>
          <w:rFonts w:hint="cs"/>
          <w:rtl/>
          <w:lang w:bidi="ar-EG"/>
        </w:rPr>
        <w:t>ة</w:t>
      </w:r>
      <w:r w:rsidRPr="00CC46CF">
        <w:rPr>
          <w:rFonts w:hint="cs"/>
          <w:rtl/>
          <w:lang w:bidi="ar-EG"/>
        </w:rPr>
        <w:t xml:space="preserve"> مكلف</w:t>
      </w:r>
      <w:r>
        <w:rPr>
          <w:rFonts w:hint="cs"/>
          <w:rtl/>
          <w:lang w:bidi="ar-EG"/>
        </w:rPr>
        <w:t>ة</w:t>
      </w:r>
      <w:r w:rsidRPr="00CC46CF">
        <w:rPr>
          <w:rFonts w:hint="cs"/>
          <w:rtl/>
          <w:lang w:bidi="ar-EG"/>
        </w:rPr>
        <w:t xml:space="preserve"> بتنسيق مكافحة العنف </w:t>
      </w:r>
      <w:r>
        <w:rPr>
          <w:rFonts w:hint="cs"/>
          <w:rtl/>
          <w:lang w:bidi="ar-EG"/>
        </w:rPr>
        <w:t>المنزلي،</w:t>
      </w:r>
      <w:r w:rsidRPr="00CC46CF">
        <w:rPr>
          <w:rFonts w:hint="cs"/>
          <w:rtl/>
          <w:lang w:bidi="ar-EG"/>
        </w:rPr>
        <w:t xml:space="preserve"> على أن يقوم إقليم بروكسل بالاشتراك في خطة اتحادية لمكافحة العنف </w:t>
      </w:r>
      <w:r>
        <w:rPr>
          <w:rFonts w:hint="cs"/>
          <w:rtl/>
          <w:lang w:bidi="ar-EG"/>
        </w:rPr>
        <w:t>المنزلي</w:t>
      </w:r>
      <w:r w:rsidRPr="00CC46CF">
        <w:rPr>
          <w:rFonts w:hint="cs"/>
          <w:rtl/>
          <w:lang w:bidi="ar-EG"/>
        </w:rPr>
        <w:t xml:space="preserve"> </w:t>
      </w:r>
      <w:r>
        <w:rPr>
          <w:rFonts w:hint="cs"/>
          <w:rtl/>
          <w:lang w:bidi="ar-EG"/>
        </w:rPr>
        <w:t>لل</w:t>
      </w:r>
      <w:r w:rsidRPr="00CC46CF">
        <w:rPr>
          <w:rFonts w:hint="cs"/>
          <w:rtl/>
          <w:lang w:bidi="ar-EG"/>
        </w:rPr>
        <w:t>فترة 2004-2007.</w:t>
      </w:r>
    </w:p>
    <w:p w:rsidR="007023B4" w:rsidRPr="00CC46CF" w:rsidRDefault="007023B4" w:rsidP="00CB4FD6">
      <w:pPr>
        <w:pStyle w:val="SingleTxt"/>
        <w:rPr>
          <w:rFonts w:hint="cs"/>
          <w:rtl/>
          <w:lang w:bidi="ar-EG"/>
        </w:rPr>
      </w:pPr>
      <w:r w:rsidRPr="00CC46CF">
        <w:rPr>
          <w:rFonts w:hint="cs"/>
          <w:rtl/>
          <w:lang w:bidi="ar-EG"/>
        </w:rPr>
        <w:tab/>
        <w:t xml:space="preserve">وتطبيقاً للتوصيات الصادرة عن مؤتمر بيجين، </w:t>
      </w:r>
      <w:r>
        <w:rPr>
          <w:rFonts w:hint="cs"/>
          <w:rtl/>
          <w:lang w:bidi="ar-EG"/>
        </w:rPr>
        <w:t>تضع الوحدة</w:t>
      </w:r>
      <w:r w:rsidRPr="00CC46CF">
        <w:rPr>
          <w:rFonts w:hint="cs"/>
          <w:rtl/>
          <w:lang w:bidi="ar-EG"/>
        </w:rPr>
        <w:t xml:space="preserve"> قائمة بالمبادرات المتخذة في إطار أهداف المؤتمر.</w:t>
      </w:r>
      <w:r w:rsidR="00CB4FD6">
        <w:rPr>
          <w:rFonts w:hint="cs"/>
          <w:rtl/>
          <w:lang w:bidi="ar-EG"/>
        </w:rPr>
        <w:t xml:space="preserve"> </w:t>
      </w:r>
      <w:r w:rsidRPr="00CC46CF">
        <w:rPr>
          <w:rFonts w:hint="cs"/>
          <w:rtl/>
          <w:lang w:bidi="ar-EG"/>
        </w:rPr>
        <w:t>و</w:t>
      </w:r>
      <w:r>
        <w:rPr>
          <w:rFonts w:hint="cs"/>
          <w:rtl/>
          <w:lang w:bidi="ar-EG"/>
        </w:rPr>
        <w:t>أنشئت في عام 2001</w:t>
      </w:r>
      <w:r w:rsidRPr="00CC46CF">
        <w:rPr>
          <w:rFonts w:hint="cs"/>
          <w:rtl/>
          <w:lang w:bidi="ar-EG"/>
        </w:rPr>
        <w:t xml:space="preserve"> </w:t>
      </w:r>
      <w:r>
        <w:rPr>
          <w:rFonts w:hint="cs"/>
          <w:rtl/>
          <w:lang w:bidi="ar-EG"/>
        </w:rPr>
        <w:t>وحدة</w:t>
      </w:r>
      <w:r w:rsidRPr="00CC46CF">
        <w:rPr>
          <w:rFonts w:hint="cs"/>
          <w:rtl/>
          <w:lang w:bidi="ar-EG"/>
        </w:rPr>
        <w:t xml:space="preserve"> للتنسيق في إدارة السلطات المحلية مسؤولة عن تعزيز المساواة بين الرجل والمرأة على المستوى البلدي. وفي إطار تعميم مراعاة المنظور الجنساني، تعمل هذه </w:t>
      </w:r>
      <w:r>
        <w:rPr>
          <w:rFonts w:hint="cs"/>
          <w:rtl/>
          <w:lang w:bidi="ar-EG"/>
        </w:rPr>
        <w:t>الوحدة</w:t>
      </w:r>
      <w:r w:rsidRPr="00CC46CF">
        <w:rPr>
          <w:rFonts w:hint="cs"/>
          <w:rtl/>
          <w:lang w:bidi="ar-EG"/>
        </w:rPr>
        <w:t xml:space="preserve"> بنشاط في الإدارة الإقليمية بغية ضمان مراعاة البعد </w:t>
      </w:r>
      <w:r>
        <w:rPr>
          <w:rFonts w:hint="cs"/>
          <w:rtl/>
          <w:lang w:bidi="ar-EG"/>
        </w:rPr>
        <w:t xml:space="preserve">الجنساني </w:t>
      </w:r>
      <w:r w:rsidRPr="00CC46CF">
        <w:rPr>
          <w:rFonts w:hint="cs"/>
          <w:rtl/>
          <w:lang w:bidi="ar-EG"/>
        </w:rPr>
        <w:t xml:space="preserve">في السياسات </w:t>
      </w:r>
      <w:r>
        <w:rPr>
          <w:rFonts w:hint="cs"/>
          <w:rtl/>
          <w:lang w:bidi="ar-EG"/>
        </w:rPr>
        <w:t>المنفذة</w:t>
      </w:r>
      <w:r w:rsidRPr="00CC46CF">
        <w:rPr>
          <w:rFonts w:hint="cs"/>
          <w:rtl/>
          <w:lang w:bidi="ar-EG"/>
        </w:rPr>
        <w:t xml:space="preserve"> </w:t>
      </w:r>
      <w:r>
        <w:rPr>
          <w:rFonts w:hint="cs"/>
          <w:rtl/>
          <w:lang w:bidi="ar-EG"/>
        </w:rPr>
        <w:t>تحت إشراف</w:t>
      </w:r>
      <w:r w:rsidRPr="00CC46CF">
        <w:rPr>
          <w:rFonts w:hint="cs"/>
          <w:rtl/>
          <w:lang w:bidi="ar-EG"/>
        </w:rPr>
        <w:t xml:space="preserve"> السلطات المحلية. وفي هذا الإطار، </w:t>
      </w:r>
      <w:r>
        <w:rPr>
          <w:rFonts w:hint="cs"/>
          <w:rtl/>
          <w:lang w:bidi="ar-EG"/>
        </w:rPr>
        <w:t>يجري توفير</w:t>
      </w:r>
      <w:r w:rsidRPr="00CC46CF">
        <w:rPr>
          <w:rFonts w:hint="cs"/>
          <w:rtl/>
          <w:lang w:bidi="ar-EG"/>
        </w:rPr>
        <w:t xml:space="preserve"> دراسات وتدريبات تتعلق بالحق في المساواة بين الرجل والمرأة </w:t>
      </w:r>
      <w:r>
        <w:rPr>
          <w:rFonts w:hint="cs"/>
          <w:rtl/>
          <w:lang w:bidi="ar-EG"/>
        </w:rPr>
        <w:t>ل</w:t>
      </w:r>
      <w:r w:rsidRPr="00CC46CF">
        <w:rPr>
          <w:rFonts w:hint="cs"/>
          <w:rtl/>
          <w:lang w:bidi="ar-EG"/>
        </w:rPr>
        <w:t>لموظفين المحليين والإقليميين دون انقطاع منذ عام 2002</w:t>
      </w:r>
      <w:r>
        <w:rPr>
          <w:rFonts w:hint="cs"/>
          <w:rtl/>
          <w:lang w:bidi="ar-EG"/>
        </w:rPr>
        <w:t>،</w:t>
      </w:r>
      <w:r w:rsidRPr="00CC46CF">
        <w:rPr>
          <w:rFonts w:hint="cs"/>
          <w:rtl/>
          <w:lang w:bidi="ar-EG"/>
        </w:rPr>
        <w:t xml:space="preserve"> بغية إتاحة نشر الأحكام القانونية الوطنية والدولية</w:t>
      </w:r>
      <w:r>
        <w:rPr>
          <w:rFonts w:hint="cs"/>
          <w:rtl/>
          <w:lang w:bidi="ar-EG"/>
        </w:rPr>
        <w:t>،</w:t>
      </w:r>
      <w:r w:rsidRPr="00CC46CF">
        <w:rPr>
          <w:rFonts w:hint="cs"/>
          <w:rtl/>
          <w:lang w:bidi="ar-EG"/>
        </w:rPr>
        <w:t xml:space="preserve"> بما في ذلك اتفاقية القضاء على جميع أشكال التمييز ضد المرأة. وما زال البرنامج جارياً.</w:t>
      </w:r>
    </w:p>
    <w:p w:rsidR="007023B4" w:rsidRPr="00CC46CF" w:rsidRDefault="007023B4" w:rsidP="007023B4">
      <w:pPr>
        <w:pStyle w:val="SingleTxt"/>
        <w:rPr>
          <w:rFonts w:hint="cs"/>
          <w:rtl/>
          <w:lang w:bidi="ar-EG"/>
        </w:rPr>
      </w:pPr>
      <w:r w:rsidRPr="00CC46CF">
        <w:rPr>
          <w:rFonts w:hint="cs"/>
          <w:rtl/>
          <w:lang w:bidi="ar-EG"/>
        </w:rPr>
        <w:tab/>
        <w:t xml:space="preserve">وفي عام 2005، أدرج الإقليم ما مجموعه 000 590 يورو في </w:t>
      </w:r>
      <w:r>
        <w:rPr>
          <w:rFonts w:hint="cs"/>
          <w:rtl/>
          <w:lang w:bidi="ar-EG"/>
        </w:rPr>
        <w:t xml:space="preserve">ميزانيته في بند </w:t>
      </w:r>
      <w:r w:rsidRPr="00CC46CF">
        <w:rPr>
          <w:rFonts w:hint="eastAsia"/>
          <w:rtl/>
          <w:lang w:bidi="ar-EG"/>
        </w:rPr>
        <w:t>الإنفاق العام لإدارة تكافؤ الفرص</w:t>
      </w:r>
      <w:r w:rsidRPr="00CC46CF">
        <w:rPr>
          <w:rFonts w:hint="cs"/>
          <w:rtl/>
          <w:lang w:bidi="ar-EG"/>
        </w:rPr>
        <w:t xml:space="preserve">. وجاءت زيادة هذه الميزانية نتيجة منطقية للإرادة السياسية التي </w:t>
      </w:r>
      <w:r>
        <w:rPr>
          <w:rFonts w:hint="cs"/>
          <w:rtl/>
          <w:lang w:bidi="ar-EG"/>
        </w:rPr>
        <w:t>وردت</w:t>
      </w:r>
      <w:r w:rsidRPr="00CC46CF">
        <w:rPr>
          <w:rFonts w:hint="cs"/>
          <w:rtl/>
          <w:lang w:bidi="ar-EG"/>
        </w:rPr>
        <w:t xml:space="preserve"> في الإعلان الحكومي لعام 2004. ويمكن مع ذلك ملاحظة الخلط الذي يفهم من مصطلح </w:t>
      </w:r>
      <w:r w:rsidRPr="00CC46CF">
        <w:rPr>
          <w:rFonts w:hint="eastAsia"/>
          <w:rtl/>
          <w:lang w:bidi="ar-EG"/>
        </w:rPr>
        <w:t>”تكافؤ الفرص</w:t>
      </w:r>
      <w:r w:rsidRPr="00CC46CF">
        <w:rPr>
          <w:rFonts w:hint="cs"/>
          <w:rtl/>
          <w:lang w:bidi="ar-EG"/>
        </w:rPr>
        <w:t xml:space="preserve">“، وهو مصطلح متعدد المعاني في ذاته. ومن شأن </w:t>
      </w:r>
      <w:r>
        <w:rPr>
          <w:rFonts w:hint="cs"/>
          <w:rtl/>
          <w:lang w:bidi="ar-EG"/>
        </w:rPr>
        <w:t>وجود</w:t>
      </w:r>
      <w:r w:rsidRPr="00CC46CF">
        <w:rPr>
          <w:rFonts w:hint="cs"/>
          <w:rtl/>
          <w:lang w:bidi="ar-EG"/>
        </w:rPr>
        <w:t xml:space="preserve"> هياكل مختلفة في هذا الشأن وإمكانية التصرف في الميزانيات </w:t>
      </w:r>
      <w:r>
        <w:rPr>
          <w:rFonts w:hint="cs"/>
          <w:rtl/>
          <w:lang w:bidi="ar-EG"/>
        </w:rPr>
        <w:t xml:space="preserve">الموضوعة </w:t>
      </w:r>
      <w:r w:rsidRPr="00CC46CF">
        <w:rPr>
          <w:rFonts w:hint="cs"/>
          <w:rtl/>
          <w:lang w:bidi="ar-EG"/>
        </w:rPr>
        <w:t xml:space="preserve">في إطار </w:t>
      </w:r>
      <w:r>
        <w:rPr>
          <w:rFonts w:hint="cs"/>
          <w:rtl/>
          <w:lang w:bidi="ar-EG"/>
        </w:rPr>
        <w:t>الميزنة المراعية للمنظور الجنساني</w:t>
      </w:r>
      <w:r w:rsidRPr="00CC46CF">
        <w:rPr>
          <w:rFonts w:hint="cs"/>
          <w:rtl/>
          <w:lang w:bidi="ar-EG"/>
        </w:rPr>
        <w:t xml:space="preserve"> تحسين فهم سياسة المساواة</w:t>
      </w:r>
      <w:r>
        <w:rPr>
          <w:rFonts w:hint="cs"/>
          <w:rtl/>
          <w:lang w:bidi="ar-EG"/>
        </w:rPr>
        <w:t>؛</w:t>
      </w:r>
      <w:r w:rsidRPr="00CC46CF">
        <w:rPr>
          <w:rFonts w:hint="cs"/>
          <w:rtl/>
          <w:lang w:bidi="ar-EG"/>
        </w:rPr>
        <w:t xml:space="preserve"> و</w:t>
      </w:r>
      <w:r>
        <w:rPr>
          <w:rFonts w:hint="cs"/>
          <w:rtl/>
          <w:lang w:bidi="ar-EG"/>
        </w:rPr>
        <w:t>ب</w:t>
      </w:r>
      <w:r w:rsidRPr="00CC46CF">
        <w:rPr>
          <w:rFonts w:hint="cs"/>
          <w:rtl/>
          <w:lang w:bidi="ar-EG"/>
        </w:rPr>
        <w:t>خاصة فيما يتعلق بالجمهور المستهدف.</w:t>
      </w:r>
    </w:p>
    <w:p w:rsidR="007023B4" w:rsidRPr="00CB08C2" w:rsidRDefault="007023B4" w:rsidP="007023B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Pr="00CC46CF">
        <w:rPr>
          <w:rFonts w:hint="cs"/>
          <w:rtl/>
          <w:lang w:bidi="ar-EG"/>
        </w:rPr>
        <w:t>2 -</w:t>
      </w:r>
      <w:r w:rsidRPr="00CC46CF">
        <w:rPr>
          <w:rFonts w:hint="cs"/>
          <w:rtl/>
          <w:lang w:bidi="ar-EG"/>
        </w:rPr>
        <w:tab/>
      </w:r>
      <w:r w:rsidRPr="00CB08C2">
        <w:rPr>
          <w:rFonts w:hint="cs"/>
          <w:rtl/>
          <w:lang w:bidi="ar-EG"/>
        </w:rPr>
        <w:t>القرارات التشريعية</w:t>
      </w:r>
    </w:p>
    <w:p w:rsidR="007023B4" w:rsidRPr="00CC46CF" w:rsidRDefault="007023B4" w:rsidP="007023B4">
      <w:pPr>
        <w:pStyle w:val="SingleTxt"/>
        <w:rPr>
          <w:rFonts w:hint="cs"/>
          <w:rtl/>
          <w:lang w:bidi="ar-EG"/>
        </w:rPr>
      </w:pPr>
      <w:r w:rsidRPr="00CC46CF">
        <w:rPr>
          <w:rFonts w:hint="cs"/>
          <w:rtl/>
          <w:lang w:bidi="ar-EG"/>
        </w:rPr>
        <w:tab/>
      </w:r>
      <w:r>
        <w:rPr>
          <w:rFonts w:hint="cs"/>
          <w:rtl/>
          <w:lang w:bidi="ar-EG"/>
        </w:rPr>
        <w:t>اعتمد</w:t>
      </w:r>
      <w:r w:rsidRPr="00CC46CF">
        <w:rPr>
          <w:rFonts w:hint="cs"/>
          <w:rtl/>
          <w:lang w:bidi="ar-EG"/>
        </w:rPr>
        <w:t xml:space="preserve"> قرار يتعلق بقيام الحكومة بإعداد تقرير سنوي لتقييم سياسة المس</w:t>
      </w:r>
      <w:r>
        <w:rPr>
          <w:rFonts w:hint="cs"/>
          <w:rtl/>
          <w:lang w:bidi="ar-EG"/>
        </w:rPr>
        <w:t>اواة الحكومية بين المرأة والرجل</w:t>
      </w:r>
      <w:r w:rsidRPr="00CC46CF">
        <w:rPr>
          <w:rFonts w:hint="cs"/>
          <w:rtl/>
          <w:lang w:bidi="ar-EG"/>
        </w:rPr>
        <w:t xml:space="preserve"> في 20 نيسان/أبريل 2006</w:t>
      </w:r>
      <w:r w:rsidRPr="00CC46CF">
        <w:rPr>
          <w:vertAlign w:val="superscript"/>
          <w:rtl/>
          <w:lang w:bidi="ar-EG"/>
        </w:rPr>
        <w:t>(</w:t>
      </w:r>
      <w:r w:rsidRPr="00CC46CF">
        <w:rPr>
          <w:vertAlign w:val="superscript"/>
          <w:rtl/>
        </w:rPr>
        <w:footnoteReference w:id="22"/>
      </w:r>
      <w:r w:rsidRPr="00CC46CF">
        <w:rPr>
          <w:vertAlign w:val="superscript"/>
          <w:rtl/>
          <w:lang w:bidi="ar-EG"/>
        </w:rPr>
        <w:t>)</w:t>
      </w:r>
      <w:r w:rsidRPr="00CC46CF">
        <w:rPr>
          <w:rFonts w:hint="cs"/>
          <w:rtl/>
          <w:lang w:bidi="ar-EG"/>
        </w:rPr>
        <w:t xml:space="preserve">. ويقضي القرار بأن تقوم حكومة بروكسل </w:t>
      </w:r>
      <w:r>
        <w:rPr>
          <w:rFonts w:hint="cs"/>
          <w:rtl/>
          <w:lang w:bidi="ar-EG"/>
        </w:rPr>
        <w:t xml:space="preserve">سنويا بتقديم بيان عن تابعة </w:t>
      </w:r>
      <w:r w:rsidRPr="00CC46CF">
        <w:rPr>
          <w:rFonts w:hint="cs"/>
          <w:rtl/>
          <w:lang w:bidi="ar-EG"/>
        </w:rPr>
        <w:t>أهداف مؤتمر بيجين في سياساته</w:t>
      </w:r>
      <w:r>
        <w:rPr>
          <w:rFonts w:hint="cs"/>
          <w:rtl/>
          <w:lang w:bidi="ar-EG"/>
        </w:rPr>
        <w:t>ا</w:t>
      </w:r>
      <w:r w:rsidRPr="00CC46CF">
        <w:rPr>
          <w:rFonts w:hint="cs"/>
          <w:rtl/>
          <w:lang w:bidi="ar-EG"/>
        </w:rPr>
        <w:t xml:space="preserve"> (الأهداف الاستراتيجية</w:t>
      </w:r>
      <w:r>
        <w:rPr>
          <w:rFonts w:hint="cs"/>
          <w:rtl/>
          <w:lang w:bidi="ar-EG"/>
        </w:rPr>
        <w:t>،</w:t>
      </w:r>
      <w:r w:rsidRPr="00CC46CF">
        <w:rPr>
          <w:rFonts w:hint="cs"/>
          <w:rtl/>
          <w:lang w:bidi="ar-EG"/>
        </w:rPr>
        <w:t xml:space="preserve"> الوسائل المالية</w:t>
      </w:r>
      <w:r>
        <w:rPr>
          <w:rFonts w:hint="cs"/>
          <w:rtl/>
          <w:lang w:bidi="ar-EG"/>
        </w:rPr>
        <w:t>،</w:t>
      </w:r>
      <w:r w:rsidRPr="00CC46CF">
        <w:rPr>
          <w:rFonts w:hint="cs"/>
          <w:rtl/>
          <w:lang w:bidi="ar-EG"/>
        </w:rPr>
        <w:t xml:space="preserve"> التقييم</w:t>
      </w:r>
      <w:r>
        <w:rPr>
          <w:rFonts w:hint="cs"/>
          <w:rtl/>
          <w:lang w:bidi="ar-EG"/>
        </w:rPr>
        <w:t>، إلخ</w:t>
      </w:r>
      <w:r w:rsidRPr="00CC46CF">
        <w:rPr>
          <w:rFonts w:hint="cs"/>
          <w:rtl/>
          <w:lang w:bidi="ar-EG"/>
        </w:rPr>
        <w:t>). ويودع هذا التقرير في البرلمان الإقليمي.</w:t>
      </w:r>
    </w:p>
    <w:p w:rsidR="007023B4" w:rsidRPr="00CC46CF" w:rsidRDefault="007023B4" w:rsidP="007023B4">
      <w:pPr>
        <w:pStyle w:val="SingleTxt"/>
        <w:rPr>
          <w:rFonts w:hint="cs"/>
          <w:rtl/>
          <w:lang w:bidi="ar-EG"/>
        </w:rPr>
      </w:pPr>
      <w:r w:rsidRPr="00CC46CF">
        <w:rPr>
          <w:rFonts w:hint="cs"/>
          <w:rtl/>
          <w:lang w:bidi="ar-EG"/>
        </w:rPr>
        <w:tab/>
        <w:t>وتم إصدار عدة مواثيق تتعلق بالمساواة على مستوى بروكسل، و</w:t>
      </w:r>
      <w:r>
        <w:rPr>
          <w:rFonts w:hint="cs"/>
          <w:rtl/>
          <w:lang w:bidi="ar-EG"/>
        </w:rPr>
        <w:t>ب</w:t>
      </w:r>
      <w:r w:rsidRPr="00CC46CF">
        <w:rPr>
          <w:rFonts w:hint="cs"/>
          <w:rtl/>
          <w:lang w:bidi="ar-EG"/>
        </w:rPr>
        <w:t>خاصة على الصعيد البلدي.</w:t>
      </w:r>
    </w:p>
    <w:p w:rsidR="007023B4" w:rsidRPr="00CC46CF" w:rsidRDefault="007023B4" w:rsidP="007023B4">
      <w:pPr>
        <w:pStyle w:val="SingleTxt"/>
        <w:rPr>
          <w:rFonts w:hint="cs"/>
          <w:rtl/>
          <w:lang w:bidi="ar-EG"/>
        </w:rPr>
      </w:pPr>
      <w:r w:rsidRPr="00CC46CF">
        <w:rPr>
          <w:rFonts w:hint="cs"/>
          <w:rtl/>
          <w:lang w:bidi="ar-EG"/>
        </w:rPr>
        <w:tab/>
      </w:r>
      <w:r w:rsidRPr="00CC46CF">
        <w:rPr>
          <w:rFonts w:hint="eastAsia"/>
          <w:rtl/>
          <w:lang w:bidi="ar-EG"/>
        </w:rPr>
        <w:t>”ميثاق للمرأة في بروكسل</w:t>
      </w:r>
      <w:r w:rsidRPr="00CC46CF">
        <w:rPr>
          <w:rFonts w:hint="cs"/>
          <w:rtl/>
          <w:lang w:bidi="ar-EG"/>
        </w:rPr>
        <w:t>“ في كانون الأول/ديسمبر 2005، و</w:t>
      </w:r>
      <w:r>
        <w:rPr>
          <w:rFonts w:hint="cs"/>
          <w:rtl/>
          <w:lang w:bidi="ar-EG"/>
        </w:rPr>
        <w:t>هو</w:t>
      </w:r>
      <w:r w:rsidRPr="00CC46CF">
        <w:rPr>
          <w:rFonts w:hint="cs"/>
          <w:rtl/>
          <w:lang w:bidi="ar-EG"/>
        </w:rPr>
        <w:t xml:space="preserve"> يحث النساء على أن </w:t>
      </w:r>
      <w:r>
        <w:rPr>
          <w:rFonts w:hint="cs"/>
          <w:rtl/>
          <w:lang w:bidi="ar-EG"/>
        </w:rPr>
        <w:t>يترابطن</w:t>
      </w:r>
      <w:r w:rsidRPr="00CC46CF">
        <w:rPr>
          <w:rFonts w:hint="cs"/>
          <w:rtl/>
          <w:lang w:bidi="ar-EG"/>
        </w:rPr>
        <w:t xml:space="preserve"> ويشاركن بنشاط في الحياة السياسية المحلية، </w:t>
      </w:r>
      <w:r>
        <w:rPr>
          <w:rFonts w:hint="cs"/>
          <w:rtl/>
          <w:lang w:bidi="ar-EG"/>
        </w:rPr>
        <w:t xml:space="preserve">والسعي إلى تحقيق </w:t>
      </w:r>
      <w:r w:rsidRPr="00CC46CF">
        <w:rPr>
          <w:rFonts w:hint="cs"/>
          <w:rtl/>
          <w:lang w:bidi="ar-EG"/>
        </w:rPr>
        <w:t xml:space="preserve">تمثيل متساو في </w:t>
      </w:r>
      <w:r>
        <w:rPr>
          <w:rFonts w:hint="cs"/>
          <w:rtl/>
          <w:lang w:bidi="ar-EG"/>
        </w:rPr>
        <w:t>البلديات</w:t>
      </w:r>
      <w:r w:rsidRPr="00CC46CF">
        <w:rPr>
          <w:rFonts w:hint="cs"/>
          <w:rtl/>
          <w:lang w:bidi="ar-EG"/>
        </w:rPr>
        <w:t xml:space="preserve">، وإقامة </w:t>
      </w:r>
      <w:r>
        <w:rPr>
          <w:rFonts w:hint="cs"/>
          <w:rtl/>
          <w:lang w:bidi="ar-EG"/>
        </w:rPr>
        <w:t>قضاء</w:t>
      </w:r>
      <w:r w:rsidRPr="00CC46CF">
        <w:rPr>
          <w:rFonts w:hint="cs"/>
          <w:rtl/>
          <w:lang w:bidi="ar-EG"/>
        </w:rPr>
        <w:t xml:space="preserve"> من أجل المساواة </w:t>
      </w:r>
      <w:r>
        <w:rPr>
          <w:rFonts w:hint="cs"/>
          <w:rtl/>
          <w:lang w:bidi="ar-EG"/>
        </w:rPr>
        <w:t>توفر له</w:t>
      </w:r>
      <w:r w:rsidRPr="00CC46CF">
        <w:rPr>
          <w:rFonts w:hint="cs"/>
          <w:rtl/>
          <w:lang w:bidi="ar-EG"/>
        </w:rPr>
        <w:t xml:space="preserve"> الوسائل البشرية والمالية الكافية.</w:t>
      </w:r>
    </w:p>
    <w:p w:rsidR="007023B4" w:rsidRPr="00CC46CF" w:rsidRDefault="007023B4" w:rsidP="007023B4">
      <w:pPr>
        <w:pStyle w:val="SingleTxt"/>
        <w:rPr>
          <w:rFonts w:hint="cs"/>
          <w:rtl/>
          <w:lang w:bidi="ar-EG"/>
        </w:rPr>
      </w:pPr>
      <w:r w:rsidRPr="00CC46CF">
        <w:rPr>
          <w:rFonts w:hint="cs"/>
          <w:rtl/>
          <w:lang w:bidi="ar-EG"/>
        </w:rPr>
        <w:tab/>
      </w:r>
      <w:r w:rsidRPr="00CC46CF">
        <w:rPr>
          <w:rFonts w:hint="eastAsia"/>
          <w:rtl/>
          <w:lang w:bidi="ar-EG"/>
        </w:rPr>
        <w:t xml:space="preserve">ميثاق </w:t>
      </w:r>
      <w:r>
        <w:rPr>
          <w:rFonts w:hint="cs"/>
          <w:rtl/>
          <w:lang w:bidi="ar-EG"/>
        </w:rPr>
        <w:t xml:space="preserve">مجلس البلديات والأقاليم الأوروبية </w:t>
      </w:r>
      <w:r>
        <w:rPr>
          <w:rFonts w:hint="eastAsia"/>
          <w:rtl/>
          <w:lang w:bidi="ar-EG"/>
        </w:rPr>
        <w:t>”</w:t>
      </w:r>
      <w:r w:rsidRPr="00CC46CF">
        <w:rPr>
          <w:rFonts w:hint="eastAsia"/>
          <w:rtl/>
          <w:lang w:bidi="ar-EG"/>
        </w:rPr>
        <w:t>تكافؤ الفرص بين المرأة والرجل في الحياة المحلية</w:t>
      </w:r>
      <w:r w:rsidRPr="00CC46CF">
        <w:rPr>
          <w:rFonts w:hint="cs"/>
          <w:rtl/>
          <w:lang w:bidi="ar-EG"/>
        </w:rPr>
        <w:t>“</w:t>
      </w:r>
      <w:r>
        <w:rPr>
          <w:rFonts w:hint="cs"/>
          <w:rtl/>
          <w:lang w:bidi="ar-EG"/>
        </w:rPr>
        <w:t>،</w:t>
      </w:r>
      <w:r w:rsidRPr="00CC46CF">
        <w:rPr>
          <w:rFonts w:hint="cs"/>
          <w:rtl/>
          <w:lang w:bidi="ar-EG"/>
        </w:rPr>
        <w:t xml:space="preserve"> الذي يؤكد ليس فقط على مشاركة المرأة في الحياة السياسية والعامة، وإنما أيضاً على دور البلديات في مجال المساواة</w:t>
      </w:r>
      <w:r>
        <w:rPr>
          <w:rFonts w:hint="cs"/>
          <w:rtl/>
          <w:lang w:bidi="ar-EG"/>
        </w:rPr>
        <w:t>،</w:t>
      </w:r>
      <w:r w:rsidRPr="00CC46CF">
        <w:rPr>
          <w:rFonts w:hint="cs"/>
          <w:rtl/>
          <w:lang w:bidi="ar-EG"/>
        </w:rPr>
        <w:t xml:space="preserve"> بوصفها صاحب عمل </w:t>
      </w:r>
      <w:r>
        <w:rPr>
          <w:rFonts w:hint="cs"/>
          <w:rtl/>
          <w:lang w:bidi="ar-EG"/>
        </w:rPr>
        <w:t xml:space="preserve">ومقدما </w:t>
      </w:r>
      <w:r w:rsidRPr="00CC46CF">
        <w:rPr>
          <w:rFonts w:hint="cs"/>
          <w:rtl/>
          <w:lang w:bidi="ar-EG"/>
        </w:rPr>
        <w:t>للسلع والخدمات. و</w:t>
      </w:r>
      <w:r>
        <w:rPr>
          <w:rFonts w:hint="cs"/>
          <w:rtl/>
          <w:lang w:bidi="ar-EG"/>
        </w:rPr>
        <w:t>اعتمدت عدة بلديات في بروكسل هذه المواثيق.</w:t>
      </w:r>
    </w:p>
    <w:p w:rsidR="007023B4" w:rsidRPr="00CC46CF" w:rsidRDefault="007023B4" w:rsidP="007023B4">
      <w:pPr>
        <w:pStyle w:val="SingleTxt"/>
        <w:rPr>
          <w:rFonts w:hint="cs"/>
          <w:rtl/>
          <w:lang w:bidi="ar-EG"/>
        </w:rPr>
      </w:pPr>
      <w:r w:rsidRPr="00CC46CF">
        <w:rPr>
          <w:rFonts w:hint="cs"/>
          <w:rtl/>
          <w:lang w:bidi="ar-EG"/>
        </w:rPr>
        <w:tab/>
        <w:t>ويتعلق الأمر مع ذلك بالتزامات ذات طبيعة عامة، وصكوك غير ملزمة وغير مر</w:t>
      </w:r>
      <w:r>
        <w:rPr>
          <w:rFonts w:hint="cs"/>
          <w:rtl/>
          <w:lang w:bidi="ar-EG"/>
        </w:rPr>
        <w:t>مزة</w:t>
      </w:r>
      <w:r w:rsidRPr="00CC46CF">
        <w:rPr>
          <w:rFonts w:hint="cs"/>
          <w:rtl/>
          <w:lang w:bidi="ar-EG"/>
        </w:rPr>
        <w:t xml:space="preserve"> </w:t>
      </w:r>
      <w:r>
        <w:rPr>
          <w:rFonts w:hint="cs"/>
          <w:rtl/>
          <w:lang w:bidi="ar-EG"/>
        </w:rPr>
        <w:t>و</w:t>
      </w:r>
      <w:r w:rsidRPr="00CC46CF">
        <w:rPr>
          <w:rFonts w:hint="cs"/>
          <w:rtl/>
          <w:lang w:bidi="ar-EG"/>
        </w:rPr>
        <w:t>يصعب تقيميها. ويخلو تطبيقها من أي وسيلة إ</w:t>
      </w:r>
      <w:r>
        <w:rPr>
          <w:rFonts w:hint="cs"/>
          <w:rtl/>
          <w:lang w:bidi="ar-EG"/>
        </w:rPr>
        <w:t>لزام</w:t>
      </w:r>
      <w:r w:rsidRPr="00CC46CF">
        <w:rPr>
          <w:rFonts w:hint="cs"/>
          <w:rtl/>
          <w:lang w:bidi="ar-EG"/>
        </w:rPr>
        <w:t>.</w:t>
      </w:r>
    </w:p>
    <w:p w:rsidR="007023B4" w:rsidRPr="00CC46CF" w:rsidRDefault="007023B4" w:rsidP="007023B4">
      <w:pPr>
        <w:pStyle w:val="SingleTxt"/>
        <w:rPr>
          <w:rFonts w:hint="cs"/>
          <w:rtl/>
          <w:lang w:bidi="ar-EG"/>
        </w:rPr>
      </w:pPr>
      <w:r w:rsidRPr="00CC46CF">
        <w:rPr>
          <w:rFonts w:hint="cs"/>
          <w:rtl/>
          <w:lang w:bidi="ar-EG"/>
        </w:rPr>
        <w:tab/>
        <w:t xml:space="preserve">وفي مجال التحرش </w:t>
      </w:r>
      <w:r>
        <w:rPr>
          <w:rFonts w:hint="cs"/>
          <w:rtl/>
          <w:lang w:bidi="ar-EG"/>
        </w:rPr>
        <w:t>المعنوي</w:t>
      </w:r>
      <w:r w:rsidRPr="00CC46CF">
        <w:rPr>
          <w:rFonts w:hint="cs"/>
          <w:rtl/>
          <w:lang w:bidi="ar-EG"/>
        </w:rPr>
        <w:t xml:space="preserve"> والجنسي، قام الإقليم</w:t>
      </w:r>
      <w:r>
        <w:rPr>
          <w:rFonts w:hint="cs"/>
          <w:rtl/>
          <w:lang w:bidi="ar-EG"/>
        </w:rPr>
        <w:t>، منذ اعتماد القانون المؤرخ 11</w:t>
      </w:r>
      <w:r>
        <w:rPr>
          <w:rFonts w:hint="eastAsia"/>
          <w:rtl/>
          <w:lang w:bidi="ar-EG"/>
        </w:rPr>
        <w:t> </w:t>
      </w:r>
      <w:r w:rsidRPr="00CC46CF">
        <w:rPr>
          <w:rFonts w:hint="cs"/>
          <w:rtl/>
          <w:lang w:bidi="ar-EG"/>
        </w:rPr>
        <w:t>حزيران/يونيه 2002، بتنظيم عدة تدريبات تتعلق بحماية العمال من العنف في العمل</w:t>
      </w:r>
      <w:r>
        <w:rPr>
          <w:rFonts w:hint="cs"/>
          <w:rtl/>
          <w:lang w:bidi="ar-EG"/>
        </w:rPr>
        <w:t>،</w:t>
      </w:r>
      <w:r w:rsidRPr="00CC46CF">
        <w:rPr>
          <w:rFonts w:hint="cs"/>
          <w:rtl/>
          <w:lang w:bidi="ar-EG"/>
        </w:rPr>
        <w:t xml:space="preserve"> مع التأكيد على الجنس بالنسبة </w:t>
      </w:r>
      <w:r>
        <w:rPr>
          <w:rFonts w:hint="cs"/>
          <w:rtl/>
          <w:lang w:bidi="ar-EG"/>
        </w:rPr>
        <w:t>لموظفي البلديات</w:t>
      </w:r>
      <w:r w:rsidRPr="00CC46CF">
        <w:rPr>
          <w:rFonts w:hint="cs"/>
          <w:rtl/>
          <w:lang w:bidi="ar-EG"/>
        </w:rPr>
        <w:t>.</w:t>
      </w:r>
    </w:p>
    <w:p w:rsidR="007023B4" w:rsidRPr="00CC46CF" w:rsidRDefault="007023B4" w:rsidP="007023B4">
      <w:pPr>
        <w:pStyle w:val="SingleTxt"/>
        <w:rPr>
          <w:rFonts w:hint="cs"/>
          <w:rtl/>
          <w:lang w:bidi="ar-EG"/>
        </w:rPr>
      </w:pPr>
      <w:r w:rsidRPr="00CC46CF">
        <w:rPr>
          <w:rFonts w:hint="cs"/>
          <w:rtl/>
          <w:lang w:bidi="ar-EG"/>
        </w:rPr>
        <w:tab/>
        <w:t xml:space="preserve">وفضلاً عن ذلك، يشارك الإقليم منذ عام 2002، عن طريق التنسيق الإقليمي لمكافحة العنف، في تنسيق الخطة الاتحادية لمكافحة العنف </w:t>
      </w:r>
      <w:r>
        <w:rPr>
          <w:rFonts w:hint="cs"/>
          <w:rtl/>
          <w:lang w:bidi="ar-EG"/>
        </w:rPr>
        <w:t>المنزلي</w:t>
      </w:r>
      <w:r w:rsidRPr="00CC46CF">
        <w:rPr>
          <w:rFonts w:hint="cs"/>
          <w:rtl/>
          <w:lang w:bidi="ar-EG"/>
        </w:rPr>
        <w:t xml:space="preserve">. والتنسيق المقام في هذا الشأن يجمع بين خدمات الإغاثة من الطراز الأول ويعمل على تنسيق الخطة الإقليمية </w:t>
      </w:r>
      <w:r>
        <w:rPr>
          <w:rFonts w:hint="cs"/>
          <w:rtl/>
          <w:lang w:bidi="ar-EG"/>
        </w:rPr>
        <w:t>ب</w:t>
      </w:r>
      <w:r w:rsidRPr="00CC46CF">
        <w:rPr>
          <w:rFonts w:hint="cs"/>
          <w:rtl/>
          <w:lang w:bidi="ar-EG"/>
        </w:rPr>
        <w:t>تشجيع أعمال التوعية والوقاية.</w:t>
      </w:r>
    </w:p>
    <w:p w:rsidR="007023B4" w:rsidRPr="00CC46CF" w:rsidRDefault="007023B4" w:rsidP="007023B4">
      <w:pPr>
        <w:pStyle w:val="SingleTxt"/>
        <w:rPr>
          <w:rFonts w:hint="cs"/>
          <w:rtl/>
          <w:lang w:bidi="ar-EG"/>
        </w:rPr>
      </w:pPr>
      <w:r w:rsidRPr="00CC46CF">
        <w:rPr>
          <w:rFonts w:hint="cs"/>
          <w:rtl/>
          <w:lang w:bidi="ar-EG"/>
        </w:rPr>
        <w:tab/>
        <w:t xml:space="preserve">وعلى صعيد اللجنة </w:t>
      </w:r>
      <w:r>
        <w:rPr>
          <w:rFonts w:hint="cs"/>
          <w:rtl/>
          <w:lang w:bidi="ar-EG"/>
        </w:rPr>
        <w:t xml:space="preserve">المجتمعية </w:t>
      </w:r>
      <w:r w:rsidRPr="00CC46CF">
        <w:rPr>
          <w:rFonts w:hint="cs"/>
          <w:rtl/>
          <w:lang w:bidi="ar-EG"/>
        </w:rPr>
        <w:t>الفرنسية لإقليم بروكسل العاصمة</w:t>
      </w:r>
      <w:r w:rsidRPr="00CC46CF">
        <w:rPr>
          <w:vertAlign w:val="superscript"/>
          <w:rtl/>
          <w:lang w:bidi="ar-EG"/>
        </w:rPr>
        <w:t>(</w:t>
      </w:r>
      <w:r w:rsidRPr="00CC46CF">
        <w:rPr>
          <w:vertAlign w:val="superscript"/>
          <w:rtl/>
        </w:rPr>
        <w:footnoteReference w:id="23"/>
      </w:r>
      <w:r w:rsidRPr="00CC46CF">
        <w:rPr>
          <w:vertAlign w:val="superscript"/>
          <w:rtl/>
          <w:lang w:bidi="ar-EG"/>
        </w:rPr>
        <w:t>)</w:t>
      </w:r>
      <w:r w:rsidRPr="00CC46CF">
        <w:rPr>
          <w:rFonts w:hint="cs"/>
          <w:rtl/>
          <w:lang w:bidi="ar-EG"/>
        </w:rPr>
        <w:t>، فإن المرسوم المتعلق بخدمات المعونة المقدمة من ناحية إلى الضحايا و</w:t>
      </w:r>
      <w:r>
        <w:rPr>
          <w:rFonts w:hint="cs"/>
          <w:rtl/>
          <w:lang w:bidi="ar-EG"/>
        </w:rPr>
        <w:t>أقاربهم،</w:t>
      </w:r>
      <w:r w:rsidRPr="00CC46CF">
        <w:rPr>
          <w:rFonts w:hint="cs"/>
          <w:rtl/>
          <w:lang w:bidi="ar-EG"/>
        </w:rPr>
        <w:t xml:space="preserve"> ومن ناحية أخرى إلى </w:t>
      </w:r>
      <w:r>
        <w:rPr>
          <w:rFonts w:hint="cs"/>
          <w:rtl/>
          <w:lang w:bidi="ar-EG"/>
        </w:rPr>
        <w:t>المشتبه فيهم</w:t>
      </w:r>
      <w:r w:rsidRPr="00CC46CF">
        <w:rPr>
          <w:rFonts w:hint="cs"/>
          <w:rtl/>
          <w:lang w:bidi="ar-EG"/>
        </w:rPr>
        <w:t xml:space="preserve"> والمطلق سراحهم وإلى المسجونين السابقين و</w:t>
      </w:r>
      <w:r>
        <w:rPr>
          <w:rFonts w:hint="cs"/>
          <w:rtl/>
          <w:lang w:bidi="ar-EG"/>
        </w:rPr>
        <w:t>أقاربهم</w:t>
      </w:r>
      <w:r w:rsidRPr="00CC46CF">
        <w:rPr>
          <w:rFonts w:hint="cs"/>
          <w:rtl/>
          <w:lang w:bidi="ar-EG"/>
        </w:rPr>
        <w:t>، يتيح</w:t>
      </w:r>
      <w:r>
        <w:rPr>
          <w:rFonts w:hint="cs"/>
          <w:rtl/>
          <w:lang w:bidi="ar-EG"/>
        </w:rPr>
        <w:t>،</w:t>
      </w:r>
      <w:r w:rsidRPr="00CC46CF">
        <w:rPr>
          <w:rFonts w:hint="cs"/>
          <w:rtl/>
          <w:lang w:bidi="ar-EG"/>
        </w:rPr>
        <w:t xml:space="preserve"> فضلاً عن الاعتراف ب</w:t>
      </w:r>
      <w:r>
        <w:rPr>
          <w:rFonts w:hint="cs"/>
          <w:rtl/>
          <w:lang w:bidi="ar-EG"/>
        </w:rPr>
        <w:t>الدوائر العامة</w:t>
      </w:r>
      <w:r w:rsidRPr="00CC46CF">
        <w:rPr>
          <w:rFonts w:hint="cs"/>
          <w:rtl/>
          <w:lang w:bidi="ar-EG"/>
        </w:rPr>
        <w:t xml:space="preserve"> التي تعالج جميع أنواع المخالفات</w:t>
      </w:r>
      <w:r>
        <w:rPr>
          <w:rFonts w:hint="cs"/>
          <w:rtl/>
          <w:lang w:bidi="ar-EG"/>
        </w:rPr>
        <w:t>،</w:t>
      </w:r>
      <w:r w:rsidRPr="00CC46CF">
        <w:rPr>
          <w:rFonts w:hint="cs"/>
          <w:rtl/>
          <w:lang w:bidi="ar-EG"/>
        </w:rPr>
        <w:t xml:space="preserve"> اعترافاً بالخدمات النوعية لأنواع معينة من المخالفات. ومن ثم فإنه يتم استهداف نوعين من الخدمات في انتظار الموافقة، نوع بالنسبة للضحايا ومرتكبي الاغتصاب، والنوع الآخر بالنسبة للضحايا ومرتكبي العنف المنزلي.</w:t>
      </w:r>
    </w:p>
    <w:p w:rsidR="007023B4" w:rsidRPr="00CC46CF" w:rsidRDefault="007023B4" w:rsidP="007023B4">
      <w:pPr>
        <w:pStyle w:val="SingleTxt"/>
        <w:rPr>
          <w:rFonts w:hint="cs"/>
          <w:rtl/>
          <w:lang w:bidi="ar-EG"/>
        </w:rPr>
      </w:pPr>
      <w:r w:rsidRPr="00CC46CF">
        <w:rPr>
          <w:rFonts w:hint="cs"/>
          <w:rtl/>
          <w:lang w:bidi="ar-EG"/>
        </w:rPr>
        <w:tab/>
        <w:t xml:space="preserve">والمرسوم المتعلق بدور الاستقبال يتيح استقبال الأشخاص من غير ذوي المسكن. ويولي اهتمام خاص </w:t>
      </w:r>
      <w:r>
        <w:rPr>
          <w:rFonts w:hint="cs"/>
          <w:rtl/>
          <w:lang w:bidi="ar-EG"/>
        </w:rPr>
        <w:t>ل</w:t>
      </w:r>
      <w:r w:rsidRPr="00CC46CF">
        <w:rPr>
          <w:rFonts w:hint="cs"/>
          <w:rtl/>
          <w:lang w:bidi="ar-EG"/>
        </w:rPr>
        <w:t xml:space="preserve">لنساء وأسرهن. وهكذا، فإن داراً تستقبل المرأة (مع أطفالها) ضحية العنف </w:t>
      </w:r>
      <w:r>
        <w:rPr>
          <w:rFonts w:hint="cs"/>
          <w:rtl/>
          <w:lang w:bidi="ar-EG"/>
        </w:rPr>
        <w:t>المنزلي</w:t>
      </w:r>
      <w:r w:rsidRPr="00CC46CF">
        <w:rPr>
          <w:rFonts w:hint="cs"/>
          <w:rtl/>
          <w:lang w:bidi="ar-EG"/>
        </w:rPr>
        <w:t xml:space="preserve">، ودوراً أخرى </w:t>
      </w:r>
      <w:r>
        <w:rPr>
          <w:rFonts w:hint="cs"/>
          <w:rtl/>
          <w:lang w:bidi="ar-EG"/>
        </w:rPr>
        <w:t>تخصص فقط</w:t>
      </w:r>
      <w:r w:rsidRPr="00CC46CF">
        <w:rPr>
          <w:rFonts w:hint="cs"/>
          <w:rtl/>
          <w:lang w:bidi="ar-EG"/>
        </w:rPr>
        <w:t xml:space="preserve"> للنساء الحوامل (الشابات)، وتستقبل</w:t>
      </w:r>
      <w:r>
        <w:rPr>
          <w:rFonts w:hint="cs"/>
          <w:rtl/>
          <w:lang w:bidi="ar-EG"/>
        </w:rPr>
        <w:t>ه</w:t>
      </w:r>
      <w:r w:rsidRPr="00CC46CF">
        <w:rPr>
          <w:rFonts w:hint="cs"/>
          <w:rtl/>
          <w:lang w:bidi="ar-EG"/>
        </w:rPr>
        <w:t xml:space="preserve">ن </w:t>
      </w:r>
      <w:r>
        <w:rPr>
          <w:rFonts w:hint="cs"/>
          <w:rtl/>
          <w:lang w:bidi="ar-EG"/>
        </w:rPr>
        <w:t xml:space="preserve">في فترة </w:t>
      </w:r>
      <w:r w:rsidRPr="00CC46CF">
        <w:rPr>
          <w:rFonts w:hint="cs"/>
          <w:rtl/>
          <w:lang w:bidi="ar-EG"/>
        </w:rPr>
        <w:t>الحمل والعناية الأولية لأمومتهن. وإلى جانب الاستقبال، فإن هذه الدور مكلفة بمساعدة المنتفعات منها على اكتساب أو استعادة استقلالهن الذاتي.</w:t>
      </w:r>
    </w:p>
    <w:p w:rsidR="007023B4" w:rsidRPr="00CC46CF" w:rsidRDefault="007023B4" w:rsidP="007023B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sidRPr="00CC46CF">
        <w:rPr>
          <w:rFonts w:hint="cs"/>
          <w:rtl/>
          <w:lang w:bidi="ar-EG"/>
        </w:rPr>
        <w:tab/>
        <w:t>هاء -</w:t>
      </w:r>
      <w:r w:rsidRPr="00CC46CF">
        <w:rPr>
          <w:rFonts w:hint="cs"/>
          <w:rtl/>
          <w:lang w:bidi="ar-EG"/>
        </w:rPr>
        <w:tab/>
        <w:t xml:space="preserve"> المجتمع الناطق بالألمانية</w:t>
      </w:r>
    </w:p>
    <w:p w:rsidR="007023B4" w:rsidRPr="00CC46CF" w:rsidRDefault="007023B4" w:rsidP="007023B4">
      <w:pPr>
        <w:pStyle w:val="SingleTxt"/>
        <w:rPr>
          <w:rFonts w:hint="cs"/>
          <w:rtl/>
          <w:lang w:bidi="ar-EG"/>
        </w:rPr>
      </w:pPr>
      <w:r w:rsidRPr="00CC46CF">
        <w:rPr>
          <w:rFonts w:hint="cs"/>
          <w:rtl/>
          <w:lang w:bidi="ar-EG"/>
        </w:rPr>
        <w:tab/>
      </w:r>
      <w:r>
        <w:rPr>
          <w:rFonts w:hint="cs"/>
          <w:rtl/>
          <w:lang w:bidi="ar-EG"/>
        </w:rPr>
        <w:t xml:space="preserve">تنظم رابطة </w:t>
      </w:r>
      <w:r>
        <w:rPr>
          <w:lang w:bidi="ar-EG"/>
        </w:rPr>
        <w:t>Prisma</w:t>
      </w:r>
      <w:r>
        <w:rPr>
          <w:rFonts w:hint="cs"/>
          <w:rtl/>
        </w:rPr>
        <w:t xml:space="preserve"> غير الهادة إلى الربح،</w:t>
      </w:r>
      <w:r>
        <w:rPr>
          <w:rFonts w:hint="cs"/>
          <w:rtl/>
          <w:lang w:bidi="ar-EG"/>
        </w:rPr>
        <w:t xml:space="preserve"> </w:t>
      </w:r>
      <w:r w:rsidRPr="00CC46CF">
        <w:rPr>
          <w:rFonts w:hint="cs"/>
          <w:rtl/>
          <w:lang w:bidi="ar-EG"/>
        </w:rPr>
        <w:t xml:space="preserve">الممولة بواسطة المجتمع الناطق بالألمانية، </w:t>
      </w:r>
      <w:r>
        <w:rPr>
          <w:rFonts w:hint="cs"/>
          <w:rtl/>
          <w:lang w:bidi="ar-EG"/>
        </w:rPr>
        <w:t xml:space="preserve">عمل </w:t>
      </w:r>
      <w:r w:rsidRPr="00CC46CF">
        <w:rPr>
          <w:rFonts w:hint="cs"/>
          <w:rtl/>
          <w:lang w:bidi="ar-EG"/>
        </w:rPr>
        <w:t xml:space="preserve">مركز للإرشاد ودار للجوء للنساء اللاتي </w:t>
      </w:r>
      <w:r>
        <w:rPr>
          <w:rFonts w:hint="cs"/>
          <w:rtl/>
          <w:lang w:bidi="ar-EG"/>
        </w:rPr>
        <w:t>ي</w:t>
      </w:r>
      <w:r w:rsidRPr="00CC46CF">
        <w:rPr>
          <w:rFonts w:hint="cs"/>
          <w:rtl/>
          <w:lang w:bidi="ar-EG"/>
        </w:rPr>
        <w:t>واجهن صعوب</w:t>
      </w:r>
      <w:r>
        <w:rPr>
          <w:rFonts w:hint="cs"/>
          <w:rtl/>
          <w:lang w:bidi="ar-EG"/>
        </w:rPr>
        <w:t>ات</w:t>
      </w:r>
      <w:r w:rsidRPr="00CC46CF">
        <w:rPr>
          <w:rFonts w:hint="cs"/>
          <w:rtl/>
          <w:lang w:bidi="ar-EG"/>
        </w:rPr>
        <w:t>.</w:t>
      </w:r>
    </w:p>
    <w:p w:rsidR="007023B4" w:rsidRPr="00CC46CF" w:rsidRDefault="007023B4" w:rsidP="007023B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sidRPr="00CC46CF">
        <w:rPr>
          <w:rFonts w:hint="cs"/>
          <w:rtl/>
          <w:lang w:bidi="ar-EG"/>
        </w:rPr>
        <w:tab/>
        <w:t>1 -</w:t>
      </w:r>
      <w:r w:rsidRPr="00CC46CF">
        <w:rPr>
          <w:rFonts w:hint="cs"/>
          <w:rtl/>
          <w:lang w:bidi="ar-EG"/>
        </w:rPr>
        <w:tab/>
        <w:t>اس</w:t>
      </w:r>
      <w:r>
        <w:rPr>
          <w:rFonts w:hint="cs"/>
          <w:rtl/>
          <w:lang w:bidi="ar-EG"/>
        </w:rPr>
        <w:t>تقبال النساء اللاتي يواجهن صعوبات</w:t>
      </w:r>
    </w:p>
    <w:p w:rsidR="007023B4" w:rsidRPr="00CC46CF" w:rsidRDefault="00CB4FD6" w:rsidP="007023B4">
      <w:pPr>
        <w:pStyle w:val="SingleTxt"/>
        <w:rPr>
          <w:rFonts w:hint="cs"/>
          <w:i/>
          <w:iCs/>
          <w:rtl/>
          <w:lang w:bidi="ar-EG"/>
        </w:rPr>
      </w:pPr>
      <w:r>
        <w:rPr>
          <w:rFonts w:hint="cs"/>
          <w:rtl/>
          <w:lang w:bidi="ar-EG"/>
        </w:rPr>
        <w:t xml:space="preserve">1-1-  </w:t>
      </w:r>
      <w:r w:rsidR="007023B4" w:rsidRPr="00CC46CF">
        <w:rPr>
          <w:rFonts w:hint="cs"/>
          <w:i/>
          <w:iCs/>
          <w:rtl/>
          <w:lang w:bidi="ar-EG"/>
        </w:rPr>
        <w:t>مركز الإرشاد</w:t>
      </w:r>
    </w:p>
    <w:p w:rsidR="007023B4" w:rsidRPr="00CC46CF" w:rsidRDefault="007023B4" w:rsidP="007023B4">
      <w:pPr>
        <w:pStyle w:val="SingleTxt"/>
        <w:rPr>
          <w:rFonts w:hint="cs"/>
          <w:rtl/>
          <w:lang w:bidi="ar-EG"/>
        </w:rPr>
      </w:pPr>
      <w:r w:rsidRPr="00CC46CF">
        <w:rPr>
          <w:rFonts w:hint="cs"/>
          <w:rtl/>
          <w:lang w:bidi="ar-EG"/>
        </w:rPr>
        <w:tab/>
        <w:t xml:space="preserve">يسعى مركز إرشاد </w:t>
      </w:r>
      <w:r>
        <w:rPr>
          <w:rFonts w:hint="cs"/>
          <w:rtl/>
          <w:lang w:bidi="ar-EG"/>
        </w:rPr>
        <w:t>ا</w:t>
      </w:r>
      <w:r w:rsidRPr="00CC46CF">
        <w:rPr>
          <w:rFonts w:hint="cs"/>
          <w:rtl/>
          <w:lang w:bidi="ar-EG"/>
        </w:rPr>
        <w:t xml:space="preserve">لنساء اللاتي </w:t>
      </w:r>
      <w:r>
        <w:rPr>
          <w:rFonts w:hint="cs"/>
          <w:rtl/>
          <w:lang w:bidi="ar-EG"/>
        </w:rPr>
        <w:t>ي</w:t>
      </w:r>
      <w:r w:rsidRPr="00CC46CF">
        <w:rPr>
          <w:rFonts w:hint="cs"/>
          <w:rtl/>
          <w:lang w:bidi="ar-EG"/>
        </w:rPr>
        <w:t>واجهن صعوب</w:t>
      </w:r>
      <w:r>
        <w:rPr>
          <w:rFonts w:hint="cs"/>
          <w:rtl/>
          <w:lang w:bidi="ar-EG"/>
        </w:rPr>
        <w:t>ات</w:t>
      </w:r>
      <w:r w:rsidRPr="00CC46CF">
        <w:rPr>
          <w:rFonts w:hint="cs"/>
          <w:rtl/>
          <w:lang w:bidi="ar-EG"/>
        </w:rPr>
        <w:t xml:space="preserve"> إلى تحقيق الأهداف التالية:</w:t>
      </w:r>
    </w:p>
    <w:p w:rsidR="007023B4" w:rsidRPr="00CC46CF" w:rsidRDefault="007023B4" w:rsidP="007023B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sidRPr="00CC46CF">
        <w:rPr>
          <w:rFonts w:hint="cs"/>
          <w:rtl/>
          <w:lang w:bidi="ar-EG"/>
        </w:rPr>
        <w:tab/>
        <w:t>•</w:t>
      </w:r>
      <w:r w:rsidRPr="00CC46CF">
        <w:rPr>
          <w:rFonts w:hint="cs"/>
          <w:rtl/>
          <w:lang w:bidi="ar-EG"/>
        </w:rPr>
        <w:tab/>
        <w:t xml:space="preserve">الاستماع إلى النساء </w:t>
      </w:r>
      <w:r>
        <w:rPr>
          <w:rFonts w:hint="cs"/>
          <w:rtl/>
          <w:lang w:bidi="ar-EG"/>
        </w:rPr>
        <w:t xml:space="preserve">اللاتي </w:t>
      </w:r>
      <w:r w:rsidRPr="00CC46CF">
        <w:rPr>
          <w:rFonts w:hint="cs"/>
          <w:rtl/>
          <w:lang w:bidi="ar-EG"/>
        </w:rPr>
        <w:t>مررن بحالات من العنف الجنسي، والعنف البدني و/أو النفسي</w:t>
      </w:r>
      <w:r>
        <w:rPr>
          <w:rFonts w:hint="cs"/>
          <w:rtl/>
          <w:lang w:bidi="ar-EG"/>
        </w:rPr>
        <w:t xml:space="preserve"> ومساندتهن</w:t>
      </w:r>
      <w:r w:rsidRPr="00CC46CF">
        <w:rPr>
          <w:rFonts w:hint="cs"/>
          <w:rtl/>
          <w:lang w:bidi="ar-EG"/>
        </w:rPr>
        <w:t>؛</w:t>
      </w:r>
    </w:p>
    <w:p w:rsidR="007023B4" w:rsidRPr="00CC46CF" w:rsidRDefault="007023B4" w:rsidP="007023B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sidRPr="00CC46CF">
        <w:rPr>
          <w:rFonts w:hint="cs"/>
          <w:rtl/>
          <w:lang w:bidi="ar-EG"/>
        </w:rPr>
        <w:tab/>
        <w:t>•</w:t>
      </w:r>
      <w:r w:rsidRPr="00CC46CF">
        <w:rPr>
          <w:rFonts w:hint="cs"/>
          <w:rtl/>
          <w:lang w:bidi="ar-EG"/>
        </w:rPr>
        <w:tab/>
        <w:t>إعداد حلول للحالات المتصلة بعلاقات بالغة الصعوبة،</w:t>
      </w:r>
    </w:p>
    <w:p w:rsidR="007023B4" w:rsidRDefault="007023B4" w:rsidP="007023B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sidRPr="00CC46CF">
        <w:rPr>
          <w:rFonts w:hint="cs"/>
          <w:rtl/>
          <w:lang w:bidi="ar-EG"/>
        </w:rPr>
        <w:tab/>
        <w:t>•</w:t>
      </w:r>
      <w:r w:rsidRPr="00CC46CF">
        <w:rPr>
          <w:rFonts w:hint="cs"/>
          <w:rtl/>
          <w:lang w:bidi="ar-EG"/>
        </w:rPr>
        <w:tab/>
        <w:t xml:space="preserve">مساندة المرأة في حالات الطلاق </w:t>
      </w:r>
      <w:r>
        <w:rPr>
          <w:rFonts w:hint="cs"/>
          <w:rtl/>
          <w:lang w:bidi="ar-EG"/>
        </w:rPr>
        <w:t>أ</w:t>
      </w:r>
      <w:r w:rsidRPr="00CC46CF">
        <w:rPr>
          <w:rFonts w:hint="cs"/>
          <w:rtl/>
          <w:lang w:bidi="ar-EG"/>
        </w:rPr>
        <w:t>و</w:t>
      </w:r>
      <w:r>
        <w:rPr>
          <w:rFonts w:hint="cs"/>
          <w:rtl/>
          <w:lang w:bidi="ar-EG"/>
        </w:rPr>
        <w:t xml:space="preserve"> </w:t>
      </w:r>
      <w:r w:rsidRPr="00CC46CF">
        <w:rPr>
          <w:rFonts w:hint="cs"/>
          <w:rtl/>
          <w:lang w:bidi="ar-EG"/>
        </w:rPr>
        <w:t>الانفصال؛</w:t>
      </w:r>
    </w:p>
    <w:p w:rsidR="007023B4" w:rsidRPr="00CC46CF" w:rsidRDefault="007023B4" w:rsidP="007023B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مساندة المرأة التي تواجه الموت أو الترمل أو الفقد أو المرض؛</w:t>
      </w:r>
    </w:p>
    <w:p w:rsidR="007023B4" w:rsidRPr="00CC46CF" w:rsidRDefault="007023B4" w:rsidP="00B1466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sidRPr="00CC46CF">
        <w:rPr>
          <w:rFonts w:hint="cs"/>
          <w:rtl/>
          <w:lang w:bidi="ar-EG"/>
        </w:rPr>
        <w:tab/>
        <w:t>•</w:t>
      </w:r>
      <w:r w:rsidRPr="00CC46CF">
        <w:rPr>
          <w:rFonts w:hint="cs"/>
          <w:rtl/>
          <w:lang w:bidi="ar-EG"/>
        </w:rPr>
        <w:tab/>
        <w:t xml:space="preserve">مساندة المرأة </w:t>
      </w:r>
      <w:r>
        <w:rPr>
          <w:rFonts w:hint="cs"/>
          <w:rtl/>
          <w:lang w:bidi="ar-EG"/>
        </w:rPr>
        <w:t>المأزومة</w:t>
      </w:r>
      <w:r w:rsidRPr="00CC46CF">
        <w:rPr>
          <w:rFonts w:hint="cs"/>
          <w:rtl/>
          <w:lang w:bidi="ar-EG"/>
        </w:rPr>
        <w:t xml:space="preserve"> والتي تسعى إلى إحداث تغيير في </w:t>
      </w:r>
      <w:r>
        <w:rPr>
          <w:rFonts w:hint="cs"/>
          <w:rtl/>
          <w:lang w:bidi="ar-EG"/>
        </w:rPr>
        <w:t>ظروفها المعيشية؛</w:t>
      </w:r>
    </w:p>
    <w:p w:rsidR="007023B4" w:rsidRDefault="007023B4" w:rsidP="007023B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sidRPr="00CC46CF">
        <w:rPr>
          <w:rFonts w:hint="cs"/>
          <w:rtl/>
          <w:lang w:bidi="ar-EG"/>
        </w:rPr>
        <w:tab/>
        <w:t>•</w:t>
      </w:r>
      <w:r w:rsidRPr="00CC46CF">
        <w:rPr>
          <w:rFonts w:hint="cs"/>
          <w:rtl/>
          <w:lang w:bidi="ar-EG"/>
        </w:rPr>
        <w:tab/>
        <w:t>شن حملات للإعلام والتوعية.</w:t>
      </w:r>
    </w:p>
    <w:p w:rsidR="007023B4" w:rsidRPr="00860A84" w:rsidRDefault="007023B4" w:rsidP="00CB4FD6">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sidRPr="00860A84">
        <w:rPr>
          <w:rFonts w:hint="cs"/>
          <w:rtl/>
          <w:lang w:bidi="ar-EG"/>
        </w:rPr>
        <w:tab/>
      </w:r>
      <w:r w:rsidRPr="00860A84">
        <w:rPr>
          <w:rFonts w:hint="cs"/>
          <w:rtl/>
          <w:lang w:bidi="ar-EG"/>
        </w:rPr>
        <w:tab/>
      </w:r>
      <w:r w:rsidR="00CB4FD6">
        <w:rPr>
          <w:rFonts w:hint="cs"/>
          <w:i w:val="0"/>
          <w:iCs w:val="0"/>
          <w:rtl/>
          <w:lang w:bidi="ar-EG"/>
        </w:rPr>
        <w:t>1-2-</w:t>
      </w:r>
      <w:r w:rsidRPr="00860A84">
        <w:rPr>
          <w:rFonts w:hint="cs"/>
          <w:rtl/>
          <w:lang w:bidi="ar-EG"/>
        </w:rPr>
        <w:tab/>
        <w:t>دار اللجوء</w:t>
      </w:r>
    </w:p>
    <w:p w:rsidR="007023B4" w:rsidRPr="00CC46CF" w:rsidRDefault="007023B4" w:rsidP="007023B4">
      <w:pPr>
        <w:pStyle w:val="SingleTxt"/>
        <w:rPr>
          <w:rFonts w:hint="cs"/>
          <w:rtl/>
          <w:lang w:bidi="ar-EG"/>
        </w:rPr>
      </w:pPr>
      <w:r w:rsidRPr="00CC46CF">
        <w:rPr>
          <w:rFonts w:hint="cs"/>
          <w:rtl/>
          <w:lang w:bidi="ar-EG"/>
        </w:rPr>
        <w:tab/>
        <w:t>تستضيف دار اللجوء النساء وأطفالهن عندما تتطلب الحالة ذلك.</w:t>
      </w:r>
    </w:p>
    <w:p w:rsidR="007023B4" w:rsidRPr="00CC46CF" w:rsidRDefault="007023B4" w:rsidP="007023B4">
      <w:pPr>
        <w:pStyle w:val="SingleTxt"/>
        <w:rPr>
          <w:rFonts w:hint="cs"/>
          <w:rtl/>
          <w:lang w:bidi="ar-EG"/>
        </w:rPr>
      </w:pPr>
      <w:r w:rsidRPr="00CC46CF">
        <w:rPr>
          <w:rFonts w:hint="cs"/>
          <w:rtl/>
          <w:lang w:bidi="ar-EG"/>
        </w:rPr>
        <w:tab/>
        <w:t>وخلال عام 2005، استض</w:t>
      </w:r>
      <w:r>
        <w:rPr>
          <w:rFonts w:hint="cs"/>
          <w:rtl/>
          <w:lang w:bidi="ar-EG"/>
        </w:rPr>
        <w:t>ي</w:t>
      </w:r>
      <w:r w:rsidRPr="00CC46CF">
        <w:rPr>
          <w:rFonts w:hint="cs"/>
          <w:rtl/>
          <w:lang w:bidi="ar-EG"/>
        </w:rPr>
        <w:t>ف</w:t>
      </w:r>
      <w:r>
        <w:rPr>
          <w:rFonts w:hint="cs"/>
          <w:rtl/>
          <w:lang w:bidi="ar-EG"/>
        </w:rPr>
        <w:t>ت</w:t>
      </w:r>
      <w:r w:rsidRPr="00CC46CF">
        <w:rPr>
          <w:rFonts w:hint="cs"/>
          <w:rtl/>
          <w:lang w:bidi="ar-EG"/>
        </w:rPr>
        <w:t xml:space="preserve"> 16 امرأة و</w:t>
      </w:r>
      <w:r>
        <w:rPr>
          <w:rFonts w:hint="cs"/>
          <w:rtl/>
          <w:lang w:bidi="ar-EG"/>
        </w:rPr>
        <w:t xml:space="preserve"> </w:t>
      </w:r>
      <w:r w:rsidRPr="00CC46CF">
        <w:rPr>
          <w:rFonts w:hint="cs"/>
          <w:rtl/>
          <w:lang w:bidi="ar-EG"/>
        </w:rPr>
        <w:t>15 طفلاً في دار اللجوء.</w:t>
      </w:r>
    </w:p>
    <w:p w:rsidR="007023B4" w:rsidRPr="00CC46CF" w:rsidRDefault="007023B4" w:rsidP="007023B4">
      <w:pPr>
        <w:pStyle w:val="SingleTxt"/>
        <w:rPr>
          <w:rFonts w:hint="cs"/>
          <w:rtl/>
          <w:lang w:bidi="ar-EG"/>
        </w:rPr>
      </w:pPr>
      <w:r w:rsidRPr="00CC46CF">
        <w:rPr>
          <w:rFonts w:hint="cs"/>
          <w:rtl/>
          <w:lang w:bidi="ar-EG"/>
        </w:rPr>
        <w:tab/>
        <w:t xml:space="preserve">وفي عام 2005، استشارت 226 امرأة </w:t>
      </w:r>
      <w:r>
        <w:rPr>
          <w:rFonts w:hint="cs"/>
          <w:rtl/>
          <w:lang w:bidi="ar-EG"/>
        </w:rPr>
        <w:t>رابطة</w:t>
      </w:r>
      <w:r w:rsidRPr="00CC46CF">
        <w:rPr>
          <w:rFonts w:hint="eastAsia"/>
          <w:rtl/>
          <w:lang w:bidi="ar-EG"/>
        </w:rPr>
        <w:t>”</w:t>
      </w:r>
      <w:r>
        <w:rPr>
          <w:lang w:bidi="ar-EG"/>
        </w:rPr>
        <w:t>Prisma</w:t>
      </w:r>
      <w:r w:rsidRPr="00CC46CF">
        <w:rPr>
          <w:rFonts w:hint="cs"/>
          <w:rtl/>
          <w:lang w:bidi="ar-EG"/>
        </w:rPr>
        <w:t>“ (179 امرأة للمقابلة الفردية</w:t>
      </w:r>
      <w:r>
        <w:rPr>
          <w:rFonts w:hint="cs"/>
          <w:rtl/>
          <w:lang w:bidi="ar-EG"/>
        </w:rPr>
        <w:t>؛</w:t>
      </w:r>
      <w:r w:rsidRPr="00CC46CF">
        <w:rPr>
          <w:rFonts w:hint="cs"/>
          <w:rtl/>
          <w:lang w:bidi="ar-EG"/>
        </w:rPr>
        <w:t xml:space="preserve"> و</w:t>
      </w:r>
      <w:r>
        <w:rPr>
          <w:rFonts w:hint="cs"/>
          <w:rtl/>
          <w:lang w:bidi="ar-EG"/>
        </w:rPr>
        <w:t xml:space="preserve"> </w:t>
      </w:r>
      <w:r w:rsidRPr="00CC46CF">
        <w:rPr>
          <w:rFonts w:hint="cs"/>
          <w:rtl/>
          <w:lang w:bidi="ar-EG"/>
        </w:rPr>
        <w:t>33 امرأة من أجل معلومات قانونية</w:t>
      </w:r>
      <w:r>
        <w:rPr>
          <w:rFonts w:hint="cs"/>
          <w:rtl/>
          <w:lang w:bidi="ar-EG"/>
        </w:rPr>
        <w:t>؛</w:t>
      </w:r>
      <w:r w:rsidRPr="00CC46CF">
        <w:rPr>
          <w:rFonts w:hint="cs"/>
          <w:rtl/>
          <w:lang w:bidi="ar-EG"/>
        </w:rPr>
        <w:t xml:space="preserve"> و</w:t>
      </w:r>
      <w:r>
        <w:rPr>
          <w:rFonts w:hint="cs"/>
          <w:rtl/>
          <w:lang w:bidi="ar-EG"/>
        </w:rPr>
        <w:t xml:space="preserve"> </w:t>
      </w:r>
      <w:r w:rsidRPr="00CC46CF">
        <w:rPr>
          <w:rFonts w:hint="cs"/>
          <w:rtl/>
          <w:lang w:bidi="ar-EG"/>
        </w:rPr>
        <w:t xml:space="preserve">14 امرأة لمتابعة علاج </w:t>
      </w:r>
      <w:r>
        <w:rPr>
          <w:rFonts w:hint="cs"/>
          <w:rtl/>
          <w:lang w:bidi="ar-EG"/>
        </w:rPr>
        <w:t>محدد</w:t>
      </w:r>
      <w:r w:rsidRPr="00CC46CF">
        <w:rPr>
          <w:rFonts w:hint="cs"/>
          <w:rtl/>
          <w:lang w:bidi="ar-EG"/>
        </w:rPr>
        <w:t>).</w:t>
      </w:r>
    </w:p>
    <w:p w:rsidR="007023B4" w:rsidRPr="00CC46CF" w:rsidRDefault="007023B4" w:rsidP="007023B4">
      <w:pPr>
        <w:pStyle w:val="SingleTxt"/>
        <w:rPr>
          <w:rFonts w:hint="cs"/>
          <w:rtl/>
          <w:lang w:bidi="ar-EG"/>
        </w:rPr>
      </w:pPr>
      <w:r w:rsidRPr="00CC46CF">
        <w:rPr>
          <w:rFonts w:hint="cs"/>
          <w:rtl/>
          <w:lang w:bidi="ar-EG"/>
        </w:rPr>
        <w:tab/>
        <w:t>وعلى مستوى العمر، لوحظت زيادة في الشريحة ال</w:t>
      </w:r>
      <w:r>
        <w:rPr>
          <w:rFonts w:hint="cs"/>
          <w:rtl/>
          <w:lang w:bidi="ar-EG"/>
        </w:rPr>
        <w:t>عمر</w:t>
      </w:r>
      <w:r w:rsidRPr="00CC46CF">
        <w:rPr>
          <w:rFonts w:hint="cs"/>
          <w:rtl/>
          <w:lang w:bidi="ar-EG"/>
        </w:rPr>
        <w:t xml:space="preserve">ية </w:t>
      </w:r>
      <w:r>
        <w:rPr>
          <w:rFonts w:hint="cs"/>
          <w:rtl/>
          <w:lang w:bidi="ar-EG"/>
        </w:rPr>
        <w:t>لأ</w:t>
      </w:r>
      <w:r w:rsidRPr="00CC46CF">
        <w:rPr>
          <w:rFonts w:hint="cs"/>
          <w:rtl/>
          <w:lang w:bidi="ar-EG"/>
        </w:rPr>
        <w:t>قل من 25 سنة وفوق 50</w:t>
      </w:r>
      <w:r>
        <w:rPr>
          <w:rFonts w:hint="eastAsia"/>
          <w:rtl/>
          <w:lang w:bidi="ar-EG"/>
        </w:rPr>
        <w:t> </w:t>
      </w:r>
      <w:r w:rsidRPr="00CC46CF">
        <w:rPr>
          <w:rFonts w:hint="cs"/>
          <w:rtl/>
          <w:lang w:bidi="ar-EG"/>
        </w:rPr>
        <w:t>سنة.</w:t>
      </w:r>
    </w:p>
    <w:p w:rsidR="007023B4" w:rsidRPr="00860A84" w:rsidRDefault="007023B4" w:rsidP="007023B4">
      <w:pPr>
        <w:pStyle w:val="SingleTxt"/>
        <w:spacing w:after="0" w:line="120" w:lineRule="exact"/>
        <w:rPr>
          <w:rFonts w:hint="cs"/>
          <w:b/>
          <w:bCs/>
          <w:sz w:val="12"/>
          <w:rtl/>
          <w:lang w:bidi="ar-EG"/>
        </w:rPr>
      </w:pPr>
    </w:p>
    <w:p w:rsidR="007023B4" w:rsidRPr="00CC46CF" w:rsidRDefault="007023B4" w:rsidP="007023B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sidRPr="00CC46CF">
        <w:rPr>
          <w:rFonts w:hint="cs"/>
          <w:rtl/>
          <w:lang w:bidi="ar-EG"/>
        </w:rPr>
        <w:tab/>
        <w:t>2 -</w:t>
      </w:r>
      <w:r w:rsidRPr="00CC46CF">
        <w:rPr>
          <w:rFonts w:hint="cs"/>
          <w:rtl/>
          <w:lang w:bidi="ar-EG"/>
        </w:rPr>
        <w:tab/>
        <w:t>استقبال طالب</w:t>
      </w:r>
      <w:r>
        <w:rPr>
          <w:rFonts w:hint="cs"/>
          <w:rtl/>
          <w:lang w:bidi="ar-EG"/>
        </w:rPr>
        <w:t>ي</w:t>
      </w:r>
      <w:r w:rsidRPr="00CC46CF">
        <w:rPr>
          <w:rFonts w:hint="cs"/>
          <w:rtl/>
          <w:lang w:bidi="ar-EG"/>
        </w:rPr>
        <w:t xml:space="preserve"> اللجوء</w:t>
      </w:r>
    </w:p>
    <w:p w:rsidR="007023B4" w:rsidRPr="00CC46CF" w:rsidRDefault="007023B4" w:rsidP="007023B4">
      <w:pPr>
        <w:pStyle w:val="SingleTxt"/>
        <w:rPr>
          <w:rFonts w:hint="cs"/>
          <w:rtl/>
          <w:lang w:bidi="ar-EG"/>
        </w:rPr>
      </w:pPr>
      <w:r w:rsidRPr="00CC46CF">
        <w:rPr>
          <w:rFonts w:hint="cs"/>
          <w:rtl/>
          <w:lang w:bidi="ar-EG"/>
        </w:rPr>
        <w:tab/>
        <w:t>يعني مكتب اللجوء بالصليب الأحمر للمجتمع الناطق بالألمانية بط</w:t>
      </w:r>
      <w:r>
        <w:rPr>
          <w:rFonts w:hint="cs"/>
          <w:rtl/>
          <w:lang w:bidi="ar-EG"/>
        </w:rPr>
        <w:t>ا</w:t>
      </w:r>
      <w:r w:rsidRPr="00CC46CF">
        <w:rPr>
          <w:rFonts w:hint="cs"/>
          <w:rtl/>
          <w:lang w:bidi="ar-EG"/>
        </w:rPr>
        <w:t>لب</w:t>
      </w:r>
      <w:r>
        <w:rPr>
          <w:rFonts w:hint="cs"/>
          <w:rtl/>
          <w:lang w:bidi="ar-EG"/>
        </w:rPr>
        <w:t>ي</w:t>
      </w:r>
      <w:r w:rsidRPr="00CC46CF">
        <w:rPr>
          <w:rFonts w:hint="cs"/>
          <w:rtl/>
          <w:lang w:bidi="ar-EG"/>
        </w:rPr>
        <w:t xml:space="preserve"> اللجوء واللاجئين </w:t>
      </w:r>
      <w:r>
        <w:rPr>
          <w:rFonts w:hint="cs"/>
          <w:rtl/>
          <w:lang w:bidi="ar-EG"/>
        </w:rPr>
        <w:t xml:space="preserve">السياسيين </w:t>
      </w:r>
      <w:r w:rsidRPr="00CC46CF">
        <w:rPr>
          <w:rFonts w:hint="cs"/>
          <w:rtl/>
          <w:lang w:bidi="ar-EG"/>
        </w:rPr>
        <w:t xml:space="preserve">والمهاجرين والأجانب الذين يمرون بجميع أنواع الصعوبات، والأشخاص </w:t>
      </w:r>
      <w:r>
        <w:rPr>
          <w:rFonts w:hint="cs"/>
          <w:rtl/>
          <w:lang w:bidi="ar-EG"/>
        </w:rPr>
        <w:t xml:space="preserve">المحرومين </w:t>
      </w:r>
      <w:r w:rsidRPr="00CC46CF">
        <w:rPr>
          <w:rFonts w:hint="cs"/>
          <w:rtl/>
          <w:lang w:bidi="ar-EG"/>
        </w:rPr>
        <w:t>(</w:t>
      </w:r>
      <w:r>
        <w:rPr>
          <w:rFonts w:hint="cs"/>
          <w:rtl/>
          <w:lang w:bidi="ar-EG"/>
        </w:rPr>
        <w:t>وذلك</w:t>
      </w:r>
      <w:r w:rsidRPr="00CC46CF">
        <w:rPr>
          <w:rFonts w:hint="cs"/>
          <w:rtl/>
          <w:lang w:bidi="ar-EG"/>
        </w:rPr>
        <w:t xml:space="preserve"> تطبيقاً لاتفاقية جنيف)، وبشكل خاص المرأة سواء كانت نازحة أو أصلية.</w:t>
      </w:r>
    </w:p>
    <w:p w:rsidR="007023B4" w:rsidRPr="00CC46CF" w:rsidRDefault="007023B4" w:rsidP="007023B4">
      <w:pPr>
        <w:pStyle w:val="SingleTxt"/>
        <w:rPr>
          <w:rFonts w:hint="cs"/>
          <w:rtl/>
          <w:lang w:bidi="ar-EG"/>
        </w:rPr>
      </w:pPr>
      <w:r w:rsidRPr="00CC46CF">
        <w:rPr>
          <w:rFonts w:hint="cs"/>
          <w:rtl/>
          <w:lang w:bidi="ar-EG"/>
        </w:rPr>
        <w:tab/>
        <w:t xml:space="preserve">ويهدف مشروع جديد يطلق في كانون الثاني/يناير  2007 بعنوان </w:t>
      </w:r>
      <w:r w:rsidRPr="00CC46CF">
        <w:rPr>
          <w:rFonts w:hint="eastAsia"/>
          <w:rtl/>
          <w:lang w:bidi="ar-EG"/>
        </w:rPr>
        <w:t>”</w:t>
      </w:r>
      <w:r>
        <w:rPr>
          <w:lang w:bidi="ar-EG"/>
        </w:rPr>
        <w:t>Frauenerz</w:t>
      </w:r>
      <w:r>
        <w:rPr>
          <w:rFonts w:ascii="Tahoma" w:hAnsi="Tahoma" w:cs="Tahoma"/>
          <w:lang w:bidi="ar-EG"/>
        </w:rPr>
        <w:t>ä</w:t>
      </w:r>
      <w:r>
        <w:rPr>
          <w:lang w:bidi="ar-EG"/>
        </w:rPr>
        <w:t>hlcaf</w:t>
      </w:r>
      <w:r>
        <w:rPr>
          <w:rFonts w:cs="Times New Roman"/>
          <w:lang w:bidi="ar-EG"/>
        </w:rPr>
        <w:t>é</w:t>
      </w:r>
      <w:r w:rsidRPr="00CC46CF">
        <w:rPr>
          <w:rFonts w:hint="cs"/>
          <w:rtl/>
          <w:lang w:bidi="ar-EG"/>
        </w:rPr>
        <w:t>“ إلى تحسين الاتصالات الاجتماعية بين النساء</w:t>
      </w:r>
      <w:r>
        <w:rPr>
          <w:rFonts w:hint="cs"/>
          <w:rtl/>
        </w:rPr>
        <w:t>،</w:t>
      </w:r>
      <w:r w:rsidRPr="00CC46CF">
        <w:rPr>
          <w:rFonts w:hint="cs"/>
          <w:rtl/>
          <w:lang w:bidi="ar-EG"/>
        </w:rPr>
        <w:t xml:space="preserve"> وتوسيع نطاق </w:t>
      </w:r>
      <w:r w:rsidRPr="00CC46CF">
        <w:rPr>
          <w:rFonts w:hint="eastAsia"/>
          <w:rtl/>
          <w:lang w:bidi="ar-EG"/>
        </w:rPr>
        <w:t>”الشبكة</w:t>
      </w:r>
      <w:r w:rsidRPr="00CC46CF">
        <w:rPr>
          <w:rFonts w:hint="cs"/>
          <w:rtl/>
          <w:lang w:bidi="ar-EG"/>
        </w:rPr>
        <w:t>“</w:t>
      </w:r>
      <w:r>
        <w:rPr>
          <w:rFonts w:hint="cs"/>
          <w:rtl/>
          <w:lang w:bidi="ar-EG"/>
        </w:rPr>
        <w:t>،</w:t>
      </w:r>
      <w:r w:rsidRPr="00CC46CF">
        <w:rPr>
          <w:rFonts w:hint="cs"/>
          <w:rtl/>
          <w:lang w:bidi="ar-EG"/>
        </w:rPr>
        <w:t xml:space="preserve"> والقضاء على جميع أنواع التحيُّز والقلق والتجاهل عن طريق توفير مكان للقاء بالنسبة للنساء الأجنبيات والبلجيكيات.</w:t>
      </w:r>
    </w:p>
    <w:p w:rsidR="007023B4" w:rsidRPr="00E3164F" w:rsidRDefault="007023B4" w:rsidP="007023B4">
      <w:pPr>
        <w:pStyle w:val="SingleTxt"/>
        <w:spacing w:after="0" w:line="120" w:lineRule="exact"/>
        <w:rPr>
          <w:rFonts w:hint="cs"/>
          <w:sz w:val="12"/>
          <w:rtl/>
          <w:lang w:bidi="ar-EG"/>
        </w:rPr>
      </w:pPr>
    </w:p>
    <w:p w:rsidR="007023B4" w:rsidRPr="00CC46CF" w:rsidRDefault="007023B4" w:rsidP="007023B4">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sidRPr="00CC46CF">
        <w:rPr>
          <w:rFonts w:hint="cs"/>
          <w:rtl/>
          <w:lang w:bidi="ar-EG"/>
        </w:rPr>
        <w:tab/>
        <w:t>المادة 4</w:t>
      </w:r>
    </w:p>
    <w:p w:rsidR="007023B4" w:rsidRPr="00CC46CF" w:rsidRDefault="007023B4" w:rsidP="007023B4">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sidRPr="00CC46CF">
        <w:rPr>
          <w:rFonts w:hint="cs"/>
          <w:rtl/>
          <w:lang w:bidi="ar-EG"/>
        </w:rPr>
        <w:tab/>
        <w:t>أولا -</w:t>
      </w:r>
      <w:r>
        <w:rPr>
          <w:rFonts w:hint="cs"/>
          <w:rtl/>
          <w:lang w:bidi="ar-EG"/>
        </w:rPr>
        <w:tab/>
      </w:r>
      <w:r w:rsidRPr="00CC46CF">
        <w:rPr>
          <w:rFonts w:hint="cs"/>
          <w:rtl/>
          <w:lang w:bidi="ar-EG"/>
        </w:rPr>
        <w:t>على المستوى الاتحادي</w:t>
      </w:r>
    </w:p>
    <w:p w:rsidR="007023B4" w:rsidRPr="00CC46CF" w:rsidRDefault="007023B4" w:rsidP="007023B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sidRPr="00CC46CF">
        <w:rPr>
          <w:rFonts w:hint="cs"/>
          <w:rtl/>
          <w:lang w:bidi="ar-EG"/>
        </w:rPr>
        <w:tab/>
        <w:t>1 -</w:t>
      </w:r>
      <w:r w:rsidRPr="00CC46CF">
        <w:rPr>
          <w:rFonts w:hint="cs"/>
          <w:rtl/>
          <w:lang w:bidi="ar-EG"/>
        </w:rPr>
        <w:tab/>
        <w:t>في الخدمة العامة الاتحادية</w:t>
      </w:r>
    </w:p>
    <w:p w:rsidR="007023B4" w:rsidRPr="00CC46CF" w:rsidRDefault="007023B4" w:rsidP="007023B4">
      <w:pPr>
        <w:pStyle w:val="SingleTxt"/>
        <w:rPr>
          <w:rFonts w:hint="cs"/>
          <w:rtl/>
          <w:lang w:bidi="ar-EG"/>
        </w:rPr>
      </w:pPr>
      <w:r w:rsidRPr="00CC46CF">
        <w:rPr>
          <w:rFonts w:hint="cs"/>
          <w:rtl/>
          <w:lang w:bidi="ar-EG"/>
        </w:rPr>
        <w:tab/>
        <w:t>يطبق ا</w:t>
      </w:r>
      <w:r>
        <w:rPr>
          <w:rFonts w:hint="cs"/>
          <w:rtl/>
          <w:lang w:bidi="ar-EG"/>
        </w:rPr>
        <w:t>لأمر</w:t>
      </w:r>
      <w:r w:rsidRPr="00CC46CF">
        <w:rPr>
          <w:rFonts w:hint="cs"/>
          <w:rtl/>
          <w:lang w:bidi="ar-EG"/>
        </w:rPr>
        <w:t xml:space="preserve"> الملكي المؤرخ 27 شباط/فبراير 1990</w:t>
      </w:r>
      <w:r>
        <w:rPr>
          <w:rFonts w:hint="cs"/>
          <w:rtl/>
          <w:lang w:bidi="ar-EG"/>
        </w:rPr>
        <w:t>،</w:t>
      </w:r>
      <w:r w:rsidRPr="00CC46CF">
        <w:rPr>
          <w:rFonts w:hint="cs"/>
          <w:rtl/>
          <w:lang w:bidi="ar-EG"/>
        </w:rPr>
        <w:t xml:space="preserve"> بشأن التدابير الرامية إلى تعزيز تكافؤ الفرص بين الرجل والمرأة في ال</w:t>
      </w:r>
      <w:r>
        <w:rPr>
          <w:rFonts w:hint="cs"/>
          <w:rtl/>
          <w:lang w:bidi="ar-EG"/>
        </w:rPr>
        <w:t>دوائر</w:t>
      </w:r>
      <w:r w:rsidRPr="00CC46CF">
        <w:rPr>
          <w:rFonts w:hint="cs"/>
          <w:rtl/>
          <w:lang w:bidi="ar-EG"/>
        </w:rPr>
        <w:t xml:space="preserve"> العامة، على عدة </w:t>
      </w:r>
      <w:r>
        <w:rPr>
          <w:rFonts w:hint="cs"/>
          <w:rtl/>
          <w:lang w:bidi="ar-EG"/>
        </w:rPr>
        <w:t>دوائر</w:t>
      </w:r>
      <w:r w:rsidRPr="00CC46CF">
        <w:rPr>
          <w:rFonts w:hint="cs"/>
          <w:rtl/>
          <w:lang w:bidi="ar-EG"/>
        </w:rPr>
        <w:t xml:space="preserve"> عامة، و</w:t>
      </w:r>
      <w:r>
        <w:rPr>
          <w:rFonts w:hint="cs"/>
          <w:rtl/>
          <w:lang w:bidi="ar-EG"/>
        </w:rPr>
        <w:t>ب</w:t>
      </w:r>
      <w:r w:rsidRPr="00CC46CF">
        <w:rPr>
          <w:rFonts w:hint="cs"/>
          <w:rtl/>
          <w:lang w:bidi="ar-EG"/>
        </w:rPr>
        <w:t>خاصة ال</w:t>
      </w:r>
      <w:r>
        <w:rPr>
          <w:rFonts w:hint="cs"/>
          <w:rtl/>
          <w:lang w:bidi="ar-EG"/>
        </w:rPr>
        <w:t xml:space="preserve">دوائر </w:t>
      </w:r>
      <w:r w:rsidRPr="00CC46CF">
        <w:rPr>
          <w:rFonts w:hint="cs"/>
          <w:rtl/>
          <w:lang w:bidi="ar-EG"/>
        </w:rPr>
        <w:t xml:space="preserve">العامة الاتحادية والمؤسسات العلمية والهيئات العامة. وهو يلزم كل دائرة عامة باتخاذ إجراءات لعلاج أوجه عدم المساواة </w:t>
      </w:r>
      <w:r>
        <w:rPr>
          <w:rFonts w:hint="cs"/>
          <w:rtl/>
          <w:lang w:bidi="ar-EG"/>
        </w:rPr>
        <w:t xml:space="preserve">الفعلية التي </w:t>
      </w:r>
      <w:r w:rsidRPr="00CC46CF">
        <w:rPr>
          <w:rFonts w:hint="cs"/>
          <w:rtl/>
          <w:lang w:bidi="ar-EG"/>
        </w:rPr>
        <w:t>تؤثر على فرص المرأة</w:t>
      </w:r>
      <w:r>
        <w:rPr>
          <w:rFonts w:hint="cs"/>
          <w:rtl/>
          <w:lang w:bidi="ar-EG"/>
        </w:rPr>
        <w:t>،</w:t>
      </w:r>
      <w:r w:rsidRPr="00CC46CF">
        <w:rPr>
          <w:rFonts w:hint="cs"/>
          <w:rtl/>
          <w:lang w:bidi="ar-EG"/>
        </w:rPr>
        <w:t xml:space="preserve"> من خلال </w:t>
      </w:r>
      <w:r>
        <w:rPr>
          <w:rFonts w:hint="cs"/>
          <w:rtl/>
          <w:lang w:bidi="ar-EG"/>
        </w:rPr>
        <w:t>تنفيذ خطط ل</w:t>
      </w:r>
      <w:r w:rsidRPr="00CC46CF">
        <w:rPr>
          <w:rFonts w:hint="cs"/>
          <w:rtl/>
          <w:lang w:bidi="ar-EG"/>
        </w:rPr>
        <w:t>تكافؤ الفرص.</w:t>
      </w:r>
    </w:p>
    <w:p w:rsidR="007023B4" w:rsidRPr="00CC46CF" w:rsidRDefault="007023B4" w:rsidP="007023B4">
      <w:pPr>
        <w:pStyle w:val="SingleTxt"/>
        <w:rPr>
          <w:rFonts w:hint="cs"/>
          <w:rtl/>
          <w:lang w:bidi="ar-EG"/>
        </w:rPr>
      </w:pPr>
      <w:r w:rsidRPr="00CC46CF">
        <w:rPr>
          <w:rFonts w:hint="cs"/>
          <w:rtl/>
          <w:lang w:bidi="ar-EG"/>
        </w:rPr>
        <w:tab/>
        <w:t xml:space="preserve">وهذه الخطة تحتوي بصفة خاصة على وصف لحالات </w:t>
      </w:r>
      <w:r>
        <w:rPr>
          <w:rFonts w:hint="cs"/>
          <w:rtl/>
          <w:lang w:bidi="ar-EG"/>
        </w:rPr>
        <w:t xml:space="preserve">يتعين </w:t>
      </w:r>
      <w:r w:rsidRPr="00CC46CF">
        <w:rPr>
          <w:rFonts w:hint="cs"/>
          <w:rtl/>
          <w:lang w:bidi="ar-EG"/>
        </w:rPr>
        <w:t>تصحيحها</w:t>
      </w:r>
      <w:r>
        <w:rPr>
          <w:rFonts w:hint="cs"/>
          <w:rtl/>
          <w:lang w:bidi="ar-EG"/>
        </w:rPr>
        <w:t>،</w:t>
      </w:r>
      <w:r w:rsidRPr="00CC46CF">
        <w:rPr>
          <w:rFonts w:hint="cs"/>
          <w:rtl/>
          <w:lang w:bidi="ar-EG"/>
        </w:rPr>
        <w:t xml:space="preserve"> </w:t>
      </w:r>
      <w:r>
        <w:rPr>
          <w:rFonts w:hint="cs"/>
          <w:rtl/>
          <w:lang w:bidi="ar-EG"/>
        </w:rPr>
        <w:t>و</w:t>
      </w:r>
      <w:r w:rsidRPr="00CC46CF">
        <w:rPr>
          <w:rFonts w:hint="cs"/>
          <w:rtl/>
          <w:lang w:bidi="ar-EG"/>
        </w:rPr>
        <w:t>وصف لإجراءات إيجابية مستهدفة. و</w:t>
      </w:r>
      <w:r>
        <w:rPr>
          <w:rFonts w:hint="cs"/>
          <w:rtl/>
          <w:lang w:bidi="ar-EG"/>
        </w:rPr>
        <w:t>ت</w:t>
      </w:r>
      <w:r w:rsidRPr="00CC46CF">
        <w:rPr>
          <w:rFonts w:hint="cs"/>
          <w:rtl/>
          <w:lang w:bidi="ar-EG"/>
        </w:rPr>
        <w:t xml:space="preserve">عين </w:t>
      </w:r>
      <w:r>
        <w:rPr>
          <w:rFonts w:hint="cs"/>
          <w:rtl/>
          <w:lang w:bidi="ar-EG"/>
        </w:rPr>
        <w:t xml:space="preserve">الخطة </w:t>
      </w:r>
      <w:r w:rsidRPr="00CC46CF">
        <w:rPr>
          <w:rFonts w:hint="cs"/>
          <w:rtl/>
          <w:lang w:bidi="ar-EG"/>
        </w:rPr>
        <w:t>مسؤولين عن تنفيذ هذه الإجراءات الإيجابية والطرائق المتعلقة بالتقييم الدوري والنهائي للخطة. و</w:t>
      </w:r>
      <w:r>
        <w:rPr>
          <w:rFonts w:hint="cs"/>
          <w:rtl/>
          <w:lang w:bidi="ar-EG"/>
        </w:rPr>
        <w:t>ي</w:t>
      </w:r>
      <w:r w:rsidRPr="00CC46CF">
        <w:rPr>
          <w:rFonts w:hint="cs"/>
          <w:rtl/>
          <w:lang w:bidi="ar-EG"/>
        </w:rPr>
        <w:t>عفي هؤلاء بصفة جزئية من أعمالهم</w:t>
      </w:r>
      <w:r>
        <w:rPr>
          <w:rFonts w:hint="cs"/>
          <w:rtl/>
          <w:lang w:bidi="ar-EG"/>
        </w:rPr>
        <w:t>،</w:t>
      </w:r>
      <w:r w:rsidRPr="00CC46CF">
        <w:rPr>
          <w:rFonts w:hint="cs"/>
          <w:rtl/>
          <w:lang w:bidi="ar-EG"/>
        </w:rPr>
        <w:t xml:space="preserve"> </w:t>
      </w:r>
      <w:r>
        <w:rPr>
          <w:rFonts w:hint="cs"/>
          <w:rtl/>
          <w:lang w:bidi="ar-EG"/>
        </w:rPr>
        <w:t>في ضوء</w:t>
      </w:r>
      <w:r w:rsidRPr="00CC46CF">
        <w:rPr>
          <w:rFonts w:hint="cs"/>
          <w:rtl/>
          <w:lang w:bidi="ar-EG"/>
        </w:rPr>
        <w:t xml:space="preserve"> العاملين في المؤسسة، حتى يتفرغوا لأداء هذه المهمة. وفضلاً عن ذلك، تم إنشاء لجنة داخلية للمرافقة في كل دائرة عامة من أجل إسداء </w:t>
      </w:r>
      <w:r>
        <w:rPr>
          <w:rFonts w:hint="cs"/>
          <w:rtl/>
          <w:lang w:bidi="ar-EG"/>
        </w:rPr>
        <w:t>ال</w:t>
      </w:r>
      <w:r w:rsidRPr="00CC46CF">
        <w:rPr>
          <w:rFonts w:hint="cs"/>
          <w:rtl/>
          <w:lang w:bidi="ar-EG"/>
        </w:rPr>
        <w:t xml:space="preserve">رأي </w:t>
      </w:r>
      <w:r>
        <w:rPr>
          <w:rFonts w:hint="cs"/>
          <w:rtl/>
          <w:lang w:bidi="ar-EG"/>
        </w:rPr>
        <w:t xml:space="preserve">في </w:t>
      </w:r>
      <w:r w:rsidRPr="00CC46CF">
        <w:rPr>
          <w:rFonts w:hint="cs"/>
          <w:rtl/>
          <w:lang w:bidi="ar-EG"/>
        </w:rPr>
        <w:t>خطة تكافؤ الفرص، وتقييم الإجراءات الإيجابية</w:t>
      </w:r>
      <w:r>
        <w:rPr>
          <w:rFonts w:hint="cs"/>
          <w:rtl/>
          <w:lang w:bidi="ar-EG"/>
        </w:rPr>
        <w:t>،</w:t>
      </w:r>
      <w:r w:rsidRPr="00CC46CF">
        <w:rPr>
          <w:rFonts w:hint="cs"/>
          <w:rtl/>
          <w:lang w:bidi="ar-EG"/>
        </w:rPr>
        <w:t xml:space="preserve"> وممارسة الرقابة على تنفيذ الإجراءات الإيجابية.</w:t>
      </w:r>
    </w:p>
    <w:p w:rsidR="007023B4" w:rsidRPr="00CC46CF" w:rsidRDefault="007023B4" w:rsidP="007023B4">
      <w:pPr>
        <w:pStyle w:val="SingleTxt"/>
        <w:rPr>
          <w:rFonts w:hint="cs"/>
          <w:rtl/>
          <w:lang w:bidi="ar-EG"/>
        </w:rPr>
      </w:pPr>
      <w:r w:rsidRPr="00CC46CF">
        <w:rPr>
          <w:rFonts w:hint="cs"/>
          <w:rtl/>
          <w:lang w:bidi="ar-EG"/>
        </w:rPr>
        <w:tab/>
        <w:t>وشهد تنفيذ الإجراءات الإيجابية في القطاع العام الاتحادي تطوراً هاماً مع ذلك منذ نشر ا</w:t>
      </w:r>
      <w:r>
        <w:rPr>
          <w:rFonts w:hint="cs"/>
          <w:rtl/>
          <w:lang w:bidi="ar-EG"/>
        </w:rPr>
        <w:t xml:space="preserve">لأمر </w:t>
      </w:r>
      <w:r w:rsidRPr="00CC46CF">
        <w:rPr>
          <w:rFonts w:hint="cs"/>
          <w:rtl/>
          <w:lang w:bidi="ar-EG"/>
        </w:rPr>
        <w:t>الملكي المؤرخ27 شباط/فبراير 1990</w:t>
      </w:r>
      <w:r w:rsidRPr="00CC46CF">
        <w:rPr>
          <w:vertAlign w:val="superscript"/>
          <w:rtl/>
          <w:lang w:bidi="ar-EG"/>
        </w:rPr>
        <w:t>(</w:t>
      </w:r>
      <w:r w:rsidRPr="00CC46CF">
        <w:rPr>
          <w:vertAlign w:val="superscript"/>
          <w:rtl/>
        </w:rPr>
        <w:footnoteReference w:id="24"/>
      </w:r>
      <w:r w:rsidRPr="00CC46CF">
        <w:rPr>
          <w:vertAlign w:val="superscript"/>
          <w:rtl/>
          <w:lang w:bidi="ar-EG"/>
        </w:rPr>
        <w:t>)</w:t>
      </w:r>
      <w:r w:rsidRPr="00CC46CF">
        <w:rPr>
          <w:rFonts w:hint="cs"/>
          <w:rtl/>
          <w:lang w:bidi="ar-EG"/>
        </w:rPr>
        <w:t xml:space="preserve"> بشأن التدابير الرامية إلى تعزيز تكافؤ الفرص بين الرجل والمرأة في ال</w:t>
      </w:r>
      <w:r>
        <w:rPr>
          <w:rFonts w:hint="cs"/>
          <w:rtl/>
          <w:lang w:bidi="ar-EG"/>
        </w:rPr>
        <w:t xml:space="preserve">دوائر </w:t>
      </w:r>
      <w:r w:rsidRPr="00CC46CF">
        <w:rPr>
          <w:rFonts w:hint="cs"/>
          <w:rtl/>
          <w:lang w:bidi="ar-EG"/>
        </w:rPr>
        <w:t>العامة</w:t>
      </w:r>
      <w:r>
        <w:rPr>
          <w:rFonts w:hint="cs"/>
          <w:rtl/>
          <w:lang w:bidi="ar-EG"/>
        </w:rPr>
        <w:t>، وبصفة أخص</w:t>
      </w:r>
      <w:r w:rsidRPr="00CC46CF">
        <w:rPr>
          <w:rFonts w:hint="cs"/>
          <w:rtl/>
          <w:lang w:bidi="ar-EG"/>
        </w:rPr>
        <w:t xml:space="preserve"> منذ أن </w:t>
      </w:r>
      <w:r>
        <w:rPr>
          <w:rFonts w:hint="cs"/>
          <w:rtl/>
          <w:lang w:bidi="ar-EG"/>
        </w:rPr>
        <w:t>بدأ</w:t>
      </w:r>
      <w:r w:rsidRPr="00CC46CF">
        <w:rPr>
          <w:rFonts w:hint="cs"/>
          <w:rtl/>
          <w:lang w:bidi="ar-EG"/>
        </w:rPr>
        <w:t>ت الحكومة الاتحادية إدماج المنظور الجنساني في مجموع السياسات المضطلع بها.</w:t>
      </w:r>
    </w:p>
    <w:p w:rsidR="007023B4" w:rsidRPr="00CC46CF" w:rsidRDefault="007023B4" w:rsidP="007023B4">
      <w:pPr>
        <w:pStyle w:val="SingleTxt"/>
        <w:rPr>
          <w:rFonts w:hint="cs"/>
          <w:rtl/>
          <w:lang w:bidi="ar-EG"/>
        </w:rPr>
      </w:pPr>
      <w:r w:rsidRPr="00CC46CF">
        <w:rPr>
          <w:rFonts w:hint="cs"/>
          <w:rtl/>
          <w:lang w:bidi="ar-EG"/>
        </w:rPr>
        <w:tab/>
        <w:t>و</w:t>
      </w:r>
      <w:r>
        <w:rPr>
          <w:rFonts w:hint="cs"/>
          <w:rtl/>
          <w:lang w:bidi="ar-EG"/>
        </w:rPr>
        <w:t xml:space="preserve">خضع </w:t>
      </w:r>
      <w:r w:rsidRPr="00CC46CF">
        <w:rPr>
          <w:rFonts w:hint="cs"/>
          <w:rtl/>
          <w:lang w:bidi="ar-EG"/>
        </w:rPr>
        <w:t>النظام الذي أنشأه ا</w:t>
      </w:r>
      <w:r>
        <w:rPr>
          <w:rFonts w:hint="cs"/>
          <w:rtl/>
          <w:lang w:bidi="ar-EG"/>
        </w:rPr>
        <w:t xml:space="preserve">لأمر </w:t>
      </w:r>
      <w:r w:rsidRPr="00CC46CF">
        <w:rPr>
          <w:rFonts w:hint="cs"/>
          <w:rtl/>
          <w:lang w:bidi="ar-EG"/>
        </w:rPr>
        <w:t xml:space="preserve">المشار إليه </w:t>
      </w:r>
      <w:r>
        <w:rPr>
          <w:rFonts w:hint="cs"/>
          <w:rtl/>
          <w:lang w:bidi="ar-EG"/>
        </w:rPr>
        <w:t>ل</w:t>
      </w:r>
      <w:r w:rsidRPr="00CC46CF">
        <w:rPr>
          <w:rFonts w:hint="cs"/>
          <w:rtl/>
          <w:lang w:bidi="ar-EG"/>
        </w:rPr>
        <w:t xml:space="preserve">تقييم انتهى إلى </w:t>
      </w:r>
      <w:r>
        <w:rPr>
          <w:rFonts w:hint="cs"/>
          <w:rtl/>
          <w:lang w:bidi="ar-EG"/>
        </w:rPr>
        <w:t xml:space="preserve">جدوى </w:t>
      </w:r>
      <w:r w:rsidRPr="00CC46CF">
        <w:rPr>
          <w:rFonts w:hint="cs"/>
          <w:rtl/>
          <w:lang w:bidi="ar-EG"/>
        </w:rPr>
        <w:t xml:space="preserve">إدماج التدابير المتخذة بموجب الإجراءات الإيجابية من أجل العاملين في الخدمة العامة الاتحادية في مجال سياسة إدارة </w:t>
      </w:r>
      <w:r>
        <w:rPr>
          <w:rFonts w:hint="cs"/>
          <w:rtl/>
          <w:lang w:bidi="ar-EG"/>
        </w:rPr>
        <w:t xml:space="preserve">شؤون الموظفين التي تنفذ تحت إشراف </w:t>
      </w:r>
      <w:r w:rsidRPr="00CC46CF">
        <w:rPr>
          <w:rFonts w:hint="cs"/>
          <w:rtl/>
          <w:lang w:bidi="ar-EG"/>
        </w:rPr>
        <w:t>وزير الخدمة العامة. وعلى نحو أكثر تحدي</w:t>
      </w:r>
      <w:r>
        <w:rPr>
          <w:rFonts w:hint="cs"/>
          <w:rtl/>
          <w:lang w:bidi="ar-EG"/>
        </w:rPr>
        <w:t>د</w:t>
      </w:r>
      <w:r w:rsidRPr="00CC46CF">
        <w:rPr>
          <w:rFonts w:hint="cs"/>
          <w:rtl/>
          <w:lang w:bidi="ar-EG"/>
        </w:rPr>
        <w:t xml:space="preserve">اً، فإن هذا الإدماج يتم عن طريق </w:t>
      </w:r>
      <w:r>
        <w:rPr>
          <w:rFonts w:hint="cs"/>
          <w:rtl/>
          <w:lang w:bidi="ar-EG"/>
        </w:rPr>
        <w:t xml:space="preserve">إدراج عنصر </w:t>
      </w:r>
      <w:r w:rsidRPr="00CC46CF">
        <w:rPr>
          <w:rFonts w:hint="cs"/>
          <w:rtl/>
          <w:lang w:bidi="ar-EG"/>
        </w:rPr>
        <w:t xml:space="preserve">المساواة بين الرجل والمرأة في مشروع </w:t>
      </w:r>
      <w:r w:rsidRPr="00CC46CF">
        <w:rPr>
          <w:rFonts w:hint="eastAsia"/>
          <w:rtl/>
          <w:lang w:bidi="ar-EG"/>
        </w:rPr>
        <w:t>”التنوع</w:t>
      </w:r>
      <w:r w:rsidRPr="00CC46CF">
        <w:rPr>
          <w:rFonts w:hint="cs"/>
          <w:rtl/>
          <w:lang w:bidi="ar-EG"/>
        </w:rPr>
        <w:t>“ الذي يجري تنفيذه داخل الخدمة العامة الاتحادية. ويرد وصف هذا المشروع بالتفصيل في الفرع المتعلق بالمادة 2 من الاتفاقية.</w:t>
      </w:r>
    </w:p>
    <w:p w:rsidR="007023B4" w:rsidRPr="00CC46CF" w:rsidRDefault="007023B4" w:rsidP="007023B4">
      <w:pPr>
        <w:pStyle w:val="SingleTxt"/>
        <w:rPr>
          <w:rFonts w:hint="cs"/>
          <w:rtl/>
          <w:lang w:bidi="ar-EG"/>
        </w:rPr>
      </w:pPr>
      <w:r w:rsidRPr="00CC46CF">
        <w:rPr>
          <w:rFonts w:hint="cs"/>
          <w:rtl/>
          <w:lang w:bidi="ar-EG"/>
        </w:rPr>
        <w:tab/>
        <w:t>وفي 26 تشرين الأول/أكتوبر 2004، أتاح حدث وطني يتعلق بالتنوع في ال</w:t>
      </w:r>
      <w:r>
        <w:rPr>
          <w:rFonts w:hint="cs"/>
          <w:rtl/>
          <w:lang w:bidi="ar-EG"/>
        </w:rPr>
        <w:t xml:space="preserve">دوائر </w:t>
      </w:r>
      <w:r w:rsidRPr="00CC46CF">
        <w:rPr>
          <w:rFonts w:hint="cs"/>
          <w:rtl/>
          <w:lang w:bidi="ar-EG"/>
        </w:rPr>
        <w:t xml:space="preserve">العامة، </w:t>
      </w:r>
      <w:r>
        <w:rPr>
          <w:rFonts w:hint="cs"/>
          <w:rtl/>
          <w:lang w:bidi="ar-EG"/>
        </w:rPr>
        <w:t xml:space="preserve">نظمه موظفو </w:t>
      </w:r>
      <w:r w:rsidRPr="00CC46CF">
        <w:rPr>
          <w:rFonts w:hint="cs"/>
          <w:rtl/>
          <w:lang w:bidi="ar-EG"/>
        </w:rPr>
        <w:t>وتنظيم ال</w:t>
      </w:r>
      <w:r>
        <w:rPr>
          <w:rFonts w:hint="cs"/>
          <w:rtl/>
          <w:lang w:bidi="ar-EG"/>
        </w:rPr>
        <w:t>دوائر</w:t>
      </w:r>
      <w:r w:rsidRPr="00CC46CF">
        <w:rPr>
          <w:rFonts w:hint="cs"/>
          <w:rtl/>
          <w:lang w:bidi="ar-EG"/>
        </w:rPr>
        <w:t xml:space="preserve"> </w:t>
      </w:r>
      <w:r>
        <w:rPr>
          <w:rFonts w:hint="cs"/>
          <w:rtl/>
          <w:lang w:bidi="ar-EG"/>
        </w:rPr>
        <w:t>العامة الاتحادية</w:t>
      </w:r>
      <w:r w:rsidRPr="00CC46CF">
        <w:rPr>
          <w:rFonts w:hint="cs"/>
          <w:rtl/>
          <w:lang w:bidi="ar-EG"/>
        </w:rPr>
        <w:t>، لممثلي مجموع الإدارات الاتحادية، وكذلك الإدارات الإقليمية والمجتمعية، تعزيز الإجراءات والممارسات ال</w:t>
      </w:r>
      <w:r>
        <w:rPr>
          <w:rFonts w:hint="cs"/>
          <w:rtl/>
          <w:lang w:bidi="ar-EG"/>
        </w:rPr>
        <w:t xml:space="preserve">جيدة الموحية </w:t>
      </w:r>
      <w:r w:rsidRPr="00CC46CF">
        <w:rPr>
          <w:rFonts w:hint="cs"/>
          <w:rtl/>
          <w:lang w:bidi="ar-EG"/>
        </w:rPr>
        <w:t>الأخرى، في مجال التنوع في ال</w:t>
      </w:r>
      <w:r>
        <w:rPr>
          <w:rFonts w:hint="cs"/>
          <w:rtl/>
          <w:lang w:bidi="ar-EG"/>
        </w:rPr>
        <w:t>دوائر</w:t>
      </w:r>
      <w:r w:rsidRPr="00CC46CF">
        <w:rPr>
          <w:rFonts w:hint="cs"/>
          <w:rtl/>
          <w:lang w:bidi="ar-EG"/>
        </w:rPr>
        <w:t xml:space="preserve"> العامة.</w:t>
      </w:r>
    </w:p>
    <w:p w:rsidR="007023B4" w:rsidRPr="00CC46CF" w:rsidRDefault="007023B4" w:rsidP="007023B4">
      <w:pPr>
        <w:pStyle w:val="SingleTxt"/>
        <w:rPr>
          <w:rFonts w:hint="cs"/>
          <w:rtl/>
          <w:lang w:bidi="ar-EG"/>
        </w:rPr>
      </w:pPr>
      <w:r w:rsidRPr="00CC46CF">
        <w:rPr>
          <w:rFonts w:hint="cs"/>
          <w:rtl/>
          <w:lang w:bidi="ar-EG"/>
        </w:rPr>
        <w:tab/>
        <w:t xml:space="preserve">ومن ثم فإن عام 2005 شهد </w:t>
      </w:r>
      <w:r>
        <w:rPr>
          <w:rFonts w:hint="cs"/>
          <w:rtl/>
          <w:lang w:bidi="ar-EG"/>
        </w:rPr>
        <w:t>موظفو و</w:t>
      </w:r>
      <w:r w:rsidRPr="00CC46CF">
        <w:rPr>
          <w:rFonts w:hint="cs"/>
          <w:rtl/>
          <w:lang w:bidi="ar-EG"/>
        </w:rPr>
        <w:t>تنظيم ال</w:t>
      </w:r>
      <w:r>
        <w:rPr>
          <w:rFonts w:hint="cs"/>
          <w:rtl/>
          <w:lang w:bidi="ar-EG"/>
        </w:rPr>
        <w:t>دوائر العامة الاتحادية</w:t>
      </w:r>
      <w:r w:rsidRPr="00CC46CF">
        <w:rPr>
          <w:rFonts w:hint="cs"/>
          <w:rtl/>
          <w:lang w:bidi="ar-EG"/>
        </w:rPr>
        <w:t xml:space="preserve">، إقامة </w:t>
      </w:r>
      <w:r>
        <w:rPr>
          <w:rFonts w:hint="cs"/>
          <w:rtl/>
          <w:lang w:bidi="ar-EG"/>
        </w:rPr>
        <w:t>وحد</w:t>
      </w:r>
      <w:r w:rsidRPr="00CC46CF">
        <w:rPr>
          <w:rFonts w:hint="cs"/>
          <w:rtl/>
          <w:lang w:bidi="ar-EG"/>
        </w:rPr>
        <w:t>ة للتنوع الدائم</w:t>
      </w:r>
      <w:r>
        <w:rPr>
          <w:rFonts w:hint="cs"/>
          <w:rtl/>
          <w:lang w:bidi="ar-EG"/>
        </w:rPr>
        <w:t>،</w:t>
      </w:r>
      <w:r w:rsidRPr="00CC46CF">
        <w:rPr>
          <w:rFonts w:hint="cs"/>
          <w:rtl/>
          <w:lang w:bidi="ar-EG"/>
        </w:rPr>
        <w:t xml:space="preserve"> في إطار خطة العمل المتعلقة بالتنوع التي </w:t>
      </w:r>
      <w:r>
        <w:rPr>
          <w:rFonts w:hint="cs"/>
          <w:rtl/>
          <w:lang w:bidi="ar-EG"/>
        </w:rPr>
        <w:t>أ</w:t>
      </w:r>
      <w:r w:rsidRPr="00CC46CF">
        <w:rPr>
          <w:rFonts w:hint="cs"/>
          <w:rtl/>
          <w:lang w:bidi="ar-EG"/>
        </w:rPr>
        <w:t>طلق</w:t>
      </w:r>
      <w:r>
        <w:rPr>
          <w:rFonts w:hint="cs"/>
          <w:rtl/>
          <w:lang w:bidi="ar-EG"/>
        </w:rPr>
        <w:t>ها</w:t>
      </w:r>
      <w:r w:rsidRPr="00CC46CF">
        <w:rPr>
          <w:rFonts w:hint="cs"/>
          <w:rtl/>
          <w:lang w:bidi="ar-EG"/>
        </w:rPr>
        <w:t xml:space="preserve"> وزير الخدمة العامة</w:t>
      </w:r>
      <w:r>
        <w:rPr>
          <w:rFonts w:hint="cs"/>
          <w:rtl/>
          <w:lang w:bidi="ar-EG"/>
        </w:rPr>
        <w:t xml:space="preserve"> في منتصف شباط/فبراير</w:t>
      </w:r>
      <w:r w:rsidRPr="00CC46CF">
        <w:rPr>
          <w:rFonts w:hint="cs"/>
          <w:rtl/>
          <w:lang w:bidi="ar-EG"/>
        </w:rPr>
        <w:t xml:space="preserve">. وتم تشكيل شبكة من </w:t>
      </w:r>
      <w:r>
        <w:rPr>
          <w:rFonts w:hint="cs"/>
          <w:rtl/>
          <w:lang w:bidi="ar-EG"/>
        </w:rPr>
        <w:t xml:space="preserve">موظفي الاتصال </w:t>
      </w:r>
      <w:r w:rsidRPr="00CC46CF">
        <w:rPr>
          <w:rFonts w:hint="cs"/>
          <w:rtl/>
          <w:lang w:bidi="ar-EG"/>
        </w:rPr>
        <w:t xml:space="preserve">في كل إدارة اتحادية، </w:t>
      </w:r>
      <w:r>
        <w:rPr>
          <w:rFonts w:hint="cs"/>
          <w:rtl/>
          <w:lang w:bidi="ar-EG"/>
        </w:rPr>
        <w:t xml:space="preserve">لتجميع </w:t>
      </w:r>
      <w:r w:rsidRPr="00CC46CF">
        <w:rPr>
          <w:rFonts w:hint="cs"/>
          <w:rtl/>
          <w:lang w:bidi="ar-EG"/>
        </w:rPr>
        <w:t>إجراءات التوعية.</w:t>
      </w:r>
    </w:p>
    <w:p w:rsidR="007023B4" w:rsidRDefault="007023B4" w:rsidP="007023B4">
      <w:pPr>
        <w:pStyle w:val="SingleTxt"/>
        <w:rPr>
          <w:rFonts w:hint="cs"/>
          <w:rtl/>
          <w:lang w:bidi="ar-EG"/>
        </w:rPr>
      </w:pPr>
      <w:r w:rsidRPr="00CC46CF">
        <w:rPr>
          <w:rFonts w:hint="cs"/>
          <w:rtl/>
          <w:lang w:bidi="ar-EG"/>
        </w:rPr>
        <w:tab/>
        <w:t xml:space="preserve">وبغية توخي الفاعلية، فإن شبكة موظفي </w:t>
      </w:r>
      <w:r w:rsidRPr="00CC46CF">
        <w:rPr>
          <w:rFonts w:hint="eastAsia"/>
          <w:rtl/>
          <w:lang w:bidi="ar-EG"/>
        </w:rPr>
        <w:t>”الإجراءات الإيجابية</w:t>
      </w:r>
      <w:r>
        <w:rPr>
          <w:rFonts w:hint="cs"/>
          <w:rtl/>
          <w:lang w:bidi="ar-EG"/>
        </w:rPr>
        <w:t>“</w:t>
      </w:r>
      <w:r w:rsidRPr="00CC46CF">
        <w:rPr>
          <w:rFonts w:hint="eastAsia"/>
          <w:rtl/>
          <w:lang w:bidi="ar-EG"/>
        </w:rPr>
        <w:t xml:space="preserve"> في </w:t>
      </w:r>
      <w:r>
        <w:rPr>
          <w:rFonts w:hint="eastAsia"/>
          <w:rtl/>
          <w:lang w:bidi="ar-EG"/>
        </w:rPr>
        <w:t>الدوائر العامة الاتحادية</w:t>
      </w:r>
      <w:r w:rsidRPr="00CC46CF">
        <w:rPr>
          <w:rFonts w:hint="eastAsia"/>
          <w:rtl/>
          <w:lang w:bidi="ar-EG"/>
        </w:rPr>
        <w:t xml:space="preserve"> تم إدماجها في شبكة الموظفين المواكبين لمشروع التنوع. </w:t>
      </w:r>
      <w:r w:rsidRPr="00CC46CF">
        <w:rPr>
          <w:rFonts w:hint="cs"/>
          <w:rtl/>
          <w:lang w:bidi="ar-EG"/>
        </w:rPr>
        <w:t xml:space="preserve">وخلال اجتماع تم تنظيمه في 3 أيار/مايو 2005، تم </w:t>
      </w:r>
      <w:r>
        <w:rPr>
          <w:rFonts w:hint="cs"/>
          <w:rtl/>
          <w:lang w:bidi="ar-EG"/>
        </w:rPr>
        <w:t>إ</w:t>
      </w:r>
      <w:r w:rsidRPr="00CC46CF">
        <w:rPr>
          <w:rFonts w:hint="cs"/>
          <w:rtl/>
          <w:lang w:bidi="ar-EG"/>
        </w:rPr>
        <w:t xml:space="preserve">طلاع أعضاء الشبكة على </w:t>
      </w:r>
      <w:r w:rsidRPr="00CC46CF">
        <w:rPr>
          <w:rFonts w:hint="eastAsia"/>
          <w:rtl/>
          <w:lang w:bidi="ar-EG"/>
        </w:rPr>
        <w:t>”مشروع التنوع</w:t>
      </w:r>
      <w:r w:rsidRPr="00CC46CF">
        <w:rPr>
          <w:rFonts w:hint="cs"/>
          <w:rtl/>
          <w:lang w:bidi="ar-EG"/>
        </w:rPr>
        <w:t>“ الجديد، و</w:t>
      </w:r>
      <w:r>
        <w:rPr>
          <w:rFonts w:hint="cs"/>
          <w:rtl/>
          <w:lang w:bidi="ar-EG"/>
        </w:rPr>
        <w:t xml:space="preserve">إطلاع </w:t>
      </w:r>
      <w:r w:rsidRPr="00CC46CF">
        <w:rPr>
          <w:rFonts w:hint="cs"/>
          <w:rtl/>
          <w:lang w:bidi="ar-EG"/>
        </w:rPr>
        <w:t xml:space="preserve">أعضاء هذه الشبكة </w:t>
      </w:r>
      <w:r>
        <w:rPr>
          <w:rFonts w:hint="cs"/>
          <w:rtl/>
          <w:lang w:bidi="ar-EG"/>
        </w:rPr>
        <w:t xml:space="preserve">غير الملتحقين بأي </w:t>
      </w:r>
      <w:r w:rsidRPr="00CC46CF">
        <w:rPr>
          <w:rFonts w:hint="cs"/>
          <w:rtl/>
          <w:lang w:bidi="ar-EG"/>
        </w:rPr>
        <w:t xml:space="preserve">خدمة عامة اتحادية أو هيئة عامة اتحادية، على معلومات متعلقة بالمبادرات </w:t>
      </w:r>
      <w:r>
        <w:rPr>
          <w:rFonts w:hint="cs"/>
          <w:rtl/>
          <w:lang w:bidi="ar-EG"/>
        </w:rPr>
        <w:t xml:space="preserve">التي تنفذها </w:t>
      </w:r>
      <w:r w:rsidRPr="00CC46CF">
        <w:rPr>
          <w:rFonts w:hint="cs"/>
          <w:rtl/>
          <w:lang w:bidi="ar-EG"/>
        </w:rPr>
        <w:t>شبكة التنسيق الإقليمي والمجتمعات أيضاً. وتم نشر هذه المعلومات بالتعاون مع ال</w:t>
      </w:r>
      <w:r>
        <w:rPr>
          <w:rFonts w:hint="cs"/>
          <w:rtl/>
          <w:lang w:bidi="ar-EG"/>
        </w:rPr>
        <w:t>دوائر</w:t>
      </w:r>
      <w:r w:rsidRPr="00CC46CF">
        <w:rPr>
          <w:rFonts w:hint="cs"/>
          <w:rtl/>
          <w:lang w:bidi="ar-EG"/>
        </w:rPr>
        <w:t xml:space="preserve"> المعنية من أجل أن يتاح لأعضاء شبكة </w:t>
      </w:r>
      <w:r w:rsidRPr="00CC46CF">
        <w:rPr>
          <w:rFonts w:hint="eastAsia"/>
          <w:rtl/>
          <w:lang w:bidi="ar-EG"/>
        </w:rPr>
        <w:t>”الإجراءات الإيجابية</w:t>
      </w:r>
      <w:r w:rsidRPr="00CC46CF">
        <w:rPr>
          <w:rFonts w:hint="cs"/>
          <w:rtl/>
          <w:lang w:bidi="ar-EG"/>
        </w:rPr>
        <w:t xml:space="preserve">“ </w:t>
      </w:r>
      <w:r>
        <w:rPr>
          <w:rFonts w:hint="cs"/>
          <w:rtl/>
          <w:lang w:bidi="ar-EG"/>
        </w:rPr>
        <w:t>غير المنضمين إلى</w:t>
      </w:r>
      <w:r w:rsidRPr="00CC46CF">
        <w:rPr>
          <w:rFonts w:hint="eastAsia"/>
          <w:rtl/>
          <w:lang w:bidi="ar-EG"/>
        </w:rPr>
        <w:t>”شبكة التنوع</w:t>
      </w:r>
      <w:r w:rsidRPr="00CC46CF">
        <w:rPr>
          <w:rFonts w:hint="cs"/>
          <w:rtl/>
          <w:lang w:bidi="ar-EG"/>
        </w:rPr>
        <w:t xml:space="preserve">“ </w:t>
      </w:r>
      <w:r>
        <w:rPr>
          <w:rFonts w:hint="cs"/>
          <w:rtl/>
          <w:lang w:bidi="ar-EG"/>
        </w:rPr>
        <w:t xml:space="preserve">الاشتراك في </w:t>
      </w:r>
      <w:r w:rsidRPr="00CC46CF">
        <w:rPr>
          <w:rFonts w:hint="cs"/>
          <w:rtl/>
          <w:lang w:bidi="ar-EG"/>
        </w:rPr>
        <w:t>المبادرات ال</w:t>
      </w:r>
      <w:r>
        <w:rPr>
          <w:rFonts w:hint="cs"/>
          <w:rtl/>
          <w:lang w:bidi="ar-EG"/>
        </w:rPr>
        <w:t>موضوعة على مستوى سلطتهم</w:t>
      </w:r>
      <w:r w:rsidRPr="00CC46CF">
        <w:rPr>
          <w:rFonts w:hint="cs"/>
          <w:rtl/>
          <w:lang w:bidi="ar-EG"/>
        </w:rPr>
        <w:t>.</w:t>
      </w:r>
    </w:p>
    <w:p w:rsidR="007023B4" w:rsidRPr="009D3826" w:rsidRDefault="00CB4FD6" w:rsidP="007023B4">
      <w:pPr>
        <w:pStyle w:val="SingleTxt"/>
        <w:rPr>
          <w:rFonts w:hint="cs"/>
          <w:i/>
          <w:iCs/>
          <w:rtl/>
          <w:lang w:bidi="ar-EG"/>
        </w:rPr>
      </w:pPr>
      <w:r>
        <w:rPr>
          <w:rFonts w:hint="cs"/>
          <w:rtl/>
          <w:lang w:bidi="ar-EG"/>
        </w:rPr>
        <w:t>1-1-</w:t>
      </w:r>
      <w:r w:rsidR="007023B4">
        <w:rPr>
          <w:rFonts w:hint="cs"/>
          <w:i/>
          <w:iCs/>
          <w:rtl/>
          <w:lang w:bidi="ar-EG"/>
        </w:rPr>
        <w:tab/>
      </w:r>
      <w:r w:rsidR="007023B4">
        <w:rPr>
          <w:rFonts w:hint="eastAsia"/>
          <w:i/>
          <w:iCs/>
          <w:rtl/>
          <w:lang w:bidi="ar-EG"/>
        </w:rPr>
        <w:t xml:space="preserve">خطة العمل للفترة 2005-2007 من أجل إعلاء </w:t>
      </w:r>
      <w:r w:rsidR="007023B4">
        <w:rPr>
          <w:rFonts w:hint="cs"/>
          <w:i/>
          <w:iCs/>
          <w:rtl/>
          <w:lang w:bidi="ar-EG"/>
        </w:rPr>
        <w:t xml:space="preserve">قيمة </w:t>
      </w:r>
      <w:r w:rsidR="007023B4">
        <w:rPr>
          <w:rFonts w:hint="eastAsia"/>
          <w:i/>
          <w:iCs/>
          <w:rtl/>
          <w:lang w:bidi="ar-EG"/>
        </w:rPr>
        <w:t>التنوع</w:t>
      </w:r>
      <w:r w:rsidR="007023B4">
        <w:rPr>
          <w:rFonts w:hint="cs"/>
          <w:i/>
          <w:iCs/>
          <w:rtl/>
          <w:lang w:bidi="ar-EG"/>
        </w:rPr>
        <w:t>.</w:t>
      </w:r>
    </w:p>
    <w:p w:rsidR="007023B4" w:rsidRDefault="007023B4" w:rsidP="007023B4">
      <w:pPr>
        <w:pStyle w:val="SingleTxt"/>
        <w:rPr>
          <w:rFonts w:hint="cs"/>
          <w:rtl/>
          <w:lang w:bidi="ar-EG"/>
        </w:rPr>
      </w:pPr>
      <w:r>
        <w:rPr>
          <w:rFonts w:hint="cs"/>
          <w:rtl/>
          <w:lang w:bidi="ar-EG"/>
        </w:rPr>
        <w:tab/>
        <w:t xml:space="preserve">تستهدف </w:t>
      </w:r>
      <w:r w:rsidRPr="00786C00">
        <w:rPr>
          <w:rFonts w:hint="eastAsia"/>
          <w:i/>
          <w:iCs/>
          <w:rtl/>
          <w:lang w:bidi="ar-EG"/>
        </w:rPr>
        <w:t xml:space="preserve">خطة العمل للفترة 2005-2007 من أجل إعلاء </w:t>
      </w:r>
      <w:r>
        <w:rPr>
          <w:rFonts w:hint="cs"/>
          <w:i/>
          <w:iCs/>
          <w:rtl/>
          <w:lang w:bidi="ar-EG"/>
        </w:rPr>
        <w:t xml:space="preserve">قيمة </w:t>
      </w:r>
      <w:r w:rsidRPr="00786C00">
        <w:rPr>
          <w:rFonts w:hint="eastAsia"/>
          <w:i/>
          <w:iCs/>
          <w:rtl/>
          <w:lang w:bidi="ar-EG"/>
        </w:rPr>
        <w:t>التنوع</w:t>
      </w:r>
      <w:r>
        <w:rPr>
          <w:rFonts w:hint="cs"/>
          <w:rtl/>
          <w:lang w:bidi="ar-EG"/>
        </w:rPr>
        <w:t xml:space="preserve"> ثلاث جماعات: المعوقون، والأشخاص ذوو الأصل الأجنبي، والمرأة التي تعمل في وظائف يكون تمثيلها فيها متدنياً.</w:t>
      </w:r>
    </w:p>
    <w:p w:rsidR="007023B4" w:rsidRDefault="007023B4" w:rsidP="007023B4">
      <w:pPr>
        <w:pStyle w:val="SingleTxt"/>
        <w:rPr>
          <w:rFonts w:hint="cs"/>
          <w:rtl/>
          <w:lang w:bidi="ar-EG"/>
        </w:rPr>
      </w:pPr>
      <w:r>
        <w:rPr>
          <w:rFonts w:hint="cs"/>
          <w:rtl/>
          <w:lang w:bidi="ar-EG"/>
        </w:rPr>
        <w:tab/>
        <w:t xml:space="preserve">وتقترح هذه الخطة إجراءات محددة تجاه المرأة في القطاعات التي يكون فيها تمثيلها متدنياً، بما في ذلك حث المرأة على أن تتقدم لوظائف تقنية أو إدارية والبحث النشط عن النساء اللاتي يمكن أن يكن أعضاء في هيئات المحلفين المختارين، والتحقق من التحيز حسب الجنس في الاختيار المسبق للمديرين لدى مؤسسة </w:t>
      </w:r>
      <w:r>
        <w:rPr>
          <w:rFonts w:hint="eastAsia"/>
          <w:rtl/>
          <w:lang w:bidi="ar-EG"/>
        </w:rPr>
        <w:t>”سيل</w:t>
      </w:r>
      <w:r>
        <w:rPr>
          <w:rFonts w:hint="cs"/>
          <w:rtl/>
          <w:lang w:bidi="ar-EG"/>
        </w:rPr>
        <w:t>و</w:t>
      </w:r>
      <w:r>
        <w:rPr>
          <w:rFonts w:hint="eastAsia"/>
          <w:rtl/>
          <w:lang w:bidi="ar-EG"/>
        </w:rPr>
        <w:t>ر</w:t>
      </w:r>
      <w:r>
        <w:rPr>
          <w:rFonts w:hint="cs"/>
          <w:rtl/>
          <w:lang w:bidi="ar-EG"/>
        </w:rPr>
        <w:t>“، وتحديد هدف رقمي يبلغ الثلث من النساء المنتدبات في وظائف. ويزيد معدل النساء العاملات في وظائف الإدارة على نحو بطيء، وبلغ 14.3 في المائة في تموز/يوليه 2006.</w:t>
      </w:r>
    </w:p>
    <w:p w:rsidR="007023B4" w:rsidRDefault="007023B4" w:rsidP="007023B4">
      <w:pPr>
        <w:pStyle w:val="SingleTxt"/>
        <w:rPr>
          <w:rFonts w:hint="cs"/>
          <w:rtl/>
          <w:lang w:bidi="ar-EG"/>
        </w:rPr>
      </w:pPr>
      <w:r>
        <w:rPr>
          <w:rFonts w:hint="cs"/>
          <w:rtl/>
          <w:lang w:bidi="ar-EG"/>
        </w:rPr>
        <w:tab/>
        <w:t xml:space="preserve">وتم تنظيم حملة إعلامية بعنوان </w:t>
      </w:r>
      <w:r>
        <w:rPr>
          <w:rFonts w:hint="eastAsia"/>
          <w:rtl/>
          <w:lang w:bidi="ar-EG"/>
        </w:rPr>
        <w:t>”المرأة على القمة</w:t>
      </w:r>
      <w:r>
        <w:rPr>
          <w:rFonts w:hint="cs"/>
          <w:rtl/>
          <w:lang w:bidi="ar-EG"/>
        </w:rPr>
        <w:t xml:space="preserve">“ لتشجيع المرأة على الترشح لوظائف إدارية ضمن الإدارة. وقد تم تنظيم الحملة في الداخل أولاً، مع بعث رسالة في أيار/مايو 2005 إلى جميع النساء الموظفات في المستوى ألف، ونشر ملصقات مزودة بمرايا تحمل رسالة تقول </w:t>
      </w:r>
      <w:r>
        <w:rPr>
          <w:rFonts w:hint="eastAsia"/>
          <w:rtl/>
          <w:lang w:bidi="ar-EG"/>
        </w:rPr>
        <w:t>”</w:t>
      </w:r>
      <w:r w:rsidRPr="00786C00">
        <w:rPr>
          <w:rFonts w:hint="cs"/>
          <w:i/>
          <w:iCs/>
          <w:rtl/>
          <w:lang w:bidi="ar-EG"/>
        </w:rPr>
        <w:t xml:space="preserve">امرأة </w:t>
      </w:r>
      <w:r w:rsidRPr="00786C00">
        <w:rPr>
          <w:rFonts w:hint="eastAsia"/>
          <w:i/>
          <w:iCs/>
          <w:rtl/>
          <w:lang w:bidi="ar-EG"/>
        </w:rPr>
        <w:t>على القمة في المستقبل</w:t>
      </w:r>
      <w:r w:rsidRPr="00786C00">
        <w:rPr>
          <w:rFonts w:hint="cs"/>
          <w:i/>
          <w:iCs/>
          <w:rtl/>
          <w:lang w:bidi="ar-EG"/>
        </w:rPr>
        <w:t xml:space="preserve">؟ </w:t>
      </w:r>
      <w:r>
        <w:rPr>
          <w:rFonts w:hint="cs"/>
          <w:i/>
          <w:iCs/>
          <w:rtl/>
          <w:lang w:bidi="ar-EG"/>
        </w:rPr>
        <w:t>أ</w:t>
      </w:r>
      <w:r w:rsidRPr="00786C00">
        <w:rPr>
          <w:rFonts w:hint="cs"/>
          <w:i/>
          <w:iCs/>
          <w:rtl/>
          <w:lang w:bidi="ar-EG"/>
        </w:rPr>
        <w:t>يكفي التفكير فيها للحصول عليها!</w:t>
      </w:r>
      <w:r>
        <w:rPr>
          <w:rFonts w:hint="eastAsia"/>
          <w:rtl/>
          <w:lang w:bidi="ar-EG"/>
        </w:rPr>
        <w:t>“</w:t>
      </w:r>
      <w:r>
        <w:rPr>
          <w:rFonts w:hint="cs"/>
          <w:rtl/>
          <w:lang w:bidi="ar-EG"/>
        </w:rPr>
        <w:t>.</w:t>
      </w:r>
      <w:r>
        <w:rPr>
          <w:rFonts w:hint="eastAsia"/>
          <w:rtl/>
          <w:lang w:bidi="ar-EG"/>
        </w:rPr>
        <w:t xml:space="preserve"> وفي المرحلة الثانية، تم تنظيم الحملة في الخارج أيضاً مع إعلانات منشورة في المجلات. </w:t>
      </w:r>
      <w:r>
        <w:rPr>
          <w:rFonts w:hint="cs"/>
          <w:rtl/>
          <w:lang w:bidi="ar-EG"/>
        </w:rPr>
        <w:t>وفي أعقاب هذه الحملة، أمكن ملاحظة أول اتجاه إيجابي. فقد ازدادت النسبة المئوية للنساء اللاتي سجلن أسماءهن لاختيارهن في الوظائف العليا والوظائف الإدارية، عقب الحملة الداخلية، بما</w:t>
      </w:r>
      <w:r>
        <w:rPr>
          <w:rFonts w:hint="eastAsia"/>
          <w:rtl/>
          <w:lang w:bidi="ar-EG"/>
        </w:rPr>
        <w:t> </w:t>
      </w:r>
      <w:r>
        <w:rPr>
          <w:rFonts w:hint="cs"/>
          <w:rtl/>
          <w:lang w:bidi="ar-EG"/>
        </w:rPr>
        <w:t xml:space="preserve">يعادل 2 في المائة في المتوسط، وازدادت النسبة من 33 في المائة إلى 35 في المائة من النساء المرشحات في المجموع في </w:t>
      </w:r>
      <w:r>
        <w:rPr>
          <w:rFonts w:hint="eastAsia"/>
          <w:rtl/>
          <w:lang w:bidi="ar-EG"/>
        </w:rPr>
        <w:t xml:space="preserve">”الموجة </w:t>
      </w:r>
      <w:r>
        <w:rPr>
          <w:rFonts w:hint="cs"/>
          <w:rtl/>
          <w:lang w:bidi="ar-EG"/>
        </w:rPr>
        <w:t>الرابعة“ (التي تم إغلاقها في أيلول/سبتمبر 2005 وهذه أرقام المرشحات في الداخل والخارج). وازدادت النسبة المئوية للمرشحات خلال الموجة الأخيرة (كانون الأول/ديسمبر 2005)، أي بعد الحملة الخارجية، لتبلغ في المجموع 42 في المائة. وغني عن القول إن الجهود المبذولة لتشجيع المرشحات ينبغي أن تتواصل، وستتواصل.</w:t>
      </w:r>
    </w:p>
    <w:p w:rsidR="007023B4" w:rsidRDefault="007023B4" w:rsidP="007023B4">
      <w:pPr>
        <w:pStyle w:val="SingleTxt"/>
        <w:rPr>
          <w:rFonts w:hint="cs"/>
          <w:rtl/>
          <w:lang w:bidi="ar-EG"/>
        </w:rPr>
      </w:pPr>
      <w:r>
        <w:rPr>
          <w:rFonts w:hint="cs"/>
          <w:rtl/>
          <w:lang w:bidi="ar-EG"/>
        </w:rPr>
        <w:tab/>
        <w:t>ويعار اهتمام كبير أيضاً لتوعية الموظفين ومديريهم باحتمالات التحيز على أساس الجنس وكذلك بالنسبة لتعزيز الحياد من حيث الجنس (أوصاف محايدة للوظيفة، كتابة عروض للعمل محايدة من حيث الجنس، إلخ).</w:t>
      </w:r>
    </w:p>
    <w:p w:rsidR="007023B4" w:rsidRDefault="007023B4" w:rsidP="007023B4">
      <w:pPr>
        <w:pStyle w:val="SingleTxt"/>
        <w:rPr>
          <w:rFonts w:hint="cs"/>
          <w:rtl/>
          <w:lang w:bidi="ar-EG"/>
        </w:rPr>
      </w:pPr>
      <w:r>
        <w:rPr>
          <w:rFonts w:hint="cs"/>
          <w:rtl/>
          <w:lang w:bidi="ar-EG"/>
        </w:rPr>
        <w:tab/>
        <w:t>ويمكن أخذ التوازن بين الحياة الخاصة والحياة المهنية في الاعتبار عن طريق مشروع رائد بشأن مشكلة الاجتماعات المتأخرة و/أو قليلة الفعالية وعبر تنفيذ مشاريع رائدة عن طريق العمل عن بعد. وتتولى وحدة التنوع، التي أنشئت لضمان متابعة خطة العمل، تنفيذ التدابير السالفة الذكر.</w:t>
      </w:r>
    </w:p>
    <w:p w:rsidR="007023B4" w:rsidRPr="00F26B56" w:rsidRDefault="007023B4" w:rsidP="007023B4">
      <w:pPr>
        <w:pStyle w:val="H23"/>
        <w:spacing w:after="120"/>
        <w:rPr>
          <w:rFonts w:hint="cs"/>
          <w:rtl/>
          <w:lang w:bidi="ar-EG"/>
        </w:rPr>
      </w:pPr>
      <w:r>
        <w:rPr>
          <w:rFonts w:hint="cs"/>
          <w:rtl/>
          <w:lang w:bidi="ar-EG"/>
        </w:rPr>
        <w:tab/>
      </w:r>
      <w:r w:rsidRPr="00F26B56">
        <w:rPr>
          <w:rFonts w:hint="cs"/>
          <w:rtl/>
          <w:lang w:bidi="ar-EG"/>
        </w:rPr>
        <w:t>2 -</w:t>
      </w:r>
      <w:r w:rsidRPr="00F26B56">
        <w:rPr>
          <w:rFonts w:hint="cs"/>
          <w:rtl/>
          <w:lang w:bidi="ar-EG"/>
        </w:rPr>
        <w:tab/>
        <w:t>في مجال اتخاذ القرار السياسي</w:t>
      </w:r>
    </w:p>
    <w:p w:rsidR="007023B4" w:rsidRDefault="007023B4" w:rsidP="007023B4">
      <w:pPr>
        <w:pStyle w:val="SingleTxt"/>
        <w:rPr>
          <w:rFonts w:hint="cs"/>
          <w:rtl/>
          <w:lang w:bidi="ar-EG"/>
        </w:rPr>
      </w:pPr>
      <w:r>
        <w:rPr>
          <w:rFonts w:hint="cs"/>
          <w:rtl/>
          <w:lang w:bidi="ar-EG"/>
        </w:rPr>
        <w:tab/>
        <w:t>تم اتخاذ تدابير خاصة ترمي إلى التعجيل بإقامة المساواة الواقعية بين الرجل والمرأة على جميع مستويات السلطة (المستوى الاتحادي - الكيانات الاتحادية) من أجل تعزيز مشاركة المرأة في اتخاذ القرار السياسي.</w:t>
      </w:r>
    </w:p>
    <w:p w:rsidR="007023B4" w:rsidRDefault="007023B4" w:rsidP="007023B4">
      <w:pPr>
        <w:pStyle w:val="SingleTxt"/>
        <w:rPr>
          <w:rFonts w:hint="cs"/>
          <w:rtl/>
          <w:lang w:bidi="ar-EG"/>
        </w:rPr>
      </w:pPr>
      <w:r>
        <w:rPr>
          <w:rFonts w:hint="cs"/>
          <w:rtl/>
          <w:lang w:bidi="ar-EG"/>
        </w:rPr>
        <w:tab/>
        <w:t>وترد هذه التدابير التشريعية وأثرها على وجود المرأة في المؤسسات السياسية البلجيكية في المادة 7 من هذا التقرير.</w:t>
      </w:r>
    </w:p>
    <w:p w:rsidR="007023B4" w:rsidRPr="00F26B56" w:rsidRDefault="007023B4" w:rsidP="007023B4">
      <w:pPr>
        <w:pStyle w:val="H23"/>
        <w:spacing w:after="120"/>
        <w:rPr>
          <w:rFonts w:hint="cs"/>
          <w:rtl/>
          <w:lang w:bidi="ar-EG"/>
        </w:rPr>
      </w:pPr>
      <w:r>
        <w:rPr>
          <w:rFonts w:hint="cs"/>
          <w:b w:val="0"/>
          <w:bCs w:val="0"/>
          <w:rtl/>
          <w:lang w:bidi="ar-EG"/>
        </w:rPr>
        <w:tab/>
        <w:t>3</w:t>
      </w:r>
      <w:r w:rsidRPr="00F26B56">
        <w:rPr>
          <w:rFonts w:hint="cs"/>
          <w:rtl/>
          <w:lang w:bidi="ar-EG"/>
        </w:rPr>
        <w:t xml:space="preserve"> -</w:t>
      </w:r>
      <w:r w:rsidRPr="00F26B56">
        <w:rPr>
          <w:rFonts w:hint="cs"/>
          <w:rtl/>
          <w:lang w:bidi="ar-EG"/>
        </w:rPr>
        <w:tab/>
        <w:t>من أجل الحث على القيام بإجازة الأبوة</w:t>
      </w:r>
    </w:p>
    <w:p w:rsidR="007023B4" w:rsidRDefault="007023B4" w:rsidP="007023B4">
      <w:pPr>
        <w:pStyle w:val="SingleTxt"/>
        <w:rPr>
          <w:rFonts w:hint="cs"/>
          <w:rtl/>
        </w:rPr>
      </w:pPr>
      <w:r>
        <w:rPr>
          <w:rFonts w:hint="cs"/>
          <w:rtl/>
          <w:lang w:bidi="ar-EG"/>
        </w:rPr>
        <w:tab/>
        <w:t>نظم المعهد المعني بالمساواة بين المرأة والرجل، منذ عام 2002، حملة إعلامية وحملة توعية تتعلق بإجازة الأبوة. ونشرت مطوية بأربع لغات لآباء المستقبل عن طريق قنوات عديدة للغاية، منها البلديات، وعلى مواقع الإنترنت. ومن أجل توعية عالم العمل (أصحاب العمل في القطاعين العام والخاص والنقابات)، أعدت أداة للرسوم المتحركة على المسرح ومتوافرة أيضاً بلغتين على أجهزة الفيديو وأقراص الفيديو الرقمية(</w:t>
      </w:r>
      <w:r>
        <w:rPr>
          <w:lang w:bidi="ar-EG"/>
        </w:rPr>
        <w:t>DVD</w:t>
      </w:r>
      <w:r>
        <w:rPr>
          <w:rFonts w:hint="cs"/>
          <w:rtl/>
          <w:lang w:bidi="ar-EG"/>
        </w:rPr>
        <w:t>).</w:t>
      </w:r>
    </w:p>
    <w:p w:rsidR="007023B4" w:rsidRDefault="007023B4" w:rsidP="007023B4">
      <w:pPr>
        <w:pStyle w:val="SingleTxt"/>
        <w:rPr>
          <w:rFonts w:hint="cs"/>
          <w:rtl/>
          <w:lang w:bidi="ar-EG"/>
        </w:rPr>
      </w:pPr>
      <w:r>
        <w:rPr>
          <w:rFonts w:hint="cs"/>
          <w:rtl/>
          <w:lang w:bidi="ar-EG"/>
        </w:rPr>
        <w:tab/>
        <w:t>وتم إعداد جدول بترتيب إجازة الأبوة بمعرفة السلطات المحلية، وقد أثبت الجدول ضرورة اتخاذ المبادرة في هذا الشأن.</w:t>
      </w:r>
    </w:p>
    <w:p w:rsidR="007023B4" w:rsidRPr="00F26B56" w:rsidRDefault="007023B4" w:rsidP="007023B4">
      <w:pPr>
        <w:pStyle w:val="H23"/>
        <w:spacing w:after="120"/>
        <w:rPr>
          <w:rFonts w:hint="cs"/>
          <w:rtl/>
          <w:lang w:bidi="ar-EG"/>
        </w:rPr>
      </w:pPr>
      <w:r>
        <w:rPr>
          <w:rFonts w:hint="cs"/>
          <w:rtl/>
          <w:lang w:bidi="ar-EG"/>
        </w:rPr>
        <w:tab/>
      </w:r>
      <w:r w:rsidRPr="00F26B56">
        <w:rPr>
          <w:rFonts w:hint="cs"/>
          <w:rtl/>
          <w:lang w:bidi="ar-EG"/>
        </w:rPr>
        <w:t>4 -</w:t>
      </w:r>
      <w:r w:rsidRPr="00F26B56">
        <w:rPr>
          <w:rFonts w:hint="cs"/>
          <w:rtl/>
          <w:lang w:bidi="ar-EG"/>
        </w:rPr>
        <w:tab/>
        <w:t>ميثاق الرجال العاملين في مجال تحقيق المساواة بين المرأة والرجل</w:t>
      </w:r>
    </w:p>
    <w:p w:rsidR="007023B4" w:rsidRDefault="007023B4" w:rsidP="007023B4">
      <w:pPr>
        <w:pStyle w:val="SingleTxt"/>
        <w:rPr>
          <w:rFonts w:hint="cs"/>
          <w:rtl/>
          <w:lang w:bidi="ar-EG"/>
        </w:rPr>
      </w:pPr>
      <w:r>
        <w:rPr>
          <w:rFonts w:hint="cs"/>
          <w:rtl/>
          <w:lang w:bidi="ar-EG"/>
        </w:rPr>
        <w:tab/>
        <w:t>بمناسبة حلقة دراسية تم تنظيمها في 8 آذار/مارس 2006، اقترح الوزير الاتحادي المكلف بتكافؤ الفرص أن يوقِّع الرجال بإمضائهم على وثيقة موجهة إليهم بصفة خاصة بغية العمل بنشاط في تحقيق المساواة. والوثيقة متاحة على موقع المعهد المعني بالمساواة بين المرأة والرجل.</w:t>
      </w:r>
    </w:p>
    <w:p w:rsidR="007023B4" w:rsidRPr="00786C00" w:rsidRDefault="007023B4" w:rsidP="007023B4">
      <w:pPr>
        <w:pStyle w:val="SingleTxt"/>
        <w:spacing w:after="0" w:line="120" w:lineRule="exact"/>
        <w:rPr>
          <w:rFonts w:hint="cs"/>
          <w:sz w:val="10"/>
          <w:rtl/>
          <w:lang w:bidi="ar-EG"/>
        </w:rPr>
      </w:pPr>
    </w:p>
    <w:p w:rsidR="007023B4" w:rsidRPr="00F26B56" w:rsidRDefault="007023B4" w:rsidP="007023B4">
      <w:pPr>
        <w:pStyle w:val="H1"/>
        <w:spacing w:after="120"/>
        <w:rPr>
          <w:rFonts w:hint="cs"/>
          <w:rtl/>
          <w:lang w:bidi="ar-EG"/>
        </w:rPr>
      </w:pPr>
      <w:r>
        <w:rPr>
          <w:rFonts w:hint="cs"/>
          <w:rtl/>
          <w:lang w:bidi="ar-EG"/>
        </w:rPr>
        <w:tab/>
      </w:r>
      <w:r w:rsidRPr="00F26B56">
        <w:rPr>
          <w:rFonts w:hint="cs"/>
          <w:rtl/>
          <w:lang w:bidi="ar-EG"/>
        </w:rPr>
        <w:t>ثانياً - الكيانات الاتحادية</w:t>
      </w:r>
    </w:p>
    <w:p w:rsidR="007023B4" w:rsidRPr="00BA4B3F" w:rsidRDefault="007023B4" w:rsidP="007023B4">
      <w:pPr>
        <w:pStyle w:val="SingleTxt"/>
        <w:rPr>
          <w:rFonts w:hint="cs"/>
          <w:b/>
          <w:bCs/>
          <w:rtl/>
          <w:lang w:bidi="ar-EG"/>
        </w:rPr>
      </w:pPr>
      <w:r>
        <w:rPr>
          <w:rFonts w:hint="cs"/>
          <w:b/>
          <w:bCs/>
          <w:rtl/>
          <w:lang w:bidi="ar-EG"/>
        </w:rPr>
        <w:t>المجتمع الفرنسي</w:t>
      </w:r>
    </w:p>
    <w:p w:rsidR="007023B4" w:rsidRDefault="007023B4" w:rsidP="007023B4">
      <w:pPr>
        <w:pStyle w:val="SingleTxt"/>
        <w:rPr>
          <w:rFonts w:hint="cs"/>
          <w:rtl/>
          <w:lang w:bidi="ar-EG"/>
        </w:rPr>
      </w:pPr>
      <w:r>
        <w:rPr>
          <w:rFonts w:hint="cs"/>
          <w:rtl/>
          <w:lang w:bidi="ar-EG"/>
        </w:rPr>
        <w:tab/>
        <w:t>اعتمد مرسوم يهدف إلى تمثيل الجنسين في الاتحادات والجمعيات الرياضية (20 في المائة على الأقل من النساء في أجهزة الإدارة) في 20 حزيران/يونيه 2002. وبحلول 31 كانون الأول/ديسمبر 2004، كان 24 اتحاداً، بنسبة 37.5 في المائة، تفي بشرط تمثيل المرأة في مجالس إدارتها.</w:t>
      </w:r>
    </w:p>
    <w:p w:rsidR="007023B4" w:rsidRDefault="007023B4" w:rsidP="007023B4">
      <w:pPr>
        <w:pStyle w:val="SingleTxt"/>
        <w:rPr>
          <w:rFonts w:hint="cs"/>
          <w:rtl/>
          <w:lang w:bidi="ar-EG"/>
        </w:rPr>
      </w:pPr>
      <w:r>
        <w:rPr>
          <w:rFonts w:hint="cs"/>
          <w:rtl/>
          <w:lang w:bidi="ar-EG"/>
        </w:rPr>
        <w:tab/>
        <w:t>واعتمدت حكومة المجتمع الفرنسي أيضا، يوم 17 تموز/يوليه 2002، مرسوماً يهدف إلى تعزيز المشاركة المتوازنة للرجل والمرأة في الأجهزة الاستشارية.</w:t>
      </w:r>
    </w:p>
    <w:p w:rsidR="007023B4" w:rsidRDefault="007023B4" w:rsidP="007023B4">
      <w:pPr>
        <w:pStyle w:val="SingleTxt"/>
        <w:rPr>
          <w:rFonts w:hint="cs"/>
          <w:rtl/>
          <w:lang w:bidi="ar-EG"/>
        </w:rPr>
      </w:pPr>
      <w:r>
        <w:rPr>
          <w:rFonts w:hint="cs"/>
          <w:rtl/>
          <w:lang w:bidi="ar-EG"/>
        </w:rPr>
        <w:tab/>
        <w:t>وينص هذا المرسوم بصفة خاصة على ما يلي:</w:t>
      </w:r>
    </w:p>
    <w:p w:rsidR="007023B4" w:rsidRDefault="007023B4" w:rsidP="007023B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ينبغي أن يوجد رجل واحد وامرأة واحدة على الأقل ضمن المرشحين الأصليين والاحتياطيين في الأجهزة الاستشارية؛</w:t>
      </w:r>
    </w:p>
    <w:p w:rsidR="007023B4" w:rsidRDefault="007023B4" w:rsidP="007023B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ينبغي أن تضم الأجهزة الاستشارية 35 في المائة من الأعضاء من كل جنس كحد أدنى؛</w:t>
      </w:r>
    </w:p>
    <w:p w:rsidR="007023B4" w:rsidRDefault="007023B4" w:rsidP="007023B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تقدم الحكومة كل عامين إلى مجلس المجتمع الفرنسي تقييماً لهذا المرسوم.</w:t>
      </w:r>
    </w:p>
    <w:p w:rsidR="007023B4" w:rsidRDefault="007023B4" w:rsidP="007023B4">
      <w:pPr>
        <w:pStyle w:val="SingleTxt"/>
        <w:rPr>
          <w:rFonts w:hint="cs"/>
          <w:rtl/>
          <w:lang w:bidi="ar-EG"/>
        </w:rPr>
      </w:pPr>
      <w:r>
        <w:rPr>
          <w:rFonts w:hint="cs"/>
          <w:rtl/>
          <w:lang w:bidi="ar-EG"/>
        </w:rPr>
        <w:tab/>
        <w:t>وبغية إدراج مسعى يتعلق بالمساواة بين الجنسين في إعداد الأحكام التشريعية والسياسات والبرامج والمشروعات موضع الاهتمام العام، أدرج نمودج معين بشأن تكافؤ الفرص في خطة التدريب للفترة 2006-2007 في مدرسة الإدارة العامة.</w:t>
      </w:r>
    </w:p>
    <w:p w:rsidR="007023B4" w:rsidRPr="007023B4" w:rsidRDefault="007023B4" w:rsidP="007023B4">
      <w:pPr>
        <w:pStyle w:val="HCh"/>
        <w:spacing w:line="120" w:lineRule="exact"/>
        <w:rPr>
          <w:rFonts w:hint="cs"/>
          <w:sz w:val="10"/>
          <w:rtl/>
          <w:lang w:bidi="ar-EG"/>
        </w:rPr>
      </w:pPr>
    </w:p>
    <w:p w:rsidR="007023B4" w:rsidRPr="00BA4B3F" w:rsidRDefault="007023B4" w:rsidP="007023B4">
      <w:pPr>
        <w:pStyle w:val="HCh"/>
        <w:spacing w:after="120"/>
        <w:rPr>
          <w:rFonts w:hint="cs"/>
          <w:rtl/>
          <w:lang w:bidi="ar-EG"/>
        </w:rPr>
      </w:pPr>
      <w:r>
        <w:rPr>
          <w:rFonts w:hint="cs"/>
          <w:rtl/>
          <w:lang w:bidi="ar-EG"/>
        </w:rPr>
        <w:tab/>
        <w:t>المادة 5</w:t>
      </w:r>
    </w:p>
    <w:p w:rsidR="007023B4" w:rsidRDefault="007023B4" w:rsidP="007023B4">
      <w:pPr>
        <w:pStyle w:val="H1"/>
        <w:spacing w:after="120"/>
        <w:rPr>
          <w:rFonts w:hint="cs"/>
          <w:rtl/>
          <w:lang w:bidi="ar-EG"/>
        </w:rPr>
      </w:pPr>
      <w:r>
        <w:rPr>
          <w:rFonts w:hint="cs"/>
          <w:rtl/>
          <w:lang w:bidi="ar-EG"/>
        </w:rPr>
        <w:tab/>
        <w:t>أولاً -</w:t>
      </w:r>
      <w:r>
        <w:rPr>
          <w:rFonts w:hint="cs"/>
          <w:rtl/>
          <w:lang w:bidi="ar-EG"/>
        </w:rPr>
        <w:tab/>
        <w:t>على المستوى الاتحادي</w:t>
      </w:r>
    </w:p>
    <w:p w:rsidR="007023B4" w:rsidRPr="00BA4B3F" w:rsidRDefault="007023B4" w:rsidP="007023B4">
      <w:pPr>
        <w:pStyle w:val="H23"/>
        <w:spacing w:after="120"/>
        <w:rPr>
          <w:rFonts w:hint="cs"/>
          <w:rtl/>
          <w:lang w:bidi="ar-EG"/>
        </w:rPr>
      </w:pPr>
      <w:r>
        <w:rPr>
          <w:rFonts w:hint="cs"/>
          <w:rtl/>
          <w:lang w:bidi="ar-EG"/>
        </w:rPr>
        <w:tab/>
        <w:t>1 -</w:t>
      </w:r>
      <w:r>
        <w:rPr>
          <w:rFonts w:hint="cs"/>
          <w:rtl/>
          <w:lang w:bidi="ar-EG"/>
        </w:rPr>
        <w:tab/>
        <w:t>صورة المرأة والرجل</w:t>
      </w:r>
    </w:p>
    <w:p w:rsidR="007023B4" w:rsidRPr="00BA4B3F" w:rsidRDefault="00CB4FD6" w:rsidP="007023B4">
      <w:pPr>
        <w:pStyle w:val="SingleTxt"/>
        <w:rPr>
          <w:rFonts w:hint="cs"/>
          <w:i/>
          <w:iCs/>
          <w:rtl/>
          <w:lang w:bidi="ar-EG"/>
        </w:rPr>
      </w:pPr>
      <w:r>
        <w:rPr>
          <w:rFonts w:hint="cs"/>
          <w:rtl/>
          <w:lang w:bidi="ar-EG"/>
        </w:rPr>
        <w:t>1-1-</w:t>
      </w:r>
      <w:r w:rsidR="007023B4">
        <w:rPr>
          <w:rFonts w:hint="cs"/>
          <w:i/>
          <w:iCs/>
          <w:rtl/>
          <w:lang w:bidi="ar-EG"/>
        </w:rPr>
        <w:tab/>
        <w:t>في الإعلان</w:t>
      </w:r>
    </w:p>
    <w:p w:rsidR="007023B4" w:rsidRDefault="007023B4" w:rsidP="007023B4">
      <w:pPr>
        <w:pStyle w:val="SingleTxt"/>
        <w:rPr>
          <w:rFonts w:hint="cs"/>
          <w:rtl/>
          <w:lang w:bidi="ar-EG"/>
        </w:rPr>
      </w:pPr>
      <w:r>
        <w:rPr>
          <w:rFonts w:hint="cs"/>
          <w:rtl/>
          <w:lang w:bidi="ar-EG"/>
        </w:rPr>
        <w:tab/>
        <w:t>بغية تحسين مكافحة الأفكار الجامدة عن الجنسين، اتخذ مجلس الشيوخ البلجيكي يوم 15 شباط/فبراير 2006 قراراً يتعلق بصورة المرأة والرجل في الإعلان. وقد طلب إلى المعهد المعني بالمساواة بين المرأة والرجل ولجنة الإعلانات بهيئة محكمي أخلاقيات الإعلان في هذا القرار تحليل ودراسة الموضوع وتنفيذ إجراءات محددة، كل في مجال اختصاصه.</w:t>
      </w:r>
    </w:p>
    <w:p w:rsidR="007023B4" w:rsidRPr="00BA4B3F" w:rsidRDefault="00CB4FD6" w:rsidP="007023B4">
      <w:pPr>
        <w:pStyle w:val="SingleTxt"/>
        <w:rPr>
          <w:rFonts w:hint="cs"/>
          <w:i/>
          <w:iCs/>
          <w:rtl/>
        </w:rPr>
      </w:pPr>
      <w:r>
        <w:rPr>
          <w:rFonts w:hint="cs"/>
          <w:rtl/>
          <w:lang w:bidi="ar-EG"/>
        </w:rPr>
        <w:t>1-2-</w:t>
      </w:r>
      <w:r w:rsidR="007023B4">
        <w:rPr>
          <w:rFonts w:hint="cs"/>
          <w:i/>
          <w:iCs/>
          <w:rtl/>
          <w:lang w:bidi="ar-EG"/>
        </w:rPr>
        <w:tab/>
        <w:t xml:space="preserve">مشروع </w:t>
      </w:r>
      <w:r w:rsidR="007023B4">
        <w:rPr>
          <w:rFonts w:hint="eastAsia"/>
          <w:i/>
          <w:iCs/>
          <w:rtl/>
          <w:lang w:bidi="ar-EG"/>
        </w:rPr>
        <w:t>”</w:t>
      </w:r>
      <w:r w:rsidR="007023B4">
        <w:rPr>
          <w:i/>
          <w:iCs/>
          <w:lang w:bidi="ar-EG"/>
        </w:rPr>
        <w:t>Electronica</w:t>
      </w:r>
      <w:r w:rsidR="007023B4">
        <w:rPr>
          <w:rFonts w:hint="cs"/>
          <w:i/>
          <w:iCs/>
          <w:rtl/>
          <w:lang w:bidi="ar-EG"/>
        </w:rPr>
        <w:t>“</w:t>
      </w:r>
    </w:p>
    <w:p w:rsidR="007023B4" w:rsidRDefault="007023B4" w:rsidP="007023B4">
      <w:pPr>
        <w:pStyle w:val="SingleTxt"/>
        <w:rPr>
          <w:rFonts w:hint="cs"/>
          <w:rtl/>
          <w:lang w:bidi="ar-EG"/>
        </w:rPr>
      </w:pPr>
      <w:r>
        <w:rPr>
          <w:rFonts w:hint="cs"/>
          <w:rtl/>
          <w:lang w:bidi="ar-EG"/>
        </w:rPr>
        <w:tab/>
        <w:t xml:space="preserve">في عام 2000، وفي أعقاب قمة لشبونة، عكفت الدولة الاتحادية على تشجيع المساواة في وصول المرأة والرجل إلى تكنولوجيا المعلومات والاتصال. وفي هذا الإطار، اضطلعت إدارة تكافؤ الفرص في الدائرة العامة الاتحادية للاستخدام والعمل والتشاور الاجتماعي، بالتمويل المشترك مع الصندوق الاجتماعي الأوروبي، بمشروع بشأن هذا الموضوع. وهذا المشروع، ويعرف باسم </w:t>
      </w:r>
      <w:r>
        <w:rPr>
          <w:rFonts w:hint="eastAsia"/>
          <w:rtl/>
          <w:lang w:bidi="ar-EG"/>
        </w:rPr>
        <w:t>”</w:t>
      </w:r>
      <w:r>
        <w:rPr>
          <w:i/>
          <w:iCs/>
          <w:lang w:bidi="ar-EG"/>
        </w:rPr>
        <w:t>Electronica</w:t>
      </w:r>
      <w:r>
        <w:rPr>
          <w:rFonts w:hint="cs"/>
          <w:rtl/>
          <w:lang w:bidi="ar-EG"/>
        </w:rPr>
        <w:t>“، أتاح إعداد وتنفيذ حملة توعية للجمهور العريض؛ وإعداد أربع أدوات للتوعية والقضاء على الأفكار الجامدة فيما يتعلق بوصول المرأة والرجل إلى المهن وإلى التدريب على تكنولوجيات المعلومات والاتصال؛ وإجراء دراسة نوعية للصعوبات التي يصادفها الطلاب من الجنسين في اختيار الدراسات والمهن المتعلقة بتكنولوجيات المعلومات والاتصال. وقد أنهى هذا المشروع، الذي اضطلع به مع شركاء من المؤسسات والجمعيات، في أواخر عام 2003.</w:t>
      </w:r>
    </w:p>
    <w:p w:rsidR="007023B4" w:rsidRPr="00F26B56" w:rsidRDefault="007023B4" w:rsidP="007023B4">
      <w:pPr>
        <w:pStyle w:val="H23"/>
        <w:spacing w:after="120"/>
        <w:rPr>
          <w:rFonts w:hint="eastAsia"/>
          <w:rtl/>
          <w:lang w:bidi="ar-EG"/>
        </w:rPr>
      </w:pPr>
      <w:r>
        <w:rPr>
          <w:rFonts w:hint="cs"/>
          <w:rtl/>
          <w:lang w:bidi="ar-EG"/>
        </w:rPr>
        <w:tab/>
      </w:r>
      <w:r w:rsidRPr="00F26B56">
        <w:rPr>
          <w:rFonts w:hint="cs"/>
          <w:rtl/>
          <w:lang w:bidi="ar-EG"/>
        </w:rPr>
        <w:t>2 -</w:t>
      </w:r>
      <w:r w:rsidRPr="00F26B56">
        <w:rPr>
          <w:rFonts w:hint="cs"/>
          <w:rtl/>
          <w:lang w:bidi="ar-EG"/>
        </w:rPr>
        <w:tab/>
      </w:r>
      <w:r w:rsidRPr="00F26B56">
        <w:rPr>
          <w:rFonts w:hint="eastAsia"/>
          <w:rtl/>
          <w:lang w:bidi="ar-EG"/>
        </w:rPr>
        <w:t>”</w:t>
      </w:r>
      <w:r>
        <w:rPr>
          <w:rFonts w:hint="cs"/>
          <w:rtl/>
          <w:lang w:bidi="ar-EG"/>
        </w:rPr>
        <w:t xml:space="preserve">المجالس </w:t>
      </w:r>
      <w:r w:rsidRPr="00F26B56">
        <w:rPr>
          <w:rFonts w:hint="cs"/>
          <w:rtl/>
          <w:lang w:bidi="ar-EG"/>
        </w:rPr>
        <w:t>العامة للأسر</w:t>
      </w:r>
      <w:r w:rsidRPr="00F26B56">
        <w:rPr>
          <w:rFonts w:hint="eastAsia"/>
          <w:rtl/>
          <w:lang w:bidi="ar-EG"/>
        </w:rPr>
        <w:t>“</w:t>
      </w:r>
    </w:p>
    <w:p w:rsidR="007023B4" w:rsidRDefault="007023B4" w:rsidP="007023B4">
      <w:pPr>
        <w:pStyle w:val="SingleTxt"/>
        <w:rPr>
          <w:rFonts w:hint="cs"/>
          <w:rtl/>
          <w:lang w:bidi="ar-EG"/>
        </w:rPr>
      </w:pPr>
      <w:r>
        <w:rPr>
          <w:rFonts w:hint="cs"/>
          <w:rtl/>
          <w:lang w:bidi="ar-EG"/>
        </w:rPr>
        <w:tab/>
        <w:t xml:space="preserve">بناء على مبادرة من وزارات الدولة لشؤون الأسر والمعوقين التي توالت خلال الفترة المشمولة بالتقرير، تم تنظيم </w:t>
      </w:r>
      <w:r>
        <w:rPr>
          <w:rFonts w:hint="eastAsia"/>
          <w:rtl/>
          <w:lang w:bidi="ar-EG"/>
        </w:rPr>
        <w:t>”</w:t>
      </w:r>
      <w:r>
        <w:rPr>
          <w:rFonts w:hint="cs"/>
          <w:rtl/>
          <w:lang w:bidi="ar-EG"/>
        </w:rPr>
        <w:t xml:space="preserve">مجالس </w:t>
      </w:r>
      <w:r>
        <w:rPr>
          <w:rFonts w:hint="eastAsia"/>
          <w:rtl/>
          <w:lang w:bidi="ar-EG"/>
        </w:rPr>
        <w:t>عامة للأسر</w:t>
      </w:r>
      <w:r>
        <w:rPr>
          <w:rFonts w:hint="cs"/>
          <w:rtl/>
          <w:lang w:bidi="ar-EG"/>
        </w:rPr>
        <w:t xml:space="preserve">“ فيما بين عامي 2004 و 2006، تجمع بين الفعاليات المؤسسية الاتحادية والمجتمعية والإقليمية، وكذلك الفعاليات الميدانية التي يتمثل هدفها في </w:t>
      </w:r>
      <w:r>
        <w:rPr>
          <w:rFonts w:hint="eastAsia"/>
          <w:rtl/>
          <w:lang w:bidi="ar-EG"/>
        </w:rPr>
        <w:t>”فهم وتحسين مساندة الأسرة في جميع أوضاعها</w:t>
      </w:r>
      <w:r>
        <w:rPr>
          <w:rFonts w:hint="cs"/>
          <w:rtl/>
          <w:lang w:bidi="ar-EG"/>
        </w:rPr>
        <w:t xml:space="preserve">“. وسينشر التقرير المتعلق بهذه المجالس العامة والمتضمن توصيات خلال عام 2007 ويتابع موقع على الشبكة عنوانه </w:t>
      </w:r>
      <w:hyperlink r:id="rId18" w:history="1">
        <w:r w:rsidRPr="00B14663">
          <w:rPr>
            <w:rStyle w:val="Hyperlink"/>
            <w:lang w:bidi="ar-EG"/>
          </w:rPr>
          <w:t>www.lesfamilles.be</w:t>
        </w:r>
      </w:hyperlink>
      <w:r>
        <w:rPr>
          <w:rFonts w:hint="cs"/>
          <w:rtl/>
          <w:lang w:bidi="ar-EG"/>
        </w:rPr>
        <w:t xml:space="preserve"> الأعمال المتعلقة بالمعلومات ونشر النتائج.</w:t>
      </w:r>
    </w:p>
    <w:p w:rsidR="007023B4" w:rsidRPr="00036237" w:rsidRDefault="007023B4" w:rsidP="007023B4">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2"/>
          <w:rtl/>
          <w:lang w:bidi="ar-EG"/>
        </w:rPr>
      </w:pPr>
    </w:p>
    <w:p w:rsidR="007023B4" w:rsidRPr="00F26B56" w:rsidRDefault="007023B4" w:rsidP="007023B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Pr="00F26B56">
        <w:rPr>
          <w:rFonts w:hint="cs"/>
          <w:rtl/>
          <w:lang w:bidi="ar-EG"/>
        </w:rPr>
        <w:t>3 -</w:t>
      </w:r>
      <w:r w:rsidRPr="00F26B56">
        <w:rPr>
          <w:rFonts w:hint="cs"/>
          <w:rtl/>
          <w:lang w:bidi="ar-EG"/>
        </w:rPr>
        <w:tab/>
        <w:t>مكافحة بعض أنواع السلوك الاجتماعي والثقافي والأ</w:t>
      </w:r>
      <w:r>
        <w:rPr>
          <w:rFonts w:hint="cs"/>
          <w:rtl/>
          <w:lang w:bidi="ar-EG"/>
        </w:rPr>
        <w:t xml:space="preserve">فكار الجامدة </w:t>
      </w:r>
      <w:r w:rsidRPr="00F26B56">
        <w:rPr>
          <w:rFonts w:hint="cs"/>
          <w:rtl/>
          <w:lang w:bidi="ar-EG"/>
        </w:rPr>
        <w:t>والتحيزات في وزارة الدفاع</w:t>
      </w:r>
    </w:p>
    <w:p w:rsidR="007023B4" w:rsidRDefault="007023B4" w:rsidP="007023B4">
      <w:pPr>
        <w:pStyle w:val="SingleTxt"/>
        <w:rPr>
          <w:rFonts w:hint="cs"/>
          <w:rtl/>
          <w:lang w:bidi="ar-EG"/>
        </w:rPr>
      </w:pPr>
      <w:r>
        <w:rPr>
          <w:rFonts w:hint="cs"/>
          <w:rtl/>
          <w:lang w:bidi="ar-EG"/>
        </w:rPr>
        <w:tab/>
        <w:t>تم في وزارة الدفاع، في إطار تنفيذ الخطة الاستراتيجية للتنوع، اتخاذ تدابير في مجالات التدريب والتوظيف، بغية القضاء على بعض أنواع السلوك الاجتماعي والثقافي والأفكار الجامدة والتحيزات.</w:t>
      </w:r>
    </w:p>
    <w:p w:rsidR="007023B4" w:rsidRPr="00BA4B3F" w:rsidRDefault="00CB4FD6" w:rsidP="007023B4">
      <w:pPr>
        <w:pStyle w:val="SingleTxt"/>
        <w:rPr>
          <w:rFonts w:hint="cs"/>
          <w:i/>
          <w:iCs/>
          <w:rtl/>
          <w:lang w:bidi="ar-EG"/>
        </w:rPr>
      </w:pPr>
      <w:r>
        <w:rPr>
          <w:rFonts w:hint="cs"/>
          <w:rtl/>
          <w:lang w:bidi="ar-EG"/>
        </w:rPr>
        <w:t>3-1-</w:t>
      </w:r>
      <w:r w:rsidR="007023B4">
        <w:rPr>
          <w:rFonts w:hint="cs"/>
          <w:i/>
          <w:iCs/>
          <w:rtl/>
          <w:lang w:bidi="ar-EG"/>
        </w:rPr>
        <w:tab/>
        <w:t>مسرح التنوع</w:t>
      </w:r>
    </w:p>
    <w:p w:rsidR="007023B4" w:rsidRDefault="007023B4" w:rsidP="007023B4">
      <w:pPr>
        <w:pStyle w:val="SingleTxt"/>
        <w:rPr>
          <w:rFonts w:hint="cs"/>
          <w:rtl/>
          <w:lang w:bidi="ar-EG"/>
        </w:rPr>
      </w:pPr>
      <w:r>
        <w:rPr>
          <w:rFonts w:hint="cs"/>
          <w:rtl/>
          <w:lang w:bidi="ar-EG"/>
        </w:rPr>
        <w:tab/>
        <w:t>في عام 2006، تم تنظيم مسرح للتنوع وبالتحيزات لدى تدريب العسكريين. ويتمثل الهدف في توعية العسكريين بوجود أفكار جامدة وبالتحيزات بصفة عامة. وتم أيضاً التطرق إلى بعض الأساليب الرامية إلى مواجهة المشكلات الناجمة عن التحيزات أو الأفكار الجامدة في جلسات مسرح التنوع.</w:t>
      </w:r>
    </w:p>
    <w:p w:rsidR="007023B4" w:rsidRPr="00BA4B3F" w:rsidRDefault="00CB4FD6" w:rsidP="007023B4">
      <w:pPr>
        <w:pStyle w:val="SingleTxt"/>
        <w:rPr>
          <w:rFonts w:hint="cs"/>
          <w:i/>
          <w:iCs/>
          <w:rtl/>
          <w:lang w:bidi="ar-EG"/>
        </w:rPr>
      </w:pPr>
      <w:r>
        <w:rPr>
          <w:rFonts w:hint="cs"/>
          <w:rtl/>
          <w:lang w:bidi="ar-EG"/>
        </w:rPr>
        <w:t>3-2-</w:t>
      </w:r>
      <w:r w:rsidR="007023B4">
        <w:rPr>
          <w:rFonts w:hint="cs"/>
          <w:i/>
          <w:iCs/>
          <w:rtl/>
          <w:lang w:bidi="ar-EG"/>
        </w:rPr>
        <w:tab/>
        <w:t>التدريب على التنوع</w:t>
      </w:r>
    </w:p>
    <w:p w:rsidR="007023B4" w:rsidRDefault="007023B4" w:rsidP="007023B4">
      <w:pPr>
        <w:pStyle w:val="SingleTxt"/>
        <w:rPr>
          <w:rFonts w:hint="cs"/>
          <w:rtl/>
          <w:lang w:bidi="ar-EG"/>
        </w:rPr>
      </w:pPr>
      <w:r>
        <w:rPr>
          <w:rFonts w:hint="cs"/>
          <w:rtl/>
          <w:lang w:bidi="ar-EG"/>
        </w:rPr>
        <w:tab/>
        <w:t>فضلاً عن مسارح التنوع المتاحة للعسكريين خلال تدريبهم الأساسي، أرادت وزارة الدفاع أيضاً عرض إمكانيات التدريب على جميع العسكريين، والبعض منهم أكثر استهدافاً.</w:t>
      </w:r>
    </w:p>
    <w:p w:rsidR="007023B4" w:rsidRDefault="007023B4" w:rsidP="007023B4">
      <w:pPr>
        <w:pStyle w:val="SingleTxt"/>
        <w:rPr>
          <w:rFonts w:hint="cs"/>
          <w:rtl/>
          <w:lang w:bidi="ar-EG"/>
        </w:rPr>
      </w:pPr>
      <w:r>
        <w:rPr>
          <w:rFonts w:hint="cs"/>
          <w:rtl/>
          <w:lang w:bidi="ar-EG"/>
        </w:rPr>
        <w:tab/>
        <w:t>والحلقات الدراسية المفتوحة هي، كما يدل عليها اسمها، مفتوحة أمام جميع العسكريين. وهدف الحلقة الدراسية المفتوحة الخاصة بالتنوع هو التعريف بموضوع التنوع في جميع جوانبه: الأصل الإثني، والجنس، والعمر، إلخ.، وتوعية المشتركين بالثروة الكامنة في التنوع، وأيضاً بالمشكلات التي يمكن أن يصادفوها. ويتعلم المشتركون أيضاً كيف يعيشون التنوع في مكان العمل.</w:t>
      </w:r>
    </w:p>
    <w:p w:rsidR="007023B4" w:rsidRDefault="007023B4" w:rsidP="007023B4">
      <w:pPr>
        <w:pStyle w:val="SingleTxt"/>
        <w:rPr>
          <w:rFonts w:hint="cs"/>
          <w:rtl/>
          <w:lang w:bidi="ar-EG"/>
        </w:rPr>
      </w:pPr>
      <w:r>
        <w:rPr>
          <w:rFonts w:hint="cs"/>
          <w:rtl/>
          <w:lang w:bidi="ar-EG"/>
        </w:rPr>
        <w:tab/>
        <w:t xml:space="preserve">ويشمل تدريب الوسطاء المحليين للدفاع أيضاً نموذجاً </w:t>
      </w:r>
      <w:r>
        <w:rPr>
          <w:rFonts w:hint="eastAsia"/>
          <w:rtl/>
          <w:lang w:bidi="ar-EG"/>
        </w:rPr>
        <w:t>”للتنوع</w:t>
      </w:r>
      <w:r>
        <w:rPr>
          <w:rFonts w:hint="cs"/>
          <w:rtl/>
          <w:lang w:bidi="ar-EG"/>
        </w:rPr>
        <w:t>“. ويتم التطرق بمزيد من العمق في هذا النموذج إلى ظواهر مثل الأفكار الجامدة والتحيزات.</w:t>
      </w:r>
    </w:p>
    <w:p w:rsidR="007023B4" w:rsidRPr="00BA4B3F" w:rsidRDefault="00CB4FD6" w:rsidP="007023B4">
      <w:pPr>
        <w:pStyle w:val="SingleTxt"/>
        <w:rPr>
          <w:rFonts w:hint="cs"/>
          <w:i/>
          <w:iCs/>
          <w:rtl/>
          <w:lang w:bidi="ar-EG"/>
        </w:rPr>
      </w:pPr>
      <w:r>
        <w:rPr>
          <w:rFonts w:hint="cs"/>
          <w:rtl/>
          <w:lang w:bidi="ar-EG"/>
        </w:rPr>
        <w:t>3-3-</w:t>
      </w:r>
      <w:r w:rsidR="007023B4">
        <w:rPr>
          <w:rFonts w:hint="cs"/>
          <w:i/>
          <w:iCs/>
          <w:rtl/>
          <w:lang w:bidi="ar-EG"/>
        </w:rPr>
        <w:tab/>
        <w:t>المهارات الفردية الأساسية المشتركة في مجال المعايير والقيم</w:t>
      </w:r>
    </w:p>
    <w:p w:rsidR="007023B4" w:rsidRDefault="007023B4" w:rsidP="007023B4">
      <w:pPr>
        <w:pStyle w:val="SingleTxt"/>
        <w:rPr>
          <w:rFonts w:hint="cs"/>
          <w:rtl/>
          <w:lang w:bidi="ar-EG"/>
        </w:rPr>
      </w:pPr>
      <w:r>
        <w:rPr>
          <w:rFonts w:hint="cs"/>
          <w:rtl/>
          <w:lang w:bidi="ar-EG"/>
        </w:rPr>
        <w:tab/>
        <w:t xml:space="preserve">هذه المهارات هي الاتجاهات والاختصاصات الأساسية التي يتعين أن يبديها جميع العسكريين. ويشكل جزءاً من ذلك </w:t>
      </w:r>
      <w:r>
        <w:rPr>
          <w:rFonts w:hint="eastAsia"/>
          <w:rtl/>
          <w:lang w:bidi="ar-EG"/>
        </w:rPr>
        <w:t>”احترام الآخرين</w:t>
      </w:r>
      <w:r>
        <w:rPr>
          <w:rFonts w:hint="cs"/>
          <w:rtl/>
          <w:lang w:bidi="ar-EG"/>
        </w:rPr>
        <w:t>“ (بما في ذلك احترام تنوعهم). ويتعلق موضوع ثان بهذه المهارات بالعنف والتحرش (انظر أيضاً المادة 3). ويدرج في هذه المهارات أيضاً سياسة مكافحة الاتجار بالبشر.</w:t>
      </w:r>
    </w:p>
    <w:p w:rsidR="007023B4" w:rsidRPr="00BA4B3F" w:rsidRDefault="00CB4FD6" w:rsidP="007023B4">
      <w:pPr>
        <w:pStyle w:val="SingleTxt"/>
        <w:rPr>
          <w:rFonts w:hint="cs"/>
          <w:i/>
          <w:iCs/>
          <w:rtl/>
          <w:lang w:bidi="ar-EG"/>
        </w:rPr>
      </w:pPr>
      <w:r>
        <w:rPr>
          <w:rFonts w:hint="cs"/>
          <w:rtl/>
          <w:lang w:bidi="ar-EG"/>
        </w:rPr>
        <w:t>3-4-</w:t>
      </w:r>
      <w:r w:rsidR="007023B4">
        <w:rPr>
          <w:rFonts w:hint="cs"/>
          <w:i/>
          <w:iCs/>
          <w:rtl/>
          <w:lang w:bidi="ar-EG"/>
        </w:rPr>
        <w:tab/>
        <w:t>خلق صورة</w:t>
      </w:r>
    </w:p>
    <w:p w:rsidR="007023B4" w:rsidRDefault="007023B4" w:rsidP="007023B4">
      <w:pPr>
        <w:pStyle w:val="SingleTxt"/>
        <w:rPr>
          <w:rFonts w:hint="cs"/>
          <w:rtl/>
          <w:lang w:bidi="ar-EG"/>
        </w:rPr>
      </w:pPr>
      <w:r>
        <w:rPr>
          <w:rFonts w:hint="cs"/>
          <w:rtl/>
          <w:lang w:bidi="ar-EG"/>
        </w:rPr>
        <w:tab/>
        <w:t>تريد وزارة الدفاع بوضوح أن تبين أن للمرأة مكانا بالكامل مثل الرجال في جميع المناصب القائمة. وأثناء حملات التوظيف، تظهر أيضاً إعلانات في المجلات الأسبوعية تستهدف جمهوراً نسائياً. ويذكر أيضاً أن الناطق باسم وزارة الدفاع امرأة.</w:t>
      </w:r>
    </w:p>
    <w:p w:rsidR="007023B4" w:rsidRPr="00036237" w:rsidRDefault="007023B4" w:rsidP="007023B4">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2"/>
          <w:rtl/>
          <w:lang w:bidi="ar-EG"/>
        </w:rPr>
      </w:pPr>
    </w:p>
    <w:p w:rsidR="007023B4" w:rsidRDefault="007023B4" w:rsidP="007023B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t>ثانيا -</w:t>
      </w:r>
      <w:r>
        <w:rPr>
          <w:rFonts w:hint="cs"/>
          <w:rtl/>
          <w:lang w:bidi="ar-EG"/>
        </w:rPr>
        <w:tab/>
        <w:t>الكيانات الاتحادية</w:t>
      </w:r>
    </w:p>
    <w:p w:rsidR="007023B4" w:rsidRDefault="007023B4" w:rsidP="007023B4">
      <w:pPr>
        <w:pStyle w:val="H23"/>
        <w:spacing w:after="120"/>
        <w:rPr>
          <w:rFonts w:hint="cs"/>
          <w:rtl/>
          <w:lang w:bidi="ar-EG"/>
        </w:rPr>
      </w:pPr>
      <w:r>
        <w:rPr>
          <w:rFonts w:hint="cs"/>
          <w:rtl/>
          <w:lang w:bidi="ar-EG"/>
        </w:rPr>
        <w:tab/>
        <w:t>ألف-</w:t>
      </w:r>
      <w:r>
        <w:rPr>
          <w:rFonts w:hint="cs"/>
          <w:rtl/>
          <w:lang w:bidi="ar-EG"/>
        </w:rPr>
        <w:tab/>
        <w:t>الإقليم والمجتمع الفلمنديان</w:t>
      </w:r>
    </w:p>
    <w:p w:rsidR="007023B4" w:rsidRPr="00F26B56" w:rsidRDefault="007023B4" w:rsidP="007023B4">
      <w:pPr>
        <w:pStyle w:val="H23"/>
        <w:spacing w:after="120"/>
        <w:ind w:left="663" w:right="1264" w:hanging="663"/>
        <w:rPr>
          <w:rFonts w:hint="cs"/>
          <w:rtl/>
          <w:lang w:bidi="ar-EG"/>
        </w:rPr>
      </w:pPr>
      <w:r>
        <w:rPr>
          <w:rFonts w:hint="cs"/>
          <w:rtl/>
          <w:lang w:bidi="ar-EG"/>
        </w:rPr>
        <w:tab/>
      </w:r>
      <w:r w:rsidRPr="00F26B56">
        <w:rPr>
          <w:rFonts w:hint="cs"/>
          <w:rtl/>
          <w:lang w:bidi="ar-EG"/>
        </w:rPr>
        <w:t>1 -</w:t>
      </w:r>
      <w:r w:rsidRPr="00F26B56">
        <w:rPr>
          <w:rFonts w:hint="cs"/>
          <w:rtl/>
          <w:lang w:bidi="ar-EG"/>
        </w:rPr>
        <w:tab/>
        <w:t>اختراق الأنماط التقليدية المتعلقة بالأدوار من خلال السياسة الرأسية للوزير الفلمن</w:t>
      </w:r>
      <w:r>
        <w:rPr>
          <w:rFonts w:hint="cs"/>
          <w:rtl/>
          <w:lang w:bidi="ar-EG"/>
        </w:rPr>
        <w:t>د</w:t>
      </w:r>
      <w:r w:rsidRPr="00F26B56">
        <w:rPr>
          <w:rFonts w:hint="cs"/>
          <w:rtl/>
          <w:lang w:bidi="ar-EG"/>
        </w:rPr>
        <w:t xml:space="preserve">ي </w:t>
      </w:r>
      <w:r>
        <w:rPr>
          <w:rFonts w:hint="cs"/>
          <w:rtl/>
          <w:lang w:bidi="ar-EG"/>
        </w:rPr>
        <w:tab/>
      </w:r>
      <w:r w:rsidRPr="00F26B56">
        <w:rPr>
          <w:rFonts w:hint="cs"/>
          <w:rtl/>
          <w:lang w:bidi="ar-EG"/>
        </w:rPr>
        <w:t>المسؤول عن تكافؤ الفرص</w:t>
      </w:r>
    </w:p>
    <w:p w:rsidR="007023B4" w:rsidRDefault="007023B4" w:rsidP="007023B4">
      <w:pPr>
        <w:pStyle w:val="SingleTxt"/>
        <w:rPr>
          <w:rFonts w:hint="cs"/>
          <w:rtl/>
          <w:lang w:bidi="ar-EG"/>
        </w:rPr>
      </w:pPr>
      <w:r>
        <w:rPr>
          <w:rFonts w:hint="cs"/>
          <w:rtl/>
          <w:lang w:bidi="ar-EG"/>
        </w:rPr>
        <w:tab/>
        <w:t xml:space="preserve">هناك فجوة بين الذي تحقق قانوناً من حيث تكافؤ الفرص بين الرجل والمرأة وما تم تحقيقه أو قبوله اجتماعياً. وعلى الرغم من التقدم الضخم الذي تحقق منذ مجيء الحركة النسائية، فما زال الرجل والمرأة غير متمتعين في الواقع بتكافؤ الفرص في مختلف مجالات الحياة المجتمعية. وفضلاً عن ذلك، فإن من المهم الإشارة ليس إلى الاختلافات بين الرجل والمرأة وحدها، وإنما أيضاً إلى الاختلافات بين النساء أنفسهن. وتوجد خصائص وآليات جنسانية تسفر عن جماعات معينة من الفتيات والنساء اللاتي يتخلفن من حيث متوسط مستوى التعليم والعمل ومن حيث المشاركة الاجتماعية والثقافية والسياسية. وهذه الحالة من بين حالات أخرى تتعلق بالأمهات الوحيدات، والنساء الكبيرات في السن، والنساء والفتيات المهاجرات. وأخيراً، فإن الأخطار المتعلقة بالحديث عن تكافؤ الفرص قد ضاقت بسهولة لتصبح </w:t>
      </w:r>
      <w:r>
        <w:rPr>
          <w:rFonts w:hint="eastAsia"/>
          <w:rtl/>
          <w:lang w:bidi="ar-EG"/>
        </w:rPr>
        <w:t>”ذات الفرص للرجل والمرأة</w:t>
      </w:r>
      <w:r>
        <w:rPr>
          <w:rFonts w:hint="cs"/>
          <w:rtl/>
          <w:lang w:bidi="ar-EG"/>
        </w:rPr>
        <w:t>“. ويواجه الرجال أيضاً تحيزات وفرصاً غير متكافئة تمنعهم من تطوير أنفسهم. وهذا هو السبب في أن محاربة الأفكار الجامدة المتعلقة بالرجل والتمييز الناجم عن ذلك هي من الشواغل المهمة في ولاية هذه الحكومة.</w:t>
      </w:r>
    </w:p>
    <w:p w:rsidR="007023B4" w:rsidRPr="00036237" w:rsidRDefault="007023B4" w:rsidP="007023B4">
      <w:pPr>
        <w:pStyle w:val="H23"/>
        <w:spacing w:line="120" w:lineRule="exact"/>
        <w:ind w:left="663" w:right="1264" w:hanging="663"/>
        <w:rPr>
          <w:rFonts w:hint="cs"/>
          <w:sz w:val="12"/>
          <w:rtl/>
          <w:lang w:bidi="ar-EG"/>
        </w:rPr>
      </w:pPr>
    </w:p>
    <w:p w:rsidR="007023B4" w:rsidRPr="00F26B56" w:rsidRDefault="007023B4" w:rsidP="007023B4">
      <w:pPr>
        <w:pStyle w:val="H23"/>
        <w:spacing w:after="120"/>
        <w:ind w:left="663" w:right="1264" w:hanging="663"/>
        <w:rPr>
          <w:rFonts w:hint="cs"/>
          <w:rtl/>
          <w:lang w:bidi="ar-EG"/>
        </w:rPr>
      </w:pPr>
      <w:r>
        <w:rPr>
          <w:rFonts w:hint="cs"/>
          <w:rtl/>
          <w:lang w:bidi="ar-EG"/>
        </w:rPr>
        <w:tab/>
      </w:r>
      <w:r w:rsidRPr="00F26B56">
        <w:rPr>
          <w:rFonts w:hint="cs"/>
          <w:rtl/>
          <w:lang w:bidi="ar-EG"/>
        </w:rPr>
        <w:t>2 -</w:t>
      </w:r>
      <w:r w:rsidRPr="00F26B56">
        <w:rPr>
          <w:rFonts w:hint="cs"/>
          <w:rtl/>
          <w:lang w:bidi="ar-EG"/>
        </w:rPr>
        <w:tab/>
        <w:t xml:space="preserve">حملة عبر وسائط الإعلام بشأن تكافؤ الفرص والأنماط المتعلقة بالأدوار في مجال العمل </w:t>
      </w:r>
      <w:r>
        <w:rPr>
          <w:rFonts w:hint="cs"/>
          <w:rtl/>
          <w:lang w:bidi="ar-EG"/>
        </w:rPr>
        <w:tab/>
      </w:r>
      <w:r w:rsidRPr="00F26B56">
        <w:rPr>
          <w:rFonts w:hint="cs"/>
          <w:rtl/>
          <w:lang w:bidi="ar-EG"/>
        </w:rPr>
        <w:t>وفي الأسرة</w:t>
      </w:r>
    </w:p>
    <w:p w:rsidR="007023B4" w:rsidRDefault="007023B4" w:rsidP="007023B4">
      <w:pPr>
        <w:pStyle w:val="SingleTxt"/>
        <w:rPr>
          <w:rFonts w:hint="cs"/>
          <w:rtl/>
          <w:lang w:bidi="ar-EG"/>
        </w:rPr>
      </w:pPr>
      <w:r>
        <w:rPr>
          <w:rFonts w:hint="cs"/>
          <w:rtl/>
          <w:lang w:bidi="ar-EG"/>
        </w:rPr>
        <w:tab/>
        <w:t>في إطار الأنشطة المواضيعية بشأن مسألة ’تعميم مراعاة المنظور الجنساني‘ (الأولوية</w:t>
      </w:r>
      <w:r>
        <w:rPr>
          <w:rFonts w:hint="eastAsia"/>
          <w:rtl/>
          <w:lang w:bidi="ar-EG"/>
        </w:rPr>
        <w:t> </w:t>
      </w:r>
      <w:r>
        <w:rPr>
          <w:rFonts w:hint="cs"/>
          <w:rtl/>
          <w:lang w:bidi="ar-EG"/>
        </w:rPr>
        <w:t>5 في الصندوق الاجتماعي الأوروبي)، بادرت السياسة الفلمندية لتكافؤ الفرص بإطلاق حملة للتعريف بالمنتجات الناتجة عن الأولوية 5، للصندوق الاجتماعي الأوروبي، سواء للجمهور العريض أو للفعاليات المشاركة. وبالتعاون مع وزير العمل الفلمندي، تم توجيه نداء جديد إلى الشركات والشركاء الاجتماعيين ومنظمات المجتمع المدني من أجل استحداث مشاريع رائدة مبتكرة فيما يتعلق بهذه المشكلات المشتركة، في إطار خطة العمل الاستراتيجية بشأن تكافؤ الفرص بالنسبة للرجل والمرأة.</w:t>
      </w:r>
    </w:p>
    <w:p w:rsidR="007023B4" w:rsidRDefault="007023B4" w:rsidP="007023B4">
      <w:pPr>
        <w:pStyle w:val="SingleTxt"/>
        <w:rPr>
          <w:rFonts w:hint="cs"/>
          <w:rtl/>
          <w:lang w:bidi="ar-EG"/>
        </w:rPr>
      </w:pPr>
      <w:r>
        <w:rPr>
          <w:rFonts w:hint="cs"/>
          <w:rtl/>
          <w:lang w:bidi="ar-EG"/>
        </w:rPr>
        <w:tab/>
        <w:t>وتريد السياسة الفلمندية لتكافؤ الفرص أن تدرج  الجمع بين العمل والأسرة على جدول الأعمال العام بطريقة جديدة ومعاصرة من خلال حملة مصورة واسعة النطاق عبر وسائل الإعلام. ومن خلال الأحاديث في المدارس الفلمندية سيجري تشجيع الشباب على التفكير في تكافؤ الفرص والأنماط المتعلقة بالأدوار. ويجري أيضاً تشجيع هذا التبادل للأفكار في مجتمع المهاجرين. وفي إطار هذه الحملة، سوف يتم استخدام عدة قنوات إعلامية، مثل الإذاعة والتليفزيون. ويجري أيضاً دعم هذه الحملة عن طريق موقع على الإنترنت وعن طريق منشورات خاصة.</w:t>
      </w:r>
    </w:p>
    <w:p w:rsidR="007023B4" w:rsidRPr="00036237" w:rsidRDefault="007023B4" w:rsidP="007023B4">
      <w:pPr>
        <w:pStyle w:val="H23"/>
        <w:spacing w:line="120" w:lineRule="exact"/>
        <w:ind w:left="663" w:right="1264" w:hanging="663"/>
        <w:rPr>
          <w:rFonts w:hint="cs"/>
          <w:sz w:val="12"/>
          <w:rtl/>
          <w:lang w:bidi="ar-EG"/>
        </w:rPr>
      </w:pPr>
    </w:p>
    <w:p w:rsidR="007023B4" w:rsidRPr="00F26B56" w:rsidRDefault="007023B4" w:rsidP="007023B4">
      <w:pPr>
        <w:pStyle w:val="H23"/>
        <w:spacing w:after="120"/>
        <w:ind w:left="663" w:right="1264" w:hanging="663"/>
        <w:rPr>
          <w:rFonts w:hint="cs"/>
          <w:rtl/>
          <w:lang w:bidi="ar-EG"/>
        </w:rPr>
      </w:pPr>
      <w:r>
        <w:rPr>
          <w:rFonts w:hint="cs"/>
          <w:rtl/>
          <w:lang w:bidi="ar-EG"/>
        </w:rPr>
        <w:tab/>
      </w:r>
      <w:r w:rsidRPr="00F26B56">
        <w:rPr>
          <w:rFonts w:hint="cs"/>
          <w:rtl/>
          <w:lang w:bidi="ar-EG"/>
        </w:rPr>
        <w:t>3 -</w:t>
      </w:r>
      <w:r w:rsidRPr="00F26B56">
        <w:rPr>
          <w:rFonts w:hint="cs"/>
          <w:rtl/>
          <w:lang w:bidi="ar-EG"/>
        </w:rPr>
        <w:tab/>
        <w:t>إدارة الثقافة والشباب والرياضة ووسائ</w:t>
      </w:r>
      <w:r>
        <w:rPr>
          <w:rFonts w:hint="cs"/>
          <w:rtl/>
          <w:lang w:bidi="ar-EG"/>
        </w:rPr>
        <w:t>ل</w:t>
      </w:r>
      <w:r w:rsidRPr="00F26B56">
        <w:rPr>
          <w:rFonts w:hint="cs"/>
          <w:rtl/>
          <w:lang w:bidi="ar-EG"/>
        </w:rPr>
        <w:t xml:space="preserve"> الإعلام</w:t>
      </w:r>
    </w:p>
    <w:p w:rsidR="007023B4" w:rsidRDefault="007023B4" w:rsidP="007023B4">
      <w:pPr>
        <w:pStyle w:val="SingleTxt"/>
        <w:rPr>
          <w:rFonts w:hint="cs"/>
          <w:rtl/>
          <w:lang w:bidi="ar-EG"/>
        </w:rPr>
      </w:pPr>
      <w:r>
        <w:rPr>
          <w:rFonts w:hint="cs"/>
          <w:rtl/>
          <w:lang w:bidi="ar-EG"/>
        </w:rPr>
        <w:tab/>
        <w:t xml:space="preserve">من حيث السياسة المتعلقة بالموظفين، فإن مجال سياسة الثقافة والشباب والرياضة ووسائل الإعلام يطبق تدابير مطبقة بصفة عامة تجذب المرأة وتتيح لها شغل منصب (الإجازة الأبوية، والمرونة في الوقت، والاستخدام المحايد من حيث الجنس للكلمات المتعلقة بإجراءات التوظيف، ومواصفات الوظيفة، والإدارة الجديدة للاختصاصات، ...). وحضر بعض موظفي مؤسسة </w:t>
      </w:r>
      <w:r>
        <w:rPr>
          <w:rFonts w:hint="eastAsia"/>
          <w:rtl/>
          <w:lang w:bidi="ar-EG"/>
        </w:rPr>
        <w:t>”بلوسو</w:t>
      </w:r>
      <w:r>
        <w:rPr>
          <w:rFonts w:hint="cs"/>
          <w:rtl/>
          <w:lang w:bidi="ar-EG"/>
        </w:rPr>
        <w:t>“، على سبيل المثال، مزيداً من برامج التدريب بشأن موضوع سياسة الموظفين الواعية لقضايا الجنسين (2005) والتوازن بين الجنسين (2002).</w:t>
      </w:r>
    </w:p>
    <w:p w:rsidR="007023B4" w:rsidRPr="00036237" w:rsidRDefault="007023B4" w:rsidP="007023B4">
      <w:pPr>
        <w:pStyle w:val="H23"/>
        <w:spacing w:line="120" w:lineRule="exact"/>
        <w:ind w:left="663" w:right="1264" w:hanging="663"/>
        <w:rPr>
          <w:rFonts w:hint="cs"/>
          <w:sz w:val="12"/>
          <w:rtl/>
          <w:lang w:bidi="ar-EG"/>
        </w:rPr>
      </w:pPr>
    </w:p>
    <w:p w:rsidR="007023B4" w:rsidRPr="00F26B56" w:rsidRDefault="007023B4" w:rsidP="007023B4">
      <w:pPr>
        <w:pStyle w:val="H23"/>
        <w:spacing w:after="120"/>
        <w:ind w:left="663" w:right="1264" w:hanging="663"/>
        <w:rPr>
          <w:rFonts w:hint="cs"/>
          <w:rtl/>
          <w:lang w:bidi="ar-EG"/>
        </w:rPr>
      </w:pPr>
      <w:r>
        <w:rPr>
          <w:rFonts w:hint="cs"/>
          <w:rtl/>
          <w:lang w:bidi="ar-EG"/>
        </w:rPr>
        <w:tab/>
      </w:r>
      <w:r w:rsidRPr="00F26B56">
        <w:rPr>
          <w:rFonts w:hint="cs"/>
          <w:rtl/>
          <w:lang w:bidi="ar-EG"/>
        </w:rPr>
        <w:t>4 -</w:t>
      </w:r>
      <w:r w:rsidRPr="00F26B56">
        <w:rPr>
          <w:rFonts w:hint="cs"/>
          <w:rtl/>
          <w:lang w:bidi="ar-EG"/>
        </w:rPr>
        <w:tab/>
        <w:t>عنف الشريك الحميم</w:t>
      </w:r>
    </w:p>
    <w:p w:rsidR="007023B4" w:rsidRDefault="007023B4" w:rsidP="007023B4">
      <w:pPr>
        <w:pStyle w:val="SingleTxt"/>
        <w:rPr>
          <w:rFonts w:hint="cs"/>
          <w:rtl/>
          <w:lang w:bidi="ar-EG"/>
        </w:rPr>
      </w:pPr>
      <w:r>
        <w:rPr>
          <w:rFonts w:hint="cs"/>
          <w:rtl/>
          <w:lang w:bidi="ar-EG"/>
        </w:rPr>
        <w:tab/>
        <w:t>في عام 2006، تم تعزيز مراكز العمل العام للرفاهية في الإقليم الفلمندي بـ 14 موظفا بدوام كامل لمعالجة مسألة عنف الشريك الحميم بمزيد من الفعالية. ويبلغ ذلك استثماراً سنوياً قدره 548 664 يورو.</w:t>
      </w:r>
    </w:p>
    <w:p w:rsidR="007023B4" w:rsidRDefault="007023B4" w:rsidP="007023B4">
      <w:pPr>
        <w:pStyle w:val="SingleTxt"/>
        <w:rPr>
          <w:rFonts w:hint="cs"/>
          <w:rtl/>
          <w:lang w:bidi="ar-EG"/>
        </w:rPr>
      </w:pPr>
      <w:r>
        <w:rPr>
          <w:rFonts w:hint="cs"/>
          <w:rtl/>
          <w:lang w:bidi="ar-EG"/>
        </w:rPr>
        <w:tab/>
        <w:t>وهذه الفكرة تتمثل في توجيه جميع الأطراف المشاركة بشكل وثيق إلى وجود (تعايش) جديد أو أفضل بدون عنف، ويتم ذلك بالمشاركة مع الشرطة ومكاتب النائب العام والمحاكم القانونية وغير ذلك من مرافق الرعاية والصحة الأخرى.</w:t>
      </w:r>
    </w:p>
    <w:p w:rsidR="007023B4" w:rsidRDefault="007023B4" w:rsidP="007023B4">
      <w:pPr>
        <w:pStyle w:val="SingleTxt"/>
        <w:rPr>
          <w:rFonts w:hint="cs"/>
          <w:rtl/>
          <w:lang w:bidi="ar-EG"/>
        </w:rPr>
      </w:pPr>
      <w:r>
        <w:rPr>
          <w:rFonts w:hint="cs"/>
          <w:rtl/>
          <w:lang w:bidi="ar-EG"/>
        </w:rPr>
        <w:tab/>
        <w:t>ويتفق هذا النهج مع التعميم المشترك لوزير العدل وهيئة المدَّعين العامين بشأن عنف الشريك الحميم، ويوائم خطة العمل الوطنية لمكافحة عنف الشريك الحميم.</w:t>
      </w:r>
    </w:p>
    <w:p w:rsidR="007023B4" w:rsidRPr="00036237" w:rsidRDefault="007023B4" w:rsidP="007023B4">
      <w:pPr>
        <w:pStyle w:val="H23"/>
        <w:spacing w:line="120" w:lineRule="exact"/>
        <w:rPr>
          <w:rFonts w:hint="cs"/>
          <w:sz w:val="12"/>
          <w:rtl/>
          <w:lang w:bidi="ar-EG"/>
        </w:rPr>
      </w:pPr>
    </w:p>
    <w:p w:rsidR="007023B4" w:rsidRPr="00F63336" w:rsidRDefault="007023B4" w:rsidP="007023B4">
      <w:pPr>
        <w:pStyle w:val="H23"/>
        <w:spacing w:after="120"/>
        <w:rPr>
          <w:rFonts w:hint="cs"/>
          <w:rtl/>
          <w:lang w:bidi="ar-EG"/>
        </w:rPr>
      </w:pPr>
      <w:r>
        <w:rPr>
          <w:rFonts w:hint="cs"/>
          <w:rtl/>
          <w:lang w:bidi="ar-EG"/>
        </w:rPr>
        <w:tab/>
      </w:r>
      <w:r w:rsidRPr="00F63336">
        <w:rPr>
          <w:rFonts w:hint="cs"/>
          <w:rtl/>
          <w:lang w:bidi="ar-EG"/>
        </w:rPr>
        <w:t>باء -</w:t>
      </w:r>
      <w:r w:rsidRPr="00F63336">
        <w:rPr>
          <w:rFonts w:hint="cs"/>
          <w:rtl/>
          <w:lang w:bidi="ar-EG"/>
        </w:rPr>
        <w:tab/>
        <w:t>المجتمع الناطق بالفرنسية</w:t>
      </w:r>
    </w:p>
    <w:p w:rsidR="007023B4" w:rsidRDefault="007023B4" w:rsidP="007023B4">
      <w:pPr>
        <w:pStyle w:val="SingleTxt"/>
        <w:rPr>
          <w:rFonts w:hint="cs"/>
          <w:rtl/>
          <w:lang w:bidi="ar-EG"/>
        </w:rPr>
      </w:pPr>
      <w:r>
        <w:rPr>
          <w:rFonts w:hint="cs"/>
          <w:rtl/>
          <w:lang w:bidi="ar-EG"/>
        </w:rPr>
        <w:tab/>
        <w:t xml:space="preserve">ينص برنامج العمل الحكومي لتعزيز المساواة بين المرأة والرجل، والتفاعل بين الثقافات، والإدماج الاجتماعي على الاضطلاع بتفكير مشترك بين حكومة المجتمع الفرنسي، والمجلس الأعلى للوسائل السمعية والبصرية، والفنيين في وسائل الإعلام والإعلان، من أجل التصدي لمسألة </w:t>
      </w:r>
      <w:r w:rsidRPr="00036237">
        <w:rPr>
          <w:rFonts w:hint="cs"/>
          <w:rtl/>
          <w:lang w:bidi="ar-EG"/>
        </w:rPr>
        <w:t>الأفكار الجامدة الجنسانية في وسائل الإعلام</w:t>
      </w:r>
      <w:r>
        <w:rPr>
          <w:rFonts w:hint="cs"/>
          <w:rtl/>
          <w:lang w:bidi="ar-EG"/>
        </w:rPr>
        <w:t>.</w:t>
      </w:r>
    </w:p>
    <w:p w:rsidR="007023B4" w:rsidRDefault="007023B4" w:rsidP="007023B4">
      <w:pPr>
        <w:pStyle w:val="SingleTxt"/>
        <w:rPr>
          <w:rFonts w:hint="cs"/>
          <w:rtl/>
          <w:lang w:bidi="ar-EG"/>
        </w:rPr>
      </w:pPr>
      <w:r>
        <w:rPr>
          <w:rFonts w:hint="cs"/>
          <w:rtl/>
          <w:lang w:bidi="ar-EG"/>
        </w:rPr>
        <w:tab/>
        <w:t>واضطلعت إدارة تكافؤ الفرص بدراسة مرجعية للآليات القائمة في هذا الشأن، وكشفت عن الممارسات الجيدة المطبقة في الدول الأعضاء في الاتحاد الأوروبي، بغية إرساء التضافر بين مختلف هذه الفعاليات.</w:t>
      </w:r>
    </w:p>
    <w:p w:rsidR="007023B4" w:rsidRPr="00D77E9F" w:rsidRDefault="007023B4" w:rsidP="007023B4">
      <w:pPr>
        <w:pStyle w:val="SingleTxt"/>
        <w:rPr>
          <w:rFonts w:hint="cs"/>
          <w:b/>
          <w:bCs/>
          <w:rtl/>
          <w:lang w:bidi="ar-EG"/>
        </w:rPr>
      </w:pPr>
      <w:r w:rsidRPr="00D77E9F">
        <w:rPr>
          <w:rFonts w:hint="cs"/>
          <w:b/>
          <w:bCs/>
          <w:rtl/>
          <w:lang w:bidi="ar-EG"/>
        </w:rPr>
        <w:tab/>
        <w:t>وتم الاهتداء هكذا في المجتمع الفرنسي، إلى عدة نصوص تتحدث عن الكرامة الإنسانية، والعنف و/أو حماية القُصَّر؛ وهذه النصوص هي:</w:t>
      </w:r>
    </w:p>
    <w:p w:rsidR="007023B4" w:rsidRPr="00CB4FD6" w:rsidRDefault="007023B4" w:rsidP="007023B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sidRPr="00CB4FD6">
        <w:rPr>
          <w:rFonts w:hint="cs"/>
          <w:rtl/>
          <w:lang w:bidi="ar-EG"/>
        </w:rPr>
        <w:tab/>
        <w:t>-</w:t>
      </w:r>
      <w:r w:rsidRPr="00CB4FD6">
        <w:rPr>
          <w:rFonts w:hint="cs"/>
          <w:rtl/>
          <w:lang w:bidi="ar-EG"/>
        </w:rPr>
        <w:tab/>
        <w:t>مرسوم بشأن البث الإذاعي،</w:t>
      </w:r>
    </w:p>
    <w:p w:rsidR="007023B4" w:rsidRPr="00CB4FD6" w:rsidRDefault="007023B4" w:rsidP="007023B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sidRPr="00CB4FD6">
        <w:rPr>
          <w:rFonts w:hint="cs"/>
          <w:rtl/>
          <w:lang w:bidi="ar-EG"/>
        </w:rPr>
        <w:tab/>
        <w:t>-</w:t>
      </w:r>
      <w:r w:rsidRPr="00CB4FD6">
        <w:rPr>
          <w:rFonts w:hint="cs"/>
          <w:rtl/>
          <w:lang w:bidi="ar-EG"/>
        </w:rPr>
        <w:tab/>
        <w:t>عقد لإدارة الإذاعة والتليفزيون البلجيكيين الناطقين بالفرنسية،</w:t>
      </w:r>
    </w:p>
    <w:p w:rsidR="007023B4" w:rsidRPr="00CB4FD6" w:rsidRDefault="007023B4" w:rsidP="007023B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sidRPr="00CB4FD6">
        <w:rPr>
          <w:rFonts w:hint="cs"/>
          <w:rtl/>
          <w:lang w:bidi="ar-EG"/>
        </w:rPr>
        <w:tab/>
        <w:t>-</w:t>
      </w:r>
      <w:r w:rsidRPr="00CB4FD6">
        <w:rPr>
          <w:rFonts w:hint="cs"/>
          <w:rtl/>
          <w:lang w:bidi="ar-EG"/>
        </w:rPr>
        <w:tab/>
        <w:t>مدونة للسلوك بتوقيع م</w:t>
      </w:r>
      <w:r w:rsidR="00CE107F" w:rsidRPr="00CB4FD6">
        <w:rPr>
          <w:rFonts w:hint="cs"/>
          <w:rtl/>
          <w:lang w:bidi="ar-EG"/>
        </w:rPr>
        <w:t>ختلف القنوات في المجتمع الفرنسي</w:t>
      </w:r>
      <w:r w:rsidRPr="00CB4FD6">
        <w:rPr>
          <w:rFonts w:hint="cs"/>
          <w:rtl/>
          <w:lang w:bidi="ar-EG"/>
        </w:rPr>
        <w:t>،</w:t>
      </w:r>
    </w:p>
    <w:p w:rsidR="007023B4" w:rsidRPr="00CB4FD6" w:rsidRDefault="007023B4" w:rsidP="007023B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sidRPr="00CB4FD6">
        <w:rPr>
          <w:rFonts w:hint="cs"/>
          <w:rtl/>
          <w:lang w:bidi="ar-EG"/>
        </w:rPr>
        <w:tab/>
        <w:t>-</w:t>
      </w:r>
      <w:r w:rsidRPr="00CB4FD6">
        <w:rPr>
          <w:rFonts w:hint="cs"/>
          <w:rtl/>
          <w:lang w:bidi="ar-EG"/>
        </w:rPr>
        <w:tab/>
        <w:t>مدونة بالأخلاقيات في مجال الإعلانات،</w:t>
      </w:r>
    </w:p>
    <w:p w:rsidR="007023B4" w:rsidRPr="00CB4FD6" w:rsidRDefault="007023B4" w:rsidP="007023B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sidRPr="00CB4FD6">
        <w:rPr>
          <w:rFonts w:hint="cs"/>
          <w:rtl/>
          <w:lang w:bidi="ar-EG"/>
        </w:rPr>
        <w:tab/>
        <w:t>-</w:t>
      </w:r>
      <w:r w:rsidRPr="00CB4FD6">
        <w:rPr>
          <w:rFonts w:hint="cs"/>
          <w:rtl/>
          <w:lang w:bidi="ar-EG"/>
        </w:rPr>
        <w:tab/>
        <w:t>مدونة بالأخلاقيات في مجال الإعلانات السمعية والبصرية الموجهة إلى الأطفال.</w:t>
      </w:r>
    </w:p>
    <w:p w:rsidR="007023B4" w:rsidRDefault="007023B4" w:rsidP="007023B4">
      <w:pPr>
        <w:pStyle w:val="SingleTxt"/>
        <w:rPr>
          <w:rFonts w:hint="cs"/>
          <w:rtl/>
          <w:lang w:bidi="ar-EG"/>
        </w:rPr>
      </w:pPr>
      <w:r w:rsidRPr="00D77E9F">
        <w:rPr>
          <w:rFonts w:hint="cs"/>
          <w:b/>
          <w:bCs/>
          <w:rtl/>
          <w:lang w:bidi="ar-EG"/>
        </w:rPr>
        <w:tab/>
        <w:t xml:space="preserve">ومن ناحية أخرى، شرعت إدارة تكافؤ الفرص، في كانون الأول/ديسمبر 2005، في دراسة حول </w:t>
      </w:r>
      <w:r w:rsidRPr="00D77E9F">
        <w:rPr>
          <w:rFonts w:hint="cs"/>
          <w:b/>
          <w:bCs/>
          <w:u w:val="single"/>
          <w:rtl/>
          <w:lang w:bidi="ar-EG"/>
        </w:rPr>
        <w:t xml:space="preserve">اعتناق </w:t>
      </w:r>
      <w:r w:rsidRPr="00D77E9F">
        <w:rPr>
          <w:rFonts w:hint="eastAsia"/>
          <w:b/>
          <w:bCs/>
          <w:u w:val="single"/>
          <w:rtl/>
          <w:lang w:bidi="ar-EG"/>
        </w:rPr>
        <w:t xml:space="preserve">الشباب </w:t>
      </w:r>
      <w:r w:rsidRPr="00D77E9F">
        <w:rPr>
          <w:rFonts w:hint="cs"/>
          <w:b/>
          <w:bCs/>
          <w:u w:val="single"/>
          <w:rtl/>
          <w:lang w:bidi="ar-EG"/>
        </w:rPr>
        <w:t xml:space="preserve">لأفكار جامدة جنسانية </w:t>
      </w:r>
      <w:r w:rsidRPr="00D77E9F">
        <w:rPr>
          <w:rFonts w:hint="eastAsia"/>
          <w:b/>
          <w:bCs/>
          <w:u w:val="single"/>
          <w:rtl/>
          <w:lang w:bidi="ar-EG"/>
        </w:rPr>
        <w:t>تروجها وسائ</w:t>
      </w:r>
      <w:r w:rsidRPr="00D77E9F">
        <w:rPr>
          <w:rFonts w:hint="cs"/>
          <w:b/>
          <w:bCs/>
          <w:u w:val="single"/>
          <w:rtl/>
          <w:lang w:bidi="ar-EG"/>
        </w:rPr>
        <w:t>ل</w:t>
      </w:r>
      <w:r w:rsidRPr="00D77E9F">
        <w:rPr>
          <w:rFonts w:hint="eastAsia"/>
          <w:b/>
          <w:bCs/>
          <w:u w:val="single"/>
          <w:rtl/>
          <w:lang w:bidi="ar-EG"/>
        </w:rPr>
        <w:t xml:space="preserve"> الإعلام</w:t>
      </w:r>
      <w:r w:rsidRPr="00D77E9F">
        <w:rPr>
          <w:rFonts w:hint="eastAsia"/>
          <w:b/>
          <w:bCs/>
          <w:rtl/>
          <w:lang w:bidi="ar-EG"/>
        </w:rPr>
        <w:t xml:space="preserve">. </w:t>
      </w:r>
      <w:r w:rsidRPr="00D77E9F">
        <w:rPr>
          <w:rFonts w:hint="cs"/>
          <w:b/>
          <w:bCs/>
          <w:rtl/>
          <w:lang w:bidi="ar-EG"/>
        </w:rPr>
        <w:t>والأهداف المتوخاة من هذه الدراسة التي استمرت حتى كانون الأول/ديسمبر 2006 بواسطة فريق من جامعة لي</w:t>
      </w:r>
      <w:r>
        <w:rPr>
          <w:rFonts w:hint="cs"/>
          <w:b/>
          <w:bCs/>
          <w:rtl/>
          <w:lang w:bidi="ar-EG"/>
        </w:rPr>
        <w:t>ي</w:t>
      </w:r>
      <w:r w:rsidRPr="00D77E9F">
        <w:rPr>
          <w:rFonts w:hint="cs"/>
          <w:b/>
          <w:bCs/>
          <w:rtl/>
          <w:lang w:bidi="ar-EG"/>
        </w:rPr>
        <w:t>ج، تهدف إلى ما يلي:</w:t>
      </w:r>
    </w:p>
    <w:p w:rsidR="007023B4" w:rsidRDefault="007023B4" w:rsidP="007023B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تحليل مدى ترويج وسائل الإعلام للأفكار الجامدة الجنسانية؛</w:t>
      </w:r>
    </w:p>
    <w:p w:rsidR="007023B4" w:rsidRDefault="007023B4" w:rsidP="007023B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تحليل مدى تأثير وسائل الإعلام في إدراك واعتناق الشباب بصفة خاصة لهذه الأفكار الجامدة الجنسانية، وآثارها على تمثيل الجنسين لدى الشباب؛</w:t>
      </w:r>
    </w:p>
    <w:p w:rsidR="007023B4" w:rsidRDefault="007023B4" w:rsidP="007023B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اقتراح طرق، عند الاقتضاء، للحد من تأثير هذه الأفكار الجامدة على الشباب، وضمان تساوي الجنسين في التمثيل الذي تروج له وسائل الإعلام.</w:t>
      </w:r>
    </w:p>
    <w:p w:rsidR="007023B4" w:rsidRPr="00CB4FD6" w:rsidRDefault="007023B4" w:rsidP="007023B4">
      <w:pPr>
        <w:pStyle w:val="SingleTxt"/>
        <w:rPr>
          <w:rFonts w:hint="cs"/>
          <w:rtl/>
          <w:lang w:bidi="ar-EG"/>
        </w:rPr>
      </w:pPr>
      <w:r w:rsidRPr="00CB4FD6">
        <w:rPr>
          <w:rFonts w:hint="cs"/>
          <w:rtl/>
          <w:lang w:bidi="ar-EG"/>
        </w:rPr>
        <w:tab/>
        <w:t xml:space="preserve">وأعلن برنامج العمل أيضاً إنشاء </w:t>
      </w:r>
      <w:r w:rsidRPr="00CB4FD6">
        <w:rPr>
          <w:rFonts w:hint="cs"/>
          <w:i/>
          <w:iCs/>
          <w:rtl/>
          <w:lang w:bidi="ar-EG"/>
        </w:rPr>
        <w:t xml:space="preserve">جائزة سنوية </w:t>
      </w:r>
      <w:r w:rsidRPr="00CB4FD6">
        <w:rPr>
          <w:rFonts w:hint="cs"/>
          <w:rtl/>
          <w:lang w:bidi="ar-EG"/>
        </w:rPr>
        <w:t>يقدمها بصفة مشتركة المجتمع الفرنسي والفنيون إلى إعلان وبرنامج، سمعي وبصري أو إذاعي، يسهم في تعديل التمثيل التقليدي لأدوار الذكر والأنثى ويعزز مبدأ المساواة بين الجنسين. وبغية إعداد أساس إنشاء الجائزة، تم تنفيذ شراكة بين إدارة تكافؤ الفرص ودائرة الوسائل السمعية والبصرية في المجتمع الفرنسي.</w:t>
      </w:r>
    </w:p>
    <w:p w:rsidR="007023B4" w:rsidRDefault="007023B4" w:rsidP="007023B4">
      <w:pPr>
        <w:pStyle w:val="SingleTxt"/>
        <w:rPr>
          <w:rFonts w:hint="cs"/>
          <w:rtl/>
          <w:lang w:bidi="ar-EG"/>
        </w:rPr>
      </w:pPr>
      <w:r>
        <w:rPr>
          <w:rFonts w:hint="cs"/>
          <w:rtl/>
          <w:lang w:bidi="ar-EG"/>
        </w:rPr>
        <w:tab/>
        <w:t>وتطور أيضاً مشورة الهيئة الاستشارية (بالمجلس الأعلى للوسائل السمعية والبصرية) المذكورة أعلاه موضوع صورة وتمثيل المرأة في وسائل الإعلام، وتفضي إلى عدة توصيات صدرت عن الهيئة الاستشارية إلى محرري الدوائر وإلى الفعاليات الأخرى في سلسلة القيم السمعية والبصرية. وتدعو الهيئة إلى التيقظ إزاء انتشار الأفكار الجامدة الجنسانية وإلى تمثيل أفضل لتنوع الأدوار والوظائف لدى الرجل والمرأة، وذلك في صحف البث الإذاعي والبرامج ذات الإنتاج المشترك أو المطلوبة، وبرامج الأطفال وكليبات الفيديو والمسلسلات المتلفزة. وتعمل أيضاً الهيئة الاستشارية على تشجيع قطاع الإنتاج الإعلاني وقطاع التدريب على أن ينتبها للمسائل المتعلقة بصورة المرأة وصورة الجنسين بصفة عامة.</w:t>
      </w:r>
    </w:p>
    <w:p w:rsidR="007023B4" w:rsidRDefault="007023B4" w:rsidP="007023B4">
      <w:pPr>
        <w:pStyle w:val="SingleTxt"/>
        <w:rPr>
          <w:rFonts w:hint="cs"/>
          <w:rtl/>
          <w:lang w:bidi="ar-EG"/>
        </w:rPr>
      </w:pPr>
      <w:r>
        <w:rPr>
          <w:rFonts w:hint="cs"/>
          <w:rtl/>
          <w:lang w:bidi="ar-EG"/>
        </w:rPr>
        <w:tab/>
        <w:t>وتنص الهيئة في هذه المشورة على أدوات مختلفة تتيح بصفة خاصة تقييم حضور المرأة وتمثيلها في الدوائر الإذاعية.</w:t>
      </w:r>
    </w:p>
    <w:p w:rsidR="007023B4" w:rsidRDefault="007023B4" w:rsidP="007023B4">
      <w:pPr>
        <w:pStyle w:val="SingleTxt"/>
        <w:rPr>
          <w:rFonts w:hint="cs"/>
          <w:rtl/>
          <w:lang w:bidi="ar-EG"/>
        </w:rPr>
      </w:pPr>
      <w:r>
        <w:rPr>
          <w:rFonts w:hint="cs"/>
          <w:rtl/>
          <w:lang w:bidi="ar-EG"/>
        </w:rPr>
        <w:tab/>
        <w:t xml:space="preserve">وإلى جانب ذلك، فإن التوصية الصادرة عن هيئة الترخيص والرقابة بالمجلس الأعلى للوسائل السمعية والبصرية والمتعلقة بحماية القُصَّر (انظر موقع المجلس الأعلى للوسائل السمعية والبصرية على شبكة الإنترنت على العنوان </w:t>
      </w:r>
      <w:hyperlink r:id="rId19" w:history="1">
        <w:r w:rsidRPr="007023B4">
          <w:rPr>
            <w:rStyle w:val="Hyperlink"/>
            <w:lang w:bidi="ar-EG"/>
          </w:rPr>
          <w:t>http://www.csa.be/AVIS/cac_recommandations.asp</w:t>
        </w:r>
      </w:hyperlink>
      <w:r w:rsidRPr="007023B4">
        <w:rPr>
          <w:rFonts w:hint="cs"/>
          <w:rtl/>
          <w:lang w:bidi="ar-EG"/>
        </w:rPr>
        <w:t>)،</w:t>
      </w:r>
      <w:r>
        <w:rPr>
          <w:rFonts w:hint="cs"/>
          <w:rtl/>
          <w:lang w:bidi="ar-EG"/>
        </w:rPr>
        <w:t xml:space="preserve"> التي اعتمدت في 21 حزيران/يونيه 2006، تحدد أهمية اختصاص المجلس الأعلى للوسائل السمعية والبصرية في مجال حماية القصر وتطبيق المواد الإعلامية فيما يتعلق بالعنف والجنس في خدمات البث الإذاعي.</w:t>
      </w:r>
    </w:p>
    <w:p w:rsidR="007023B4" w:rsidRDefault="007023B4" w:rsidP="007023B4">
      <w:pPr>
        <w:pStyle w:val="SingleTxt"/>
        <w:rPr>
          <w:rFonts w:hint="cs"/>
          <w:rtl/>
          <w:lang w:bidi="ar-EG"/>
        </w:rPr>
      </w:pPr>
      <w:r>
        <w:rPr>
          <w:rFonts w:hint="cs"/>
          <w:rtl/>
          <w:lang w:bidi="ar-EG"/>
        </w:rPr>
        <w:tab/>
      </w:r>
      <w:r w:rsidRPr="00DA337D">
        <w:rPr>
          <w:rFonts w:hint="cs"/>
          <w:rtl/>
          <w:lang w:bidi="ar-EG"/>
        </w:rPr>
        <w:t xml:space="preserve">وبغية مكافحة الأفكار الجامدة المرتبطة بالجنس وتشجيع التثقيف الأسري، فإن مكتب </w:t>
      </w:r>
      <w:r>
        <w:rPr>
          <w:rFonts w:hint="cs"/>
          <w:rtl/>
          <w:lang w:bidi="ar-EG"/>
        </w:rPr>
        <w:t xml:space="preserve">المواليد </w:t>
      </w:r>
      <w:r w:rsidRPr="00DA337D">
        <w:rPr>
          <w:rFonts w:hint="cs"/>
          <w:rtl/>
          <w:lang w:bidi="ar-EG"/>
        </w:rPr>
        <w:t>والطفولة يلازم الطفل في وسطه الأسر</w:t>
      </w:r>
      <w:r>
        <w:rPr>
          <w:rFonts w:hint="cs"/>
          <w:rtl/>
          <w:lang w:bidi="ar-EG"/>
        </w:rPr>
        <w:t>ي</w:t>
      </w:r>
      <w:r w:rsidRPr="00DA337D">
        <w:rPr>
          <w:rFonts w:hint="cs"/>
          <w:rtl/>
          <w:lang w:bidi="ar-EG"/>
        </w:rPr>
        <w:t xml:space="preserve"> وبيئته الاجتماعية </w:t>
      </w:r>
      <w:r>
        <w:rPr>
          <w:rFonts w:hint="cs"/>
          <w:rtl/>
          <w:lang w:bidi="ar-EG"/>
        </w:rPr>
        <w:t xml:space="preserve">وفي علاقته بهما. </w:t>
      </w:r>
      <w:r w:rsidRPr="00DA337D">
        <w:rPr>
          <w:rFonts w:hint="cs"/>
          <w:rtl/>
          <w:lang w:bidi="ar-EG"/>
        </w:rPr>
        <w:t>وتتمثل مهمته أ</w:t>
      </w:r>
      <w:r>
        <w:rPr>
          <w:rFonts w:hint="cs"/>
          <w:rtl/>
          <w:lang w:bidi="ar-EG"/>
        </w:rPr>
        <w:t>يضاً في الاضطلاع بإجراءات دعم الأبوة وتعزيز الصحة. وهذه الطريقة الجديدة لضبط مهام المكتب، المحددة في المرسوم الصادر 17 تموز/يوليه 2002 بشأن إصلاح مكتب المواليد والطفولة، تتأكد في دور الهيئة المكلفة بمجمل حماية الأم والطفل.</w:t>
      </w:r>
    </w:p>
    <w:p w:rsidR="007023B4" w:rsidRDefault="007023B4" w:rsidP="007023B4">
      <w:pPr>
        <w:pStyle w:val="SingleTxt"/>
        <w:rPr>
          <w:rFonts w:hint="cs"/>
          <w:rtl/>
          <w:lang w:bidi="ar-EG"/>
        </w:rPr>
      </w:pPr>
      <w:r>
        <w:rPr>
          <w:rFonts w:hint="cs"/>
          <w:i/>
          <w:iCs/>
          <w:rtl/>
          <w:lang w:bidi="ar-EG"/>
        </w:rPr>
        <w:tab/>
      </w:r>
      <w:r>
        <w:rPr>
          <w:rFonts w:hint="cs"/>
          <w:rtl/>
          <w:lang w:bidi="ar-EG"/>
        </w:rPr>
        <w:t>وهذه المهام تؤدي بالمكتب إلى إقرار وتقييم ودعم المشاورات قبل الولادة والمشاورات المتعلقة بالأطفال التي تجري بمبادرة من لجنة المتطوعين، ويمكن أن يكون هو نفسه نتاجا لعالم الرابطات أو السلطات المحلية. وينظم المكتب أيضاً مشاورات دورية وكذلك جولات الحافلات الصحية التي تخدم المناطق الريفية.</w:t>
      </w:r>
    </w:p>
    <w:p w:rsidR="007023B4" w:rsidRDefault="007023B4" w:rsidP="007023B4">
      <w:pPr>
        <w:pStyle w:val="SingleTxt"/>
        <w:rPr>
          <w:rFonts w:hint="cs"/>
          <w:rtl/>
          <w:lang w:bidi="ar-EG"/>
        </w:rPr>
      </w:pPr>
      <w:r>
        <w:rPr>
          <w:rFonts w:hint="cs"/>
          <w:rtl/>
          <w:lang w:bidi="ar-EG"/>
        </w:rPr>
        <w:tab/>
        <w:t>وتعقد جلسات التشاور بواسطة أطباء أمراض النساء والقابلات في المشاورات قبل الولادة وبواسطة أطباء عموميين مدربين تدريباً إضافياً، أو بواسطة أطباء أطفال في المشاورات المتعلقة بالأطفال أو المشاورات الدورية أو الحافلات الصحية. ويتعاون المكتب مع أكثر من ألف طبيب. ويساعد أكثر من 750 من العاملين الصحيين والاجتماعيين، وهم ممرضون أو مساعدون اجتماعيون، الأطباء ويكفلون دعماً للأسر بمناسبة جلسات التشاور، في إطار الدوام أو في الزيارات المنزلية.</w:t>
      </w:r>
    </w:p>
    <w:p w:rsidR="007023B4" w:rsidRDefault="007023B4" w:rsidP="007023B4">
      <w:pPr>
        <w:pStyle w:val="SingleTxt"/>
        <w:rPr>
          <w:rFonts w:hint="cs"/>
          <w:rtl/>
          <w:lang w:bidi="ar-EG"/>
        </w:rPr>
      </w:pPr>
      <w:r>
        <w:rPr>
          <w:rFonts w:hint="cs"/>
          <w:rtl/>
          <w:lang w:bidi="ar-EG"/>
        </w:rPr>
        <w:tab/>
        <w:t>يقدم المكتب هذه الخدمات بالمجان إلى جميع الأسر التي تود الاستفادة منها ولا تتسم بأي طابع إلزامي أو إكراهي. وفي عام 2005، تم حديثا تسجيل 530 12 من أمهات المستقبل الجدد في المشاورات قبل الولادة، وتم مؤخرا تسجيل 608 51 من الأطفال الجدد في المشاورات المتعلقة بالأطفال وتسجيل 975 137 من الأطفال الذين تتراوح أعمارهم بين صفر وست سنوات.</w:t>
      </w:r>
    </w:p>
    <w:p w:rsidR="007023B4" w:rsidRDefault="007023B4" w:rsidP="007023B4">
      <w:pPr>
        <w:pStyle w:val="SingleTxt"/>
        <w:rPr>
          <w:rFonts w:hint="cs"/>
          <w:rtl/>
          <w:lang w:bidi="ar-EG"/>
        </w:rPr>
      </w:pPr>
      <w:r>
        <w:rPr>
          <w:rFonts w:hint="cs"/>
          <w:rtl/>
          <w:lang w:bidi="ar-EG"/>
        </w:rPr>
        <w:tab/>
        <w:t>وفي عام 2004، أجرى إصلاح للقطاع. وبعد المعلومات الميدانية، أتاح عام 2005 تعميق التفكير الميداني داخل فرق التشاور. وكان أيضاً فرصة لتنفيذ بعض جوانب الإصلاح (تحسين المواقع، البرنامج السنوي للنشاط، ودمج والمشاورات، ...). وتم إجراء تقييم لهذا الإصلاح في أوائل عام 2006. وثبتت إيجابية الإصلاح في الكثير من الجوانب. وسيجري تقييم جديد لتنفيذ هذا الإصلاح في عام 2006 بشأن تطور المشكلات المعلقة (إعلام الفرق بصفة خاصة)، وحالة أعمال التنسيق التي تجري ميدانيا، وعائدات مشاريع صحة الآباء. وتتعلق هذه المشاريع بالإجراءات التي تهدف إلى تحسين النهوض بالصحة والوقاية الطبية والاجتماعية للطفل، مهما كان جنسه، ومركزه الاقتصادي والاجتماعي، وثقافته،</w:t>
      </w:r>
      <w:r>
        <w:rPr>
          <w:rFonts w:hint="eastAsia"/>
          <w:rtl/>
          <w:lang w:bidi="ar-EG"/>
        </w:rPr>
        <w:t> </w:t>
      </w:r>
      <w:r>
        <w:rPr>
          <w:rFonts w:hint="cs"/>
          <w:rtl/>
          <w:lang w:bidi="ar-EG"/>
        </w:rPr>
        <w:t>... وكذلك الدعم المقدم إلى الأبوة. وتشمل الإجراءات مختلف الفعاليات المعنية بالطفولة المبكرة، سواء كانت تنتمي إلى مكتب المواليد والطفولة أو تتعاون معه والاهتمام الرئيسي لهذه الفعاليات جميعا هو الطفل وأسرته من المقيمين في إقليم المجتمع الفرنسي. وهذه الإجراءات تكمل الإجراءات التي تتواصل ممارستها في مهمة المرافقة المكلف بها المكتب ضمن مهام أخرى (الكشف المبكر على النظر والسمع، المشاورات قبل الولادة، المشاورات الدورية، المشاورات المتعلقة بالطفل،...).</w:t>
      </w:r>
    </w:p>
    <w:p w:rsidR="007023B4" w:rsidRPr="00D827B5" w:rsidRDefault="007023B4" w:rsidP="007023B4">
      <w:pPr>
        <w:pStyle w:val="SingleTxt"/>
        <w:rPr>
          <w:rFonts w:hint="cs"/>
          <w:b/>
          <w:bCs/>
          <w:i/>
          <w:iCs/>
          <w:rtl/>
          <w:lang w:bidi="ar-EG"/>
        </w:rPr>
      </w:pPr>
      <w:r w:rsidRPr="00D827B5">
        <w:rPr>
          <w:rFonts w:hint="cs"/>
          <w:b/>
          <w:bCs/>
          <w:i/>
          <w:iCs/>
          <w:rtl/>
          <w:lang w:bidi="ar-EG"/>
        </w:rPr>
        <w:tab/>
      </w:r>
      <w:r w:rsidRPr="00036237">
        <w:rPr>
          <w:rFonts w:hint="cs"/>
          <w:b/>
          <w:bCs/>
          <w:i/>
          <w:iCs/>
          <w:rtl/>
          <w:lang w:bidi="ar-EG"/>
        </w:rPr>
        <w:t>وفي مجال الرياضة</w:t>
      </w:r>
      <w:r w:rsidRPr="00036237">
        <w:rPr>
          <w:b/>
          <w:bCs/>
          <w:i/>
          <w:iCs/>
          <w:vertAlign w:val="superscript"/>
          <w:rtl/>
          <w:lang w:bidi="ar-EG"/>
        </w:rPr>
        <w:t>(</w:t>
      </w:r>
      <w:r w:rsidRPr="00036237">
        <w:rPr>
          <w:rStyle w:val="FootnoteReference"/>
          <w:b/>
          <w:bCs/>
          <w:i/>
          <w:iCs/>
          <w:rtl/>
        </w:rPr>
        <w:footnoteReference w:id="25"/>
      </w:r>
      <w:r w:rsidRPr="00036237">
        <w:rPr>
          <w:b/>
          <w:bCs/>
          <w:i/>
          <w:iCs/>
          <w:vertAlign w:val="superscript"/>
          <w:rtl/>
          <w:lang w:bidi="ar-EG"/>
        </w:rPr>
        <w:t>)</w:t>
      </w:r>
      <w:r w:rsidRPr="00D827B5">
        <w:rPr>
          <w:rFonts w:hint="cs"/>
          <w:b/>
          <w:bCs/>
          <w:i/>
          <w:iCs/>
          <w:rtl/>
          <w:lang w:bidi="ar-EG"/>
        </w:rPr>
        <w:t>، فإن المساواة بين الجنسين غير قائمة من الناحية الفسيولوجية. ويجب مع ذلك العمل على وصول الجميع إلى النشاط الرياضي. ويجب التفكير في المبادرة بمشروعات وتنفيذ سياسات تتعلق بأعمال تهدف إلى تشجيع مشاركة المرأة على جميع مستويات الممارسة الرياضية والقيام بذلك.</w:t>
      </w:r>
    </w:p>
    <w:p w:rsidR="007023B4" w:rsidRDefault="007023B4" w:rsidP="007023B4">
      <w:pPr>
        <w:pStyle w:val="SingleTxt"/>
        <w:rPr>
          <w:rFonts w:hint="cs"/>
          <w:rtl/>
          <w:lang w:bidi="ar-EG"/>
        </w:rPr>
      </w:pPr>
      <w:r>
        <w:rPr>
          <w:rFonts w:hint="cs"/>
          <w:i/>
          <w:iCs/>
          <w:rtl/>
          <w:lang w:bidi="ar-EG"/>
        </w:rPr>
        <w:tab/>
      </w:r>
      <w:r>
        <w:rPr>
          <w:rFonts w:hint="cs"/>
          <w:rtl/>
          <w:lang w:bidi="ar-EG"/>
        </w:rPr>
        <w:t>وإلى جانب الرياضيات من النساء وظروف أو صعوبات ممارستهن للرياضة، فإنه ينبغي أيضاً العمل على وجود المرأة بين مديري الأندية والاتحادات الرياضية، والحكام والمحكمين، والصحفيين، وأعضاء مختلف لجان الرأي، إلخ.</w:t>
      </w:r>
    </w:p>
    <w:p w:rsidR="007023B4" w:rsidRDefault="007023B4" w:rsidP="007023B4">
      <w:pPr>
        <w:pStyle w:val="SingleTxt"/>
        <w:rPr>
          <w:rFonts w:hint="cs"/>
          <w:rtl/>
          <w:lang w:bidi="ar-EG"/>
        </w:rPr>
      </w:pPr>
      <w:r>
        <w:rPr>
          <w:rFonts w:hint="cs"/>
          <w:rtl/>
          <w:lang w:bidi="ar-EG"/>
        </w:rPr>
        <w:tab/>
        <w:t>وهكذا تم الاضطلاع بالإجراءات التالية في المجتمع الفرنسي:</w:t>
      </w:r>
    </w:p>
    <w:p w:rsidR="007023B4" w:rsidRDefault="007023B4" w:rsidP="00CB4FD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rFonts w:hint="cs"/>
          <w:rtl/>
          <w:lang w:bidi="ar-EG"/>
        </w:rPr>
        <w:tab/>
        <w:t>تشجيع وصول الفتيات والشابات إلى معظم التدريبات الرياضية المنظمة داخلياً وخارجياً، نظراً لأن الجزء الأكبر من التدريبات مختلطة أو أنثوية. ومن شأن حرية الوصول هذه أن تقضي على أفكار جامدة معينة وعلى ممارسات مألوفة بشكل جزئي.</w:t>
      </w:r>
    </w:p>
    <w:p w:rsidR="007023B4" w:rsidRDefault="007023B4" w:rsidP="00CB4FD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rFonts w:hint="cs"/>
          <w:rtl/>
          <w:lang w:bidi="ar-EG"/>
        </w:rPr>
        <w:tab/>
        <w:t xml:space="preserve">ومن أجل تطوير الرياضة النسائية وتوعية النساء من جميع الأعمار، يباشر المجتمع الفرنسي ويعمل على تطوير أنشطة رياضية و/أو ترويحية تتعلق بممارسة الرياضة بالنسبة للجميع، والرياضة العائلية، والرياضة المدرسية، وبرامج التطوير الرياضي، وقضاء الشباب للإجازات الصيفية، إلخ. </w:t>
      </w:r>
    </w:p>
    <w:p w:rsidR="007023B4" w:rsidRDefault="007023B4" w:rsidP="00CB4FD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rFonts w:hint="cs"/>
          <w:rtl/>
          <w:lang w:bidi="ar-EG"/>
        </w:rPr>
        <w:tab/>
        <w:t>وتهم الرياضة النسائية وسائل الإعلام والرعاة بدرجة معتدلة، إلا عندما تضم هذه الرياضة رياضيين من مستوى عال (مثل التنس وألعاب القوى). وتعمل الإدارة العامة للرياضة، في أنشطتها الترويجية، على إدراج ونشر صور مختلطة أو صور لنساء رياضيات ... .</w:t>
      </w:r>
    </w:p>
    <w:p w:rsidR="007023B4" w:rsidRDefault="007023B4" w:rsidP="00CB4FD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rFonts w:hint="cs"/>
          <w:rtl/>
          <w:lang w:bidi="ar-EG"/>
        </w:rPr>
        <w:tab/>
        <w:t>إطلاق عملية الصك الرياضي منذ أول آب/أغسطس 2005. وتهدف هذه المبادرة إلى تشجيع إدراج وانتساب ومشاركة الشباب الذين تتراوح أعمارهم بين 6</w:t>
      </w:r>
      <w:r>
        <w:rPr>
          <w:rFonts w:hint="eastAsia"/>
          <w:rtl/>
          <w:lang w:bidi="ar-EG"/>
        </w:rPr>
        <w:t> </w:t>
      </w:r>
      <w:r>
        <w:rPr>
          <w:rFonts w:hint="cs"/>
          <w:rtl/>
          <w:lang w:bidi="ar-EG"/>
        </w:rPr>
        <w:t>سنوات و 18 سنة من الضعفاء اجتماعياً واقتصادياً في الهياكل الرياضية في المجتمع الفرنسي.</w:t>
      </w:r>
    </w:p>
    <w:p w:rsidR="007023B4" w:rsidRDefault="00CB4FD6" w:rsidP="00CB4FD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rFonts w:hint="cs"/>
          <w:rtl/>
          <w:lang w:bidi="ar-EG"/>
        </w:rPr>
        <w:tab/>
      </w:r>
      <w:r w:rsidR="007023B4">
        <w:rPr>
          <w:rFonts w:hint="cs"/>
          <w:rtl/>
          <w:lang w:bidi="ar-EG"/>
        </w:rPr>
        <w:t>ويتم سنوياً جمع بيانات إحصائية عن الاشتراك في التدريبات فيما يتعلق بتردد المراحل السنية وإجراءات دائرة الرياضة للجميع، والانضمام إلى الاتحادات والجمعيات الرياضية المعترف بها.</w:t>
      </w:r>
    </w:p>
    <w:p w:rsidR="007023B4" w:rsidRDefault="007023B4" w:rsidP="007023B4">
      <w:pPr>
        <w:pStyle w:val="SingleTxt"/>
        <w:rPr>
          <w:rFonts w:hint="cs"/>
          <w:rtl/>
          <w:lang w:bidi="ar-EG"/>
        </w:rPr>
      </w:pPr>
      <w:r>
        <w:rPr>
          <w:rFonts w:hint="cs"/>
          <w:rtl/>
          <w:lang w:bidi="ar-EG"/>
        </w:rPr>
        <w:tab/>
        <w:t xml:space="preserve">وعلى مستوى </w:t>
      </w:r>
      <w:r w:rsidRPr="00CB4FD6">
        <w:rPr>
          <w:rFonts w:hint="cs"/>
          <w:i/>
          <w:iCs/>
          <w:rtl/>
          <w:lang w:bidi="ar-EG"/>
        </w:rPr>
        <w:t>التعليم</w:t>
      </w:r>
      <w:r>
        <w:rPr>
          <w:rFonts w:hint="cs"/>
          <w:rtl/>
          <w:lang w:bidi="ar-EG"/>
        </w:rPr>
        <w:t>، فإن مختلف لجان أدوات التقييم في المجتمع الفرنسي تعمل على ترويج صورة غير نمطية للمرأة عبر إنتاج أدوات التقييم، وبخاصة باستبعاد الأفكار الجامدة الجنسانية من جميع إنتاجها. كذلك فإنه في أعقاب المرسوم المتعلق بقبول ونشر الكتب المدرسية وغيرها من الأدوات التربوية داخل مؤسسات التعليم الإلزامي، والمعتمد في عام 2006، فإن لجنة الإرشاد في التعليم سوف تعمل في الأشهر المقبلة على ضمان عدم قيام الكتب والوسائل المدرسية الخاضعة لموافقتها بترويج أفكار جامدة جنسانية بغية ضمان احترام المساواة بين الرجل والمرأة.</w:t>
      </w:r>
    </w:p>
    <w:p w:rsidR="007023B4" w:rsidRDefault="007023B4" w:rsidP="007023B4">
      <w:pPr>
        <w:pStyle w:val="SingleTxt"/>
        <w:rPr>
          <w:rFonts w:hint="cs"/>
          <w:rtl/>
          <w:lang w:bidi="ar-EG"/>
        </w:rPr>
      </w:pPr>
      <w:r>
        <w:rPr>
          <w:rFonts w:hint="cs"/>
          <w:rtl/>
          <w:lang w:bidi="ar-EG"/>
        </w:rPr>
        <w:tab/>
        <w:t xml:space="preserve">وفي </w:t>
      </w:r>
      <w:r w:rsidRPr="00CB4FD6">
        <w:rPr>
          <w:rFonts w:hint="cs"/>
          <w:i/>
          <w:iCs/>
          <w:rtl/>
          <w:lang w:bidi="ar-EG"/>
        </w:rPr>
        <w:t>التعليم المستمر</w:t>
      </w:r>
      <w:r>
        <w:rPr>
          <w:rFonts w:hint="cs"/>
          <w:rtl/>
          <w:lang w:bidi="ar-EG"/>
        </w:rPr>
        <w:t>، يتيح المرسوم المؤرخ تموز/يوليه 2003 دعماً نشطاً للجمعيات التي تتخذ تدابير لتوعية وإعلام الجمهور العام، بهدف تطوير السلوكيات والعقليات بشأن التحديات في مجال الثقافة والمواطنة والديمقراطية. وأيضاً تنشط مراكز الصحة المعروفة والمدعمة في مجال التعليم المستمر في أحيان كثيرة في خدمة الجماهير النسائية. والوقاية والتوعية بمشكلة الإيدز هي إجراءات يضطلع بها عدة جمعيات للتعليم المستمر على نحو موجه للنساء (الخدمة الدولية للبحث والتعليم والعمل الاجتماعي والجمعية النسائية، ...).</w:t>
      </w:r>
    </w:p>
    <w:p w:rsidR="007023B4" w:rsidRPr="003A5628" w:rsidRDefault="007023B4" w:rsidP="007023B4">
      <w:pPr>
        <w:pStyle w:val="H1"/>
        <w:spacing w:after="120"/>
        <w:rPr>
          <w:rFonts w:hint="cs"/>
          <w:rtl/>
          <w:lang w:bidi="ar-EG"/>
        </w:rPr>
      </w:pPr>
      <w:r>
        <w:rPr>
          <w:rFonts w:hint="cs"/>
          <w:rtl/>
          <w:lang w:bidi="ar-EG"/>
        </w:rPr>
        <w:tab/>
        <w:t>جيم - إقليم والون</w:t>
      </w:r>
    </w:p>
    <w:p w:rsidR="007023B4" w:rsidRDefault="007023B4" w:rsidP="007023B4">
      <w:pPr>
        <w:pStyle w:val="SingleTxt"/>
        <w:rPr>
          <w:rFonts w:hint="cs"/>
          <w:rtl/>
          <w:lang w:bidi="ar-EG"/>
        </w:rPr>
      </w:pPr>
      <w:r>
        <w:rPr>
          <w:rFonts w:hint="cs"/>
          <w:rtl/>
          <w:lang w:bidi="ar-EG"/>
        </w:rPr>
        <w:tab/>
        <w:t>يقوم إقليم والون كل عام بدعم ومساعدة المبادرات التي يتخذها العالم التعاوني أو</w:t>
      </w:r>
      <w:r>
        <w:rPr>
          <w:rFonts w:hint="eastAsia"/>
          <w:rtl/>
          <w:lang w:bidi="ar-EG"/>
        </w:rPr>
        <w:t> </w:t>
      </w:r>
      <w:r>
        <w:rPr>
          <w:rFonts w:hint="cs"/>
          <w:rtl/>
          <w:lang w:bidi="ar-EG"/>
        </w:rPr>
        <w:t>السلطات المحلية، والرامية إلى محاربة التحيزات والممارسات القائمة على الأفكار الجامدة. وتصبح هذه المبادرات موضع تقييم، وترد في التقارير السنوي المقدم من جانب حكومة إقليم والون إلى برلمان والون.</w:t>
      </w:r>
    </w:p>
    <w:p w:rsidR="007023B4" w:rsidRPr="00F63336" w:rsidRDefault="007023B4" w:rsidP="007023B4">
      <w:pPr>
        <w:pStyle w:val="H1"/>
        <w:spacing w:after="120"/>
        <w:rPr>
          <w:rFonts w:hint="cs"/>
          <w:rtl/>
          <w:lang w:bidi="ar-EG"/>
        </w:rPr>
      </w:pPr>
      <w:r>
        <w:rPr>
          <w:rFonts w:hint="cs"/>
          <w:rtl/>
          <w:lang w:bidi="ar-EG"/>
        </w:rPr>
        <w:tab/>
      </w:r>
      <w:r w:rsidRPr="00F63336">
        <w:rPr>
          <w:rFonts w:hint="cs"/>
          <w:rtl/>
          <w:lang w:bidi="ar-EG"/>
        </w:rPr>
        <w:t>دال -</w:t>
      </w:r>
      <w:r>
        <w:rPr>
          <w:rFonts w:hint="cs"/>
          <w:rtl/>
          <w:lang w:bidi="ar-EG"/>
        </w:rPr>
        <w:t xml:space="preserve"> </w:t>
      </w:r>
      <w:r w:rsidRPr="00F63336">
        <w:rPr>
          <w:rFonts w:hint="cs"/>
          <w:rtl/>
          <w:lang w:bidi="ar-EG"/>
        </w:rPr>
        <w:t>إقليم بروكسل العاصمة</w:t>
      </w:r>
    </w:p>
    <w:p w:rsidR="007023B4" w:rsidRDefault="007023B4" w:rsidP="007023B4">
      <w:pPr>
        <w:pStyle w:val="SingleTxt"/>
        <w:rPr>
          <w:rFonts w:hint="cs"/>
          <w:rtl/>
          <w:lang w:bidi="ar-EG"/>
        </w:rPr>
      </w:pPr>
      <w:r>
        <w:rPr>
          <w:rFonts w:hint="cs"/>
          <w:rtl/>
          <w:lang w:bidi="ar-EG"/>
        </w:rPr>
        <w:tab/>
        <w:t>تم إقرار خطط ومواثيق متنوعة في مجال العمالة تهدف في المقام الأول إلى مكافحة أنواع التمييز المتعددة. وعلى الرغم من أن التعليم ليس في دائرة اختصاص الإقليم، فإنه يتم الاضطلاع بإجراءات للتوعية بالتنوع ومكافحة الأفكار الجامدة.</w:t>
      </w:r>
    </w:p>
    <w:p w:rsidR="007023B4" w:rsidRDefault="007023B4" w:rsidP="007023B4">
      <w:pPr>
        <w:pStyle w:val="SingleTxt"/>
        <w:rPr>
          <w:rFonts w:hint="cs"/>
          <w:rtl/>
          <w:lang w:bidi="ar-EG"/>
        </w:rPr>
      </w:pPr>
      <w:r>
        <w:rPr>
          <w:rFonts w:hint="cs"/>
          <w:rtl/>
          <w:lang w:bidi="ar-EG"/>
        </w:rPr>
        <w:tab/>
        <w:t>وفي أيلول/سبتمبر 2005، نظمت إدارة السلطات المحلية لإقليم بروكسل ندوة مفتوحة للجمهور العام ومخصصة لدور الرجل في تحقيق المساواة بين الرجل والمرأة، بالتعاون مع المعهد المعني بالمساواة بين المرأة والرجل. وعالجت الندوة المفتوحة للجمهور العام، على التوالي، مشكلة ذاتية الذكر والأنثى ودور الرجل في سياسات المساواة.</w:t>
      </w:r>
    </w:p>
    <w:p w:rsidR="007023B4" w:rsidRPr="007C2E5C" w:rsidRDefault="007023B4" w:rsidP="007023B4">
      <w:pPr>
        <w:pStyle w:val="HCh"/>
        <w:spacing w:line="120" w:lineRule="exact"/>
        <w:rPr>
          <w:rFonts w:hint="cs"/>
          <w:sz w:val="12"/>
          <w:rtl/>
          <w:lang w:bidi="ar-EG"/>
        </w:rPr>
      </w:pPr>
    </w:p>
    <w:p w:rsidR="007023B4" w:rsidRPr="00D305E2" w:rsidRDefault="007023B4" w:rsidP="007023B4">
      <w:pPr>
        <w:pStyle w:val="HCh"/>
        <w:spacing w:after="120"/>
        <w:rPr>
          <w:rFonts w:hint="cs"/>
          <w:rtl/>
          <w:lang w:bidi="ar-EG"/>
        </w:rPr>
      </w:pPr>
      <w:r>
        <w:rPr>
          <w:rFonts w:hint="cs"/>
          <w:rtl/>
          <w:lang w:bidi="ar-EG"/>
        </w:rPr>
        <w:tab/>
        <w:t>المادة 6</w:t>
      </w:r>
    </w:p>
    <w:p w:rsidR="007023B4" w:rsidRDefault="007023B4" w:rsidP="007023B4">
      <w:pPr>
        <w:pStyle w:val="H1"/>
        <w:spacing w:after="120"/>
        <w:rPr>
          <w:rFonts w:hint="cs"/>
          <w:rtl/>
          <w:lang w:bidi="ar-EG"/>
        </w:rPr>
      </w:pPr>
      <w:r>
        <w:rPr>
          <w:rFonts w:hint="cs"/>
          <w:rtl/>
          <w:lang w:bidi="ar-EG"/>
        </w:rPr>
        <w:tab/>
        <w:t>أولاً -</w:t>
      </w:r>
      <w:r>
        <w:rPr>
          <w:rFonts w:hint="cs"/>
          <w:rtl/>
          <w:lang w:bidi="ar-EG"/>
        </w:rPr>
        <w:tab/>
        <w:t xml:space="preserve"> على المستوى الاتحادي</w:t>
      </w:r>
    </w:p>
    <w:p w:rsidR="007023B4" w:rsidRPr="00D305E2" w:rsidRDefault="007023B4" w:rsidP="007023B4">
      <w:pPr>
        <w:pStyle w:val="H23"/>
        <w:spacing w:after="120"/>
        <w:rPr>
          <w:rFonts w:hint="cs"/>
          <w:rtl/>
          <w:lang w:bidi="ar-EG"/>
        </w:rPr>
      </w:pPr>
      <w:r>
        <w:rPr>
          <w:rFonts w:hint="cs"/>
          <w:rtl/>
          <w:lang w:bidi="ar-EG"/>
        </w:rPr>
        <w:tab/>
        <w:t>1 -</w:t>
      </w:r>
      <w:r>
        <w:rPr>
          <w:rFonts w:hint="cs"/>
          <w:rtl/>
          <w:lang w:bidi="ar-EG"/>
        </w:rPr>
        <w:tab/>
        <w:t>الاتجار بالبشر وتهريبهم</w:t>
      </w:r>
    </w:p>
    <w:p w:rsidR="00CB4FD6" w:rsidRDefault="007023B4" w:rsidP="007023B4">
      <w:pPr>
        <w:pStyle w:val="SingleTxt"/>
        <w:rPr>
          <w:rFonts w:hint="cs"/>
          <w:rtl/>
          <w:lang w:bidi="ar-EG"/>
        </w:rPr>
      </w:pPr>
      <w:r>
        <w:rPr>
          <w:rFonts w:hint="cs"/>
          <w:rtl/>
          <w:lang w:bidi="ar-EG"/>
        </w:rPr>
        <w:tab/>
        <w:t>منذ أكثر من 10 سنوات، اختارت بلجيكا نهجاً متعدد الاختصاصات للمشكلة المتعلقة بالاتجار بالبشر. وينحو هذا النهج نحو إدماج بعد قمعي وبعد إنساني معا لمكافحة هذه الظاهرة.</w:t>
      </w:r>
    </w:p>
    <w:p w:rsidR="007023B4" w:rsidRDefault="00CB4FD6" w:rsidP="00CB4FD6">
      <w:pPr>
        <w:pStyle w:val="SingleTxt"/>
        <w:rPr>
          <w:rFonts w:hint="cs"/>
          <w:rtl/>
          <w:lang w:bidi="ar-EG"/>
        </w:rPr>
      </w:pPr>
      <w:r>
        <w:rPr>
          <w:rFonts w:hint="cs"/>
          <w:rtl/>
          <w:lang w:bidi="ar-EG"/>
        </w:rPr>
        <w:tab/>
      </w:r>
      <w:r w:rsidR="007023B4">
        <w:rPr>
          <w:rFonts w:hint="cs"/>
          <w:rtl/>
          <w:lang w:bidi="ar-EG"/>
        </w:rPr>
        <w:t>وتشكل حماية الطفل جزء لا يتجزأ من هذه المكافحة للاتجار بالبشر، ولكن بلجيكا ليس لديها مع ذلك ترتيب محدد يخصهم. ومن ثم فإن مشكلة الاتجار بالأطفال تندرج في الإطار العام لمكافحة الاتجار بالبشر.</w:t>
      </w:r>
    </w:p>
    <w:p w:rsidR="007023B4" w:rsidRPr="00EB274F" w:rsidRDefault="00CB4FD6" w:rsidP="007023B4">
      <w:pPr>
        <w:pStyle w:val="SingleTxt"/>
        <w:rPr>
          <w:rFonts w:hint="cs"/>
          <w:i/>
          <w:iCs/>
          <w:rtl/>
          <w:lang w:bidi="ar-EG"/>
        </w:rPr>
      </w:pPr>
      <w:r>
        <w:rPr>
          <w:rFonts w:hint="cs"/>
          <w:rtl/>
          <w:lang w:bidi="ar-EG"/>
        </w:rPr>
        <w:t>1-1-</w:t>
      </w:r>
      <w:r w:rsidR="007023B4">
        <w:rPr>
          <w:rFonts w:hint="cs"/>
          <w:i/>
          <w:iCs/>
          <w:rtl/>
          <w:lang w:bidi="ar-EG"/>
        </w:rPr>
        <w:tab/>
        <w:t>على المستوى الدولي</w:t>
      </w:r>
    </w:p>
    <w:p w:rsidR="007023B4" w:rsidRDefault="007023B4" w:rsidP="007023B4">
      <w:pPr>
        <w:pStyle w:val="SingleTxt"/>
        <w:rPr>
          <w:rFonts w:hint="cs"/>
          <w:rtl/>
          <w:lang w:bidi="ar-EG"/>
        </w:rPr>
      </w:pPr>
      <w:r>
        <w:rPr>
          <w:rFonts w:hint="cs"/>
          <w:rtl/>
          <w:lang w:bidi="ar-EG"/>
        </w:rPr>
        <w:tab/>
        <w:t>وقَّعت بلجيكا يوم 17 تشرين الثاني/نوفمبر 2005 الاتفاقية رقم 197 لمجلس أوروبا بشأن مكافحة الاتجار بالبشر، المعتمدة يوم 16 أيار/مايو 2005. والإجراءات المتعلقة بالتصديق على الاتفاقية جارية.</w:t>
      </w:r>
    </w:p>
    <w:p w:rsidR="007023B4" w:rsidRPr="00CB4FD6" w:rsidRDefault="007023B4" w:rsidP="007023B4">
      <w:pPr>
        <w:pStyle w:val="SingleTxt"/>
        <w:rPr>
          <w:rFonts w:hint="cs"/>
          <w:rtl/>
          <w:lang w:bidi="ar-EG"/>
        </w:rPr>
      </w:pPr>
      <w:r w:rsidRPr="00CB4FD6">
        <w:rPr>
          <w:rFonts w:hint="cs"/>
          <w:rtl/>
          <w:lang w:bidi="ar-EG"/>
        </w:rPr>
        <w:tab/>
        <w:t>وفي يوم 17 آذار/مارس 2006، صدَّقت بلجيكا على البروتوكول الاختياري الملحق باتفاقية حقوق الطفل والمتعلق ببيع الأطفال واستغلالهم في البغاء وفي إنتاج المواد الإباحية، المعتمد في نيويورك في 25 أيار/مايو 2000.</w:t>
      </w:r>
    </w:p>
    <w:p w:rsidR="007023B4" w:rsidRDefault="00CB4FD6" w:rsidP="007023B4">
      <w:pPr>
        <w:pStyle w:val="SingleTxt"/>
        <w:rPr>
          <w:rFonts w:hint="cs"/>
          <w:i/>
          <w:iCs/>
          <w:rtl/>
          <w:lang w:bidi="ar-EG"/>
        </w:rPr>
      </w:pPr>
      <w:r>
        <w:rPr>
          <w:rFonts w:hint="cs"/>
          <w:rtl/>
          <w:lang w:bidi="ar-EG"/>
        </w:rPr>
        <w:t xml:space="preserve">1-2-  </w:t>
      </w:r>
      <w:r w:rsidR="007023B4">
        <w:rPr>
          <w:rFonts w:hint="cs"/>
          <w:i/>
          <w:iCs/>
          <w:rtl/>
          <w:lang w:bidi="ar-EG"/>
        </w:rPr>
        <w:t>على المستوى الوطني</w:t>
      </w:r>
    </w:p>
    <w:p w:rsidR="007023B4" w:rsidRPr="00E97CE3" w:rsidRDefault="00CB4FD6" w:rsidP="00CB4FD6">
      <w:pPr>
        <w:pStyle w:val="SingleTxt"/>
        <w:rPr>
          <w:rFonts w:hint="cs"/>
          <w:rtl/>
          <w:lang w:bidi="ar-EG"/>
        </w:rPr>
      </w:pPr>
      <w:r w:rsidRPr="00CB4FD6">
        <w:rPr>
          <w:rFonts w:hint="cs"/>
          <w:rtl/>
          <w:lang w:bidi="ar-EG"/>
        </w:rPr>
        <w:t>1-2-1</w:t>
      </w:r>
      <w:r>
        <w:rPr>
          <w:rFonts w:hint="cs"/>
          <w:i/>
          <w:iCs/>
          <w:rtl/>
          <w:lang w:bidi="ar-EG"/>
        </w:rPr>
        <w:t xml:space="preserve">- </w:t>
      </w:r>
      <w:r>
        <w:rPr>
          <w:rFonts w:hint="cs"/>
          <w:rtl/>
          <w:lang w:bidi="ar-EG"/>
        </w:rPr>
        <w:t>ا</w:t>
      </w:r>
      <w:r w:rsidR="007023B4" w:rsidRPr="007C2E5C">
        <w:rPr>
          <w:rFonts w:hint="cs"/>
          <w:rtl/>
          <w:lang w:bidi="ar-EG"/>
        </w:rPr>
        <w:t>لتطور التشريعي في مجال مكافحة الاتجار بالبشر</w:t>
      </w:r>
    </w:p>
    <w:p w:rsidR="007023B4" w:rsidRDefault="007023B4" w:rsidP="007023B4">
      <w:pPr>
        <w:pStyle w:val="SingleTxt"/>
        <w:rPr>
          <w:rFonts w:hint="cs"/>
          <w:rtl/>
          <w:lang w:bidi="ar-EG"/>
        </w:rPr>
      </w:pPr>
      <w:r>
        <w:rPr>
          <w:rFonts w:hint="cs"/>
          <w:rtl/>
          <w:lang w:bidi="ar-EG"/>
        </w:rPr>
        <w:tab/>
        <w:t>تم إحلال القانون المؤرخ 10 آب/أغسطس 2005، المعدِّل لعدة أحكام بهدف تشديد مكافحة الاتجار بالبشر ومكافحة الملاّك الاستغلاليين محل القانون السابق المؤرخ 13</w:t>
      </w:r>
      <w:r>
        <w:rPr>
          <w:rFonts w:hint="eastAsia"/>
          <w:rtl/>
          <w:lang w:bidi="ar-EG"/>
        </w:rPr>
        <w:t> </w:t>
      </w:r>
      <w:r>
        <w:rPr>
          <w:rFonts w:hint="cs"/>
          <w:rtl/>
          <w:lang w:bidi="ar-EG"/>
        </w:rPr>
        <w:t>نيسان/أبريل 1995 الذي يتضمن أحكاماً تهدف إلى قمع الاتجار بالبشر واستغلال الأطفال في إنتاج المواد الإباحية، فيما يتعلق بالإحكام المتصلة بالاتجار بالبشر (الجريدة الرسمية الصادرة في 2 أيلول/سبتمبر 2005).</w:t>
      </w:r>
    </w:p>
    <w:p w:rsidR="007023B4" w:rsidRPr="00CB4FD6" w:rsidRDefault="007023B4" w:rsidP="007023B4">
      <w:pPr>
        <w:pStyle w:val="SingleTxt"/>
        <w:rPr>
          <w:rFonts w:hint="cs"/>
          <w:rtl/>
          <w:lang w:bidi="ar-EG"/>
        </w:rPr>
      </w:pPr>
      <w:r w:rsidRPr="00CB4FD6">
        <w:rPr>
          <w:rFonts w:hint="cs"/>
          <w:rtl/>
          <w:lang w:bidi="ar-EG"/>
        </w:rPr>
        <w:tab/>
        <w:t>والهدف الأول لهذا القانون هو جعل تشريعاتنا تتفق مع الأحكام الأوروبية والدولية في هذا المجال، وخصوصا البروتوكولين الإضافيين الملحقين باتفاقية الأمم المتحدة لمكافحة الجريمة المنظمة العابرة للحدود الوطنية، وهما البروتوكول الرامي إلى منع وقمع الاتجار بالأشخاص، وبخاصة النساء والأطفال والمعاقبة عليه، والبروتوكول المتعلق بمكافحة الاتجار غير المشروع بالمهاجرين في البر والبحر والجو، وجميع البروتوكولات موقعة في باليرمو يوم 15 كانون الأول/ديسمبر 2000.</w:t>
      </w:r>
    </w:p>
    <w:p w:rsidR="007023B4" w:rsidRPr="00CB4FD6" w:rsidRDefault="007023B4" w:rsidP="007023B4">
      <w:pPr>
        <w:pStyle w:val="SingleTxt"/>
        <w:rPr>
          <w:rFonts w:hint="cs"/>
          <w:rtl/>
          <w:lang w:bidi="ar-EG"/>
        </w:rPr>
      </w:pPr>
      <w:r w:rsidRPr="00CB4FD6">
        <w:rPr>
          <w:rFonts w:hint="cs"/>
          <w:rtl/>
          <w:lang w:bidi="ar-EG"/>
        </w:rPr>
        <w:tab/>
        <w:t>ويقيم القانون الجديد تمييزاً واضحاً بين الاتجار بالبشر وتهريبهم. وهاتان الجريمتان أصبحتا منذ الآن محددتين بوضوح وتخضعان للقمع على أساس الأحكام المحددة: القانون الجنائي بالنسبة للاتجار (المادة 433 خامسا) والمادة الجديدة 77 مكرراً من القانون الصادر في 15 كانون الأول/ديسمبر 1980 بشأن وصول الأجانب إلى البلد، وإقامتهم، واستقرارهم، وإبعادهم، فيما يتعلق بتهريب البشر (</w:t>
      </w:r>
      <w:r w:rsidRPr="00CB4FD6">
        <w:rPr>
          <w:rFonts w:hint="eastAsia"/>
          <w:rtl/>
          <w:lang w:bidi="ar-EG"/>
        </w:rPr>
        <w:t>”قانون الأجانب</w:t>
      </w:r>
      <w:r w:rsidRPr="00CB4FD6">
        <w:rPr>
          <w:rFonts w:hint="cs"/>
          <w:rtl/>
          <w:lang w:bidi="ar-EG"/>
        </w:rPr>
        <w:t>“).</w:t>
      </w:r>
    </w:p>
    <w:p w:rsidR="007023B4" w:rsidRPr="00CB4FD6" w:rsidRDefault="007023B4" w:rsidP="007023B4">
      <w:pPr>
        <w:pStyle w:val="SingleTxt"/>
        <w:rPr>
          <w:rFonts w:hint="cs"/>
          <w:rtl/>
          <w:lang w:bidi="ar-EG"/>
        </w:rPr>
      </w:pPr>
      <w:r w:rsidRPr="00CB4FD6">
        <w:rPr>
          <w:rFonts w:hint="cs"/>
          <w:rtl/>
          <w:lang w:bidi="ar-EG"/>
        </w:rPr>
        <w:tab/>
        <w:t>والتجريم الجديد للاتجار بالبشر تم تعديله بدرجة متعمقة. ففي المقام الأول، يشمل التجريم، علاوة على الاتجار العابر للحدود (مع نقل الضحية من بلده الأصلي إلى بلد المقصد)، الاتجار داخل الحدود الوطنية المرتكب على الأرض البلجيكية دون اجتياز للحدود.</w:t>
      </w:r>
    </w:p>
    <w:p w:rsidR="007023B4" w:rsidRPr="00CB4FD6" w:rsidRDefault="007023B4" w:rsidP="007023B4">
      <w:pPr>
        <w:pStyle w:val="SingleTxt"/>
        <w:rPr>
          <w:rFonts w:hint="cs"/>
          <w:rtl/>
          <w:lang w:bidi="ar-EG"/>
        </w:rPr>
      </w:pPr>
      <w:r w:rsidRPr="00CB4FD6">
        <w:rPr>
          <w:rFonts w:hint="cs"/>
          <w:rtl/>
          <w:lang w:bidi="ar-EG"/>
        </w:rPr>
        <w:tab/>
        <w:t>وتجريم الاتجار بالبشر لا يؤكد، على فكرة إساءة معاملة الضحية كما كان يفعل القانون الصادر في 13 نيسان/أبريل 1995، ولكن على استغلالها.</w:t>
      </w:r>
    </w:p>
    <w:p w:rsidR="007023B4" w:rsidRPr="00360D41" w:rsidRDefault="007023B4" w:rsidP="007023B4">
      <w:pPr>
        <w:pStyle w:val="SingleTxt"/>
        <w:rPr>
          <w:rFonts w:hint="cs"/>
          <w:rtl/>
          <w:lang w:bidi="ar-EG"/>
        </w:rPr>
      </w:pPr>
      <w:r w:rsidRPr="00CB4FD6">
        <w:rPr>
          <w:rFonts w:hint="cs"/>
          <w:rtl/>
          <w:lang w:bidi="ar-EG"/>
        </w:rPr>
        <w:tab/>
        <w:t>وثمة ابتكار آخر في القانون الجديد يكمن في تحديد الغاية من الاستغلال. فهناك العديد من أشكال الاستغلال الواردة على هذا النحو: الاستغلال الجنسي (استغلال بغاء الأطفال وإنتاج مواد إباحية عنهم)، واستغلال التسول، والاستغلال عن طريق العمل (العمل في ظروف مناقضة للكرامة الإنسانية)، والاستيلاء غير الشرعي على الأعضاء، وارتكاب الجرائم. ومن أجل ارتكاب جريمة الاتجار بالبشر، فإن تحقيق الاستغلال ليس</w:t>
      </w:r>
      <w:r w:rsidRPr="00360D41">
        <w:rPr>
          <w:rFonts w:hint="cs"/>
          <w:rtl/>
          <w:lang w:bidi="ar-EG"/>
        </w:rPr>
        <w:t xml:space="preserve"> مطلوباً. وينبغي مع ذلك إثبات أن شكلاً من أشكال الاستغلال المبينة أعلاه كان مستهدفاً لحظة إتمام التجنيد </w:t>
      </w:r>
      <w:r>
        <w:rPr>
          <w:rFonts w:hint="cs"/>
          <w:rtl/>
          <w:lang w:bidi="ar-EG"/>
        </w:rPr>
        <w:t>أ</w:t>
      </w:r>
      <w:r w:rsidRPr="00360D41">
        <w:rPr>
          <w:rFonts w:hint="cs"/>
          <w:rtl/>
          <w:lang w:bidi="ar-EG"/>
        </w:rPr>
        <w:t>و</w:t>
      </w:r>
      <w:r>
        <w:rPr>
          <w:rFonts w:hint="cs"/>
          <w:rtl/>
          <w:lang w:bidi="ar-EG"/>
        </w:rPr>
        <w:t xml:space="preserve"> </w:t>
      </w:r>
      <w:r w:rsidRPr="00360D41">
        <w:rPr>
          <w:rFonts w:hint="cs"/>
          <w:rtl/>
          <w:lang w:bidi="ar-EG"/>
        </w:rPr>
        <w:t xml:space="preserve">النقل </w:t>
      </w:r>
      <w:r>
        <w:rPr>
          <w:rFonts w:hint="cs"/>
          <w:rtl/>
          <w:lang w:bidi="ar-EG"/>
        </w:rPr>
        <w:t>أ</w:t>
      </w:r>
      <w:r w:rsidRPr="00360D41">
        <w:rPr>
          <w:rFonts w:hint="cs"/>
          <w:rtl/>
          <w:lang w:bidi="ar-EG"/>
        </w:rPr>
        <w:t>و</w:t>
      </w:r>
      <w:r>
        <w:rPr>
          <w:rFonts w:hint="cs"/>
          <w:rtl/>
          <w:lang w:bidi="ar-EG"/>
        </w:rPr>
        <w:t xml:space="preserve"> </w:t>
      </w:r>
      <w:r w:rsidRPr="00360D41">
        <w:rPr>
          <w:rFonts w:hint="cs"/>
          <w:rtl/>
          <w:lang w:bidi="ar-EG"/>
        </w:rPr>
        <w:t>الإيواء. وهذه بصفة عامة العناصر الفعلية التي تتيح إثبات نية الاستغلال.</w:t>
      </w:r>
    </w:p>
    <w:p w:rsidR="007023B4" w:rsidRDefault="007023B4" w:rsidP="007023B4">
      <w:pPr>
        <w:pStyle w:val="SingleTxt"/>
        <w:rPr>
          <w:rFonts w:hint="cs"/>
          <w:rtl/>
          <w:lang w:bidi="ar-EG"/>
        </w:rPr>
      </w:pPr>
      <w:r>
        <w:rPr>
          <w:rFonts w:hint="cs"/>
          <w:rtl/>
          <w:lang w:bidi="ar-EG"/>
        </w:rPr>
        <w:tab/>
        <w:t>ويأخذ هذا القانون أيضاً بظروف مشدِّدة مختلفة ومقسمة على ثلاثة مستويات: الظروف المشددة المرتبطة بنوعية الضحية والجاني؛ والظروف المشددة المرتبطة بوسائل الفعل، وظروف الفعل، ونتائج الجريمة؛ وأخيراً الظروف المشددة المرتبطة بإشراك تنظيم جنائي والموت المحتمل غير المقصود للضحية/الضحايا.</w:t>
      </w:r>
    </w:p>
    <w:p w:rsidR="007023B4" w:rsidRPr="00360D41" w:rsidRDefault="007023B4" w:rsidP="007023B4">
      <w:pPr>
        <w:pStyle w:val="SingleTxt"/>
        <w:rPr>
          <w:rFonts w:hint="cs"/>
          <w:b/>
          <w:bCs/>
          <w:rtl/>
          <w:lang w:bidi="ar-EG"/>
        </w:rPr>
      </w:pPr>
      <w:r w:rsidRPr="00360D41">
        <w:rPr>
          <w:rFonts w:hint="cs"/>
          <w:b/>
          <w:bCs/>
          <w:rtl/>
          <w:lang w:bidi="ar-EG"/>
        </w:rPr>
        <w:tab/>
        <w:t>وأخيراً، يتولى هذا القانون أيضاً تكييف الجزاءات، حسب خطورة الجرائم المتعلقة بالاتجار بالبشر. وينص القانون تبعاً لذلك على المعاقبة على الجريمة البسيطة للاتجار بالبشر بعقوبة سالبة للحرية تتراوح بين سنة وخمس سنوات (كما هي الحال حالياً) وغرامة مرتفعة للغاية تتراوح بين 500 يورو و 000 50 يورو، بغية زيادة القمع وتناسباً مع المكاسب المتولدة عن أشكال الإجرام هذه.</w:t>
      </w:r>
    </w:p>
    <w:p w:rsidR="007023B4" w:rsidRPr="00CB4FD6" w:rsidRDefault="007023B4" w:rsidP="007023B4">
      <w:pPr>
        <w:pStyle w:val="SingleTxt"/>
        <w:rPr>
          <w:rFonts w:hint="cs"/>
          <w:rtl/>
          <w:lang w:bidi="ar-EG"/>
        </w:rPr>
      </w:pPr>
      <w:r w:rsidRPr="00CB4FD6">
        <w:rPr>
          <w:rFonts w:hint="cs"/>
          <w:rtl/>
          <w:lang w:bidi="ar-EG"/>
        </w:rPr>
        <w:tab/>
        <w:t xml:space="preserve">وفيما يتعلق بالتوصية 35 التي بمقتضاها </w:t>
      </w:r>
      <w:r w:rsidRPr="00CB4FD6">
        <w:rPr>
          <w:rFonts w:hint="eastAsia"/>
          <w:rtl/>
          <w:lang w:bidi="ar-EG"/>
        </w:rPr>
        <w:t>”</w:t>
      </w:r>
      <w:r w:rsidRPr="00CB4FD6">
        <w:rPr>
          <w:rFonts w:hint="cs"/>
          <w:i/>
          <w:iCs/>
          <w:rtl/>
          <w:lang w:bidi="ar-EG"/>
        </w:rPr>
        <w:t xml:space="preserve">تشعر </w:t>
      </w:r>
      <w:r w:rsidRPr="00CB4FD6">
        <w:rPr>
          <w:rFonts w:hint="eastAsia"/>
          <w:i/>
          <w:iCs/>
          <w:rtl/>
          <w:lang w:bidi="ar-EG"/>
        </w:rPr>
        <w:t xml:space="preserve">اللجنة بالقلق أيضاً من </w:t>
      </w:r>
      <w:r w:rsidRPr="00CB4FD6">
        <w:rPr>
          <w:rFonts w:hint="cs"/>
          <w:i/>
          <w:iCs/>
          <w:rtl/>
          <w:lang w:bidi="ar-EG"/>
        </w:rPr>
        <w:t xml:space="preserve">أن قمع جريمة </w:t>
      </w:r>
      <w:r w:rsidRPr="00CB4FD6">
        <w:rPr>
          <w:rFonts w:hint="eastAsia"/>
          <w:i/>
          <w:iCs/>
          <w:rtl/>
          <w:lang w:bidi="ar-EG"/>
        </w:rPr>
        <w:t xml:space="preserve">القوادة </w:t>
      </w:r>
      <w:r w:rsidRPr="00CB4FD6">
        <w:rPr>
          <w:rFonts w:hint="cs"/>
          <w:i/>
          <w:iCs/>
          <w:rtl/>
          <w:lang w:bidi="ar-EG"/>
        </w:rPr>
        <w:t>ب</w:t>
      </w:r>
      <w:r w:rsidRPr="00CB4FD6">
        <w:rPr>
          <w:rFonts w:hint="eastAsia"/>
          <w:i/>
          <w:iCs/>
          <w:rtl/>
          <w:lang w:bidi="ar-EG"/>
        </w:rPr>
        <w:t>هدف تجنب جزاءات على صعيد المعاشرة يمكن أن يؤدي إلى تسهيل استغلال البغاء</w:t>
      </w:r>
      <w:r w:rsidRPr="00CB4FD6">
        <w:rPr>
          <w:rFonts w:hint="cs"/>
          <w:rtl/>
          <w:lang w:bidi="ar-EG"/>
        </w:rPr>
        <w:t>“، فإنه ينبغي تأكيد أن الفقرة 1 من المادة 380 والمادة 4 والفقرة 4 من المادة 4 من القانون الجنائي تنطوي على مدى واسع من حيث أنها تقمع استغلال البغاء أو</w:t>
      </w:r>
      <w:r w:rsidRPr="00CB4FD6">
        <w:rPr>
          <w:rFonts w:hint="eastAsia"/>
          <w:rtl/>
          <w:lang w:bidi="ar-EG"/>
        </w:rPr>
        <w:t> </w:t>
      </w:r>
      <w:r w:rsidRPr="00CB4FD6">
        <w:rPr>
          <w:rFonts w:hint="cs"/>
          <w:rtl/>
          <w:lang w:bidi="ar-EG"/>
        </w:rPr>
        <w:t>الفجور على أي نحو كان.</w:t>
      </w:r>
    </w:p>
    <w:p w:rsidR="007023B4" w:rsidRPr="00CB4FD6" w:rsidRDefault="007023B4" w:rsidP="007023B4">
      <w:pPr>
        <w:pStyle w:val="SingleTxt"/>
        <w:rPr>
          <w:rFonts w:hint="cs"/>
          <w:rtl/>
          <w:lang w:bidi="ar-EG"/>
        </w:rPr>
      </w:pPr>
      <w:r w:rsidRPr="00CB4FD6">
        <w:rPr>
          <w:rFonts w:hint="cs"/>
          <w:rtl/>
          <w:lang w:bidi="ar-EG"/>
        </w:rPr>
        <w:tab/>
        <w:t xml:space="preserve">وإذا كان المشرع في عام 1995 ألغى تجريم معاشرة البغي، فإنه لم يكن يقصد من ذلك إضفاء شرعية على استغلالها من جانب شريكها في المعاشرة. فهو يأمل في ألا يزيد من إعاقة تطور علاقة عاطفية مستقرة من جانب بغي، وهذا عامل يمكن أن يحثها على التخلص من البغاء. وإذا قام الشخص المشارك في المعاشرة باستغلال البغي بعدم إسهامه في تكاليف البيت وعاش </w:t>
      </w:r>
      <w:r w:rsidRPr="00CB4FD6">
        <w:rPr>
          <w:rFonts w:hint="eastAsia"/>
          <w:rtl/>
          <w:lang w:bidi="ar-EG"/>
        </w:rPr>
        <w:t>”على نفقته</w:t>
      </w:r>
      <w:r w:rsidRPr="00CB4FD6">
        <w:rPr>
          <w:rFonts w:hint="cs"/>
          <w:rtl/>
          <w:lang w:bidi="ar-EG"/>
        </w:rPr>
        <w:t>ا“، فإن قاضي الموضوع يمكن أن يعتبر أن ثمة وجوداً لاستغلال البغاء.</w:t>
      </w:r>
    </w:p>
    <w:p w:rsidR="007023B4" w:rsidRPr="00360D41" w:rsidRDefault="00CB4FD6" w:rsidP="00CB4FD6">
      <w:pPr>
        <w:pStyle w:val="SingleTxt"/>
        <w:rPr>
          <w:rFonts w:hint="cs"/>
          <w:rtl/>
          <w:lang w:bidi="ar-EG"/>
        </w:rPr>
      </w:pPr>
      <w:r>
        <w:rPr>
          <w:rFonts w:hint="cs"/>
          <w:i/>
          <w:iCs/>
          <w:rtl/>
          <w:lang w:bidi="ar-EG"/>
        </w:rPr>
        <w:t xml:space="preserve">1-2-2-  </w:t>
      </w:r>
      <w:r w:rsidR="007023B4" w:rsidRPr="007C2E5C">
        <w:rPr>
          <w:rFonts w:hint="cs"/>
          <w:rtl/>
          <w:lang w:bidi="ar-EG"/>
        </w:rPr>
        <w:t>تدابير أخرى ترمي إلى قمع الاتجار بالبشر</w:t>
      </w:r>
    </w:p>
    <w:p w:rsidR="007023B4" w:rsidRPr="00CB4FD6" w:rsidRDefault="007023B4" w:rsidP="007023B4">
      <w:pPr>
        <w:pStyle w:val="SingleTxt"/>
        <w:rPr>
          <w:rFonts w:hint="cs"/>
          <w:rtl/>
          <w:lang w:bidi="ar-EG"/>
        </w:rPr>
      </w:pPr>
      <w:r w:rsidRPr="00CB4FD6">
        <w:rPr>
          <w:rFonts w:hint="cs"/>
          <w:rtl/>
          <w:lang w:bidi="ar-EG"/>
        </w:rPr>
        <w:tab/>
        <w:t>ثمة أدوات متنوعة أخرى تستهدف ضمان المكافحة الفعالة لظاهرة الاتجار. ومن ذلك ما يلي:</w:t>
      </w:r>
    </w:p>
    <w:p w:rsidR="007023B4" w:rsidRPr="00360D41" w:rsidRDefault="00CB4FD6" w:rsidP="00CB4FD6">
      <w:pPr>
        <w:pStyle w:val="SingleTxt"/>
        <w:rPr>
          <w:rFonts w:hint="cs"/>
          <w:rtl/>
          <w:lang w:bidi="ar-EG"/>
        </w:rPr>
      </w:pPr>
      <w:r>
        <w:rPr>
          <w:rFonts w:hint="cs"/>
          <w:rtl/>
          <w:lang w:bidi="ar-EG"/>
        </w:rPr>
        <w:tab/>
      </w:r>
      <w:r w:rsidR="007023B4" w:rsidRPr="00360D41">
        <w:rPr>
          <w:rFonts w:hint="cs"/>
          <w:i/>
          <w:iCs/>
          <w:rtl/>
          <w:lang w:bidi="ar-EG"/>
        </w:rPr>
        <w:t>التوجيه الوزاري المتعلق بسياسة البحث والملاحقة في مجال الاتجار بالبشر</w:t>
      </w:r>
      <w:r w:rsidR="007023B4" w:rsidRPr="00360D41">
        <w:rPr>
          <w:rFonts w:hint="cs"/>
          <w:rtl/>
          <w:lang w:bidi="ar-EG"/>
        </w:rPr>
        <w:t xml:space="preserve">، ويعرف باسم </w:t>
      </w:r>
      <w:r w:rsidR="007023B4" w:rsidRPr="00360D41">
        <w:rPr>
          <w:lang w:bidi="ar-EG"/>
        </w:rPr>
        <w:t>Col 10/2004</w:t>
      </w:r>
      <w:r w:rsidR="007023B4" w:rsidRPr="00360D41">
        <w:rPr>
          <w:rFonts w:hint="cs"/>
          <w:rtl/>
          <w:lang w:bidi="ar-EG"/>
        </w:rPr>
        <w:t xml:space="preserve"> الذي يهدف إلى تنسيق سياسة البحث والملاحقة في مجال مكافحة الاتجار بالبشر على </w:t>
      </w:r>
      <w:r w:rsidR="007023B4">
        <w:rPr>
          <w:rFonts w:hint="cs"/>
          <w:rtl/>
          <w:lang w:bidi="ar-EG"/>
        </w:rPr>
        <w:t>أ</w:t>
      </w:r>
      <w:r w:rsidR="007023B4" w:rsidRPr="00360D41">
        <w:rPr>
          <w:rFonts w:hint="cs"/>
          <w:rtl/>
          <w:lang w:bidi="ar-EG"/>
        </w:rPr>
        <w:t xml:space="preserve">رض الواقع. وتم مع ذلك اعتماد توجيه جديد من أجل التوافق مع الأحكام التشريعية الجديدة. وسوف يدخل هذا التوجيه حيز التنفيذ في أول شباط/فبراير 2007. وهذا الصك يحدد بصفة خاصة دور قضاة الإحالة في مجال </w:t>
      </w:r>
      <w:r w:rsidR="007023B4" w:rsidRPr="00360D41">
        <w:rPr>
          <w:rFonts w:hint="eastAsia"/>
          <w:rtl/>
          <w:lang w:bidi="ar-EG"/>
        </w:rPr>
        <w:t>”الاتجار بالبشر</w:t>
      </w:r>
      <w:r w:rsidR="007023B4" w:rsidRPr="00360D41">
        <w:rPr>
          <w:rFonts w:hint="cs"/>
          <w:rtl/>
          <w:lang w:bidi="ar-EG"/>
        </w:rPr>
        <w:t>“ المعينين في كل دائرة قضائية.</w:t>
      </w:r>
    </w:p>
    <w:p w:rsidR="007023B4" w:rsidRDefault="007023B4" w:rsidP="00CB4FD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rFonts w:hint="cs"/>
          <w:rtl/>
          <w:lang w:bidi="ar-EG"/>
        </w:rPr>
        <w:tab/>
      </w:r>
      <w:r w:rsidRPr="00360D41">
        <w:rPr>
          <w:rFonts w:hint="cs"/>
          <w:i/>
          <w:iCs/>
          <w:rtl/>
          <w:lang w:bidi="ar-EG"/>
        </w:rPr>
        <w:t>الوحدة المشتركة بين الإدارات لمكافحة الاتجار بالبشر</w:t>
      </w:r>
      <w:r>
        <w:rPr>
          <w:rFonts w:hint="cs"/>
          <w:rtl/>
          <w:lang w:bidi="ar-EG"/>
        </w:rPr>
        <w:t>، التي تضم جميع الفعاليات الاتحادية العاملة في مجال مكافحة الظواهر الآنفة الذكر. وهي تضطلع في الوقت نفسه بمهمة تنسيق وتقييم نتائج مكافحة الاتجار بالبشر وتهريبهم وصياغة توصيات عند الاقتضاء.</w:t>
      </w:r>
    </w:p>
    <w:p w:rsidR="007023B4" w:rsidRPr="00CB4FD6" w:rsidRDefault="007023B4" w:rsidP="007023B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r>
      <w:r w:rsidRPr="00CB4FD6">
        <w:rPr>
          <w:rFonts w:hint="cs"/>
          <w:rtl/>
          <w:lang w:bidi="ar-EG"/>
        </w:rPr>
        <w:t>توعية الجهات الفاعلة</w:t>
      </w:r>
    </w:p>
    <w:p w:rsidR="007023B4" w:rsidRPr="00F67EC0" w:rsidRDefault="007023B4" w:rsidP="007023B4">
      <w:pPr>
        <w:pStyle w:val="SingleTxt"/>
        <w:rPr>
          <w:rFonts w:hint="cs"/>
          <w:b/>
          <w:bCs/>
          <w:rtl/>
          <w:lang w:bidi="ar-EG"/>
        </w:rPr>
      </w:pPr>
      <w:r w:rsidRPr="00F67EC0">
        <w:rPr>
          <w:rFonts w:hint="cs"/>
          <w:b/>
          <w:bCs/>
          <w:rtl/>
          <w:lang w:bidi="ar-EG"/>
        </w:rPr>
        <w:tab/>
        <w:t>تتولى مدارس الشرطة إجراء تدريب في مجال الاتجار بالبشر في إعداد رجال الشرطة، وتدريبات متعمقة لرجال الشرطة العاملين في الوحدات التي تعن</w:t>
      </w:r>
      <w:r>
        <w:rPr>
          <w:rFonts w:hint="cs"/>
          <w:b/>
          <w:bCs/>
          <w:rtl/>
          <w:lang w:bidi="ar-EG"/>
        </w:rPr>
        <w:t>ى</w:t>
      </w:r>
      <w:r w:rsidRPr="00F67EC0">
        <w:rPr>
          <w:rFonts w:hint="cs"/>
          <w:b/>
          <w:bCs/>
          <w:rtl/>
          <w:lang w:bidi="ar-EG"/>
        </w:rPr>
        <w:t xml:space="preserve"> بالاتجار والتهريب ويتم تشكيلها بمعرفة رجال الشرطة.</w:t>
      </w:r>
    </w:p>
    <w:p w:rsidR="007023B4" w:rsidRPr="00F67EC0" w:rsidRDefault="007023B4" w:rsidP="007023B4">
      <w:pPr>
        <w:pStyle w:val="SingleTxt"/>
        <w:rPr>
          <w:rFonts w:hint="cs"/>
          <w:b/>
          <w:bCs/>
          <w:rtl/>
          <w:lang w:bidi="ar-EG"/>
        </w:rPr>
      </w:pPr>
      <w:r w:rsidRPr="00F67EC0">
        <w:rPr>
          <w:rFonts w:hint="cs"/>
          <w:b/>
          <w:bCs/>
          <w:rtl/>
          <w:lang w:bidi="ar-EG"/>
        </w:rPr>
        <w:tab/>
        <w:t>وقد عمل المجلس الأعلى للقضاء أيضاً على وضع برنامج للتدريب لمدة يومين موجه إلى القضاة. وهذه التدريبات جرت في عام 2005 وتكررت في عام 2006.</w:t>
      </w:r>
    </w:p>
    <w:p w:rsidR="007023B4" w:rsidRPr="00CB4FD6" w:rsidRDefault="00CB4FD6" w:rsidP="007023B4">
      <w:pPr>
        <w:pStyle w:val="SingleTxt"/>
        <w:rPr>
          <w:rFonts w:hint="cs"/>
          <w:rtl/>
          <w:lang w:bidi="ar-EG"/>
        </w:rPr>
      </w:pPr>
      <w:r>
        <w:rPr>
          <w:rFonts w:hint="cs"/>
          <w:rtl/>
          <w:lang w:bidi="ar-EG"/>
        </w:rPr>
        <w:t xml:space="preserve">1-2-3-  </w:t>
      </w:r>
      <w:r w:rsidRPr="00CB4FD6">
        <w:rPr>
          <w:rFonts w:hint="cs"/>
          <w:i/>
          <w:iCs/>
          <w:rtl/>
          <w:lang w:bidi="ar-EG"/>
        </w:rPr>
        <w:t>تدابير لصالح الضحايا</w:t>
      </w:r>
    </w:p>
    <w:p w:rsidR="007023B4" w:rsidRPr="00CB4FD6" w:rsidRDefault="007023B4" w:rsidP="007023B4">
      <w:pPr>
        <w:pStyle w:val="SingleTxt"/>
        <w:rPr>
          <w:rFonts w:hint="cs"/>
          <w:rtl/>
          <w:lang w:bidi="ar-EG"/>
        </w:rPr>
      </w:pPr>
      <w:r w:rsidRPr="00CB4FD6">
        <w:rPr>
          <w:rFonts w:hint="cs"/>
          <w:rtl/>
          <w:lang w:bidi="ar-EG"/>
        </w:rPr>
        <w:t>(أ)</w:t>
      </w:r>
      <w:r w:rsidRPr="00CB4FD6">
        <w:rPr>
          <w:rFonts w:hint="cs"/>
          <w:rtl/>
          <w:lang w:bidi="ar-EG"/>
        </w:rPr>
        <w:tab/>
        <w:t xml:space="preserve">منح الحق في إقامة محددة </w:t>
      </w:r>
    </w:p>
    <w:p w:rsidR="007023B4" w:rsidRPr="00CB4FD6" w:rsidRDefault="007023B4" w:rsidP="007023B4">
      <w:pPr>
        <w:pStyle w:val="SingleTxt"/>
        <w:rPr>
          <w:rFonts w:hint="cs"/>
          <w:rtl/>
          <w:lang w:bidi="ar-EG"/>
        </w:rPr>
      </w:pPr>
      <w:r w:rsidRPr="00CB4FD6">
        <w:rPr>
          <w:rFonts w:hint="cs"/>
          <w:rtl/>
          <w:lang w:bidi="ar-EG"/>
        </w:rPr>
        <w:tab/>
        <w:t>يتيح النظام البلجيكي لمكافحة الاتجار بالبشر في جانبه الإنساني للضحايا الذين يتركون الوسط الاستغلالي، والذين يتعاونون مع السلطات القضائية ويقبلون المرافقة من جانب مركز متخصص للاستقبال الانتفاع بحقوق للإقامة المحددة. وفي الوقت الحالي، أوردت هذه الأحكام في تعميم بتاريخ أول تموز/يوليه 1994 وفي توجيهات عام 1997، المعدلة في عام 2003. وقد وردت آليات الحماية هذه بالتفاصيل في التقرير السابق.</w:t>
      </w:r>
    </w:p>
    <w:p w:rsidR="007023B4" w:rsidRPr="00CB4FD6" w:rsidRDefault="007023B4" w:rsidP="007023B4">
      <w:pPr>
        <w:pStyle w:val="SingleTxt"/>
        <w:rPr>
          <w:rFonts w:hint="cs"/>
          <w:rtl/>
          <w:lang w:bidi="ar-EG"/>
        </w:rPr>
      </w:pPr>
      <w:r w:rsidRPr="00CB4FD6">
        <w:rPr>
          <w:rFonts w:hint="cs"/>
          <w:rtl/>
          <w:lang w:bidi="ar-EG"/>
        </w:rPr>
        <w:tab/>
        <w:t>وفي إطار نقل التوجيه الأوروبي</w:t>
      </w:r>
      <w:r w:rsidRPr="00CB4FD6">
        <w:rPr>
          <w:vertAlign w:val="superscript"/>
          <w:rtl/>
          <w:lang w:bidi="ar-EG"/>
        </w:rPr>
        <w:t>(</w:t>
      </w:r>
      <w:r w:rsidRPr="00CB4FD6">
        <w:rPr>
          <w:rStyle w:val="FootnoteReference"/>
          <w:rtl/>
        </w:rPr>
        <w:footnoteReference w:id="26"/>
      </w:r>
      <w:r w:rsidRPr="00CB4FD6">
        <w:rPr>
          <w:vertAlign w:val="superscript"/>
          <w:rtl/>
          <w:lang w:bidi="ar-EG"/>
        </w:rPr>
        <w:t>)</w:t>
      </w:r>
      <w:r w:rsidRPr="00CB4FD6">
        <w:rPr>
          <w:rFonts w:hint="cs"/>
          <w:rtl/>
          <w:lang w:bidi="ar-EG"/>
        </w:rPr>
        <w:t>، فإن هذا الإجراء المتعلق بمنح حقوق للإقامة المحددة أدرج في قانون، هو القانون الصادر في 15 أيلول/سبتمبر 2006 المعدل للقانون الصادر في 15 كانون الأول/ديسمبر 1980 بشأن وصول الأجانب إلى البلد وإقامتهم واستقرارهم وإبعادهم، المنشور في الجريدة الرسمية الصادرة في 6 تشرين الأول/أكتوبر 2006، والذي من المقرر أن يصبح سارياً في موعد يحدده الملك. ويقدم هذا الإجراء الذي لم يتغير هذه الحماية إلى ضحايا جريمة الاتجار بالبشر بالمعنى الوارد في المادة 433 خامساً من القانون الجنائي وإلى ضحايا بعض أشكال تهريب المهاجرين. ويمكن لقانون الحماية أن ينطبق على رعايا الدول الأعضاء في الاتحاد الأوروبي مثلما ينطبق على رعايا البلدان الأخرى.</w:t>
      </w:r>
    </w:p>
    <w:p w:rsidR="007023B4" w:rsidRDefault="007023B4" w:rsidP="007023B4">
      <w:pPr>
        <w:pStyle w:val="SingleTxt"/>
        <w:rPr>
          <w:rFonts w:hint="cs"/>
          <w:rtl/>
          <w:lang w:bidi="ar-EG"/>
        </w:rPr>
      </w:pPr>
      <w:r>
        <w:rPr>
          <w:rFonts w:hint="cs"/>
          <w:rtl/>
          <w:lang w:bidi="ar-EG"/>
        </w:rPr>
        <w:tab/>
        <w:t>وهكذا فإنه في المرحلة الأولى من فترة التفكير (45 يوماً)، يمكن للضحية أن يتخذ قراراً بشأن إصدار إعلان من عدمه فيما يتعلق بالأشخاص أو الشبكات الذين قاموا باستغلاله، أو يمكنه أن يستعد للعودة إلى بلده الأصلي.</w:t>
      </w:r>
    </w:p>
    <w:p w:rsidR="007023B4" w:rsidRDefault="007023B4" w:rsidP="007023B4">
      <w:pPr>
        <w:pStyle w:val="SingleTxt"/>
        <w:rPr>
          <w:rFonts w:hint="cs"/>
          <w:rtl/>
          <w:lang w:bidi="ar-EG"/>
        </w:rPr>
      </w:pPr>
      <w:r>
        <w:rPr>
          <w:rtl/>
          <w:lang w:bidi="ar-EG"/>
        </w:rPr>
        <w:tab/>
      </w:r>
      <w:r>
        <w:rPr>
          <w:rFonts w:hint="cs"/>
          <w:rtl/>
          <w:lang w:bidi="ar-EG"/>
        </w:rPr>
        <w:t>ولدى تقديم شكوى أو الإدلاء ببيانات، فإن الضحية يدخل المرحلة الثانية من مهلة التفكير ويصرح له بالإقامة مؤقتا. وفي هذه الحالة، يدرج في سجل الأجانب ويحصل على وثيقة إقامة صالحة لمدة أقصاها ثلاثة أشهر.</w:t>
      </w:r>
    </w:p>
    <w:p w:rsidR="007023B4" w:rsidRDefault="007023B4" w:rsidP="007023B4">
      <w:pPr>
        <w:pStyle w:val="SingleTxt"/>
        <w:rPr>
          <w:rFonts w:hint="cs"/>
          <w:rtl/>
          <w:lang w:bidi="ar-EG"/>
        </w:rPr>
      </w:pPr>
      <w:r>
        <w:rPr>
          <w:rFonts w:hint="cs"/>
          <w:rtl/>
          <w:lang w:bidi="ar-EG"/>
        </w:rPr>
        <w:tab/>
        <w:t>وعندما يقدم الضحية شكوى أو يدلي ببيانات مباشرة ضد مرتكبي الجريمة، يمكن بناء على طلب من مركز الاستقبال المكلف بمرافقته أن يحصل من الوزير أو مندوبه على وثيقة إقامة صالحة لمدة أقصاها ثلاثة أشهر. وفي هذه الحالة، تكون المرحلة الأولى غير ضرورية في الواقع.</w:t>
      </w:r>
    </w:p>
    <w:p w:rsidR="007023B4" w:rsidRDefault="007023B4" w:rsidP="007023B4">
      <w:pPr>
        <w:pStyle w:val="SingleTxt"/>
        <w:rPr>
          <w:rFonts w:hint="cs"/>
          <w:rtl/>
          <w:lang w:bidi="ar-EG"/>
        </w:rPr>
      </w:pPr>
      <w:r>
        <w:rPr>
          <w:rFonts w:hint="cs"/>
          <w:rtl/>
          <w:lang w:bidi="ar-EG"/>
        </w:rPr>
        <w:tab/>
        <w:t>وخلال المرحلة الثانية من فترة التفكير، فإن وكيل الملك أو منفذ القوانين الخاصة بالعمل سوف يبت في مواصلة التحقيق أو الإجراء القضائي، وكذلك في إرادة التعاون من جانب الضحية وقطع علاقاته مع مرتكبي الجريمة.</w:t>
      </w:r>
    </w:p>
    <w:p w:rsidR="007023B4" w:rsidRDefault="007023B4" w:rsidP="007023B4">
      <w:pPr>
        <w:pStyle w:val="SingleTxt"/>
        <w:rPr>
          <w:rFonts w:hint="cs"/>
          <w:rtl/>
          <w:lang w:bidi="ar-EG"/>
        </w:rPr>
      </w:pPr>
      <w:r>
        <w:rPr>
          <w:rFonts w:hint="cs"/>
          <w:rtl/>
          <w:lang w:bidi="ar-EG"/>
        </w:rPr>
        <w:tab/>
        <w:t>وعندما يفي الضحية بالشروط الجمعية الثلاثة (لم يتم بعد إغلاق التحقيق أو الإجراء القضائي، وأظهر الشخص المعني إرادة واضحة للتعاون، وقطع علاقاته مع المستغلين)، فإن الوزير أو مندوبه يقدم شهادة بإدراجه في سحل الأجانب صالحة لمدة 6 أشهر.</w:t>
      </w:r>
    </w:p>
    <w:p w:rsidR="007023B4" w:rsidRDefault="007023B4" w:rsidP="007023B4">
      <w:pPr>
        <w:pStyle w:val="SingleTxt"/>
        <w:rPr>
          <w:rFonts w:hint="cs"/>
          <w:rtl/>
          <w:lang w:bidi="ar-EG"/>
        </w:rPr>
      </w:pPr>
      <w:r>
        <w:rPr>
          <w:rFonts w:hint="cs"/>
          <w:rtl/>
          <w:lang w:bidi="ar-EG"/>
        </w:rPr>
        <w:tab/>
        <w:t>وتحدد شروط إعطاء وثائق وحقوق الإقامة ومدّ أجلها وتجديدها وسحبها حسب تطور الإجراء القضائي والوفاء بالشروط الجمعية الثلاثة. وعندما يقر وكيل الملك في طلباته منع إحدى الجرائم المعنية، يمكن منح الضحية الحق في الإقامة لمدة غير محددة بعد أن يكون هذا الضحية قد قدم إسهاما هاما في التحقيق.</w:t>
      </w:r>
    </w:p>
    <w:p w:rsidR="007023B4" w:rsidRPr="00812F37" w:rsidRDefault="007023B4" w:rsidP="007023B4">
      <w:pPr>
        <w:pStyle w:val="SingleTxt"/>
        <w:spacing w:after="0" w:line="120" w:lineRule="exact"/>
        <w:rPr>
          <w:rFonts w:hint="cs"/>
          <w:b/>
          <w:bCs/>
          <w:sz w:val="10"/>
          <w:rtl/>
          <w:lang w:bidi="ar-EG"/>
        </w:rPr>
      </w:pPr>
    </w:p>
    <w:p w:rsidR="007023B4" w:rsidRPr="00CB4FD6" w:rsidRDefault="007023B4" w:rsidP="007023B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b w:val="0"/>
          <w:bCs w:val="0"/>
          <w:rtl/>
          <w:lang w:bidi="ar-EG"/>
        </w:rPr>
      </w:pPr>
      <w:r w:rsidRPr="00CB4FD6">
        <w:rPr>
          <w:rFonts w:hint="cs"/>
          <w:b w:val="0"/>
          <w:bCs w:val="0"/>
          <w:rtl/>
          <w:lang w:bidi="ar-EG"/>
        </w:rPr>
        <w:tab/>
        <w:t>(ب)</w:t>
      </w:r>
      <w:r w:rsidRPr="00CB4FD6">
        <w:rPr>
          <w:rFonts w:hint="cs"/>
          <w:b w:val="0"/>
          <w:bCs w:val="0"/>
          <w:rtl/>
          <w:lang w:bidi="ar-EG"/>
        </w:rPr>
        <w:tab/>
        <w:t>دور مراكز الاستقبال المتخصصة</w:t>
      </w:r>
    </w:p>
    <w:p w:rsidR="007023B4" w:rsidRDefault="007023B4" w:rsidP="007023B4">
      <w:pPr>
        <w:pStyle w:val="SingleTxt"/>
        <w:rPr>
          <w:rFonts w:hint="cs"/>
          <w:rtl/>
          <w:lang w:bidi="ar-EG"/>
        </w:rPr>
      </w:pPr>
      <w:r>
        <w:rPr>
          <w:rFonts w:hint="cs"/>
          <w:rtl/>
          <w:lang w:bidi="ar-EG"/>
        </w:rPr>
        <w:tab/>
        <w:t xml:space="preserve">تم إنشاء ثلاثة مراكز متخصصة في استقبال ومرافقة الضحايا في عام 1995، تشترك في إعانتها الحكومة الاتحادية والكيانات الاتحادية (المجتمعات والأقاليم). وهذه المراكز هي </w:t>
      </w:r>
      <w:r>
        <w:rPr>
          <w:rFonts w:hint="eastAsia"/>
          <w:rtl/>
          <w:lang w:bidi="ar-EG"/>
        </w:rPr>
        <w:t>”</w:t>
      </w:r>
      <w:r>
        <w:rPr>
          <w:lang w:bidi="ar-EG"/>
        </w:rPr>
        <w:t>Pag-Asa</w:t>
      </w:r>
      <w:r>
        <w:rPr>
          <w:rFonts w:hint="cs"/>
          <w:rtl/>
          <w:lang w:bidi="ar-EG"/>
        </w:rPr>
        <w:t>“ (بروكسل)؛ و</w:t>
      </w:r>
      <w:r>
        <w:rPr>
          <w:rFonts w:hint="eastAsia"/>
          <w:rtl/>
          <w:lang w:bidi="ar-EG"/>
        </w:rPr>
        <w:t>”</w:t>
      </w:r>
      <w:r>
        <w:rPr>
          <w:lang w:bidi="ar-EG"/>
        </w:rPr>
        <w:t>S</w:t>
      </w:r>
      <w:r>
        <w:rPr>
          <w:rFonts w:hint="cs"/>
          <w:lang w:bidi="ar-EG"/>
        </w:rPr>
        <w:t>ü</w:t>
      </w:r>
      <w:r>
        <w:rPr>
          <w:lang w:bidi="ar-EG"/>
        </w:rPr>
        <w:t>rya</w:t>
      </w:r>
      <w:r>
        <w:rPr>
          <w:rFonts w:hint="cs"/>
          <w:rtl/>
          <w:lang w:bidi="ar-EG"/>
        </w:rPr>
        <w:t>“ (إقليم والون)؛ و</w:t>
      </w:r>
      <w:r>
        <w:rPr>
          <w:rFonts w:hint="eastAsia"/>
          <w:rtl/>
          <w:lang w:bidi="ar-EG"/>
        </w:rPr>
        <w:t>”</w:t>
      </w:r>
      <w:r>
        <w:rPr>
          <w:lang w:bidi="ar-EG"/>
        </w:rPr>
        <w:t>Payoke</w:t>
      </w:r>
      <w:r>
        <w:rPr>
          <w:rFonts w:hint="cs"/>
          <w:rtl/>
          <w:lang w:bidi="ar-EG"/>
        </w:rPr>
        <w:t>“ (إقليم الفلمند). ولدى هذه المراكز هيكل للإيواء (من 10 إلى 15 سريرا)، وموجودة في عنوان سري، ولها كذلك مقر اجتماعي يتولى تنظيم جميع الاتصالات مع الشركاء الخارجيين.</w:t>
      </w:r>
    </w:p>
    <w:p w:rsidR="007023B4" w:rsidRDefault="007023B4" w:rsidP="007023B4">
      <w:pPr>
        <w:pStyle w:val="SingleTxt"/>
        <w:rPr>
          <w:rFonts w:hint="cs"/>
          <w:rtl/>
          <w:lang w:bidi="ar-EG"/>
        </w:rPr>
      </w:pPr>
      <w:r>
        <w:rPr>
          <w:rFonts w:hint="cs"/>
          <w:rtl/>
          <w:lang w:bidi="ar-EG"/>
        </w:rPr>
        <w:tab/>
        <w:t>ومهمة هذه المراكز والفرق المتعددة الاختصاصات التي تتألف منها (المربون، المرشدون الاجتماعيون، علماء الجريمة ...) تقديم مختلف أشكال المرافقة إلى ضحايا الاتجار</w:t>
      </w:r>
      <w:r>
        <w:rPr>
          <w:rFonts w:hint="eastAsia"/>
          <w:rtl/>
          <w:lang w:bidi="ar-EG"/>
        </w:rPr>
        <w:t> </w:t>
      </w:r>
      <w:r>
        <w:rPr>
          <w:rFonts w:hint="cs"/>
          <w:rtl/>
          <w:lang w:bidi="ar-EG"/>
        </w:rPr>
        <w:t>بالبشر:</w:t>
      </w:r>
    </w:p>
    <w:p w:rsidR="007023B4" w:rsidRDefault="007023B4" w:rsidP="00CB4FD6">
      <w:pPr>
        <w:pStyle w:val="SingleTxt"/>
        <w:rPr>
          <w:rFonts w:hint="cs"/>
          <w:rtl/>
          <w:lang w:bidi="ar-EG"/>
        </w:rPr>
      </w:pPr>
      <w:r>
        <w:rPr>
          <w:rFonts w:hint="cs"/>
          <w:rtl/>
          <w:lang w:bidi="ar-EG"/>
        </w:rPr>
        <w:tab/>
      </w:r>
      <w:r w:rsidRPr="008E0833">
        <w:rPr>
          <w:rFonts w:hint="cs"/>
          <w:i/>
          <w:iCs/>
          <w:rtl/>
          <w:lang w:bidi="ar-EG"/>
        </w:rPr>
        <w:t>مرافقة سيكولوجي</w:t>
      </w:r>
      <w:r w:rsidRPr="008E0833">
        <w:rPr>
          <w:rFonts w:hint="eastAsia"/>
          <w:i/>
          <w:iCs/>
          <w:rtl/>
          <w:lang w:bidi="ar-EG"/>
        </w:rPr>
        <w:t>ة</w:t>
      </w:r>
      <w:r w:rsidRPr="008E0833">
        <w:rPr>
          <w:rFonts w:hint="cs"/>
          <w:i/>
          <w:iCs/>
          <w:rtl/>
          <w:lang w:bidi="ar-EG"/>
        </w:rPr>
        <w:t>:</w:t>
      </w:r>
      <w:r>
        <w:rPr>
          <w:rFonts w:hint="cs"/>
          <w:rtl/>
          <w:lang w:bidi="ar-EG"/>
        </w:rPr>
        <w:t xml:space="preserve"> مساعدة الضحايا على التغلب على الحالة التي يعيشونها والصدمات التي يعانونها، وحملهم على الاعتناء بحياتهم الحالية بطريقة مثلى ومشاركتهم في وضع مشروع لمستقبل واقعي؛</w:t>
      </w:r>
    </w:p>
    <w:p w:rsidR="007023B4" w:rsidRDefault="007023B4" w:rsidP="00CB4FD6">
      <w:pPr>
        <w:pStyle w:val="SingleTxt"/>
        <w:rPr>
          <w:rFonts w:hint="cs"/>
          <w:rtl/>
          <w:lang w:bidi="ar-EG"/>
        </w:rPr>
      </w:pPr>
      <w:r>
        <w:rPr>
          <w:rFonts w:hint="cs"/>
          <w:rtl/>
          <w:lang w:bidi="ar-EG"/>
        </w:rPr>
        <w:tab/>
      </w:r>
      <w:r w:rsidRPr="008E0833">
        <w:rPr>
          <w:rFonts w:hint="cs"/>
          <w:i/>
          <w:iCs/>
          <w:rtl/>
          <w:lang w:bidi="ar-EG"/>
        </w:rPr>
        <w:t>مرافقة إدارية:</w:t>
      </w:r>
      <w:r>
        <w:rPr>
          <w:rFonts w:hint="cs"/>
          <w:rtl/>
          <w:lang w:bidi="ar-EG"/>
        </w:rPr>
        <w:t xml:space="preserve"> مرافقة الضحية في سعيه للحصول على حقوق مختلفة للإقامة؛ وإذا قرر الضحية العودة إلى بلده الأصلي، يقوم المركز المتخصص بالاتصال بالمنظمة الدولية للهجرة وتنظيم العودة الطوعية للضحية إلى بلده؛</w:t>
      </w:r>
    </w:p>
    <w:p w:rsidR="007023B4" w:rsidRPr="00CB4FD6" w:rsidRDefault="007023B4" w:rsidP="00CB4FD6">
      <w:pPr>
        <w:pStyle w:val="SingleTxt"/>
        <w:rPr>
          <w:rFonts w:hint="cs"/>
          <w:i/>
          <w:iCs/>
          <w:rtl/>
          <w:lang w:bidi="ar-EG"/>
        </w:rPr>
      </w:pPr>
      <w:r>
        <w:rPr>
          <w:rFonts w:hint="cs"/>
          <w:rtl/>
          <w:lang w:bidi="ar-EG"/>
        </w:rPr>
        <w:tab/>
      </w:r>
      <w:r w:rsidR="00CB4FD6" w:rsidRPr="00CB4FD6">
        <w:rPr>
          <w:rFonts w:hint="cs"/>
          <w:i/>
          <w:iCs/>
          <w:rtl/>
          <w:lang w:bidi="ar-EG"/>
        </w:rPr>
        <w:t>م</w:t>
      </w:r>
      <w:r w:rsidRPr="00CB4FD6">
        <w:rPr>
          <w:rFonts w:hint="cs"/>
          <w:i/>
          <w:iCs/>
          <w:rtl/>
          <w:lang w:bidi="ar-EG"/>
        </w:rPr>
        <w:t>رافقة طبية؛</w:t>
      </w:r>
    </w:p>
    <w:p w:rsidR="007023B4" w:rsidRDefault="007023B4" w:rsidP="00CB4FD6">
      <w:pPr>
        <w:pStyle w:val="SingleTxt"/>
        <w:rPr>
          <w:rFonts w:hint="cs"/>
          <w:rtl/>
          <w:lang w:bidi="ar-EG"/>
        </w:rPr>
      </w:pPr>
      <w:r>
        <w:rPr>
          <w:rFonts w:hint="cs"/>
          <w:rtl/>
          <w:lang w:bidi="ar-EG"/>
        </w:rPr>
        <w:tab/>
      </w:r>
      <w:r w:rsidRPr="008E0833">
        <w:rPr>
          <w:rFonts w:hint="cs"/>
          <w:i/>
          <w:iCs/>
          <w:rtl/>
          <w:lang w:bidi="ar-EG"/>
        </w:rPr>
        <w:t xml:space="preserve">مرافقة </w:t>
      </w:r>
      <w:r>
        <w:rPr>
          <w:rFonts w:hint="cs"/>
          <w:i/>
          <w:iCs/>
          <w:rtl/>
          <w:lang w:bidi="ar-EG"/>
        </w:rPr>
        <w:t>قانونية</w:t>
      </w:r>
      <w:r w:rsidRPr="008E0833">
        <w:rPr>
          <w:rFonts w:hint="cs"/>
          <w:i/>
          <w:iCs/>
          <w:rtl/>
          <w:lang w:bidi="ar-EG"/>
        </w:rPr>
        <w:t>:</w:t>
      </w:r>
      <w:r>
        <w:rPr>
          <w:rFonts w:hint="cs"/>
          <w:rtl/>
          <w:lang w:bidi="ar-EG"/>
        </w:rPr>
        <w:t xml:space="preserve"> يتمثل هدف المراكز في كفالة الدفاع عن حقوق الضحية ومصالحه أثناء الإجراء القضائي فيما يتعلق بوقائع الاتجار الذي ذهب ضحيته، من خلال إعلامه واقتراح أن يستعين بمحام. ويمكن لمراكز الاستقبال فضلا عن ذلك الادعاء بالحق المدني سواء باسمها أو باسم الضحية. ولهذا القبول أهمية كبيرة في هذا المجال حيث يكون الضحايا أحيانا مترددين في الادعاء بالحق المدني، وبصفة خاصة خوفا من الانتقام.</w:t>
      </w:r>
    </w:p>
    <w:p w:rsidR="007023B4" w:rsidRDefault="007023B4" w:rsidP="00CB4FD6">
      <w:pPr>
        <w:pStyle w:val="SingleTxt"/>
        <w:rPr>
          <w:rFonts w:hint="cs"/>
          <w:rtl/>
          <w:lang w:bidi="ar-EG"/>
        </w:rPr>
      </w:pPr>
      <w:r>
        <w:rPr>
          <w:rFonts w:hint="cs"/>
          <w:rtl/>
          <w:lang w:bidi="ar-EG"/>
        </w:rPr>
        <w:tab/>
      </w:r>
      <w:r w:rsidRPr="008E0833">
        <w:rPr>
          <w:rFonts w:hint="cs"/>
          <w:i/>
          <w:iCs/>
          <w:rtl/>
          <w:lang w:bidi="ar-EG"/>
        </w:rPr>
        <w:t>الإيواء:</w:t>
      </w:r>
      <w:r>
        <w:rPr>
          <w:rFonts w:hint="cs"/>
          <w:rtl/>
          <w:lang w:bidi="ar-EG"/>
        </w:rPr>
        <w:t xml:space="preserve"> لدى المراكز أيضا دار للاستقبال حيث يمكن للضحايا إذا لزم الأمر أن يتوافر لهم مكان للإيواء، لفترة محددة. وبعد ذلك تكون المرافقة غير ثابتة.</w:t>
      </w:r>
    </w:p>
    <w:p w:rsidR="007023B4" w:rsidRPr="00812F37" w:rsidRDefault="007023B4" w:rsidP="007023B4">
      <w:pPr>
        <w:pStyle w:val="SingleTxt"/>
        <w:rPr>
          <w:rFonts w:hint="cs"/>
          <w:b/>
          <w:bCs/>
          <w:rtl/>
          <w:lang w:bidi="ar-EG"/>
        </w:rPr>
      </w:pPr>
      <w:r w:rsidRPr="00812F37">
        <w:rPr>
          <w:rFonts w:hint="cs"/>
          <w:b/>
          <w:bCs/>
          <w:rtl/>
          <w:lang w:bidi="ar-EG"/>
        </w:rPr>
        <w:tab/>
        <w:t xml:space="preserve">وفيما بين عامي 1999 و2005، تم قيام مراكز الاستقبال بمرافقة </w:t>
      </w:r>
      <w:r>
        <w:rPr>
          <w:rFonts w:hint="cs"/>
          <w:b/>
          <w:bCs/>
          <w:rtl/>
          <w:lang w:bidi="ar-EG"/>
        </w:rPr>
        <w:t xml:space="preserve">ما يقرب من </w:t>
      </w:r>
      <w:r w:rsidRPr="00812F37">
        <w:rPr>
          <w:rFonts w:hint="cs"/>
          <w:b/>
          <w:bCs/>
          <w:rtl/>
          <w:lang w:bidi="ar-EG"/>
        </w:rPr>
        <w:t>900 ضحية</w:t>
      </w:r>
      <w:r w:rsidRPr="00812F37">
        <w:rPr>
          <w:vertAlign w:val="superscript"/>
          <w:rtl/>
          <w:lang w:bidi="ar-EG"/>
        </w:rPr>
        <w:t>(</w:t>
      </w:r>
      <w:r w:rsidRPr="00812F37">
        <w:rPr>
          <w:rStyle w:val="FootnoteReference"/>
          <w:rtl/>
        </w:rPr>
        <w:footnoteReference w:id="27"/>
      </w:r>
      <w:r w:rsidRPr="00812F37">
        <w:rPr>
          <w:vertAlign w:val="superscript"/>
          <w:rtl/>
          <w:lang w:bidi="ar-EG"/>
        </w:rPr>
        <w:t>)</w:t>
      </w:r>
      <w:r w:rsidRPr="00812F37">
        <w:rPr>
          <w:rFonts w:hint="cs"/>
          <w:b/>
          <w:bCs/>
          <w:rtl/>
          <w:lang w:bidi="ar-EG"/>
        </w:rPr>
        <w:t>:</w:t>
      </w:r>
      <w:r w:rsidR="00CE107F">
        <w:rPr>
          <w:rFonts w:hint="cs"/>
          <w:b/>
          <w:bCs/>
          <w:rtl/>
          <w:lang w:bidi="ar-EG"/>
        </w:rPr>
        <w:t xml:space="preserve"> </w:t>
      </w:r>
      <w:r w:rsidRPr="00812F37">
        <w:rPr>
          <w:rFonts w:hint="cs"/>
          <w:b/>
          <w:bCs/>
          <w:rtl/>
          <w:lang w:bidi="ar-EG"/>
        </w:rPr>
        <w:t>ويمثل ضحايا الاستغلال الجنسي 34 في المائة، وضحايا الاستغلال الاقتصادي 18 في المائة، وضحايا التهريب 19 في المائة، والضحايا الذين كانوا أولا موضع تهريب ثم موضع استغلال 21 في المائة.</w:t>
      </w:r>
    </w:p>
    <w:p w:rsidR="007023B4" w:rsidRDefault="007023B4" w:rsidP="007023B4">
      <w:pPr>
        <w:pStyle w:val="SingleTxt"/>
        <w:rPr>
          <w:rFonts w:hint="cs"/>
          <w:rtl/>
          <w:lang w:bidi="ar-EG"/>
        </w:rPr>
      </w:pPr>
      <w:r>
        <w:rPr>
          <w:rFonts w:hint="cs"/>
          <w:rtl/>
          <w:lang w:bidi="ar-EG"/>
        </w:rPr>
        <w:tab/>
        <w:t xml:space="preserve">ولدى تعامل المراكز الثلاثة المعترف بها مع ضحايا قصر للاتجار بالبشر، فإنها تطلب مساندة المراكز المتخصصة في إيواء القصر. وتقدم هذه المراكز مساعدة نوعية وتتفق مع حالة القصر. وإلى جانب ذلك، ومع إقامة نظام للوصاية على القصر غير المصحوبين، فإن مهام المساعدة أصبحت الآن موزعة بين الوصي ومراكز الاستقبال المتخصصة. وفي الواقع، من الجدير بالذكر أنه منذ صدور القانون المؤرخ 24 كانون الأول/ديسمبر 2002، يعيّن وصي للقاصر الأجنبي غير المصحوب، ومهمة الوصي تمثيل القاصر في جميع الإجراءات القانونية وفي الإجراءات التي ينص عليها قانون الأجانب. وللوصي أيضا اختصاصات نوعية فيما يتعلق بحماية القاصر وفيما يتعلق بالبحث عن أفراد أسرته. وهو يمارس مهمته تحت مراقبة </w:t>
      </w:r>
      <w:r>
        <w:rPr>
          <w:rFonts w:hint="eastAsia"/>
          <w:rtl/>
          <w:lang w:bidi="ar-EG"/>
        </w:rPr>
        <w:t xml:space="preserve">”دائرة </w:t>
      </w:r>
      <w:r>
        <w:rPr>
          <w:rFonts w:hint="cs"/>
          <w:rtl/>
          <w:lang w:bidi="ar-EG"/>
        </w:rPr>
        <w:t>الوصاية“ (التي أصبحت سارية المفعول في أول أيار/مايو 2004)، والتي تقوم أساسا بالتحقق مما إذا كان القاصر مستوفيا للشروط القانونية للاستفادة من نظام الحماية، وإذا كان كذلك تقوم بتعيين وصي عليه.</w:t>
      </w:r>
    </w:p>
    <w:p w:rsidR="007023B4" w:rsidRPr="000F315E" w:rsidRDefault="007023B4" w:rsidP="007023B4">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lang w:bidi="ar-EG"/>
        </w:rPr>
      </w:pPr>
      <w:r>
        <w:rPr>
          <w:rFonts w:hint="cs"/>
          <w:rtl/>
          <w:lang w:bidi="ar-EG"/>
        </w:rPr>
        <w:tab/>
      </w:r>
      <w:r w:rsidRPr="000F315E">
        <w:rPr>
          <w:rFonts w:hint="cs"/>
          <w:rtl/>
          <w:lang w:bidi="ar-EG"/>
        </w:rPr>
        <w:t>2 -</w:t>
      </w:r>
      <w:r w:rsidRPr="000F315E">
        <w:rPr>
          <w:rFonts w:hint="cs"/>
          <w:rtl/>
          <w:lang w:bidi="ar-EG"/>
        </w:rPr>
        <w:tab/>
        <w:t>البغ</w:t>
      </w:r>
      <w:r>
        <w:rPr>
          <w:rFonts w:hint="cs"/>
          <w:rtl/>
          <w:lang w:bidi="ar-EG"/>
        </w:rPr>
        <w:t>ــ</w:t>
      </w:r>
      <w:r w:rsidRPr="000F315E">
        <w:rPr>
          <w:rFonts w:hint="cs"/>
          <w:rtl/>
          <w:lang w:bidi="ar-EG"/>
        </w:rPr>
        <w:t>اء</w:t>
      </w:r>
    </w:p>
    <w:p w:rsidR="007023B4" w:rsidRPr="00812F37" w:rsidRDefault="007023B4" w:rsidP="007023B4">
      <w:pPr>
        <w:pStyle w:val="SingleTxt"/>
        <w:rPr>
          <w:rFonts w:hint="cs"/>
          <w:b/>
          <w:bCs/>
          <w:rtl/>
          <w:lang w:bidi="ar-EG"/>
        </w:rPr>
      </w:pPr>
      <w:r w:rsidRPr="00812F37">
        <w:rPr>
          <w:rFonts w:hint="cs"/>
          <w:b/>
          <w:bCs/>
          <w:rtl/>
          <w:lang w:bidi="ar-EG"/>
        </w:rPr>
        <w:tab/>
        <w:t>لا يوجد تطور تشريعي فيما يتعلق بالبغاء منذ عام 2002. والنظام البلجيكي يقع دائما ضمن منظور الإلغاء، نظرا لأن من المحظور قيام أي شكل من أشكال استغلال البغاء أو الفجور (راجع المادة 380 وما يليها في القانون الجنائي).</w:t>
      </w:r>
    </w:p>
    <w:p w:rsidR="007023B4" w:rsidRPr="00812F37" w:rsidRDefault="007023B4" w:rsidP="007023B4">
      <w:pPr>
        <w:pStyle w:val="SingleTxt"/>
        <w:rPr>
          <w:rFonts w:hint="cs"/>
          <w:b/>
          <w:bCs/>
          <w:rtl/>
          <w:lang w:bidi="ar-EG"/>
        </w:rPr>
      </w:pPr>
      <w:r w:rsidRPr="00812F37">
        <w:rPr>
          <w:rFonts w:hint="cs"/>
          <w:b/>
          <w:bCs/>
          <w:rtl/>
          <w:lang w:bidi="ar-EG"/>
        </w:rPr>
        <w:tab/>
        <w:t xml:space="preserve">وقمع تجريم معاشرة البغى ليس من هدفه إضفاء الشرعية على استغلال من يعاشرها لها، بل هدفه عدم إعاقة تطور علاقة عاطفية مستقرة بواسطة بغي، وهو عامل قد يدفعها إلى ترك البغاء. وإذا قام المعاشر باستغلال البغي بعدم قيامه بالمساهمة في مصاريف المنزل والعيش </w:t>
      </w:r>
      <w:r w:rsidRPr="00812F37">
        <w:rPr>
          <w:rFonts w:hint="eastAsia"/>
          <w:b/>
          <w:bCs/>
          <w:rtl/>
          <w:lang w:bidi="ar-EG"/>
        </w:rPr>
        <w:t>”على نفقتها</w:t>
      </w:r>
      <w:r w:rsidRPr="00812F37">
        <w:rPr>
          <w:rFonts w:hint="cs"/>
          <w:b/>
          <w:bCs/>
          <w:rtl/>
          <w:lang w:bidi="ar-EG"/>
        </w:rPr>
        <w:t>“، فإنه يمكن لقاضي الموضوع اعتبار أنه يوجد استغلال للبغاء.</w:t>
      </w:r>
    </w:p>
    <w:p w:rsidR="007023B4" w:rsidRPr="00812F37" w:rsidRDefault="007023B4" w:rsidP="007023B4">
      <w:pPr>
        <w:pStyle w:val="H1"/>
        <w:spacing w:line="120" w:lineRule="exact"/>
        <w:rPr>
          <w:rFonts w:hint="cs"/>
          <w:sz w:val="10"/>
          <w:rtl/>
          <w:lang w:bidi="ar-EG"/>
        </w:rPr>
      </w:pPr>
    </w:p>
    <w:p w:rsidR="007023B4" w:rsidRDefault="007023B4" w:rsidP="007023B4">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t>ثانيا -</w:t>
      </w:r>
      <w:r>
        <w:rPr>
          <w:rFonts w:hint="cs"/>
          <w:rtl/>
          <w:lang w:bidi="ar-EG"/>
        </w:rPr>
        <w:tab/>
        <w:t>الكيانات الاتحادية</w:t>
      </w:r>
    </w:p>
    <w:p w:rsidR="007023B4" w:rsidRPr="00660A34" w:rsidRDefault="007023B4" w:rsidP="007023B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t>ألف -</w:t>
      </w:r>
      <w:r>
        <w:rPr>
          <w:rFonts w:hint="cs"/>
          <w:rtl/>
          <w:lang w:bidi="ar-EG"/>
        </w:rPr>
        <w:tab/>
        <w:t>إقليم والون</w:t>
      </w:r>
    </w:p>
    <w:p w:rsidR="007023B4" w:rsidRDefault="007023B4" w:rsidP="007023B4">
      <w:pPr>
        <w:pStyle w:val="SingleTxt"/>
        <w:rPr>
          <w:rFonts w:hint="cs"/>
          <w:rtl/>
          <w:lang w:bidi="ar-EG"/>
        </w:rPr>
      </w:pPr>
      <w:r>
        <w:rPr>
          <w:rFonts w:hint="cs"/>
          <w:rtl/>
          <w:lang w:bidi="ar-EG"/>
        </w:rPr>
        <w:tab/>
        <w:t>يتدخل إقليم والون بموجب اختصاصاته في أوساط البغاء والأعمال السرية في مجال الصحة والعمل الاجتماعي. ويدعم إقليم والون برنامجا للتطعيم ضد التهاب الكبد لدى النساء البغايا في أماكن عملهن ذاتها.</w:t>
      </w:r>
    </w:p>
    <w:p w:rsidR="007023B4" w:rsidRDefault="007023B4" w:rsidP="007023B4">
      <w:pPr>
        <w:pStyle w:val="SingleTxt"/>
        <w:rPr>
          <w:rFonts w:hint="cs"/>
          <w:rtl/>
          <w:lang w:bidi="ar-EG"/>
        </w:rPr>
      </w:pPr>
      <w:r>
        <w:rPr>
          <w:rFonts w:hint="cs"/>
          <w:rtl/>
          <w:lang w:bidi="ar-EG"/>
        </w:rPr>
        <w:tab/>
        <w:t>ويقيم إقليم والون أيضا مراكز اجتماعية تهدف إلى استقبال ومرافقة أي شخص يقيم في الإقليم، بمن في ذلك الذين يقيمون بصفة سرية. وسوف يستكمل هذا النظام قريبا بإنشاء مراكز صحية تهدف إلى كفالة الرعاية الأساسية لأي شخص، أيا ما كانت حالته الإدارية أو المالية.</w:t>
      </w:r>
    </w:p>
    <w:p w:rsidR="007023B4" w:rsidRDefault="007023B4" w:rsidP="007023B4">
      <w:pPr>
        <w:pStyle w:val="SingleTxt"/>
        <w:rPr>
          <w:rFonts w:hint="cs"/>
          <w:rtl/>
          <w:lang w:bidi="ar-EG"/>
        </w:rPr>
      </w:pPr>
      <w:r>
        <w:rPr>
          <w:rFonts w:hint="cs"/>
          <w:rtl/>
          <w:lang w:bidi="ar-EG"/>
        </w:rPr>
        <w:tab/>
        <w:t>وعلى صعيد اللجنة المجتمعية الفرنسية لإقليم بروكسل العاصمة، فإن المرسوم المتعلق بمراكز العمل الاجتماعي أتاح الموافقة على إنشاء دائرة نوعية وإعانتها من أجل رعاية البغايا. وتساعد هذه الدائرة ممارسي الدعارة من النساء والرجال الذين يودون أو لا يودون ترك وسط البغاء، كما تساعد ضحايا الاتجار بالبشر الذين يوجدون في هذا الوسط.</w:t>
      </w:r>
    </w:p>
    <w:p w:rsidR="007023B4" w:rsidRPr="00F71DC7" w:rsidRDefault="007023B4" w:rsidP="007023B4">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tl/>
          <w:lang w:bidi="ar-EG"/>
        </w:rPr>
        <w:tab/>
      </w:r>
      <w:r>
        <w:rPr>
          <w:rFonts w:hint="cs"/>
          <w:rtl/>
          <w:lang w:bidi="ar-EG"/>
        </w:rPr>
        <w:tab/>
        <w:t>المادة 7</w:t>
      </w:r>
    </w:p>
    <w:p w:rsidR="007023B4" w:rsidRDefault="007023B4" w:rsidP="007023B4">
      <w:pPr>
        <w:pStyle w:val="SingleTxt"/>
        <w:rPr>
          <w:rFonts w:hint="cs"/>
          <w:rtl/>
          <w:lang w:bidi="ar-EG"/>
        </w:rPr>
      </w:pPr>
      <w:r>
        <w:rPr>
          <w:rFonts w:hint="cs"/>
          <w:rtl/>
          <w:lang w:bidi="ar-EG"/>
        </w:rPr>
        <w:tab/>
        <w:t>في بلجيكا، كما في العديد من البلدان، فإن وجود المرأة في الحياة السياسية والعامة أدنى من وجود الرجل بصفة عامة. ومنذ شهر كانون الثاني/يناير 2002، يضمن الدستور البلجيكي رسميا المساواة بين المرأة والرجل (المادة 10)، ويلزم المشرع باتخاذ تدابير تهدف إلى كفالة هذه المساواة، وذلك بصفة خاصة بتشجيع وصول الرجل والمرأة على قدم المساواة إلى المناصب الانتخابية والعامة (المادة 11 مكررا).</w:t>
      </w:r>
    </w:p>
    <w:p w:rsidR="007023B4" w:rsidRPr="00B029C8" w:rsidRDefault="007023B4" w:rsidP="007023B4">
      <w:pPr>
        <w:pStyle w:val="H1"/>
        <w:spacing w:line="120" w:lineRule="exact"/>
        <w:rPr>
          <w:rFonts w:hint="cs"/>
          <w:sz w:val="10"/>
          <w:rtl/>
          <w:lang w:bidi="ar-EG"/>
        </w:rPr>
      </w:pPr>
    </w:p>
    <w:p w:rsidR="007023B4" w:rsidRDefault="007023B4" w:rsidP="007023B4">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t>أولا -</w:t>
      </w:r>
      <w:r>
        <w:rPr>
          <w:rtl/>
          <w:lang w:bidi="ar-EG"/>
        </w:rPr>
        <w:tab/>
      </w:r>
      <w:r>
        <w:rPr>
          <w:rFonts w:hint="cs"/>
          <w:rtl/>
          <w:lang w:bidi="ar-EG"/>
        </w:rPr>
        <w:t>على المستوى الاتحادي</w:t>
      </w:r>
    </w:p>
    <w:p w:rsidR="007023B4" w:rsidRPr="00F71DC7" w:rsidRDefault="007023B4" w:rsidP="007023B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t>1 -</w:t>
      </w:r>
      <w:r>
        <w:rPr>
          <w:rFonts w:hint="cs"/>
          <w:rtl/>
          <w:lang w:bidi="ar-EG"/>
        </w:rPr>
        <w:tab/>
        <w:t>تحقيق المساواة على القوائم الانتخابية ونتائج ذلك في الانتخابات الاتحادية والأوروبية</w:t>
      </w:r>
    </w:p>
    <w:p w:rsidR="007023B4" w:rsidRDefault="007023B4" w:rsidP="007023B4">
      <w:pPr>
        <w:pStyle w:val="SingleTxt"/>
        <w:rPr>
          <w:rFonts w:hint="cs"/>
          <w:rtl/>
          <w:lang w:bidi="ar-EG"/>
        </w:rPr>
      </w:pPr>
      <w:r>
        <w:rPr>
          <w:rFonts w:hint="cs"/>
          <w:rtl/>
          <w:lang w:bidi="ar-EG"/>
        </w:rPr>
        <w:tab/>
        <w:t>في أعقاب تعديل الدستور، تم اتخاذ العديد من القوانين على المستوى الاتحادي من أجل تعزيز وجود المرأة في المجالس التشريعية الاتحادية والإقليمية والأوروبية</w:t>
      </w:r>
      <w:r w:rsidRPr="00F71DC7">
        <w:rPr>
          <w:vertAlign w:val="superscript"/>
          <w:rtl/>
          <w:lang w:bidi="ar-EG"/>
        </w:rPr>
        <w:t>(</w:t>
      </w:r>
      <w:r>
        <w:rPr>
          <w:rStyle w:val="FootnoteReference"/>
          <w:rtl/>
        </w:rPr>
        <w:footnoteReference w:id="28"/>
      </w:r>
      <w:r w:rsidRPr="00F71DC7">
        <w:rPr>
          <w:vertAlign w:val="superscript"/>
          <w:rtl/>
          <w:lang w:bidi="ar-EG"/>
        </w:rPr>
        <w:t>)</w:t>
      </w:r>
      <w:r>
        <w:rPr>
          <w:rFonts w:hint="cs"/>
          <w:rtl/>
          <w:lang w:bidi="ar-EG"/>
        </w:rPr>
        <w:t>. وهذه القوانين تمنع الأحزاب السياسية بالتالي من اقتراح قوائم انتخابية يكون فيها الفرق بين عدد المرشحين (الأصليين والاحتياطيين) لكل جنس أكثر من واحد. وتنص هذه القوانين إلى جانب ذلك على أن يكون أول مرشحين اثنين في كل من القوائم من جنس مختلف. وأتاح ترتيب مؤقت مع ذلك ألا يكون المرشحون الثلاثة الأوائل لكل قائمة من نفس الجنس لدى أول انتخابات تعقب سريان القوانين المختلفة (الانتخابات التشريعية لعام 2003 - والانتخابات الأوروبية والإقليمية لعام 2004). وعدم احترام هذه الأحكام من جانب الأحزاب السياسة يؤدي إلى عدم صحة القوائم المقدمة.</w:t>
      </w:r>
    </w:p>
    <w:p w:rsidR="007023B4" w:rsidRDefault="007023B4" w:rsidP="007023B4">
      <w:pPr>
        <w:pStyle w:val="SingleTxt"/>
        <w:rPr>
          <w:rFonts w:hint="cs"/>
          <w:rtl/>
          <w:lang w:bidi="ar-EG"/>
        </w:rPr>
      </w:pPr>
      <w:r>
        <w:rPr>
          <w:rFonts w:hint="cs"/>
          <w:rtl/>
          <w:lang w:bidi="ar-EG"/>
        </w:rPr>
        <w:tab/>
        <w:t>وتم تطبيق المساواة في القوائم الانتخابية للمرة الأولى في الانتخابات التشريعية التي جرت في 18 أيار/مايو 2003. وفي أعقاب هذه الانتخابات، ارتفعت النسبة المئوية للمنتخبات إلى 34.7 في المائة على مستوى مجلس النواب (19.36 في المائة في أعقاب انتخابات عام 1999) وإلى 37.5 في المائة في مجلس الشيوخ (30 في المائة في أعقاب انتخابات عام 1999). ووصلت نسبة النساء المنتخبات في الانتخابات الأوروبية التي جرت في 13 حزيران/يونيه 2004 إلى 29.17 في المائة، وهي نسبة أقل قليلا من النسبة في أعقاب انتخابات عام 1999 (32 في المائة).</w:t>
      </w:r>
    </w:p>
    <w:p w:rsidR="007023B4" w:rsidRDefault="007023B4" w:rsidP="007023B4">
      <w:pPr>
        <w:pStyle w:val="SingleTxt"/>
        <w:rPr>
          <w:rFonts w:hint="cs"/>
          <w:rtl/>
          <w:lang w:bidi="ar-EG"/>
        </w:rPr>
      </w:pPr>
      <w:r>
        <w:rPr>
          <w:rFonts w:hint="cs"/>
          <w:rtl/>
          <w:lang w:bidi="ar-EG"/>
        </w:rPr>
        <w:tab/>
        <w:t>ويبلغ عدد النساء حاليا 28 من بين 71 من الشيوخ في مجلس الشيوخ، أي بنسبة 39.4 في المائة، وبلغ العدد 53 امرأة من بين 150 من النواب في مجلس النواب، أي بنسبة 35.3 في المائة، و 9 نساء من بين 24 من النواب في البرلمان الأوروبي (37.5 في المائة).</w:t>
      </w:r>
    </w:p>
    <w:p w:rsidR="007023B4" w:rsidRDefault="007023B4" w:rsidP="007023B4">
      <w:pPr>
        <w:pStyle w:val="SingleTxt"/>
        <w:rPr>
          <w:rFonts w:hint="cs"/>
          <w:rtl/>
          <w:lang w:bidi="ar-EG"/>
        </w:rPr>
      </w:pPr>
      <w:r>
        <w:rPr>
          <w:rFonts w:hint="cs"/>
          <w:rtl/>
          <w:lang w:bidi="ar-EG"/>
        </w:rPr>
        <w:tab/>
        <w:t xml:space="preserve">وبصفة عامة، يلاحظ تحسن صاف في وجود المرأة في المجالس التشريعية في أعقاب تطبيق </w:t>
      </w:r>
      <w:r>
        <w:rPr>
          <w:rFonts w:hint="eastAsia"/>
          <w:rtl/>
          <w:lang w:bidi="ar-EG"/>
        </w:rPr>
        <w:t>”قوانين المساواة</w:t>
      </w:r>
      <w:r>
        <w:rPr>
          <w:rFonts w:hint="cs"/>
          <w:rtl/>
          <w:lang w:bidi="ar-EG"/>
        </w:rPr>
        <w:t>“. وجدير بالذكر أن التعديلات الأخرى التي أجريت على القانون الانتخابي (وبخاصة توسيع دوائر انتخابية معنية أو تحديد عتبة للأهلية) قد أسهمت في زيادة عدد النساء في المجالس.</w:t>
      </w:r>
    </w:p>
    <w:p w:rsidR="007023B4" w:rsidRPr="00370561" w:rsidRDefault="007023B4" w:rsidP="007023B4">
      <w:pPr>
        <w:pStyle w:val="H23"/>
        <w:spacing w:line="120" w:lineRule="exact"/>
        <w:rPr>
          <w:rFonts w:hint="cs"/>
          <w:sz w:val="10"/>
          <w:rtl/>
          <w:lang w:bidi="ar-EG"/>
        </w:rPr>
      </w:pPr>
    </w:p>
    <w:p w:rsidR="007023B4" w:rsidRPr="00BE32A6" w:rsidRDefault="007023B4" w:rsidP="007023B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t>2 -</w:t>
      </w:r>
      <w:r>
        <w:rPr>
          <w:rFonts w:hint="cs"/>
          <w:rtl/>
          <w:lang w:bidi="ar-EG"/>
        </w:rPr>
        <w:tab/>
        <w:t>تحقيق الاختلاط في الأجهزة التنفيذية</w:t>
      </w:r>
    </w:p>
    <w:p w:rsidR="007023B4" w:rsidRDefault="007023B4" w:rsidP="007023B4">
      <w:pPr>
        <w:pStyle w:val="SingleTxt"/>
        <w:rPr>
          <w:rFonts w:hint="cs"/>
          <w:rtl/>
          <w:lang w:bidi="ar-EG"/>
        </w:rPr>
      </w:pPr>
      <w:r>
        <w:rPr>
          <w:rFonts w:hint="cs"/>
          <w:rtl/>
          <w:lang w:bidi="ar-EG"/>
        </w:rPr>
        <w:tab/>
        <w:t>في أعقاب تعديل الدستور (المادة 11 مكررا) وبالتوازي مع تحسين التدابير الرامية إلى تعزيز وجود النساء في المجالس، اتخذ المشرع تدابير ترمي إلى ضمان وجود أشخاص من جنس مختلف في جميع حكومات البلد</w:t>
      </w:r>
      <w:r w:rsidRPr="004069B2">
        <w:rPr>
          <w:vertAlign w:val="superscript"/>
          <w:rtl/>
          <w:lang w:bidi="ar-EG"/>
        </w:rPr>
        <w:t>(</w:t>
      </w:r>
      <w:r>
        <w:rPr>
          <w:rStyle w:val="FootnoteReference"/>
          <w:rtl/>
        </w:rPr>
        <w:footnoteReference w:id="29"/>
      </w:r>
      <w:r w:rsidRPr="004069B2">
        <w:rPr>
          <w:vertAlign w:val="superscript"/>
          <w:rtl/>
          <w:lang w:bidi="ar-EG"/>
        </w:rPr>
        <w:t>)</w:t>
      </w:r>
      <w:r>
        <w:rPr>
          <w:rFonts w:hint="cs"/>
          <w:rtl/>
          <w:lang w:bidi="ar-EG"/>
        </w:rPr>
        <w:t>.</w:t>
      </w:r>
    </w:p>
    <w:p w:rsidR="007023B4" w:rsidRDefault="007023B4" w:rsidP="007023B4">
      <w:pPr>
        <w:pStyle w:val="SingleTxt"/>
        <w:rPr>
          <w:rFonts w:hint="cs"/>
          <w:rtl/>
          <w:lang w:bidi="ar-EG"/>
        </w:rPr>
      </w:pPr>
      <w:r>
        <w:rPr>
          <w:rFonts w:hint="cs"/>
          <w:rtl/>
          <w:lang w:bidi="ar-EG"/>
        </w:rPr>
        <w:tab/>
        <w:t>وعلى المستوى الاتحادي، فإن الدستور هو الذي يضمن مباشرة وجود أعضاء مختلفين في الجنس داخل الحكومة. ويبلغ العدد حاليا 5 نساء من بين 21 عضوا في الحكومة الاتحادية، أي بنسبة 23.8 في المائة وتشغل ثلاث نساء في هذه الحكومة منصب الوزير واثنتان منصب وزير دولة.</w:t>
      </w:r>
    </w:p>
    <w:p w:rsidR="007023B4" w:rsidRPr="00370561" w:rsidRDefault="007023B4" w:rsidP="007023B4">
      <w:pPr>
        <w:pStyle w:val="H23"/>
        <w:keepNext w:val="0"/>
        <w:keepLines w:val="0"/>
        <w:spacing w:line="120" w:lineRule="exact"/>
        <w:rPr>
          <w:rFonts w:hint="cs"/>
          <w:sz w:val="10"/>
          <w:rtl/>
          <w:lang w:bidi="ar-EG"/>
        </w:rPr>
      </w:pPr>
    </w:p>
    <w:p w:rsidR="007023B4" w:rsidRPr="003E1F01" w:rsidRDefault="007023B4" w:rsidP="007023B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Pr="003E1F01">
        <w:rPr>
          <w:rFonts w:hint="cs"/>
          <w:rtl/>
          <w:lang w:bidi="ar-EG"/>
        </w:rPr>
        <w:t>3 -</w:t>
      </w:r>
      <w:r w:rsidRPr="003E1F01">
        <w:rPr>
          <w:rFonts w:hint="cs"/>
          <w:rtl/>
          <w:lang w:bidi="ar-EG"/>
        </w:rPr>
        <w:tab/>
        <w:t xml:space="preserve">التشريع الاتحادي المتعلق </w:t>
      </w:r>
      <w:r>
        <w:rPr>
          <w:rFonts w:hint="cs"/>
          <w:rtl/>
          <w:lang w:bidi="ar-EG"/>
        </w:rPr>
        <w:t xml:space="preserve">بوجود </w:t>
      </w:r>
      <w:r w:rsidRPr="003E1F01">
        <w:rPr>
          <w:rFonts w:hint="cs"/>
          <w:rtl/>
          <w:lang w:bidi="ar-EG"/>
        </w:rPr>
        <w:t xml:space="preserve">المرأة في </w:t>
      </w:r>
      <w:r>
        <w:rPr>
          <w:rFonts w:hint="cs"/>
          <w:rtl/>
          <w:lang w:bidi="ar-EG"/>
        </w:rPr>
        <w:t>الهيئات الاستشارية</w:t>
      </w:r>
    </w:p>
    <w:p w:rsidR="007023B4" w:rsidRDefault="007023B4" w:rsidP="007023B4">
      <w:pPr>
        <w:pStyle w:val="SingleTxt"/>
        <w:rPr>
          <w:rFonts w:hint="cs"/>
          <w:rtl/>
          <w:lang w:bidi="ar-EG"/>
        </w:rPr>
      </w:pPr>
      <w:r>
        <w:rPr>
          <w:rFonts w:hint="cs"/>
          <w:rtl/>
          <w:lang w:bidi="ar-EG"/>
        </w:rPr>
        <w:tab/>
        <w:t>القانون المؤرخ 3 أيار/مايو 2003، الذي يهدف إلى تعزيز الوجود المتوازن للرجل والمرأة في الأجهزة المؤهلة لتقديم المشورة</w:t>
      </w:r>
      <w:r w:rsidRPr="004069B2">
        <w:rPr>
          <w:vertAlign w:val="superscript"/>
          <w:rtl/>
          <w:lang w:bidi="ar-EG"/>
        </w:rPr>
        <w:t>(</w:t>
      </w:r>
      <w:r>
        <w:rPr>
          <w:rStyle w:val="FootnoteReference"/>
          <w:rtl/>
        </w:rPr>
        <w:footnoteReference w:id="30"/>
      </w:r>
      <w:r w:rsidRPr="004069B2">
        <w:rPr>
          <w:vertAlign w:val="superscript"/>
          <w:rtl/>
          <w:lang w:bidi="ar-EG"/>
        </w:rPr>
        <w:t>)</w:t>
      </w:r>
      <w:r>
        <w:rPr>
          <w:rFonts w:hint="cs"/>
          <w:rtl/>
          <w:lang w:bidi="ar-EG"/>
        </w:rPr>
        <w:t>، عدّل مرة أخرى القانون المؤرخ 20 تموز/يوليه 1990 عن طريق خلق أدوات تهدف إلى تحسين تطبيق القانون:</w:t>
      </w:r>
    </w:p>
    <w:p w:rsidR="007023B4" w:rsidRDefault="007023B4" w:rsidP="00CB4FD6">
      <w:pPr>
        <w:pStyle w:val="SingleTxt"/>
        <w:rPr>
          <w:rFonts w:hint="cs"/>
          <w:rtl/>
          <w:lang w:bidi="ar-EG"/>
        </w:rPr>
      </w:pPr>
      <w:r>
        <w:rPr>
          <w:rtl/>
          <w:lang w:bidi="ar-EG"/>
        </w:rPr>
        <w:tab/>
      </w:r>
      <w:r>
        <w:rPr>
          <w:rFonts w:hint="cs"/>
          <w:rtl/>
          <w:lang w:bidi="ar-EG"/>
        </w:rPr>
        <w:t>وضع قائمة رسمية بالأجهزة الداخلة في مجال تطبيق القانون؛</w:t>
      </w:r>
    </w:p>
    <w:p w:rsidR="007023B4" w:rsidRDefault="00CB4FD6" w:rsidP="00CB4FD6">
      <w:pPr>
        <w:pStyle w:val="SingleTxt"/>
        <w:rPr>
          <w:rFonts w:hint="cs"/>
          <w:rtl/>
          <w:lang w:bidi="ar-EG"/>
        </w:rPr>
      </w:pPr>
      <w:r>
        <w:rPr>
          <w:rFonts w:hint="cs"/>
          <w:rtl/>
          <w:lang w:bidi="ar-EG"/>
        </w:rPr>
        <w:tab/>
      </w:r>
      <w:r w:rsidR="007023B4">
        <w:rPr>
          <w:rFonts w:hint="cs"/>
          <w:rtl/>
          <w:lang w:bidi="ar-EG"/>
        </w:rPr>
        <w:t>إنشاء لجنة مهمتها إسداء مشورة عامة بشأن السياسة الرامية إلى تعزيز الوجود المتساوي بين الرجل والمرأة داخل الأجهزة الاستشارية ومشورة تتعلق بتطبيق الأحكام التشريعية الواردة في القانون الصادر في 20 تموز/يوليه 1990.</w:t>
      </w:r>
    </w:p>
    <w:p w:rsidR="007023B4" w:rsidRDefault="007023B4" w:rsidP="007023B4">
      <w:pPr>
        <w:pStyle w:val="SingleTxt"/>
        <w:rPr>
          <w:rFonts w:hint="cs"/>
          <w:rtl/>
          <w:lang w:bidi="ar-EG"/>
        </w:rPr>
      </w:pPr>
      <w:r>
        <w:rPr>
          <w:rFonts w:hint="cs"/>
          <w:rtl/>
          <w:lang w:bidi="ar-EG"/>
        </w:rPr>
        <w:tab/>
        <w:t>يجري حاليا تطبيق هذا التشريع (إنشاء اللجنة ووضع القائمة الرسمية) على الصعيد الاتحادي.</w:t>
      </w:r>
    </w:p>
    <w:p w:rsidR="007023B4" w:rsidRPr="00967A22" w:rsidRDefault="007023B4" w:rsidP="007023B4">
      <w:pPr>
        <w:pStyle w:val="H23"/>
        <w:spacing w:line="120" w:lineRule="exact"/>
        <w:rPr>
          <w:rFonts w:hint="cs"/>
          <w:sz w:val="10"/>
          <w:rtl/>
          <w:lang w:bidi="ar-EG"/>
        </w:rPr>
      </w:pPr>
    </w:p>
    <w:p w:rsidR="007023B4" w:rsidRPr="003E1F01" w:rsidRDefault="007023B4" w:rsidP="007023B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Pr="003E1F01">
        <w:rPr>
          <w:rFonts w:hint="cs"/>
          <w:rtl/>
          <w:lang w:bidi="ar-EG"/>
        </w:rPr>
        <w:t>4 -</w:t>
      </w:r>
      <w:r w:rsidRPr="003E1F01">
        <w:rPr>
          <w:rFonts w:hint="cs"/>
          <w:rtl/>
          <w:lang w:bidi="ar-EG"/>
        </w:rPr>
        <w:tab/>
      </w:r>
      <w:r>
        <w:rPr>
          <w:rFonts w:hint="cs"/>
          <w:rtl/>
          <w:lang w:bidi="ar-EG"/>
        </w:rPr>
        <w:t xml:space="preserve">وجود </w:t>
      </w:r>
      <w:r w:rsidRPr="003E1F01">
        <w:rPr>
          <w:rFonts w:hint="cs"/>
          <w:rtl/>
          <w:lang w:bidi="ar-EG"/>
        </w:rPr>
        <w:t>المرأة داخل الإدارة الاتحادية</w:t>
      </w:r>
    </w:p>
    <w:p w:rsidR="007023B4" w:rsidRDefault="007023B4" w:rsidP="007023B4">
      <w:pPr>
        <w:pStyle w:val="SingleTxt"/>
        <w:rPr>
          <w:rFonts w:hint="cs"/>
          <w:rtl/>
          <w:lang w:bidi="ar-EG"/>
        </w:rPr>
      </w:pPr>
      <w:r>
        <w:rPr>
          <w:rFonts w:hint="cs"/>
          <w:rtl/>
          <w:lang w:bidi="ar-EG"/>
        </w:rPr>
        <w:tab/>
        <w:t>يتم تنظيم الإدارة الاتحادية البلجيكية على أساس أربعة مستويات تقابل درجات الكفاءة المختلفة:</w:t>
      </w:r>
    </w:p>
    <w:p w:rsidR="007023B4" w:rsidRDefault="007023B4" w:rsidP="00CB4FD6">
      <w:pPr>
        <w:pStyle w:val="SingleTxt"/>
        <w:rPr>
          <w:rFonts w:hint="cs"/>
          <w:rtl/>
          <w:lang w:bidi="ar-EG"/>
        </w:rPr>
      </w:pPr>
      <w:r>
        <w:rPr>
          <w:rFonts w:hint="cs"/>
          <w:rtl/>
          <w:lang w:bidi="ar-EG"/>
        </w:rPr>
        <w:tab/>
        <w:t>المستوى ألف: الموظفون الذين يحملون دبلوما جامعيا أو دبلوم دراسات عليا ذات طابع طويل؛</w:t>
      </w:r>
    </w:p>
    <w:p w:rsidR="007023B4" w:rsidRDefault="007023B4" w:rsidP="00CB4FD6">
      <w:pPr>
        <w:pStyle w:val="SingleTxt"/>
        <w:rPr>
          <w:rFonts w:hint="cs"/>
          <w:rtl/>
          <w:lang w:bidi="ar-EG"/>
        </w:rPr>
      </w:pPr>
      <w:r>
        <w:rPr>
          <w:rFonts w:hint="cs"/>
          <w:rtl/>
          <w:lang w:bidi="ar-EG"/>
        </w:rPr>
        <w:tab/>
        <w:t>المستوى باء: الموظفون الحاصلون على دبلوم للتعليم العالي ذي طابع قصير؛</w:t>
      </w:r>
    </w:p>
    <w:p w:rsidR="007023B4" w:rsidRDefault="007023B4" w:rsidP="00CB4FD6">
      <w:pPr>
        <w:pStyle w:val="SingleTxt"/>
        <w:rPr>
          <w:rFonts w:hint="cs"/>
          <w:rtl/>
          <w:lang w:bidi="ar-EG"/>
        </w:rPr>
      </w:pPr>
      <w:r>
        <w:rPr>
          <w:rFonts w:hint="cs"/>
          <w:rtl/>
          <w:lang w:bidi="ar-EG"/>
        </w:rPr>
        <w:tab/>
        <w:t>المستوى جيم: الموظفون الحاصلون على دبلوم التعليم الثانوي؛</w:t>
      </w:r>
    </w:p>
    <w:p w:rsidR="007023B4" w:rsidRDefault="007023B4" w:rsidP="00CB4FD6">
      <w:pPr>
        <w:pStyle w:val="SingleTxt"/>
        <w:rPr>
          <w:rFonts w:hint="cs"/>
          <w:rtl/>
          <w:lang w:bidi="ar-EG"/>
        </w:rPr>
      </w:pPr>
      <w:r>
        <w:rPr>
          <w:rFonts w:hint="cs"/>
          <w:rtl/>
          <w:lang w:bidi="ar-EG"/>
        </w:rPr>
        <w:tab/>
        <w:t>المستوى دال: الموظفون الذين أنهوا الدورة الأولى للدراسات الثانوية دون اقتضاء الحصول على دبلوم.</w:t>
      </w:r>
    </w:p>
    <w:p w:rsidR="007023B4" w:rsidRDefault="007023B4" w:rsidP="007023B4">
      <w:pPr>
        <w:pStyle w:val="SingleTxt"/>
        <w:rPr>
          <w:rFonts w:hint="cs"/>
          <w:rtl/>
          <w:lang w:bidi="ar-EG"/>
        </w:rPr>
      </w:pPr>
      <w:r>
        <w:rPr>
          <w:rFonts w:hint="cs"/>
          <w:rtl/>
          <w:lang w:bidi="ar-EG"/>
        </w:rPr>
        <w:tab/>
        <w:t xml:space="preserve">وفي عام 2006، كانت نسبة النساء الشاغلات لمنصب من المستوى ألف 37.2 في المائة، والشاغلات لمنصب من المستوى باء 45.8 في المائة، والشاغلات لمنصب من المستوى جيم 59.5 في المائة، والشاغلات لمنصب من المستوى دال 51.4 في المائة. ويتحدد توزيع الرجال والنساء في المجموع في الإدارة الاتحادية بـ 50.1 في المائة للرجال و49.9 في المائة للنساء. وتشير هذه الأرقام إلى أن نسبة النساء تقل أولا بأول بقدر علوهن في السلم الوظيفي الإداري. ومن الواضح أن النساء يشكلن بوضوح أقلية عند المستوى ألف، وأقلية عند المستوى باء، في حين أنهن يشكلن غالبية عند المستويين جيم ودال في الإدارة الاتحادية. وهذا الاتجاه ليس خطيا بالكامل، نظرا لوجود أكثرية نسبية من النساء عند المستوى جيم تزيد على وجودهن عند المستوى دال. وبالنسبة </w:t>
      </w:r>
      <w:r>
        <w:rPr>
          <w:rFonts w:hint="eastAsia"/>
          <w:rtl/>
          <w:lang w:bidi="ar-EG"/>
        </w:rPr>
        <w:t>”لوظائف الإدارة والملاك</w:t>
      </w:r>
      <w:r>
        <w:rPr>
          <w:rFonts w:hint="cs"/>
          <w:rtl/>
          <w:lang w:bidi="ar-EG"/>
        </w:rPr>
        <w:t>“</w:t>
      </w:r>
      <w:r w:rsidRPr="00ED2CA7">
        <w:rPr>
          <w:vertAlign w:val="superscript"/>
          <w:rtl/>
          <w:lang w:bidi="ar-EG"/>
        </w:rPr>
        <w:t>(</w:t>
      </w:r>
      <w:r>
        <w:rPr>
          <w:rStyle w:val="FootnoteReference"/>
          <w:rtl/>
        </w:rPr>
        <w:footnoteReference w:id="31"/>
      </w:r>
      <w:r w:rsidRPr="00ED2CA7">
        <w:rPr>
          <w:vertAlign w:val="superscript"/>
          <w:rtl/>
          <w:lang w:bidi="ar-EG"/>
        </w:rPr>
        <w:t>)</w:t>
      </w:r>
      <w:r>
        <w:rPr>
          <w:rFonts w:hint="cs"/>
          <w:rtl/>
          <w:lang w:bidi="ar-EG"/>
        </w:rPr>
        <w:t>، وهي الوظائف ذات المستوى الأعلى في الإدارة الاتحادية البلجيكية، تشغل النساء 23 وظيفة من بين الوظائف المعنية وعددها 184 (12.5 في المائة).</w:t>
      </w:r>
    </w:p>
    <w:p w:rsidR="007023B4" w:rsidRDefault="007023B4" w:rsidP="007023B4">
      <w:pPr>
        <w:pStyle w:val="SingleTxt"/>
        <w:rPr>
          <w:rFonts w:hint="cs"/>
          <w:rtl/>
          <w:lang w:bidi="ar-EG"/>
        </w:rPr>
      </w:pPr>
      <w:r>
        <w:rPr>
          <w:rFonts w:hint="cs"/>
          <w:rtl/>
          <w:lang w:bidi="ar-EG"/>
        </w:rPr>
        <w:tab/>
        <w:t>وتود التدابير المتخذة للنهوض بوجود المرأة وتعزيزه في مختلف مستويات الإدارة الاتحادية البلجيكية في الجزء المتعلق في هذا التقرير بالمادة 2 من الاتفاقية.</w:t>
      </w:r>
    </w:p>
    <w:p w:rsidR="007023B4" w:rsidRPr="00967A22" w:rsidRDefault="007023B4" w:rsidP="007023B4">
      <w:pPr>
        <w:pStyle w:val="SingleTxt"/>
        <w:spacing w:after="0" w:line="120" w:lineRule="exact"/>
        <w:rPr>
          <w:rFonts w:hint="cs"/>
          <w:sz w:val="10"/>
          <w:rtl/>
          <w:lang w:bidi="ar-EG"/>
        </w:rPr>
      </w:pPr>
    </w:p>
    <w:p w:rsidR="007023B4" w:rsidRPr="003E1F01" w:rsidRDefault="007023B4" w:rsidP="007023B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Pr="003E1F01">
        <w:rPr>
          <w:rFonts w:hint="cs"/>
          <w:rtl/>
          <w:lang w:bidi="ar-EG"/>
        </w:rPr>
        <w:t>5 -</w:t>
      </w:r>
      <w:r w:rsidRPr="003E1F01">
        <w:rPr>
          <w:rFonts w:hint="cs"/>
          <w:rtl/>
          <w:lang w:bidi="ar-EG"/>
        </w:rPr>
        <w:tab/>
        <w:t>التوعية والبحث المتعلق بموضوع مشاركة المرأة في اتخاذ القرار</w:t>
      </w:r>
    </w:p>
    <w:p w:rsidR="007023B4" w:rsidRDefault="007023B4" w:rsidP="007023B4">
      <w:pPr>
        <w:pStyle w:val="SingleTxt"/>
        <w:rPr>
          <w:rFonts w:hint="cs"/>
          <w:rtl/>
          <w:lang w:bidi="ar-EG"/>
        </w:rPr>
      </w:pPr>
      <w:r>
        <w:rPr>
          <w:rFonts w:hint="cs"/>
          <w:rtl/>
          <w:lang w:bidi="ar-EG"/>
        </w:rPr>
        <w:tab/>
        <w:t xml:space="preserve">في أعقاب تطبيق </w:t>
      </w:r>
      <w:r>
        <w:rPr>
          <w:rFonts w:hint="eastAsia"/>
          <w:rtl/>
          <w:lang w:bidi="ar-EG"/>
        </w:rPr>
        <w:t>”قوانين المساواة</w:t>
      </w:r>
      <w:r>
        <w:rPr>
          <w:rFonts w:hint="cs"/>
          <w:rtl/>
          <w:lang w:bidi="ar-EG"/>
        </w:rPr>
        <w:t>“ في الانتخابات التشريعية التي جرت في 18</w:t>
      </w:r>
      <w:r>
        <w:rPr>
          <w:rFonts w:hint="eastAsia"/>
          <w:rtl/>
          <w:lang w:bidi="ar-EG"/>
        </w:rPr>
        <w:t> </w:t>
      </w:r>
      <w:r>
        <w:rPr>
          <w:rFonts w:hint="cs"/>
          <w:rtl/>
          <w:lang w:bidi="ar-EG"/>
        </w:rPr>
        <w:t>أيار/مايو 2003، ولدى إجراء الانتخابات الإقليمية في 13 حزيران/يونيه 2004، طلب المعهد المعني بالمساواة بين المرأة والرجل من جماعات مختلفة للبحوث الجامعية تنفيذ 3</w:t>
      </w:r>
      <w:r>
        <w:rPr>
          <w:rFonts w:hint="eastAsia"/>
          <w:rtl/>
          <w:lang w:bidi="ar-EG"/>
        </w:rPr>
        <w:t> </w:t>
      </w:r>
      <w:r>
        <w:rPr>
          <w:rFonts w:hint="cs"/>
          <w:rtl/>
          <w:lang w:bidi="ar-EG"/>
        </w:rPr>
        <w:t>دراسات تتعلق بموضوع مشاركة المرأة في الحياة السياسية في بلجيكا.</w:t>
      </w:r>
    </w:p>
    <w:p w:rsidR="007023B4" w:rsidRDefault="007023B4" w:rsidP="007023B4">
      <w:pPr>
        <w:pStyle w:val="SingleTxt"/>
        <w:rPr>
          <w:rFonts w:hint="cs"/>
          <w:rtl/>
          <w:lang w:bidi="ar-EG"/>
        </w:rPr>
      </w:pPr>
      <w:r>
        <w:rPr>
          <w:rFonts w:hint="cs"/>
          <w:rtl/>
          <w:lang w:bidi="ar-EG"/>
        </w:rPr>
        <w:tab/>
        <w:t xml:space="preserve">وهذه الدراسات الثلاث، التي نشرت في شهر كانون الأول/ديسمبر 2006، تدور على التوالي حول </w:t>
      </w:r>
      <w:r w:rsidRPr="00967A22">
        <w:rPr>
          <w:rFonts w:hint="cs"/>
          <w:i/>
          <w:iCs/>
          <w:rtl/>
          <w:lang w:bidi="ar-EG"/>
        </w:rPr>
        <w:t>مشاركة الرجل والمرأة في السياسة البلجيكية، ومسارات المرأة في السياسة في بلجيكا، وإدراج البعد الجنساني في الأحزاب السياسية البلجيكية</w:t>
      </w:r>
      <w:r>
        <w:rPr>
          <w:rFonts w:hint="cs"/>
          <w:rtl/>
          <w:lang w:bidi="ar-EG"/>
        </w:rPr>
        <w:t>.</w:t>
      </w:r>
    </w:p>
    <w:p w:rsidR="007023B4" w:rsidRPr="00967A22" w:rsidRDefault="007023B4" w:rsidP="007023B4">
      <w:pPr>
        <w:pStyle w:val="SingleTxt"/>
        <w:rPr>
          <w:rFonts w:hint="cs"/>
          <w:b/>
          <w:bCs/>
          <w:rtl/>
          <w:lang w:bidi="ar-EG"/>
        </w:rPr>
      </w:pPr>
      <w:r w:rsidRPr="00967A22">
        <w:rPr>
          <w:rFonts w:hint="cs"/>
          <w:b/>
          <w:bCs/>
          <w:rtl/>
          <w:lang w:bidi="ar-EG"/>
        </w:rPr>
        <w:tab/>
      </w:r>
      <w:r w:rsidRPr="00CB4FD6">
        <w:rPr>
          <w:rFonts w:hint="cs"/>
          <w:rtl/>
          <w:lang w:bidi="ar-EG"/>
        </w:rPr>
        <w:t>وقد نشر مجلس تكافؤ الفرص بين الرجل والمرأة، وهو جهاز استشاري اتحادي، في إطار أنشطته، عدة استشارات تتعلق بموضوع مشاركة المرأة في الحياة السياسية والعامة. وترد في المرفق قائمة بالاستشارات التي قدمها المجلس</w:t>
      </w:r>
      <w:r w:rsidRPr="00967A22">
        <w:rPr>
          <w:rFonts w:hint="cs"/>
          <w:b/>
          <w:bCs/>
          <w:rtl/>
          <w:lang w:bidi="ar-EG"/>
        </w:rPr>
        <w:t>.</w:t>
      </w:r>
    </w:p>
    <w:p w:rsidR="007023B4" w:rsidRPr="00967A22" w:rsidRDefault="007023B4" w:rsidP="007023B4">
      <w:pPr>
        <w:pStyle w:val="SingleTxt"/>
        <w:spacing w:after="0" w:line="120" w:lineRule="exact"/>
        <w:rPr>
          <w:rFonts w:hint="cs"/>
          <w:sz w:val="10"/>
          <w:rtl/>
          <w:lang w:bidi="ar-EG"/>
        </w:rPr>
      </w:pPr>
    </w:p>
    <w:p w:rsidR="007023B4" w:rsidRPr="003E1F01" w:rsidRDefault="007023B4" w:rsidP="007023B4">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sidRPr="003E1F01">
        <w:rPr>
          <w:rFonts w:hint="cs"/>
          <w:rtl/>
          <w:lang w:bidi="ar-EG"/>
        </w:rPr>
        <w:t>ثانيا -</w:t>
      </w:r>
      <w:r w:rsidRPr="003E1F01">
        <w:rPr>
          <w:rFonts w:hint="cs"/>
          <w:rtl/>
          <w:lang w:bidi="ar-EG"/>
        </w:rPr>
        <w:tab/>
        <w:t xml:space="preserve"> الكيانات </w:t>
      </w:r>
      <w:r>
        <w:rPr>
          <w:rFonts w:hint="cs"/>
          <w:rtl/>
          <w:lang w:bidi="ar-EG"/>
        </w:rPr>
        <w:t>الاتحادية</w:t>
      </w:r>
    </w:p>
    <w:p w:rsidR="007023B4" w:rsidRPr="00D74921" w:rsidRDefault="007023B4" w:rsidP="007023B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t>ألف -</w:t>
      </w:r>
      <w:r>
        <w:rPr>
          <w:rFonts w:hint="cs"/>
          <w:rtl/>
          <w:lang w:bidi="ar-EG"/>
        </w:rPr>
        <w:tab/>
        <w:t>الإقليم والمجتمع الفلمنديان</w:t>
      </w:r>
    </w:p>
    <w:p w:rsidR="007023B4" w:rsidRDefault="007023B4" w:rsidP="007023B4">
      <w:pPr>
        <w:pStyle w:val="SingleTxt"/>
        <w:rPr>
          <w:rFonts w:hint="cs"/>
          <w:rtl/>
          <w:lang w:bidi="ar-EG"/>
        </w:rPr>
      </w:pPr>
      <w:r>
        <w:rPr>
          <w:rFonts w:hint="cs"/>
          <w:rtl/>
          <w:lang w:bidi="ar-EG"/>
        </w:rPr>
        <w:tab/>
        <w:t>في أعقاب تطبيق القانون الخاص المؤرخ 18 تموز/يوليه 2002 الذي يكفل وجودا متساويا للرجل والمرأة في قوائم المرشحين للانتخابات الإقليمية بتاريخ 13 حزيران/يونيه 2004، بلغت النسبة المئوية للنساء المنتخبات في البرلمان الفلمندي 31.5 في المائة (19.5</w:t>
      </w:r>
      <w:r>
        <w:rPr>
          <w:rFonts w:hint="eastAsia"/>
          <w:rtl/>
          <w:lang w:bidi="ar-EG"/>
        </w:rPr>
        <w:t> </w:t>
      </w:r>
      <w:r>
        <w:rPr>
          <w:rFonts w:hint="cs"/>
          <w:rtl/>
          <w:lang w:bidi="ar-EG"/>
        </w:rPr>
        <w:t>في المائة عقب انتخابات عام 1999). وفي البرلمان حاليا 39 امرأة من بين 124</w:t>
      </w:r>
      <w:r>
        <w:rPr>
          <w:rFonts w:hint="eastAsia"/>
          <w:rtl/>
          <w:lang w:bidi="ar-EG"/>
        </w:rPr>
        <w:t> </w:t>
      </w:r>
      <w:r>
        <w:rPr>
          <w:rFonts w:hint="cs"/>
          <w:rtl/>
          <w:lang w:bidi="ar-EG"/>
        </w:rPr>
        <w:t>نائبا (31.5 في المائة). وفي حكومة المجتمع الفلمندي حاليا 3 نساء بين 10 وزراء (30 في المائة).</w:t>
      </w:r>
    </w:p>
    <w:p w:rsidR="007023B4" w:rsidRPr="00967A22" w:rsidRDefault="007023B4" w:rsidP="007023B4">
      <w:pPr>
        <w:pStyle w:val="SingleTxt"/>
        <w:spacing w:after="0" w:line="120" w:lineRule="exact"/>
        <w:rPr>
          <w:rFonts w:hint="cs"/>
          <w:sz w:val="10"/>
          <w:rtl/>
          <w:lang w:bidi="ar-EG"/>
        </w:rPr>
      </w:pPr>
    </w:p>
    <w:p w:rsidR="007023B4" w:rsidRPr="003E1F01" w:rsidRDefault="007023B4" w:rsidP="007023B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Pr="003E1F01">
        <w:rPr>
          <w:rFonts w:hint="cs"/>
          <w:rtl/>
          <w:lang w:bidi="ar-EG"/>
        </w:rPr>
        <w:t>1 -</w:t>
      </w:r>
      <w:r w:rsidRPr="003E1F01">
        <w:rPr>
          <w:rFonts w:hint="cs"/>
          <w:rtl/>
          <w:lang w:bidi="ar-EG"/>
        </w:rPr>
        <w:tab/>
        <w:t>التشريع</w:t>
      </w:r>
    </w:p>
    <w:p w:rsidR="007023B4" w:rsidRDefault="007023B4" w:rsidP="007023B4">
      <w:pPr>
        <w:pStyle w:val="SingleTxt"/>
        <w:rPr>
          <w:rFonts w:hint="cs"/>
          <w:rtl/>
          <w:lang w:bidi="ar-EG"/>
        </w:rPr>
      </w:pPr>
      <w:r>
        <w:rPr>
          <w:rFonts w:hint="cs"/>
          <w:rtl/>
          <w:lang w:bidi="ar-EG"/>
        </w:rPr>
        <w:tab/>
        <w:t>يشكل الإقليم الفلمندي من الناحية العملية مجتمعا متنوعا بالفعل. ويفيد نقص التنوع في اتخاذ القرار أنه يوجد عدم تكافؤ في الفرص في اتخاذ القرار السياسي. والمبادرة التي اتخذتها السياسة الفلمندية لتكافؤ الفرص، هي والوزير الفلمندي المسؤول عن الشؤون الداخلية، لتعديل قانون الانتخابات البلدية والإقليمية</w:t>
      </w:r>
      <w:r w:rsidRPr="00075D10">
        <w:rPr>
          <w:vertAlign w:val="superscript"/>
          <w:rtl/>
          <w:lang w:bidi="ar-EG"/>
        </w:rPr>
        <w:t>(</w:t>
      </w:r>
      <w:r>
        <w:rPr>
          <w:rStyle w:val="FootnoteReference"/>
          <w:rtl/>
        </w:rPr>
        <w:footnoteReference w:id="32"/>
      </w:r>
      <w:r w:rsidRPr="00075D10">
        <w:rPr>
          <w:vertAlign w:val="superscript"/>
          <w:rtl/>
          <w:lang w:bidi="ar-EG"/>
        </w:rPr>
        <w:t>)</w:t>
      </w:r>
      <w:r>
        <w:rPr>
          <w:rFonts w:hint="cs"/>
          <w:rtl/>
          <w:lang w:bidi="ar-EG"/>
        </w:rPr>
        <w:t xml:space="preserve"> بغية اجتذاب المزيد من النساء، انتهت إلى نتيجة مشجعة في عام 2006.</w:t>
      </w:r>
    </w:p>
    <w:p w:rsidR="007023B4" w:rsidRDefault="007023B4" w:rsidP="007023B4">
      <w:pPr>
        <w:pStyle w:val="SingleTxt"/>
        <w:rPr>
          <w:rFonts w:hint="cs"/>
          <w:rtl/>
          <w:lang w:bidi="ar-EG"/>
        </w:rPr>
      </w:pPr>
      <w:r>
        <w:rPr>
          <w:rFonts w:hint="cs"/>
          <w:rtl/>
          <w:lang w:bidi="ar-EG"/>
        </w:rPr>
        <w:tab/>
        <w:t>ونتيجة لذلك، كانت قوائم المرشحين لانتخابات المجلس البلدي والإقليمي تتألف من 50 في المائة من النساء و50 في المائة من الرجال. (</w:t>
      </w:r>
      <w:r>
        <w:rPr>
          <w:rFonts w:hint="eastAsia"/>
          <w:rtl/>
          <w:lang w:bidi="ar-EG"/>
        </w:rPr>
        <w:t>”</w:t>
      </w:r>
      <w:r w:rsidRPr="00967A22">
        <w:rPr>
          <w:rFonts w:hint="eastAsia"/>
          <w:i/>
          <w:iCs/>
          <w:rtl/>
          <w:lang w:bidi="ar-EG"/>
        </w:rPr>
        <w:t>ينبغي ألا يزيد الفرق بين عدد مرشحي كل جنس عن واحد في كل قائمة من قوائم المرشحين للانتخابات</w:t>
      </w:r>
      <w:r>
        <w:rPr>
          <w:rFonts w:hint="cs"/>
          <w:rtl/>
          <w:lang w:bidi="ar-EG"/>
        </w:rPr>
        <w:t>“). وشمل المرشحون الثلاثة الأول الواردة أسماؤهم في كل قائمة أشخاصا من كلا الجنسين (</w:t>
      </w:r>
      <w:r>
        <w:rPr>
          <w:rFonts w:hint="eastAsia"/>
          <w:rtl/>
          <w:lang w:bidi="ar-EG"/>
        </w:rPr>
        <w:t>”</w:t>
      </w:r>
      <w:r>
        <w:rPr>
          <w:rFonts w:hint="eastAsia"/>
          <w:i/>
          <w:iCs/>
          <w:rtl/>
          <w:lang w:bidi="ar-EG"/>
        </w:rPr>
        <w:t>ينبغي ألا</w:t>
      </w:r>
      <w:r>
        <w:rPr>
          <w:rFonts w:hint="cs"/>
          <w:i/>
          <w:iCs/>
          <w:rtl/>
          <w:lang w:bidi="ar-EG"/>
        </w:rPr>
        <w:t> </w:t>
      </w:r>
      <w:r w:rsidRPr="00967A22">
        <w:rPr>
          <w:rFonts w:hint="eastAsia"/>
          <w:i/>
          <w:iCs/>
          <w:rtl/>
          <w:lang w:bidi="ar-EG"/>
        </w:rPr>
        <w:t>يكون المرشحون الثلاثة الأول في كل قائمة من نفس الجنس كلهم</w:t>
      </w:r>
      <w:r>
        <w:rPr>
          <w:rFonts w:hint="cs"/>
          <w:rtl/>
          <w:lang w:bidi="ar-EG"/>
        </w:rPr>
        <w:t>“).</w:t>
      </w:r>
    </w:p>
    <w:p w:rsidR="007023B4" w:rsidRPr="00967A22" w:rsidRDefault="007023B4" w:rsidP="007023B4">
      <w:pPr>
        <w:pStyle w:val="SingleTxt"/>
        <w:spacing w:after="0" w:line="120" w:lineRule="exact"/>
        <w:rPr>
          <w:rFonts w:hint="cs"/>
          <w:sz w:val="10"/>
          <w:rtl/>
          <w:lang w:bidi="ar-EG"/>
        </w:rPr>
      </w:pPr>
    </w:p>
    <w:p w:rsidR="007023B4" w:rsidRPr="000748EC" w:rsidRDefault="007023B4" w:rsidP="007023B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Pr="000748EC">
        <w:rPr>
          <w:rFonts w:hint="cs"/>
          <w:rtl/>
          <w:lang w:bidi="ar-EG"/>
        </w:rPr>
        <w:t>2 -</w:t>
      </w:r>
      <w:r w:rsidRPr="000748EC">
        <w:rPr>
          <w:rFonts w:hint="cs"/>
          <w:rtl/>
          <w:lang w:bidi="ar-EG"/>
        </w:rPr>
        <w:tab/>
      </w:r>
      <w:r>
        <w:rPr>
          <w:rFonts w:hint="cs"/>
          <w:rtl/>
          <w:lang w:bidi="ar-EG"/>
        </w:rPr>
        <w:t xml:space="preserve">عدد النساء المنتخبات بعد انتخابات </w:t>
      </w:r>
      <w:r w:rsidRPr="000748EC">
        <w:rPr>
          <w:rFonts w:hint="cs"/>
          <w:rtl/>
          <w:lang w:bidi="ar-EG"/>
        </w:rPr>
        <w:t xml:space="preserve">8 تشرين الأول/أكتوبر </w:t>
      </w:r>
      <w:r>
        <w:rPr>
          <w:rFonts w:hint="cs"/>
          <w:rtl/>
          <w:lang w:bidi="ar-EG"/>
        </w:rPr>
        <w:t>2006 زاد على عددهن في عام 2000</w:t>
      </w:r>
      <w:r w:rsidRPr="000748EC">
        <w:rPr>
          <w:vertAlign w:val="superscript"/>
          <w:rtl/>
          <w:lang w:bidi="ar-EG"/>
        </w:rPr>
        <w:t>(</w:t>
      </w:r>
      <w:r>
        <w:rPr>
          <w:rStyle w:val="FootnoteReference"/>
          <w:b w:val="0"/>
          <w:bCs w:val="0"/>
          <w:rtl/>
        </w:rPr>
        <w:footnoteReference w:id="33"/>
      </w:r>
      <w:r w:rsidRPr="000748EC">
        <w:rPr>
          <w:vertAlign w:val="superscript"/>
          <w:rtl/>
          <w:lang w:bidi="ar-EG"/>
        </w:rPr>
        <w:t>)</w:t>
      </w:r>
    </w:p>
    <w:p w:rsidR="007023B4" w:rsidRDefault="007023B4" w:rsidP="007023B4">
      <w:pPr>
        <w:pStyle w:val="SingleTxt"/>
        <w:rPr>
          <w:rFonts w:hint="cs"/>
          <w:rtl/>
          <w:lang w:bidi="ar-EG"/>
        </w:rPr>
      </w:pPr>
      <w:r>
        <w:rPr>
          <w:rtl/>
          <w:lang w:bidi="ar-EG"/>
        </w:rPr>
        <w:tab/>
      </w:r>
      <w:r>
        <w:rPr>
          <w:rFonts w:hint="cs"/>
          <w:rtl/>
          <w:lang w:bidi="ar-EG"/>
        </w:rPr>
        <w:t xml:space="preserve">جرت الانتخابات المحلية في </w:t>
      </w:r>
      <w:r w:rsidRPr="000748EC">
        <w:rPr>
          <w:rFonts w:hint="cs"/>
          <w:rtl/>
          <w:lang w:bidi="ar-EG"/>
        </w:rPr>
        <w:t xml:space="preserve">8 تشرين الأول/أكتوبر </w:t>
      </w:r>
      <w:r>
        <w:rPr>
          <w:rFonts w:hint="cs"/>
          <w:rtl/>
          <w:lang w:bidi="ar-EG"/>
        </w:rPr>
        <w:t>2006. وأظهرت النتائج عددا أكبر من النساء المنتخبات في معظم المدن الفلمندية. وفي المجموع، تم انتخاب 33.4 في المائة من النساء في المجالس البلدية (27 في المائة من النساء انتخبن في عام 2000)، و36.7 في المائة للمجالس الإقليمية (29 في المائة من النساء انتخبن في عام 2000).</w:t>
      </w:r>
    </w:p>
    <w:p w:rsidR="007023B4" w:rsidRPr="002020BE" w:rsidRDefault="007023B4" w:rsidP="007023B4">
      <w:pPr>
        <w:pStyle w:val="SingleTxt"/>
        <w:rPr>
          <w:rFonts w:hint="cs"/>
          <w:rtl/>
          <w:lang w:bidi="ar-EG"/>
        </w:rPr>
      </w:pPr>
      <w:r>
        <w:rPr>
          <w:rFonts w:hint="cs"/>
          <w:rtl/>
          <w:lang w:bidi="ar-EG"/>
        </w:rPr>
        <w:tab/>
        <w:t>ولمزيد من المعلومات را</w:t>
      </w:r>
      <w:r w:rsidRPr="002020BE">
        <w:rPr>
          <w:rFonts w:hint="cs"/>
          <w:rtl/>
          <w:lang w:bidi="ar-EG"/>
        </w:rPr>
        <w:t xml:space="preserve">جع موقعنا على شبكة الإنترنت </w:t>
      </w:r>
      <w:hyperlink r:id="rId20" w:history="1">
        <w:r w:rsidRPr="00CB4FD6">
          <w:rPr>
            <w:rStyle w:val="Hyperlink"/>
            <w:lang w:bidi="ar-EG"/>
          </w:rPr>
          <w:t>www.vlaanderenkiest.be</w:t>
        </w:r>
      </w:hyperlink>
      <w:r w:rsidRPr="002020BE">
        <w:rPr>
          <w:rFonts w:hint="cs"/>
          <w:rtl/>
          <w:lang w:bidi="ar-EG"/>
        </w:rPr>
        <w:t>.</w:t>
      </w:r>
    </w:p>
    <w:p w:rsidR="007023B4" w:rsidRPr="00025267" w:rsidRDefault="007023B4" w:rsidP="007023B4">
      <w:pPr>
        <w:pStyle w:val="SingleTxt"/>
        <w:spacing w:after="0" w:line="120" w:lineRule="exact"/>
        <w:rPr>
          <w:rFonts w:hint="cs"/>
          <w:sz w:val="10"/>
          <w:rtl/>
          <w:lang w:bidi="ar-EG"/>
        </w:rPr>
      </w:pPr>
    </w:p>
    <w:p w:rsidR="007023B4" w:rsidRPr="003E1F01" w:rsidRDefault="007023B4" w:rsidP="007023B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Pr="003E1F01">
        <w:rPr>
          <w:rFonts w:hint="cs"/>
          <w:rtl/>
          <w:lang w:bidi="ar-EG"/>
        </w:rPr>
        <w:t>3 -</w:t>
      </w:r>
      <w:r w:rsidRPr="003E1F01">
        <w:rPr>
          <w:rFonts w:hint="cs"/>
          <w:rtl/>
          <w:lang w:bidi="ar-EG"/>
        </w:rPr>
        <w:tab/>
        <w:t>خطة العمل المتعلقة بالتنوع في اتخاذ القرار</w:t>
      </w:r>
    </w:p>
    <w:p w:rsidR="007023B4" w:rsidRPr="00025267" w:rsidRDefault="007023B4" w:rsidP="007023B4">
      <w:pPr>
        <w:pStyle w:val="SingleTxt"/>
        <w:rPr>
          <w:rFonts w:hint="cs"/>
          <w:b/>
          <w:bCs/>
          <w:rtl/>
          <w:lang w:bidi="ar-EG"/>
        </w:rPr>
      </w:pPr>
      <w:r w:rsidRPr="00025267">
        <w:rPr>
          <w:rFonts w:hint="cs"/>
          <w:b/>
          <w:bCs/>
          <w:rtl/>
          <w:lang w:bidi="ar-EG"/>
        </w:rPr>
        <w:tab/>
        <w:t xml:space="preserve">أطلقت، فيما </w:t>
      </w:r>
      <w:r>
        <w:rPr>
          <w:rFonts w:hint="cs"/>
          <w:b/>
          <w:bCs/>
          <w:rtl/>
          <w:lang w:bidi="ar-EG"/>
        </w:rPr>
        <w:t>تلا</w:t>
      </w:r>
      <w:r w:rsidRPr="00025267">
        <w:rPr>
          <w:rFonts w:hint="cs"/>
          <w:b/>
          <w:bCs/>
          <w:rtl/>
          <w:lang w:bidi="ar-EG"/>
        </w:rPr>
        <w:t xml:space="preserve"> إصدار قوانين جديدة، حملة من أجل التصويت من أجل التنوع، وهي فقط أحد أعمال خطة العمل المتعلقة بالتنوع في اتخاذ القرار التي جرى إعدادها في عام 2005.</w:t>
      </w:r>
    </w:p>
    <w:p w:rsidR="007023B4" w:rsidRPr="00025267" w:rsidRDefault="00CB4FD6" w:rsidP="00CB4FD6">
      <w:pPr>
        <w:pStyle w:val="SingleTxt"/>
        <w:rPr>
          <w:rFonts w:hint="eastAsia"/>
          <w:rtl/>
          <w:lang w:bidi="ar-EG"/>
        </w:rPr>
      </w:pPr>
      <w:r>
        <w:rPr>
          <w:rFonts w:hint="cs"/>
          <w:i/>
          <w:iCs/>
          <w:rtl/>
          <w:lang w:bidi="ar-EG"/>
        </w:rPr>
        <w:t xml:space="preserve">3-1-  </w:t>
      </w:r>
      <w:r w:rsidR="007023B4" w:rsidRPr="00025267">
        <w:rPr>
          <w:rFonts w:hint="cs"/>
          <w:rtl/>
          <w:lang w:bidi="ar-EG"/>
        </w:rPr>
        <w:t xml:space="preserve">وأطلق على الحملة اسم </w:t>
      </w:r>
      <w:r w:rsidR="007023B4" w:rsidRPr="00025267">
        <w:rPr>
          <w:rFonts w:hint="eastAsia"/>
          <w:rtl/>
          <w:lang w:bidi="ar-EG"/>
        </w:rPr>
        <w:t xml:space="preserve">”لا تفكر </w:t>
      </w:r>
      <w:r w:rsidR="007023B4">
        <w:rPr>
          <w:rFonts w:hint="cs"/>
          <w:rtl/>
          <w:lang w:bidi="ar-EG"/>
        </w:rPr>
        <w:t>بشكل جامد</w:t>
      </w:r>
      <w:r w:rsidR="007023B4" w:rsidRPr="00025267">
        <w:rPr>
          <w:rFonts w:hint="eastAsia"/>
          <w:rtl/>
          <w:lang w:bidi="ar-EG"/>
        </w:rPr>
        <w:t xml:space="preserve">، ولا تصوت </w:t>
      </w:r>
      <w:r w:rsidR="007023B4">
        <w:rPr>
          <w:rFonts w:hint="cs"/>
          <w:rtl/>
          <w:lang w:bidi="ar-EG"/>
        </w:rPr>
        <w:t>بفكر جامد</w:t>
      </w:r>
      <w:r w:rsidR="007023B4" w:rsidRPr="00025267">
        <w:rPr>
          <w:rFonts w:hint="eastAsia"/>
          <w:rtl/>
          <w:lang w:bidi="ar-EG"/>
        </w:rPr>
        <w:t xml:space="preserve">) وكانت ترمي </w:t>
      </w:r>
      <w:r w:rsidR="007023B4">
        <w:rPr>
          <w:rFonts w:hint="cs"/>
          <w:rtl/>
          <w:lang w:bidi="ar-EG"/>
        </w:rPr>
        <w:t xml:space="preserve">إلى أن </w:t>
      </w:r>
      <w:r w:rsidR="007023B4" w:rsidRPr="00025267">
        <w:rPr>
          <w:rFonts w:hint="eastAsia"/>
          <w:rtl/>
          <w:lang w:bidi="ar-EG"/>
        </w:rPr>
        <w:t>تبين للجمهور أن التنوع قيمة مضافة لهيئات اتخاذ القرار.</w:t>
      </w:r>
    </w:p>
    <w:p w:rsidR="007023B4" w:rsidRPr="00507986" w:rsidRDefault="007023B4" w:rsidP="007023B4">
      <w:pPr>
        <w:pStyle w:val="SingleTxt"/>
        <w:spacing w:after="0" w:line="120" w:lineRule="exact"/>
        <w:rPr>
          <w:rFonts w:hint="cs"/>
          <w:sz w:val="10"/>
          <w:rtl/>
          <w:lang w:bidi="ar-EG"/>
        </w:rPr>
      </w:pPr>
    </w:p>
    <w:p w:rsidR="007023B4" w:rsidRDefault="00CB4FD6" w:rsidP="00CB4FD6">
      <w:pPr>
        <w:pStyle w:val="SingleTxt"/>
        <w:rPr>
          <w:rFonts w:hint="cs"/>
          <w:rtl/>
          <w:lang w:bidi="ar-EG"/>
        </w:rPr>
      </w:pPr>
      <w:r>
        <w:rPr>
          <w:rFonts w:hint="cs"/>
          <w:rtl/>
          <w:lang w:bidi="ar-EG"/>
        </w:rPr>
        <w:t xml:space="preserve">3-2-  </w:t>
      </w:r>
      <w:r w:rsidR="007023B4" w:rsidRPr="00025267">
        <w:rPr>
          <w:rFonts w:hint="cs"/>
          <w:rtl/>
          <w:lang w:bidi="ar-EG"/>
        </w:rPr>
        <w:t xml:space="preserve">السياسات </w:t>
      </w:r>
      <w:r w:rsidR="007023B4">
        <w:rPr>
          <w:rFonts w:hint="cs"/>
          <w:rtl/>
          <w:lang w:bidi="ar-EG"/>
        </w:rPr>
        <w:t>الإقليمي</w:t>
      </w:r>
      <w:r w:rsidR="007023B4" w:rsidRPr="00025267">
        <w:rPr>
          <w:rFonts w:hint="cs"/>
          <w:rtl/>
          <w:lang w:bidi="ar-EG"/>
        </w:rPr>
        <w:t xml:space="preserve">ة، هل </w:t>
      </w:r>
      <w:r w:rsidR="007023B4">
        <w:rPr>
          <w:rFonts w:hint="cs"/>
          <w:rtl/>
          <w:lang w:bidi="ar-EG"/>
        </w:rPr>
        <w:t xml:space="preserve">هي </w:t>
      </w:r>
      <w:r w:rsidR="007023B4" w:rsidRPr="00025267">
        <w:rPr>
          <w:rFonts w:hint="cs"/>
          <w:rtl/>
          <w:lang w:bidi="ar-EG"/>
        </w:rPr>
        <w:t>لي؟</w:t>
      </w:r>
    </w:p>
    <w:p w:rsidR="00CB4FD6" w:rsidRDefault="007023B4" w:rsidP="007023B4">
      <w:pPr>
        <w:pStyle w:val="SingleTxt"/>
        <w:rPr>
          <w:rFonts w:hint="cs"/>
          <w:rtl/>
          <w:lang w:bidi="ar-EG"/>
        </w:rPr>
      </w:pPr>
      <w:r>
        <w:rPr>
          <w:rtl/>
          <w:lang w:bidi="ar-EG"/>
        </w:rPr>
        <w:tab/>
      </w:r>
      <w:r w:rsidRPr="00025267">
        <w:rPr>
          <w:rFonts w:hint="cs"/>
          <w:rtl/>
          <w:lang w:bidi="ar-EG"/>
        </w:rPr>
        <w:t xml:space="preserve">في عام 2005، استحدثت رابطة المدن والبلديات </w:t>
      </w:r>
      <w:r>
        <w:rPr>
          <w:rFonts w:hint="cs"/>
          <w:rtl/>
          <w:lang w:bidi="ar-EG"/>
        </w:rPr>
        <w:t>الفلمندية</w:t>
      </w:r>
      <w:r w:rsidRPr="00025267">
        <w:rPr>
          <w:rFonts w:hint="cs"/>
          <w:rtl/>
          <w:lang w:bidi="ar-EG"/>
        </w:rPr>
        <w:t xml:space="preserve">، بدعم من السياسة </w:t>
      </w:r>
      <w:r>
        <w:rPr>
          <w:rFonts w:hint="cs"/>
          <w:rtl/>
          <w:lang w:bidi="ar-EG"/>
        </w:rPr>
        <w:t xml:space="preserve">الفلمندية </w:t>
      </w:r>
      <w:r w:rsidRPr="00025267">
        <w:rPr>
          <w:rFonts w:hint="cs"/>
          <w:rtl/>
          <w:lang w:bidi="ar-EG"/>
        </w:rPr>
        <w:t xml:space="preserve">لتكافؤ الفرص، المشروع والكتيب المرافق المعنون </w:t>
      </w:r>
      <w:r w:rsidRPr="00025267">
        <w:rPr>
          <w:rFonts w:hint="eastAsia"/>
          <w:rtl/>
          <w:lang w:bidi="ar-EG"/>
        </w:rPr>
        <w:t xml:space="preserve">”السياسات </w:t>
      </w:r>
      <w:r>
        <w:rPr>
          <w:rFonts w:hint="eastAsia"/>
          <w:rtl/>
          <w:lang w:bidi="ar-EG"/>
        </w:rPr>
        <w:t>ال</w:t>
      </w:r>
      <w:r>
        <w:rPr>
          <w:rFonts w:hint="cs"/>
          <w:rtl/>
          <w:lang w:bidi="ar-EG"/>
        </w:rPr>
        <w:t>محلية، هل هي لي</w:t>
      </w:r>
      <w:r w:rsidRPr="00025267">
        <w:rPr>
          <w:rFonts w:hint="cs"/>
          <w:rtl/>
          <w:lang w:bidi="ar-EG"/>
        </w:rPr>
        <w:t xml:space="preserve">“. وكانت الفكرة تشجيع الأطراف المهتمة بالأمر (الإدارات </w:t>
      </w:r>
      <w:r>
        <w:rPr>
          <w:rFonts w:hint="cs"/>
          <w:rtl/>
          <w:lang w:bidi="ar-EG"/>
        </w:rPr>
        <w:t>المحلية،</w:t>
      </w:r>
      <w:r w:rsidRPr="00025267">
        <w:rPr>
          <w:rFonts w:hint="cs"/>
          <w:rtl/>
          <w:lang w:bidi="ar-EG"/>
        </w:rPr>
        <w:t xml:space="preserve"> منظمات المجتمع المدني، إلخ) على تنظيم دورات إعلامية، </w:t>
      </w:r>
      <w:r>
        <w:rPr>
          <w:rFonts w:hint="cs"/>
          <w:rtl/>
          <w:lang w:bidi="ar-EG"/>
        </w:rPr>
        <w:t xml:space="preserve">مع </w:t>
      </w:r>
      <w:r w:rsidRPr="00025267">
        <w:rPr>
          <w:rFonts w:hint="cs"/>
          <w:rtl/>
          <w:lang w:bidi="ar-EG"/>
        </w:rPr>
        <w:t xml:space="preserve">الاهتمام </w:t>
      </w:r>
      <w:r>
        <w:rPr>
          <w:rFonts w:hint="cs"/>
          <w:rtl/>
          <w:lang w:bidi="ar-EG"/>
        </w:rPr>
        <w:t xml:space="preserve">على سبيل الأولوية </w:t>
      </w:r>
      <w:r w:rsidRPr="00025267">
        <w:rPr>
          <w:rFonts w:hint="cs"/>
          <w:rtl/>
          <w:lang w:bidi="ar-EG"/>
        </w:rPr>
        <w:t xml:space="preserve">بالجماعات السكانية الممثلة حاليا تمثيلا ناقصا في هيئات اتخاذ القرار السياسي. وخلال الدورات الإعلامية، تم شرح </w:t>
      </w:r>
      <w:r>
        <w:rPr>
          <w:rFonts w:hint="cs"/>
          <w:rtl/>
          <w:lang w:bidi="ar-EG"/>
        </w:rPr>
        <w:t xml:space="preserve">عمل </w:t>
      </w:r>
      <w:r w:rsidRPr="00025267">
        <w:rPr>
          <w:rFonts w:hint="cs"/>
          <w:rtl/>
          <w:lang w:bidi="ar-EG"/>
        </w:rPr>
        <w:t>السلطات السياسية</w:t>
      </w:r>
      <w:r>
        <w:rPr>
          <w:rFonts w:hint="cs"/>
          <w:rtl/>
          <w:lang w:bidi="ar-EG"/>
        </w:rPr>
        <w:t>،</w:t>
      </w:r>
      <w:r w:rsidRPr="00025267">
        <w:rPr>
          <w:rFonts w:hint="cs"/>
          <w:rtl/>
          <w:lang w:bidi="ar-EG"/>
        </w:rPr>
        <w:t xml:space="preserve"> فضلا عن القيمة المضافة لهيئات اتخاذ القرار ذات التنوع في تركيبها. وكان الهدف إذكاء الوعي</w:t>
      </w:r>
      <w:r>
        <w:rPr>
          <w:rFonts w:hint="cs"/>
          <w:rtl/>
          <w:lang w:bidi="ar-EG"/>
        </w:rPr>
        <w:t>،</w:t>
      </w:r>
      <w:r w:rsidRPr="00025267">
        <w:rPr>
          <w:rFonts w:hint="cs"/>
          <w:rtl/>
          <w:lang w:bidi="ar-EG"/>
        </w:rPr>
        <w:t xml:space="preserve"> وتوفير </w:t>
      </w:r>
      <w:r>
        <w:rPr>
          <w:rFonts w:hint="cs"/>
          <w:rtl/>
          <w:lang w:bidi="ar-EG"/>
        </w:rPr>
        <w:t>ال</w:t>
      </w:r>
      <w:r w:rsidRPr="00025267">
        <w:rPr>
          <w:rFonts w:hint="cs"/>
          <w:rtl/>
          <w:lang w:bidi="ar-EG"/>
        </w:rPr>
        <w:t>معلومات</w:t>
      </w:r>
      <w:r>
        <w:rPr>
          <w:rFonts w:hint="cs"/>
          <w:rtl/>
          <w:lang w:bidi="ar-EG"/>
        </w:rPr>
        <w:t>،</w:t>
      </w:r>
      <w:r w:rsidRPr="00025267">
        <w:rPr>
          <w:rFonts w:hint="cs"/>
          <w:rtl/>
          <w:lang w:bidi="ar-EG"/>
        </w:rPr>
        <w:t xml:space="preserve"> وتشجيع الناس على المشاركة.</w:t>
      </w:r>
    </w:p>
    <w:p w:rsidR="00CB4FD6" w:rsidRDefault="00CB4FD6" w:rsidP="00CB4FD6">
      <w:pPr>
        <w:pStyle w:val="SingleTxt"/>
        <w:rPr>
          <w:rFonts w:hint="cs"/>
          <w:rtl/>
          <w:lang w:bidi="ar-EG"/>
        </w:rPr>
      </w:pPr>
      <w:r>
        <w:rPr>
          <w:rFonts w:hint="cs"/>
          <w:rtl/>
          <w:lang w:bidi="ar-EG"/>
        </w:rPr>
        <w:tab/>
      </w:r>
      <w:r w:rsidR="007023B4" w:rsidRPr="00025267">
        <w:rPr>
          <w:rFonts w:hint="cs"/>
          <w:rtl/>
          <w:lang w:bidi="ar-EG"/>
        </w:rPr>
        <w:t>ومن أجل تعزيز تنفي</w:t>
      </w:r>
      <w:r w:rsidR="007023B4">
        <w:rPr>
          <w:rFonts w:hint="cs"/>
          <w:rtl/>
          <w:lang w:bidi="ar-EG"/>
        </w:rPr>
        <w:t>ذ</w:t>
      </w:r>
      <w:r w:rsidR="007023B4" w:rsidRPr="00025267">
        <w:rPr>
          <w:rFonts w:hint="cs"/>
          <w:rtl/>
          <w:lang w:bidi="ar-EG"/>
        </w:rPr>
        <w:t xml:space="preserve"> هذا المشروع، فإن </w:t>
      </w:r>
      <w:r w:rsidR="007023B4">
        <w:rPr>
          <w:rFonts w:hint="cs"/>
          <w:rtl/>
          <w:lang w:bidi="ar-EG"/>
        </w:rPr>
        <w:t xml:space="preserve">هيئة </w:t>
      </w:r>
      <w:r w:rsidR="007023B4" w:rsidRPr="00025267">
        <w:rPr>
          <w:rFonts w:hint="cs"/>
          <w:rtl/>
          <w:lang w:bidi="ar-EG"/>
        </w:rPr>
        <w:t xml:space="preserve">تكافؤ الفرص في </w:t>
      </w:r>
      <w:r w:rsidR="007023B4">
        <w:rPr>
          <w:rFonts w:hint="cs"/>
          <w:rtl/>
          <w:lang w:bidi="ar-EG"/>
        </w:rPr>
        <w:t xml:space="preserve">الإقليم الفلمندي </w:t>
      </w:r>
      <w:r w:rsidR="007023B4" w:rsidRPr="00025267">
        <w:rPr>
          <w:rFonts w:hint="cs"/>
          <w:rtl/>
          <w:lang w:bidi="ar-EG"/>
        </w:rPr>
        <w:t>تعاونت تعاونا وثيقا مع مسؤولي التحرر الإقليمي</w:t>
      </w:r>
      <w:r w:rsidR="007023B4">
        <w:rPr>
          <w:rFonts w:hint="cs"/>
          <w:rtl/>
          <w:lang w:bidi="ar-EG"/>
        </w:rPr>
        <w:t>ين</w:t>
      </w:r>
      <w:r w:rsidR="007023B4" w:rsidRPr="00025267">
        <w:rPr>
          <w:rFonts w:hint="cs"/>
          <w:rtl/>
          <w:lang w:bidi="ar-EG"/>
        </w:rPr>
        <w:t xml:space="preserve"> (انظر أيضا المادة 3-4</w:t>
      </w:r>
      <w:r w:rsidR="007023B4">
        <w:rPr>
          <w:rFonts w:hint="cs"/>
          <w:rtl/>
          <w:lang w:bidi="ar-EG"/>
        </w:rPr>
        <w:t>،</w:t>
      </w:r>
      <w:r w:rsidR="007023B4" w:rsidRPr="00025267">
        <w:rPr>
          <w:rFonts w:hint="cs"/>
          <w:rtl/>
          <w:lang w:bidi="ar-EG"/>
        </w:rPr>
        <w:t xml:space="preserve"> الرقم 4).</w:t>
      </w:r>
    </w:p>
    <w:p w:rsidR="00CB4FD6" w:rsidRDefault="00CB4FD6" w:rsidP="00CB4FD6">
      <w:pPr>
        <w:pStyle w:val="SingleTxt"/>
        <w:rPr>
          <w:rFonts w:hint="cs"/>
          <w:rtl/>
          <w:lang w:bidi="ar-EG"/>
        </w:rPr>
      </w:pPr>
      <w:r>
        <w:rPr>
          <w:rFonts w:hint="cs"/>
          <w:rtl/>
          <w:lang w:bidi="ar-EG"/>
        </w:rPr>
        <w:tab/>
      </w:r>
      <w:r w:rsidR="007023B4" w:rsidRPr="00025267">
        <w:rPr>
          <w:rFonts w:hint="cs"/>
          <w:rtl/>
          <w:lang w:bidi="ar-EG"/>
        </w:rPr>
        <w:t>و</w:t>
      </w:r>
      <w:r w:rsidR="007023B4">
        <w:rPr>
          <w:rFonts w:hint="cs"/>
          <w:rtl/>
          <w:lang w:bidi="ar-EG"/>
        </w:rPr>
        <w:t>قد اشترك هؤلاء المسؤولون</w:t>
      </w:r>
      <w:r w:rsidR="007023B4" w:rsidRPr="00025267">
        <w:rPr>
          <w:rFonts w:hint="cs"/>
          <w:rtl/>
          <w:lang w:bidi="ar-EG"/>
        </w:rPr>
        <w:t xml:space="preserve"> اشتراكا وثيقا، على سبيل المثال، في إعداد </w:t>
      </w:r>
      <w:r w:rsidR="007023B4">
        <w:rPr>
          <w:rFonts w:hint="cs"/>
          <w:rtl/>
          <w:lang w:bidi="ar-EG"/>
        </w:rPr>
        <w:t>ال</w:t>
      </w:r>
      <w:r w:rsidR="007023B4" w:rsidRPr="00025267">
        <w:rPr>
          <w:rFonts w:hint="cs"/>
          <w:rtl/>
          <w:lang w:bidi="ar-EG"/>
        </w:rPr>
        <w:t xml:space="preserve">ملف </w:t>
      </w:r>
      <w:r w:rsidR="007023B4">
        <w:rPr>
          <w:rFonts w:hint="cs"/>
          <w:rtl/>
          <w:lang w:bidi="ar-EG"/>
        </w:rPr>
        <w:t xml:space="preserve">الإرشادي المعنون </w:t>
      </w:r>
      <w:r w:rsidR="007023B4" w:rsidRPr="00025267">
        <w:rPr>
          <w:rFonts w:hint="cs"/>
          <w:rtl/>
          <w:lang w:bidi="ar-EG"/>
        </w:rPr>
        <w:t xml:space="preserve">”السياسة </w:t>
      </w:r>
      <w:r w:rsidR="007023B4">
        <w:rPr>
          <w:rFonts w:hint="cs"/>
          <w:rtl/>
          <w:lang w:bidi="ar-EG"/>
        </w:rPr>
        <w:t>المحلية</w:t>
      </w:r>
      <w:r w:rsidR="007023B4" w:rsidRPr="00025267">
        <w:rPr>
          <w:rFonts w:hint="cs"/>
          <w:rtl/>
          <w:lang w:bidi="ar-EG"/>
        </w:rPr>
        <w:t xml:space="preserve">، هل </w:t>
      </w:r>
      <w:r w:rsidR="007023B4">
        <w:rPr>
          <w:rFonts w:hint="cs"/>
          <w:rtl/>
          <w:lang w:bidi="ar-EG"/>
        </w:rPr>
        <w:t>هي</w:t>
      </w:r>
      <w:r w:rsidR="007023B4" w:rsidRPr="00025267">
        <w:rPr>
          <w:rFonts w:hint="cs"/>
          <w:rtl/>
          <w:lang w:bidi="ar-EG"/>
        </w:rPr>
        <w:t xml:space="preserve"> لي</w:t>
      </w:r>
      <w:r w:rsidR="007023B4">
        <w:rPr>
          <w:rFonts w:hint="cs"/>
          <w:rtl/>
          <w:lang w:bidi="ar-EG"/>
        </w:rPr>
        <w:t>؟</w:t>
      </w:r>
      <w:r w:rsidR="007023B4" w:rsidRPr="00025267">
        <w:rPr>
          <w:rFonts w:hint="eastAsia"/>
          <w:rtl/>
          <w:lang w:bidi="ar-EG"/>
        </w:rPr>
        <w:t xml:space="preserve">“ </w:t>
      </w:r>
      <w:r w:rsidR="007023B4">
        <w:rPr>
          <w:rFonts w:hint="cs"/>
          <w:rtl/>
          <w:lang w:bidi="ar-EG"/>
        </w:rPr>
        <w:t xml:space="preserve">في عام 2005 </w:t>
      </w:r>
      <w:r w:rsidR="007023B4" w:rsidRPr="00025267">
        <w:rPr>
          <w:rFonts w:hint="eastAsia"/>
          <w:rtl/>
          <w:lang w:bidi="ar-EG"/>
        </w:rPr>
        <w:t xml:space="preserve">عن طريق جماعة توجيهية اجتمعت ثلاث مرات في المجموع. </w:t>
      </w:r>
      <w:r w:rsidR="007023B4" w:rsidRPr="00025267">
        <w:rPr>
          <w:rFonts w:hint="cs"/>
          <w:rtl/>
          <w:lang w:bidi="ar-EG"/>
        </w:rPr>
        <w:t xml:space="preserve">وعلى أساس </w:t>
      </w:r>
      <w:r w:rsidR="007023B4">
        <w:rPr>
          <w:rFonts w:hint="cs"/>
          <w:rtl/>
          <w:lang w:bidi="ar-EG"/>
        </w:rPr>
        <w:t xml:space="preserve">هذا </w:t>
      </w:r>
      <w:r w:rsidR="007023B4" w:rsidRPr="00025267">
        <w:rPr>
          <w:rFonts w:hint="cs"/>
          <w:rtl/>
          <w:lang w:bidi="ar-EG"/>
        </w:rPr>
        <w:t>الملف، قاموا بتنظيم عدد من الدورات الإعلامية في إقليمهم في عام 2005.</w:t>
      </w:r>
    </w:p>
    <w:p w:rsidR="007023B4" w:rsidRPr="00025267" w:rsidRDefault="00CB4FD6" w:rsidP="00CB4FD6">
      <w:pPr>
        <w:pStyle w:val="SingleTxt"/>
        <w:rPr>
          <w:rFonts w:hint="cs"/>
          <w:rtl/>
          <w:lang w:bidi="ar-EG"/>
        </w:rPr>
      </w:pPr>
      <w:r>
        <w:rPr>
          <w:rFonts w:hint="cs"/>
          <w:rtl/>
          <w:lang w:bidi="ar-EG"/>
        </w:rPr>
        <w:tab/>
      </w:r>
      <w:r w:rsidR="007023B4" w:rsidRPr="00025267">
        <w:rPr>
          <w:rFonts w:hint="cs"/>
          <w:rtl/>
          <w:lang w:bidi="ar-EG"/>
        </w:rPr>
        <w:t xml:space="preserve">وكانت هذه الأعمال تهدف إلى </w:t>
      </w:r>
      <w:r w:rsidR="007023B4">
        <w:rPr>
          <w:rFonts w:hint="cs"/>
          <w:rtl/>
          <w:lang w:bidi="ar-EG"/>
        </w:rPr>
        <w:t xml:space="preserve">تحقيق </w:t>
      </w:r>
      <w:r w:rsidR="007023B4" w:rsidRPr="00025267">
        <w:rPr>
          <w:rFonts w:hint="cs"/>
          <w:rtl/>
          <w:lang w:bidi="ar-EG"/>
        </w:rPr>
        <w:t>ما يلي من أهداف:</w:t>
      </w:r>
    </w:p>
    <w:p w:rsidR="007023B4" w:rsidRDefault="007023B4" w:rsidP="00CB4FD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rFonts w:hint="cs"/>
          <w:rtl/>
          <w:lang w:bidi="ar-EG"/>
        </w:rPr>
        <w:tab/>
        <w:t>زيادة مشاركة الجماعات الاستطلاعية الممثلة حاليا تمثيلا ناقصا؛</w:t>
      </w:r>
    </w:p>
    <w:p w:rsidR="007023B4" w:rsidRDefault="007023B4" w:rsidP="00CB4FD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tl/>
          <w:lang w:bidi="ar-EG"/>
        </w:rPr>
        <w:tab/>
      </w:r>
      <w:r>
        <w:rPr>
          <w:rtl/>
          <w:lang w:bidi="ar-EG"/>
        </w:rPr>
        <w:tab/>
      </w:r>
      <w:r>
        <w:rPr>
          <w:rFonts w:hint="cs"/>
          <w:rtl/>
          <w:lang w:bidi="ar-EG"/>
        </w:rPr>
        <w:t>تضمين جدول الأعمال السياسي المسائل التي تهم الجماعات الاستطلاعية بصفة خاصة؛</w:t>
      </w:r>
    </w:p>
    <w:p w:rsidR="007023B4" w:rsidRDefault="007023B4" w:rsidP="00CB4FD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rFonts w:hint="cs"/>
          <w:rtl/>
          <w:lang w:bidi="ar-EG"/>
        </w:rPr>
        <w:tab/>
        <w:t>إقناع المجتمع بالقيمة المضافة للحكم السياسي المتنوع في تركيبه.</w:t>
      </w:r>
    </w:p>
    <w:p w:rsidR="007023B4" w:rsidRPr="00507986" w:rsidRDefault="007023B4" w:rsidP="007023B4">
      <w:pPr>
        <w:pStyle w:val="SingleTxt"/>
        <w:spacing w:after="0" w:line="120" w:lineRule="exact"/>
        <w:rPr>
          <w:rFonts w:hint="cs"/>
          <w:i/>
          <w:iCs/>
          <w:sz w:val="10"/>
          <w:rtl/>
          <w:lang w:bidi="ar-EG"/>
        </w:rPr>
      </w:pPr>
    </w:p>
    <w:p w:rsidR="007023B4" w:rsidRPr="00507986" w:rsidRDefault="00CB4FD6" w:rsidP="00CB4FD6">
      <w:pPr>
        <w:pStyle w:val="SingleTxt"/>
        <w:rPr>
          <w:rFonts w:hint="cs"/>
          <w:rtl/>
          <w:lang w:bidi="ar-EG"/>
        </w:rPr>
      </w:pPr>
      <w:r>
        <w:rPr>
          <w:rFonts w:hint="cs"/>
          <w:rtl/>
          <w:lang w:bidi="ar-EG"/>
        </w:rPr>
        <w:t xml:space="preserve">3-3-  </w:t>
      </w:r>
      <w:r w:rsidR="007023B4" w:rsidRPr="00507986">
        <w:rPr>
          <w:rFonts w:hint="cs"/>
          <w:rtl/>
          <w:lang w:bidi="ar-EG"/>
        </w:rPr>
        <w:t>الإجراء الثالث كان المحادثات على موائد الغذاء</w:t>
      </w:r>
    </w:p>
    <w:p w:rsidR="007023B4" w:rsidRDefault="007023B4" w:rsidP="007023B4">
      <w:pPr>
        <w:pStyle w:val="SingleTxt"/>
        <w:rPr>
          <w:rFonts w:hint="cs"/>
          <w:rtl/>
          <w:lang w:bidi="ar-EG"/>
        </w:rPr>
      </w:pPr>
      <w:r>
        <w:rPr>
          <w:rFonts w:hint="cs"/>
          <w:rtl/>
          <w:lang w:bidi="ar-EG"/>
        </w:rPr>
        <w:tab/>
        <w:t xml:space="preserve">بناء على طلب مقرري السياسات الفلمندية لتكافؤ الفرص، قامت عدة منظمات معانة بتنظيم محادثات على موائد الغداء بشأن مسألة التنوع في اتخاذ القرار. وفي هذه الاجتماعات تم الجمع بين المندوبين المحليين وممثلي الجماعات الاستطلاعية (المعوقين والنساء المهاجرات والمثليين والسحاقيات وثنائيي الجنس) لمناقشة كيفية إدراج زاوية تتعلق بتكافؤ الفرص تجاه الجماعات الاستطلاعية المذكورة في السياسة المحلية الجديدة. وفي حين أن الحملة المعنونة </w:t>
      </w:r>
      <w:r>
        <w:rPr>
          <w:rFonts w:hint="eastAsia"/>
          <w:rtl/>
          <w:lang w:bidi="ar-EG"/>
        </w:rPr>
        <w:t>”لا تفكر بشكل جامد ولا تصوت بفكر جامد</w:t>
      </w:r>
      <w:r>
        <w:rPr>
          <w:rFonts w:hint="cs"/>
          <w:rtl/>
          <w:lang w:bidi="ar-EG"/>
        </w:rPr>
        <w:t>“ كان لها هدف كمي (تعزيز التنوع في هيئات اتخاذ القرار السياسي)، فقد كانت للمحادثات على مائدة الغداء هدف نوعي (إيجاد مزيد من الاهتمام للاحتياجات الخاصة للجماعات الاستطلاعية النوعية في السياسة المتبعة).</w:t>
      </w:r>
    </w:p>
    <w:p w:rsidR="00CB4FD6" w:rsidRDefault="007023B4" w:rsidP="007023B4">
      <w:pPr>
        <w:pStyle w:val="SingleTxt"/>
        <w:rPr>
          <w:rFonts w:hint="cs"/>
          <w:rtl/>
          <w:lang w:bidi="ar-EG"/>
        </w:rPr>
      </w:pPr>
      <w:r>
        <w:rPr>
          <w:rFonts w:hint="cs"/>
          <w:rtl/>
          <w:lang w:bidi="ar-EG"/>
        </w:rPr>
        <w:tab/>
        <w:t xml:space="preserve">وفي هذا الإطار، فإن هيئة </w:t>
      </w:r>
      <w:r>
        <w:rPr>
          <w:rFonts w:hint="eastAsia"/>
          <w:rtl/>
          <w:lang w:bidi="ar-EG"/>
        </w:rPr>
        <w:t xml:space="preserve">”حقوق متساوية لأي شخص معوق </w:t>
      </w:r>
      <w:r>
        <w:rPr>
          <w:rFonts w:hint="cs"/>
          <w:rtl/>
          <w:lang w:bidi="ar-EG"/>
        </w:rPr>
        <w:t>”نظمت محادثة على مائدة الغداء حضرها 12 من السياسيين المحليين والإقليميين من مختلف الأحزاب السياسية ومختلف الأقاليم. وتحدثوا إلى عدد من الخبراء في ميدان التعويق حول إمكانيات إيلاء مزيد من الاهتمام للمعوقين في السياسة الإقليمية والإقليمية.</w:t>
      </w:r>
    </w:p>
    <w:p w:rsidR="007023B4" w:rsidRDefault="00CB4FD6" w:rsidP="00CB4FD6">
      <w:pPr>
        <w:pStyle w:val="SingleTxt"/>
        <w:rPr>
          <w:rFonts w:hint="cs"/>
          <w:rtl/>
          <w:lang w:bidi="ar-EG"/>
        </w:rPr>
      </w:pPr>
      <w:r>
        <w:rPr>
          <w:rFonts w:hint="cs"/>
          <w:rtl/>
          <w:lang w:bidi="ar-EG"/>
        </w:rPr>
        <w:tab/>
      </w:r>
      <w:r w:rsidR="007023B4">
        <w:rPr>
          <w:rFonts w:hint="cs"/>
          <w:rtl/>
          <w:lang w:bidi="ar-EG"/>
        </w:rPr>
        <w:t xml:space="preserve">وقام أيضا مجلس النساء الفلمنديات بتنظيم محادثات على مائدة الغداء فيما بين 4 و8 أيلول/سبتمبر في كل مقاطعة فلمندية وأعد لأول مرة مذكرة تتعلق بالسياسة الإقليمية لتكافؤ الفرص بين الرجل والمرأة. وخلال المحادثات على مائدة الغداء اختبرت هذه المذكرة في ضوء ممارسة وتجربة المندوبين البلديين والإقليميين. </w:t>
      </w:r>
    </w:p>
    <w:p w:rsidR="007023B4" w:rsidRDefault="007023B4" w:rsidP="007023B4">
      <w:pPr>
        <w:pStyle w:val="SingleTxt"/>
        <w:rPr>
          <w:rFonts w:hint="cs"/>
          <w:rtl/>
          <w:lang w:bidi="ar-EG"/>
        </w:rPr>
      </w:pPr>
      <w:r>
        <w:rPr>
          <w:rFonts w:hint="cs"/>
          <w:rtl/>
          <w:lang w:bidi="ar-EG"/>
        </w:rPr>
        <w:tab/>
        <w:t>وبعد انتخابات المجالس البلدية والإقليمية، نظم مركز الفتيات والنساء المهاجرات محادثات على مائدة الغداء في ثلاث مدن (أنتويرب وغنت وبروكسل). وسيقوم اتحاد المثليين والسحاقيات وثنائيي الجنس أيضا بتنظيم محادثات على مائدة الغداء بعد الانتخابات. والفكرة وراء هذه المحادثات هي أيضا إيلاء مزيد من الاهتمام على الصعيد المحلي للاحتياجات الخاصة للجماعات الاستطلاعية في سياسة تكافؤ الفرص.</w:t>
      </w:r>
    </w:p>
    <w:p w:rsidR="007023B4" w:rsidRPr="00D92C53" w:rsidRDefault="007023B4" w:rsidP="007023B4">
      <w:pPr>
        <w:pStyle w:val="H23"/>
        <w:spacing w:line="120" w:lineRule="exact"/>
        <w:rPr>
          <w:rFonts w:hint="cs"/>
          <w:sz w:val="10"/>
          <w:rtl/>
          <w:lang w:bidi="ar-EG"/>
        </w:rPr>
      </w:pPr>
    </w:p>
    <w:p w:rsidR="007023B4" w:rsidRPr="003E1F01" w:rsidRDefault="007023B4" w:rsidP="007023B4">
      <w:pPr>
        <w:pStyle w:val="H23"/>
        <w:spacing w:after="120"/>
        <w:rPr>
          <w:rFonts w:hint="cs"/>
          <w:rtl/>
          <w:lang w:bidi="ar-EG"/>
        </w:rPr>
      </w:pPr>
      <w:r>
        <w:rPr>
          <w:rFonts w:hint="cs"/>
          <w:rtl/>
          <w:lang w:bidi="ar-EG"/>
        </w:rPr>
        <w:tab/>
      </w:r>
      <w:r w:rsidRPr="003E1F01">
        <w:rPr>
          <w:rFonts w:hint="cs"/>
          <w:rtl/>
          <w:lang w:bidi="ar-EG"/>
        </w:rPr>
        <w:t>4 -</w:t>
      </w:r>
      <w:r w:rsidRPr="003E1F01">
        <w:rPr>
          <w:rFonts w:hint="cs"/>
          <w:rtl/>
          <w:lang w:bidi="ar-EG"/>
        </w:rPr>
        <w:tab/>
        <w:t>قوانين الحصص</w:t>
      </w:r>
    </w:p>
    <w:p w:rsidR="007023B4" w:rsidRDefault="007023B4" w:rsidP="007023B4">
      <w:pPr>
        <w:pStyle w:val="SingleTxt"/>
        <w:rPr>
          <w:rFonts w:hint="cs"/>
          <w:rtl/>
          <w:lang w:bidi="ar-EG"/>
        </w:rPr>
      </w:pPr>
      <w:r>
        <w:rPr>
          <w:rFonts w:hint="cs"/>
          <w:rtl/>
          <w:lang w:bidi="ar-EG"/>
        </w:rPr>
        <w:tab/>
        <w:t>عند الحديث عن اتخاذ القرار، فإننا نشير أيضا إلى الإجراءات المتعلقة بقوانين الحصص التي سبق ذكرها في المادة 2. وكما سبقت الإشارة، سوف يقدم مشروع القانون إلى البرلمان الفلمندي في فترة السياسة المقبلة. وإلى جانب ذلك، تم استحداث سياسة تكميلية لجعل القانون الجديد موضع قبول كلي في مختلف مجالات السياسة الفلمندية. وفي هذا الإطار سيتم إعداد مزيد من الوثائق القانونية، مثل الأمر الوزاري فيما يتعلق بالإجراء الاستثنائي والتعميم الوزاري. وسوف يتم أيضا بحث كيفية جمع معلومات عن تكوين الهيئات الفلمندية الاستشارية والإدارية وإدارة هذه المعلومات بطريقة مثلى. وأخيرا، ستتم دراسة كيفية تعديل تكوين الهيئات الفلمندية الاستشارية والإدارية التي لم يتم تكوينها حسب أحكام القانون.</w:t>
      </w:r>
    </w:p>
    <w:p w:rsidR="007023B4" w:rsidRPr="00D92C53" w:rsidRDefault="007023B4" w:rsidP="007023B4">
      <w:pPr>
        <w:pStyle w:val="H23"/>
        <w:spacing w:line="120" w:lineRule="exact"/>
        <w:rPr>
          <w:rFonts w:hint="cs"/>
          <w:sz w:val="10"/>
          <w:rtl/>
          <w:lang w:bidi="ar-EG"/>
        </w:rPr>
      </w:pPr>
    </w:p>
    <w:p w:rsidR="007023B4" w:rsidRPr="007579DF" w:rsidRDefault="007023B4" w:rsidP="007023B4">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lang w:bidi="ar-EG"/>
        </w:rPr>
      </w:pPr>
      <w:r>
        <w:rPr>
          <w:rFonts w:hint="cs"/>
          <w:rtl/>
          <w:lang w:bidi="ar-EG"/>
        </w:rPr>
        <w:tab/>
        <w:t>باء -</w:t>
      </w:r>
      <w:r>
        <w:rPr>
          <w:rFonts w:hint="cs"/>
          <w:rtl/>
          <w:lang w:bidi="ar-EG"/>
        </w:rPr>
        <w:tab/>
        <w:t>المجتمع الفرنسي</w:t>
      </w:r>
    </w:p>
    <w:p w:rsidR="007023B4" w:rsidRDefault="007023B4" w:rsidP="007023B4">
      <w:pPr>
        <w:pStyle w:val="SingleTxt"/>
        <w:rPr>
          <w:rFonts w:hint="cs"/>
          <w:rtl/>
          <w:lang w:bidi="ar-EG"/>
        </w:rPr>
      </w:pPr>
      <w:r>
        <w:rPr>
          <w:rFonts w:hint="cs"/>
          <w:rtl/>
          <w:lang w:bidi="ar-EG"/>
        </w:rPr>
        <w:tab/>
        <w:t>يضم برلمان المجتمع الفرنسي حاليا 24 امرأة من بين الـ 93 نائبا الذين يتألف منهم البرلمان (21.5 في المائة). وتتألف حكومة المجتمع الفرنسي من 4 وزيرات من أصل 6</w:t>
      </w:r>
      <w:r>
        <w:rPr>
          <w:rFonts w:hint="eastAsia"/>
          <w:rtl/>
          <w:lang w:bidi="ar-EG"/>
        </w:rPr>
        <w:t> </w:t>
      </w:r>
      <w:r>
        <w:rPr>
          <w:rFonts w:hint="cs"/>
          <w:rtl/>
          <w:lang w:bidi="ar-EG"/>
        </w:rPr>
        <w:t>(66.7 في المائة). والحقائب التي تشغلها النساء هي التالي: الرئاسة، التعليم الإلزامي، التعليم العالي والبحث، العلاقات الدولية، الثقافة والوسائل السمعية والبصرية، النهوض بالصحة والطفولة.</w:t>
      </w:r>
    </w:p>
    <w:p w:rsidR="007023B4" w:rsidRDefault="007023B4" w:rsidP="007023B4">
      <w:pPr>
        <w:pStyle w:val="SingleTxt"/>
        <w:rPr>
          <w:rFonts w:hint="cs"/>
          <w:rtl/>
          <w:lang w:bidi="ar-EG"/>
        </w:rPr>
      </w:pPr>
      <w:r>
        <w:rPr>
          <w:rFonts w:hint="cs"/>
          <w:rtl/>
          <w:lang w:bidi="ar-EG"/>
        </w:rPr>
        <w:tab/>
        <w:t>وفضلا عن ذلك، تحظى مشروعات عديدة تهدف إلى النهوض بمشاركة المرأة في السياسة بدعم مالي كل سنة، في إطار السياسة الإقليمية لتكافؤ الفرص وإعانة الجمعيات.</w:t>
      </w:r>
    </w:p>
    <w:p w:rsidR="007023B4" w:rsidRDefault="007023B4" w:rsidP="007023B4">
      <w:pPr>
        <w:pStyle w:val="SingleTxt"/>
        <w:rPr>
          <w:rFonts w:hint="cs"/>
          <w:rtl/>
          <w:lang w:bidi="ar-EG"/>
        </w:rPr>
      </w:pPr>
      <w:r>
        <w:rPr>
          <w:rFonts w:hint="cs"/>
          <w:rtl/>
          <w:lang w:bidi="ar-EG"/>
        </w:rPr>
        <w:tab/>
        <w:t>وأقرت حكومة المجتمع الفرنسي، في 17 تموز/يوليه 2002، مرسوما يستهدف النهوض بالمشاركة المتوازنة للرجل والمرأة في الأجهزة الاستشارية (الجريدة الرسمية الصادرة في 13 أيلول/سبتمبر 2002). ويقضي هذا المرسوم بصفة خاصة بأن رجل وامرأة على الأقل بصفة عضوين أصليين واحتياطيين في الأجهزة الاستشارية، وأن تضم هذه الأجهزة ما</w:t>
      </w:r>
      <w:r>
        <w:rPr>
          <w:rFonts w:hint="eastAsia"/>
          <w:rtl/>
          <w:lang w:bidi="ar-EG"/>
        </w:rPr>
        <w:t> </w:t>
      </w:r>
      <w:r>
        <w:rPr>
          <w:rFonts w:hint="cs"/>
          <w:rtl/>
          <w:lang w:bidi="ar-EG"/>
        </w:rPr>
        <w:t>لا يقل عن 35 في المائة من كل جنس.</w:t>
      </w:r>
    </w:p>
    <w:p w:rsidR="007023B4" w:rsidRDefault="007023B4" w:rsidP="007023B4">
      <w:pPr>
        <w:pStyle w:val="SingleTxt"/>
        <w:rPr>
          <w:rFonts w:hint="cs"/>
          <w:rtl/>
          <w:lang w:bidi="ar-EG"/>
        </w:rPr>
      </w:pPr>
      <w:r>
        <w:rPr>
          <w:rFonts w:hint="cs"/>
          <w:rtl/>
          <w:lang w:bidi="ar-EG"/>
        </w:rPr>
        <w:tab/>
        <w:t>وبغية إلقاء مزيد من الضوء على الالتزام بالتمثيل المتوازن للرجل والمرأة في الأجهزة الاستشارية، أعدت إدارة تكافؤ الفرص ونشرت في عام 2004 كتيبا إعلاميا يوضح مختلف الالتزامات المنبثقة عن المرسوم الصادر في 17 تموز/يوليه 2002.</w:t>
      </w:r>
    </w:p>
    <w:p w:rsidR="007023B4" w:rsidRDefault="007023B4" w:rsidP="007023B4">
      <w:pPr>
        <w:pStyle w:val="SingleTxt"/>
        <w:rPr>
          <w:rFonts w:hint="cs"/>
          <w:rtl/>
          <w:lang w:bidi="ar-EG"/>
        </w:rPr>
      </w:pPr>
      <w:r>
        <w:rPr>
          <w:rFonts w:hint="cs"/>
          <w:rtl/>
          <w:lang w:bidi="ar-EG"/>
        </w:rPr>
        <w:tab/>
        <w:t>وينص المرسوم أيضا على وجوب تقديم الحكومة تقريرا عن تقييم المرسوم إلى البرلمان كل سنتين. وهكذا، قامت إدارة تكافؤ الفرص، في الفترة 2005/2006، بإجراء تقييم للمرسوم. وأتاح هذا التقييم، فضلا عن الاستجابة للالتزام الوارد في المرسوم المذكور، بيان العقبات والعوائق العملية الموجودة في التطبيق الفعال لهذا المرسوم في الأجهزة الاستشارية، وتحليل العقبات القائمة في التنفيذ، والتقدم بمقترحات لإجراء تنقيح احتمالي للمرسوم، واستخلاص دروس بغية التوسع في نهاية الأمر في تطبيق التشريعات النوعية الرامية إلى تحقيق التمثيل المتوازن للرجل والمرأة في أجهزة اتخاذ القرار في المجتمع الفرنسي. ويجري حاليا دراسة التقرير المتعلق بالتقييم والمقدم في حزيران/يونيه 2006.</w:t>
      </w:r>
    </w:p>
    <w:p w:rsidR="00CB4FD6" w:rsidRDefault="007023B4" w:rsidP="007023B4">
      <w:pPr>
        <w:pStyle w:val="SingleTxt"/>
        <w:rPr>
          <w:rFonts w:hint="cs"/>
          <w:rtl/>
          <w:lang w:bidi="ar-EG"/>
        </w:rPr>
      </w:pPr>
      <w:r>
        <w:rPr>
          <w:rFonts w:hint="cs"/>
          <w:rtl/>
          <w:lang w:bidi="ar-EG"/>
        </w:rPr>
        <w:tab/>
        <w:t xml:space="preserve">وعلى مستوى الإدارة العامة للموظفين والخدمة العامة، يمكن ملاحظة أن الوجود المتوازن يحترم بدقة في مجلس التدريب. وعلى الرغم من أن </w:t>
      </w:r>
      <w:r>
        <w:rPr>
          <w:rFonts w:hint="eastAsia"/>
          <w:rtl/>
          <w:lang w:bidi="ar-EG"/>
        </w:rPr>
        <w:t>”مبدأ التمثيل المتوازن بين الجنسين</w:t>
      </w:r>
      <w:r>
        <w:rPr>
          <w:rFonts w:hint="cs"/>
          <w:rtl/>
          <w:lang w:bidi="ar-EG"/>
        </w:rPr>
        <w:t>“ ينطبق تلقائيا بالفعل منذ عام 1998، فإن مشاريع أوامر مختلفة تتجه حاليا إلى الأخذ بهذا المبدأ بشكل رسمي. وبصفة عامة، يشكل السعي إلى التمثيل المتوازن جزءا في حقيقة الأمر من ثقافة المجتمع الفرنسي، مثلما يتعلق الأمر بتعيين أعضاء محتملين يجلسون في غرف النقض، أو في الاجتماعات التي تضم ممثلي (ممثلات) السلطة إلى جانب ممثلي (ممثلات) المنظمات النقابية.</w:t>
      </w:r>
    </w:p>
    <w:p w:rsidR="007023B4" w:rsidRDefault="00CB4FD6" w:rsidP="00CB4FD6">
      <w:pPr>
        <w:pStyle w:val="SingleTxt"/>
        <w:rPr>
          <w:rFonts w:hint="cs"/>
          <w:rtl/>
          <w:lang w:bidi="ar-EG"/>
        </w:rPr>
      </w:pPr>
      <w:r>
        <w:rPr>
          <w:rFonts w:hint="cs"/>
          <w:rtl/>
          <w:lang w:bidi="ar-EG"/>
        </w:rPr>
        <w:tab/>
      </w:r>
      <w:r w:rsidR="007023B4">
        <w:rPr>
          <w:rFonts w:hint="cs"/>
          <w:rtl/>
          <w:lang w:bidi="ar-EG"/>
        </w:rPr>
        <w:t>وفضلا عن ذلك، فإن إحصاءات الموظفين، موزعة حسب المستويات والرتب والجنس، تعبر عن احترام المساواة التي تطبقها الإدارة العامة.</w:t>
      </w:r>
    </w:p>
    <w:p w:rsidR="007023B4" w:rsidRPr="00334B7E" w:rsidRDefault="007023B4" w:rsidP="007023B4">
      <w:pPr>
        <w:pStyle w:val="H23"/>
        <w:spacing w:line="120" w:lineRule="exact"/>
        <w:rPr>
          <w:rFonts w:hint="cs"/>
          <w:sz w:val="10"/>
          <w:rtl/>
          <w:lang w:bidi="ar-EG"/>
        </w:rPr>
      </w:pPr>
    </w:p>
    <w:p w:rsidR="007023B4" w:rsidRPr="00CE668A" w:rsidRDefault="007023B4" w:rsidP="007023B4">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lang w:bidi="ar-EG"/>
        </w:rPr>
      </w:pPr>
      <w:r>
        <w:rPr>
          <w:rFonts w:hint="cs"/>
          <w:rtl/>
          <w:lang w:bidi="ar-EG"/>
        </w:rPr>
        <w:tab/>
        <w:t>جيم - إقليم والون</w:t>
      </w:r>
    </w:p>
    <w:p w:rsidR="007023B4" w:rsidRDefault="007023B4" w:rsidP="007023B4">
      <w:pPr>
        <w:pStyle w:val="SingleTxt"/>
        <w:rPr>
          <w:rFonts w:hint="cs"/>
          <w:rtl/>
          <w:lang w:bidi="ar-EG"/>
        </w:rPr>
      </w:pPr>
      <w:r>
        <w:rPr>
          <w:rFonts w:hint="cs"/>
          <w:rtl/>
          <w:lang w:bidi="ar-EG"/>
        </w:rPr>
        <w:tab/>
        <w:t>في أعقاب تطبيق القانون الخاص الصادر في 18 تموز/يوليه 2002، والذي يكفل وجودا متساويا للرجل والمرأة في قوائم المرشحين للانتخابات الإقليمية التي جرت في 13 حزيران/يونيه 2004، ارتفعت النسبة المئوية للمنتخبات إلى 18.7 في المائة (10.7 في المائية في أعقاب انتخابات عام 1999).</w:t>
      </w:r>
    </w:p>
    <w:p w:rsidR="007023B4" w:rsidRDefault="007023B4" w:rsidP="007023B4">
      <w:pPr>
        <w:pStyle w:val="SingleTxt"/>
        <w:rPr>
          <w:rFonts w:hint="cs"/>
          <w:rtl/>
          <w:lang w:bidi="ar-EG"/>
        </w:rPr>
      </w:pPr>
      <w:r>
        <w:rPr>
          <w:rFonts w:hint="cs"/>
          <w:rtl/>
          <w:lang w:bidi="ar-EG"/>
        </w:rPr>
        <w:tab/>
        <w:t>ويضم مجلس والون الإقليمي حاليا 16 امرأة من بين الـ 75 نائبا الذين يتألف منهم (21.3 في المائة). وتضم حكومة إقليم والون حاليا 3 نساء من بين 9 وزراء تتألف منهم الحكومة (33.3 في المائة).</w:t>
      </w:r>
    </w:p>
    <w:p w:rsidR="007023B4" w:rsidRDefault="007023B4" w:rsidP="007023B4">
      <w:pPr>
        <w:pStyle w:val="SingleTxt"/>
        <w:rPr>
          <w:rFonts w:hint="cs"/>
          <w:rtl/>
          <w:lang w:bidi="ar-EG"/>
        </w:rPr>
      </w:pPr>
      <w:r>
        <w:rPr>
          <w:rFonts w:hint="cs"/>
          <w:rtl/>
          <w:lang w:bidi="ar-EG"/>
        </w:rPr>
        <w:tab/>
        <w:t>وفيما بين عامي 2002 و 2006، أقرت حكومة والون أحكاما تشريعية وتنظيمية جديدة تسهم في الحد من أنواع التمييز ضد المرأة على المستوى الإقليمي.</w:t>
      </w:r>
    </w:p>
    <w:p w:rsidR="007023B4" w:rsidRDefault="007023B4" w:rsidP="00CB4FD6">
      <w:pPr>
        <w:pStyle w:val="SingleTxt"/>
        <w:rPr>
          <w:rFonts w:hint="cs"/>
          <w:rtl/>
          <w:lang w:bidi="ar-EG"/>
        </w:rPr>
      </w:pPr>
      <w:r>
        <w:rPr>
          <w:rFonts w:hint="cs"/>
          <w:rtl/>
          <w:lang w:bidi="ar-EG"/>
        </w:rPr>
        <w:tab/>
        <w:t>المرسوم المؤرخ 22 تشرين الثاني/نوفمبر 2002 بشأن متابعة قرارات مؤتمر الأمم المتحدة المعني بالمرأة في بيجين؛</w:t>
      </w:r>
    </w:p>
    <w:p w:rsidR="007023B4" w:rsidRDefault="007023B4" w:rsidP="00CB4FD6">
      <w:pPr>
        <w:pStyle w:val="SingleTxt"/>
        <w:rPr>
          <w:rFonts w:hint="cs"/>
          <w:rtl/>
          <w:lang w:bidi="ar-EG"/>
        </w:rPr>
      </w:pPr>
      <w:r>
        <w:rPr>
          <w:rFonts w:hint="cs"/>
          <w:rtl/>
          <w:lang w:bidi="ar-EG"/>
        </w:rPr>
        <w:tab/>
        <w:t>المراسيم الصادرة في 15 أيار/مايو 2003 والتي تعزز الوجود المتوازن للرجل والمرأة في الأجهزة الاستشارية؛</w:t>
      </w:r>
    </w:p>
    <w:p w:rsidR="007023B4" w:rsidRDefault="007023B4" w:rsidP="00CB4FD6">
      <w:pPr>
        <w:pStyle w:val="SingleTxt"/>
        <w:rPr>
          <w:rFonts w:hint="cs"/>
          <w:rtl/>
          <w:lang w:bidi="ar-EG"/>
        </w:rPr>
      </w:pPr>
      <w:r>
        <w:rPr>
          <w:rFonts w:hint="cs"/>
          <w:rtl/>
          <w:lang w:bidi="ar-EG"/>
        </w:rPr>
        <w:tab/>
        <w:t>أمر حكومة والون الصادر في 10 تموز/يوليه 2003 بشأن إنشاء مجلس للمساواة بين الرجل والمرأة في والون.</w:t>
      </w:r>
    </w:p>
    <w:p w:rsidR="007023B4" w:rsidRDefault="007023B4" w:rsidP="007023B4">
      <w:pPr>
        <w:pStyle w:val="SingleTxt"/>
        <w:rPr>
          <w:rFonts w:hint="cs"/>
          <w:rtl/>
          <w:lang w:bidi="ar-EG"/>
        </w:rPr>
      </w:pPr>
      <w:r>
        <w:rPr>
          <w:rFonts w:hint="cs"/>
          <w:rtl/>
          <w:lang w:bidi="ar-EG"/>
        </w:rPr>
        <w:tab/>
        <w:t>وعلى المستوى المجتمعي، تسهم عدة أحكام لقانون الديمقراطية الإقليمية واللامركزية، الذي اعتمدته حكومة والون، في كفالة وجود متزايد للمرأة على مسرح السياسة الإقليمية.</w:t>
      </w:r>
    </w:p>
    <w:p w:rsidR="007023B4" w:rsidRDefault="007023B4" w:rsidP="007023B4">
      <w:pPr>
        <w:pStyle w:val="SingleTxt"/>
        <w:rPr>
          <w:rFonts w:hint="cs"/>
          <w:rtl/>
          <w:lang w:bidi="ar-EG"/>
        </w:rPr>
      </w:pPr>
      <w:r>
        <w:rPr>
          <w:rFonts w:hint="cs"/>
          <w:rtl/>
          <w:lang w:bidi="ar-EG"/>
        </w:rPr>
        <w:tab/>
        <w:t>وفي القوائم الانتخابية، فإن الفجوة بين عدد المرشحين من كل جنس لا يمكن أن تزيد على شخص واحد. وإلى جانب ذلك فإن المرشحين الاثنين الأولين في كل قائمة لا</w:t>
      </w:r>
      <w:r>
        <w:rPr>
          <w:rFonts w:hint="eastAsia"/>
          <w:rtl/>
          <w:lang w:bidi="ar-EG"/>
        </w:rPr>
        <w:t> </w:t>
      </w:r>
      <w:r>
        <w:rPr>
          <w:rFonts w:hint="cs"/>
          <w:rtl/>
          <w:lang w:bidi="ar-EG"/>
        </w:rPr>
        <w:t>يمكن أن يكونا من نفس الجنس.</w:t>
      </w:r>
    </w:p>
    <w:p w:rsidR="007023B4" w:rsidRDefault="007023B4" w:rsidP="007023B4">
      <w:pPr>
        <w:pStyle w:val="SingleTxt"/>
        <w:rPr>
          <w:rFonts w:hint="cs"/>
          <w:rtl/>
          <w:lang w:bidi="ar-EG"/>
        </w:rPr>
      </w:pPr>
      <w:r>
        <w:rPr>
          <w:rFonts w:hint="cs"/>
          <w:rtl/>
          <w:lang w:bidi="ar-EG"/>
        </w:rPr>
        <w:tab/>
        <w:t>والهيئات المجتمعية في والون (الأجهزة التنفيذية على المستوى المجتمعي) ينبغي أن تتشكل من أعضاء مختلفي الجنس. وعلى الصعيد الإقليمي، فإن الالتزام بوجود متوازن للجنسين في القوائم الانتخابية، وكذلك على مستوى الهيئات الإقليمية، مطبق أيضا.</w:t>
      </w:r>
    </w:p>
    <w:p w:rsidR="007023B4" w:rsidRDefault="007023B4" w:rsidP="007023B4">
      <w:pPr>
        <w:pStyle w:val="SingleTxt"/>
        <w:rPr>
          <w:rFonts w:hint="cs"/>
          <w:rtl/>
          <w:lang w:bidi="ar-EG"/>
        </w:rPr>
      </w:pPr>
      <w:r>
        <w:rPr>
          <w:rFonts w:hint="cs"/>
          <w:rtl/>
          <w:lang w:bidi="ar-EG"/>
        </w:rPr>
        <w:tab/>
        <w:t>وفي الانتخابات التي أجريت في 8 تشرين الأول/أكتوبر 2006، انتخب 32 في المائة من النساء على المستوى المجتمعي (وكانت النسبة 26 في المائة في أعقاب انتخابات عام 2000) وقرابة 38 في المائة على المستوى الإقليمي (وكانت النسبة 29 في المائة في انتخابات عام 2000).</w:t>
      </w:r>
    </w:p>
    <w:p w:rsidR="007023B4" w:rsidRDefault="007023B4" w:rsidP="007023B4">
      <w:pPr>
        <w:pStyle w:val="SingleTxt"/>
        <w:rPr>
          <w:rFonts w:hint="cs"/>
          <w:rtl/>
          <w:lang w:bidi="ar-EG"/>
        </w:rPr>
      </w:pPr>
      <w:r>
        <w:rPr>
          <w:rFonts w:hint="cs"/>
          <w:rtl/>
          <w:lang w:bidi="ar-EG"/>
        </w:rPr>
        <w:tab/>
        <w:t>وينبغي أن تتألف المجالس الاستشارية التي ينشئها المجلس المجتمعي أيضا من ثلثي الأعضاء من الجنس ذاته كحد أقصى. وفي حالة عدم احترام هذا الشرط، فإن مشورة المجلس المعني لا تكون صادرة بطريقة صحيحة. والمخالفات لهذا الشرط يمكن للمجلس المجتمعي أن يوافق عليها وفقا لإجراء محدد. وينبغي أن يضم مجلس الإدارة المشترك بين المجتمعات (رابطة للمجتمعات مهمتها تحقيق هدف من أهداف المصلحة العامة) أيضا عضوا من كل جنس على الأقل.</w:t>
      </w:r>
    </w:p>
    <w:p w:rsidR="007023B4" w:rsidRPr="00916E2B" w:rsidRDefault="007023B4" w:rsidP="007023B4">
      <w:pPr>
        <w:pStyle w:val="H23"/>
        <w:spacing w:line="120" w:lineRule="exact"/>
        <w:rPr>
          <w:rFonts w:hint="cs"/>
          <w:sz w:val="10"/>
          <w:rtl/>
          <w:lang w:bidi="ar-EG"/>
        </w:rPr>
      </w:pPr>
    </w:p>
    <w:p w:rsidR="007023B4" w:rsidRPr="00CE668A" w:rsidRDefault="007023B4" w:rsidP="007023B4">
      <w:pPr>
        <w:pStyle w:val="H23"/>
        <w:spacing w:after="120"/>
        <w:rPr>
          <w:rFonts w:hint="cs"/>
          <w:rtl/>
          <w:lang w:bidi="ar-EG"/>
        </w:rPr>
      </w:pPr>
      <w:r>
        <w:rPr>
          <w:rFonts w:hint="cs"/>
          <w:rtl/>
          <w:lang w:bidi="ar-EG"/>
        </w:rPr>
        <w:tab/>
      </w:r>
      <w:r w:rsidRPr="00CE668A">
        <w:rPr>
          <w:rFonts w:hint="cs"/>
          <w:rtl/>
          <w:lang w:bidi="ar-EG"/>
        </w:rPr>
        <w:t>دال -</w:t>
      </w:r>
      <w:r w:rsidRPr="00CE668A">
        <w:rPr>
          <w:rFonts w:hint="cs"/>
          <w:rtl/>
          <w:lang w:bidi="ar-EG"/>
        </w:rPr>
        <w:tab/>
        <w:t>إقليم بروكسل العاصمة</w:t>
      </w:r>
    </w:p>
    <w:p w:rsidR="00B105BA" w:rsidRDefault="007023B4" w:rsidP="007023B4">
      <w:pPr>
        <w:pStyle w:val="SingleTxt"/>
        <w:rPr>
          <w:rFonts w:hint="cs"/>
          <w:rtl/>
          <w:lang w:bidi="ar-EG"/>
        </w:rPr>
      </w:pPr>
      <w:r>
        <w:rPr>
          <w:rFonts w:hint="cs"/>
          <w:rtl/>
          <w:lang w:bidi="ar-EG"/>
        </w:rPr>
        <w:tab/>
        <w:t>في أعقاب تنفيذ القانون الخاص الصادر في 18 تموز/يوليه 2002 والذي يكفل وجودا متساويا للرجل والمرأة على قوائم المرشحين للانتخابات الإقليمية التي جرت في 13 حزيران/يونيه 2004، ارتفعت النسبة المئوية للمنتخبات إلى 46.07 في المائة (وكانت النسبة 34.67 في المائة في أعقاب انتخابات عام 1999).</w:t>
      </w:r>
    </w:p>
    <w:p w:rsidR="007023B4" w:rsidRDefault="00B105BA" w:rsidP="00B105BA">
      <w:pPr>
        <w:pStyle w:val="SingleTxt"/>
        <w:rPr>
          <w:rFonts w:hint="cs"/>
          <w:rtl/>
          <w:lang w:bidi="ar-EG"/>
        </w:rPr>
      </w:pPr>
      <w:r>
        <w:rPr>
          <w:rFonts w:hint="cs"/>
          <w:rtl/>
          <w:lang w:bidi="ar-EG"/>
        </w:rPr>
        <w:tab/>
      </w:r>
      <w:r w:rsidR="007023B4">
        <w:rPr>
          <w:rFonts w:hint="cs"/>
          <w:rtl/>
          <w:lang w:bidi="ar-EG"/>
        </w:rPr>
        <w:t>ويضم برلمان إقليم بروكسل العاصمة حاليا 36 امرأة من بين النواب الـ89 الذين يتألف منهم (40.4 في المائة). وتضم حكومة إقليم بروكسل العاصمة حاليا 3 نساء من بين الوزراء الـ</w:t>
      </w:r>
      <w:r w:rsidR="007023B4">
        <w:rPr>
          <w:rFonts w:hint="eastAsia"/>
          <w:rtl/>
          <w:lang w:bidi="ar-EG"/>
        </w:rPr>
        <w:t> </w:t>
      </w:r>
      <w:r w:rsidR="007023B4">
        <w:rPr>
          <w:rFonts w:hint="cs"/>
          <w:rtl/>
          <w:lang w:bidi="ar-EG"/>
        </w:rPr>
        <w:t>8 الذين تتألف منهم (37.5 في المائة).</w:t>
      </w:r>
    </w:p>
    <w:p w:rsidR="007023B4" w:rsidRPr="00916E2B" w:rsidRDefault="007023B4" w:rsidP="007023B4">
      <w:pPr>
        <w:pStyle w:val="H23"/>
        <w:spacing w:line="120" w:lineRule="exact"/>
        <w:rPr>
          <w:rFonts w:hint="cs"/>
          <w:sz w:val="10"/>
          <w:rtl/>
          <w:lang w:bidi="ar-EG"/>
        </w:rPr>
      </w:pPr>
    </w:p>
    <w:p w:rsidR="007023B4" w:rsidRPr="005A2ACB" w:rsidRDefault="007023B4" w:rsidP="007023B4">
      <w:pPr>
        <w:pStyle w:val="H23"/>
        <w:spacing w:after="120"/>
        <w:rPr>
          <w:rFonts w:hint="cs"/>
          <w:rtl/>
          <w:lang w:bidi="ar-EG"/>
        </w:rPr>
      </w:pPr>
      <w:r>
        <w:rPr>
          <w:rFonts w:hint="cs"/>
          <w:rtl/>
          <w:lang w:bidi="ar-EG"/>
        </w:rPr>
        <w:tab/>
        <w:t>1 -</w:t>
      </w:r>
      <w:r>
        <w:rPr>
          <w:rFonts w:hint="cs"/>
          <w:rtl/>
          <w:lang w:bidi="ar-EG"/>
        </w:rPr>
        <w:tab/>
        <w:t>القوانين التشريعية</w:t>
      </w:r>
    </w:p>
    <w:p w:rsidR="007023B4" w:rsidRDefault="007023B4" w:rsidP="007023B4">
      <w:pPr>
        <w:pStyle w:val="SingleTxt"/>
        <w:rPr>
          <w:rFonts w:hint="cs"/>
          <w:rtl/>
          <w:lang w:bidi="ar-EG"/>
        </w:rPr>
      </w:pPr>
      <w:r>
        <w:rPr>
          <w:rFonts w:hint="cs"/>
          <w:rtl/>
          <w:lang w:bidi="ar-EG"/>
        </w:rPr>
        <w:tab/>
        <w:t>منذ عام 2005</w:t>
      </w:r>
      <w:r w:rsidRPr="005A2ACB">
        <w:rPr>
          <w:vertAlign w:val="superscript"/>
          <w:rtl/>
          <w:lang w:bidi="ar-EG"/>
        </w:rPr>
        <w:t>(</w:t>
      </w:r>
      <w:r>
        <w:rPr>
          <w:rStyle w:val="FootnoteReference"/>
          <w:rtl/>
        </w:rPr>
        <w:footnoteReference w:id="34"/>
      </w:r>
      <w:r w:rsidRPr="005A2ACB">
        <w:rPr>
          <w:vertAlign w:val="superscript"/>
          <w:rtl/>
          <w:lang w:bidi="ar-EG"/>
        </w:rPr>
        <w:t>)</w:t>
      </w:r>
      <w:r>
        <w:rPr>
          <w:rFonts w:hint="cs"/>
          <w:rtl/>
          <w:lang w:bidi="ar-EG"/>
        </w:rPr>
        <w:t>، لا يجوز أن يزيد الفرق بين عدد المرشحين من كل جنس، المدرجين على كل من القوائم الانتخابية المقدمة في إطار الانتخابات المجتمعية، على واحد، وينبغي أن يكون المرشحين الأولين الاثنين من جنس مختلف. والأحزاب المختلفة ملزمة بذلك بأن تشكل قوائم مرشحيها بالتساوي. والحث على التوافق مع ذلك، في نظام لفحص القوائم، فعال للغاية، نظرا لأن عدم احترام هذه الأحكام يؤدي إلى بطلان القائمة.</w:t>
      </w:r>
    </w:p>
    <w:p w:rsidR="007023B4" w:rsidRDefault="007023B4" w:rsidP="007023B4">
      <w:pPr>
        <w:pStyle w:val="SingleTxt"/>
        <w:rPr>
          <w:rFonts w:hint="cs"/>
          <w:rtl/>
          <w:lang w:bidi="ar-EG"/>
        </w:rPr>
      </w:pPr>
      <w:r>
        <w:rPr>
          <w:rFonts w:hint="cs"/>
          <w:rtl/>
          <w:lang w:bidi="ar-EG"/>
        </w:rPr>
        <w:tab/>
        <w:t>وفي أعقاب الانتخابات المجتمعية في تشرين الأول/أكتوبر 2006، كان أكثر من 42 في المائة من المنتخبين في بروكسل من النساء (42.23 في المائة)، في حين كانت نسبتهن 38 في المائة في أعقاب انتخابات عام 2000.</w:t>
      </w:r>
    </w:p>
    <w:p w:rsidR="007023B4" w:rsidRDefault="007023B4" w:rsidP="007023B4">
      <w:pPr>
        <w:pStyle w:val="SingleTxt"/>
        <w:rPr>
          <w:rFonts w:hint="cs"/>
          <w:rtl/>
          <w:lang w:bidi="ar-EG"/>
        </w:rPr>
      </w:pPr>
      <w:r>
        <w:rPr>
          <w:rFonts w:hint="cs"/>
          <w:rtl/>
          <w:lang w:bidi="ar-EG"/>
        </w:rPr>
        <w:tab/>
        <w:t>وينبغي أن يكون ثلثا الأعضاء على الأكثر في الأجهزة الاستشارية الإقليمية من الجنس ذاته. وعدم احترام هذه القاعدة يؤدي إلى بطلان المشورة المقدمة</w:t>
      </w:r>
      <w:r w:rsidRPr="0056795A">
        <w:rPr>
          <w:vertAlign w:val="superscript"/>
          <w:rtl/>
          <w:lang w:bidi="ar-EG"/>
        </w:rPr>
        <w:t>(</w:t>
      </w:r>
      <w:r>
        <w:rPr>
          <w:rStyle w:val="FootnoteReference"/>
          <w:rtl/>
        </w:rPr>
        <w:footnoteReference w:id="35"/>
      </w:r>
      <w:r w:rsidRPr="0056795A">
        <w:rPr>
          <w:vertAlign w:val="superscript"/>
          <w:rtl/>
          <w:lang w:bidi="ar-EG"/>
        </w:rPr>
        <w:t>)</w:t>
      </w:r>
      <w:r>
        <w:rPr>
          <w:rFonts w:hint="cs"/>
          <w:rtl/>
          <w:lang w:bidi="ar-EG"/>
        </w:rPr>
        <w:t>.</w:t>
      </w:r>
    </w:p>
    <w:p w:rsidR="007023B4" w:rsidRDefault="007023B4" w:rsidP="007023B4">
      <w:pPr>
        <w:pStyle w:val="SingleTxt"/>
        <w:rPr>
          <w:rFonts w:hint="cs"/>
          <w:rtl/>
          <w:lang w:bidi="ar-EG"/>
        </w:rPr>
      </w:pPr>
      <w:r>
        <w:rPr>
          <w:rFonts w:hint="cs"/>
          <w:rtl/>
          <w:lang w:bidi="ar-EG"/>
        </w:rPr>
        <w:tab/>
        <w:t>ويشير استجواب جرى في عام 2004 للوزراء ووزراء الدولة بشأن حالة تمثيل المرأة والرجل في الأجهزة الاستشارية، إلى أنه من بين 22 جهازا استشاريا إقليميا تم الحصول على أرقام بشأنها، لم يلتزم 11 منها بالأمر. ولم يكن أي من الأجهزة التشريعية يضم الثلث على الأقل من الرجال، ولكن النصف من بينها كان يضم أقل من الثلث من النساء. وبعض الأجهزة الاستشارية كانت لا تضم حتى امرأة واحدة بين أعضائها</w:t>
      </w:r>
      <w:r w:rsidRPr="0056795A">
        <w:rPr>
          <w:vertAlign w:val="superscript"/>
          <w:rtl/>
          <w:lang w:bidi="ar-EG"/>
        </w:rPr>
        <w:t>(</w:t>
      </w:r>
      <w:r>
        <w:rPr>
          <w:rStyle w:val="FootnoteReference"/>
          <w:rtl/>
        </w:rPr>
        <w:footnoteReference w:id="36"/>
      </w:r>
      <w:r w:rsidRPr="0056795A">
        <w:rPr>
          <w:vertAlign w:val="superscript"/>
          <w:rtl/>
          <w:lang w:bidi="ar-EG"/>
        </w:rPr>
        <w:t>)</w:t>
      </w:r>
      <w:r>
        <w:rPr>
          <w:rFonts w:hint="cs"/>
          <w:rtl/>
          <w:lang w:bidi="ar-EG"/>
        </w:rPr>
        <w:t>. وفي أواخر أيلول/سبتمبر 2005، قدم وزير الدولة لتكافؤ الفرص تقريرا إلى البرلمان حول هذا الموضوع. وأشار إلى أن معظم المجالس الاستشارية يفي بالشروط. وليس من المعروف بطريقة منهجية عدد الطلبات المسببة الرامية إلى الاستفادة من خرق قاعدة الثلثين. وفي غالبية الحالات، كان نقص المرشحات هو السبب المتذرع به لالتماس مخالفة القاعدة.</w:t>
      </w:r>
    </w:p>
    <w:p w:rsidR="007023B4" w:rsidRDefault="007023B4" w:rsidP="007023B4">
      <w:pPr>
        <w:pStyle w:val="SingleTxt"/>
        <w:spacing w:line="360" w:lineRule="exact"/>
        <w:ind w:left="1264" w:right="1264"/>
        <w:rPr>
          <w:rFonts w:hint="cs"/>
          <w:rtl/>
          <w:lang w:bidi="ar-EG"/>
        </w:rPr>
      </w:pPr>
      <w:r>
        <w:rPr>
          <w:rFonts w:hint="cs"/>
          <w:rtl/>
          <w:lang w:bidi="ar-EG"/>
        </w:rPr>
        <w:tab/>
      </w:r>
      <w:r>
        <w:rPr>
          <w:rFonts w:hint="cs"/>
          <w:rtl/>
          <w:lang w:bidi="ar-EG"/>
        </w:rPr>
        <w:tab/>
        <w:t xml:space="preserve">وتنص المادة 120 مكررا من القانون المجتمعي الجديد على أن باستطاعة المجلس المجتمعي إسداء نصائح استشارية. ويفهم من عبارة </w:t>
      </w:r>
      <w:r>
        <w:rPr>
          <w:rFonts w:hint="eastAsia"/>
          <w:rtl/>
          <w:lang w:bidi="ar-EG"/>
        </w:rPr>
        <w:t>”المجالس الاستشارية</w:t>
      </w:r>
      <w:r>
        <w:rPr>
          <w:rFonts w:hint="cs"/>
          <w:rtl/>
          <w:lang w:bidi="ar-EG"/>
        </w:rPr>
        <w:t xml:space="preserve">“ </w:t>
      </w:r>
      <w:r>
        <w:rPr>
          <w:rFonts w:hint="eastAsia"/>
          <w:rtl/>
          <w:lang w:bidi="ar-EG"/>
        </w:rPr>
        <w:t>”أي تجمع لأشخاص يطلب إليه المجلس المجتمعي إعطاء مشورة بشأن مسألة أو عدة مسائل محددة</w:t>
      </w:r>
      <w:r>
        <w:rPr>
          <w:rFonts w:hint="cs"/>
          <w:rtl/>
          <w:lang w:bidi="ar-EG"/>
        </w:rPr>
        <w:t xml:space="preserve">“. </w:t>
      </w:r>
      <w:r>
        <w:rPr>
          <w:rFonts w:hint="cs"/>
          <w:rtl/>
          <w:lang w:bidi="ar-EG"/>
        </w:rPr>
        <w:tab/>
        <w:t>والقواعد الرامية إلى تعزيز وجود المرأة في المجالس الاستشارية المجتمعية هي نفسها الموصوفة أعلاه بالنسبة للأجهزة الاستشارية الإقليمية، (ثلثا الأعضاء على الأكثر من الجنس ذاته، ومشورة باطلة في حالة عدم احترام الحصة، وإمكانية المخالفة بشرط وجود دافع). وتشير دراسة استقصائية أجرتها في الفترة 2001-2002 إدارة السلطات المحلية إلى أن هذه المادة لا</w:t>
      </w:r>
      <w:r>
        <w:rPr>
          <w:rFonts w:hint="eastAsia"/>
          <w:rtl/>
          <w:lang w:bidi="ar-EG"/>
        </w:rPr>
        <w:t> </w:t>
      </w:r>
      <w:r>
        <w:rPr>
          <w:rFonts w:hint="cs"/>
          <w:rtl/>
          <w:lang w:bidi="ar-EG"/>
        </w:rPr>
        <w:t>تحظى إلا بقدر ضئيل من الاحترام.</w:t>
      </w:r>
    </w:p>
    <w:p w:rsidR="007023B4" w:rsidRDefault="007023B4" w:rsidP="007023B4">
      <w:pPr>
        <w:pStyle w:val="SingleTxt"/>
        <w:spacing w:line="360" w:lineRule="exact"/>
        <w:ind w:left="1264" w:right="1264"/>
        <w:rPr>
          <w:rFonts w:hint="cs"/>
          <w:rtl/>
          <w:lang w:bidi="ar-EG"/>
        </w:rPr>
      </w:pPr>
      <w:r>
        <w:rPr>
          <w:rFonts w:hint="cs"/>
          <w:rtl/>
          <w:lang w:bidi="ar-EG"/>
        </w:rPr>
        <w:tab/>
      </w:r>
      <w:r>
        <w:rPr>
          <w:rFonts w:hint="cs"/>
          <w:rtl/>
          <w:lang w:bidi="ar-EG"/>
        </w:rPr>
        <w:tab/>
        <w:t>وفي حزيران/يونيه 2005، جرى في مجلس اللجنة المجتمعية الفلمندية</w:t>
      </w:r>
      <w:r w:rsidRPr="008C2329">
        <w:rPr>
          <w:vertAlign w:val="superscript"/>
          <w:rtl/>
          <w:lang w:bidi="ar-EG"/>
        </w:rPr>
        <w:t>(</w:t>
      </w:r>
      <w:r>
        <w:rPr>
          <w:rStyle w:val="FootnoteReference"/>
          <w:rtl/>
        </w:rPr>
        <w:footnoteReference w:id="37"/>
      </w:r>
      <w:r w:rsidRPr="008C2329">
        <w:rPr>
          <w:vertAlign w:val="superscript"/>
          <w:rtl/>
          <w:lang w:bidi="ar-EG"/>
        </w:rPr>
        <w:t>)</w:t>
      </w:r>
      <w:r>
        <w:rPr>
          <w:rFonts w:hint="cs"/>
          <w:rtl/>
          <w:lang w:bidi="ar-EG"/>
        </w:rPr>
        <w:t xml:space="preserve"> تصويت على أمر بشأن تمثيل أكثر توازنا للرجل والمرأة في الأجهزة الاستشارية. وأخذت هيئة اللجنة المجتمعية الفلمندية من جانبها في عام 2005 بـ ’لائحة من أجل إنشاء وتكوين وتشغيل المجالس الاستشارية والأفرقة العاملة للثقافة والتعليم والعمل الاجتماعي والصحة‘</w:t>
      </w:r>
      <w:r w:rsidRPr="008C2329">
        <w:rPr>
          <w:vertAlign w:val="superscript"/>
          <w:rtl/>
          <w:lang w:bidi="ar-EG"/>
        </w:rPr>
        <w:t>(</w:t>
      </w:r>
      <w:r>
        <w:rPr>
          <w:rStyle w:val="FootnoteReference"/>
          <w:rtl/>
        </w:rPr>
        <w:footnoteReference w:id="38"/>
      </w:r>
      <w:r w:rsidRPr="008C2329">
        <w:rPr>
          <w:vertAlign w:val="superscript"/>
          <w:rtl/>
          <w:lang w:bidi="ar-EG"/>
        </w:rPr>
        <w:t>)</w:t>
      </w:r>
      <w:r>
        <w:rPr>
          <w:rFonts w:hint="cs"/>
          <w:rtl/>
          <w:lang w:bidi="ar-EG"/>
        </w:rPr>
        <w:t>. وتتكون المجالس الاستشارية والأفرقة العاملة بطريقة تعددية وتتجه إلى قيام توازن مرض بين المرأة والرجل.</w:t>
      </w:r>
    </w:p>
    <w:p w:rsidR="007023B4" w:rsidRPr="002E0106" w:rsidRDefault="007023B4" w:rsidP="007023B4">
      <w:pPr>
        <w:pStyle w:val="SingleTxt"/>
        <w:spacing w:after="0" w:line="120" w:lineRule="exact"/>
        <w:ind w:left="1264" w:right="1264"/>
        <w:rPr>
          <w:rFonts w:hint="cs"/>
          <w:b/>
          <w:bCs/>
          <w:sz w:val="10"/>
          <w:rtl/>
          <w:lang w:bidi="ar-EG"/>
        </w:rPr>
      </w:pPr>
    </w:p>
    <w:p w:rsidR="007023B4" w:rsidRPr="00BC68CD" w:rsidRDefault="007023B4" w:rsidP="007023B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t>2 -</w:t>
      </w:r>
      <w:r>
        <w:rPr>
          <w:rFonts w:hint="cs"/>
          <w:rtl/>
          <w:lang w:bidi="ar-EG"/>
        </w:rPr>
        <w:tab/>
        <w:t>بيانات وقائعية</w:t>
      </w:r>
    </w:p>
    <w:p w:rsidR="007023B4" w:rsidRDefault="007023B4" w:rsidP="007023B4">
      <w:pPr>
        <w:pStyle w:val="SingleTxt"/>
        <w:spacing w:line="360" w:lineRule="exact"/>
        <w:ind w:left="1264" w:right="1264"/>
        <w:rPr>
          <w:rFonts w:hint="cs"/>
          <w:rtl/>
          <w:lang w:bidi="ar-EG"/>
        </w:rPr>
      </w:pPr>
      <w:r>
        <w:rPr>
          <w:rFonts w:hint="cs"/>
          <w:rtl/>
          <w:lang w:bidi="ar-EG"/>
        </w:rPr>
        <w:tab/>
      </w:r>
      <w:r>
        <w:rPr>
          <w:rFonts w:hint="cs"/>
          <w:rtl/>
          <w:lang w:bidi="ar-EG"/>
        </w:rPr>
        <w:tab/>
        <w:t>أنشأت إدارة السلطات المحلية في عام 2002، عملا بتوصيات مجلس أوروبا في هذا المجال بصفة خاصة، شبكة من المنتخبات البلديات المهتمات بمشكلة تكافؤ الفرص بين الرجل والمرأة. ويتم كل عام إجراء تدريبات على الإدارة المجتمعية تضم بشكل منتظم المنظور الجنساني. ومنذ عام 2006، أصبحت التدريبات تقدم لجمهور مختلط من المنتخبين.</w:t>
      </w:r>
    </w:p>
    <w:p w:rsidR="007023B4" w:rsidRDefault="007023B4" w:rsidP="007023B4">
      <w:pPr>
        <w:pStyle w:val="SingleTxt"/>
        <w:rPr>
          <w:rFonts w:hint="cs"/>
          <w:rtl/>
          <w:lang w:bidi="ar-EG"/>
        </w:rPr>
      </w:pPr>
      <w:r>
        <w:rPr>
          <w:rFonts w:hint="cs"/>
          <w:rtl/>
          <w:lang w:bidi="ar-EG"/>
        </w:rPr>
        <w:tab/>
        <w:t>وبغية تحسين أخذ الجنس في الاعتبار في السياسة المجتمعية، تم إنشاء شبكة من الوكلاء المكلفين بالمساواة في عام 2002؛ ويوجد حاليا وكيل لكل بلدية. وتلقت هذه الشبكة تدريبا محوره إدارة شؤون الموظفين الذين يعملون على إدماج الجنس</w:t>
      </w:r>
      <w:r w:rsidRPr="00FA5765">
        <w:rPr>
          <w:vertAlign w:val="superscript"/>
          <w:rtl/>
          <w:lang w:bidi="ar-EG"/>
        </w:rPr>
        <w:t>(</w:t>
      </w:r>
      <w:r>
        <w:rPr>
          <w:rStyle w:val="FootnoteReference"/>
          <w:rtl/>
        </w:rPr>
        <w:footnoteReference w:id="39"/>
      </w:r>
      <w:r w:rsidRPr="00FA5765">
        <w:rPr>
          <w:vertAlign w:val="superscript"/>
          <w:rtl/>
          <w:lang w:bidi="ar-EG"/>
        </w:rPr>
        <w:t>)</w:t>
      </w:r>
      <w:r>
        <w:rPr>
          <w:rFonts w:hint="cs"/>
          <w:rtl/>
          <w:lang w:bidi="ar-EG"/>
        </w:rPr>
        <w:t>. وتجتمع الشبكة مرة واحدة كل ثلاثة أشهر لتبادل المعلومات.</w:t>
      </w:r>
    </w:p>
    <w:p w:rsidR="007023B4" w:rsidRPr="007023B4" w:rsidRDefault="007023B4" w:rsidP="007023B4">
      <w:pPr>
        <w:pStyle w:val="SingleTxt"/>
        <w:spacing w:after="0" w:line="120" w:lineRule="exact"/>
        <w:rPr>
          <w:rFonts w:hint="cs"/>
          <w:sz w:val="10"/>
          <w:rtl/>
          <w:lang w:bidi="ar-EG"/>
        </w:rPr>
      </w:pPr>
    </w:p>
    <w:p w:rsidR="007023B4" w:rsidRDefault="00B105BA" w:rsidP="007023B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r>
      <w:r w:rsidR="007023B4">
        <w:rPr>
          <w:rFonts w:hint="cs"/>
          <w:rtl/>
        </w:rPr>
        <w:tab/>
      </w:r>
      <w:r w:rsidR="007023B4">
        <w:rPr>
          <w:rFonts w:hint="cs"/>
          <w:rtl/>
        </w:rPr>
        <w:tab/>
        <w:t>وجود المرأة في الهيئات العامة في بروكسل</w:t>
      </w:r>
      <w:r w:rsidR="006D5CDD">
        <w:rPr>
          <w:rFonts w:hint="cs"/>
          <w:rtl/>
        </w:rPr>
        <w:t xml:space="preserve"> </w:t>
      </w:r>
    </w:p>
    <w:p w:rsidR="007023B4" w:rsidRPr="00466E67" w:rsidRDefault="007023B4" w:rsidP="007023B4">
      <w:pPr>
        <w:pStyle w:val="SingleTxt"/>
        <w:spacing w:after="0" w:line="120" w:lineRule="exact"/>
        <w:rPr>
          <w:rFonts w:hint="cs"/>
          <w:sz w:val="10"/>
          <w:rtl/>
        </w:rPr>
      </w:pPr>
    </w:p>
    <w:tbl>
      <w:tblPr>
        <w:tblStyle w:val="TableGrid"/>
        <w:bidiVisual/>
        <w:tblW w:w="0" w:type="auto"/>
        <w:tblInd w:w="14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605"/>
        <w:gridCol w:w="1270"/>
        <w:gridCol w:w="1270"/>
        <w:gridCol w:w="1168"/>
      </w:tblGrid>
      <w:tr w:rsidR="007023B4" w:rsidRPr="006D5CDD">
        <w:trPr>
          <w:cantSplit/>
          <w:tblHeader/>
        </w:trPr>
        <w:tc>
          <w:tcPr>
            <w:tcW w:w="3605" w:type="dxa"/>
            <w:tcBorders>
              <w:top w:val="single" w:sz="4" w:space="0" w:color="auto"/>
              <w:bottom w:val="single" w:sz="12" w:space="0" w:color="auto"/>
            </w:tcBorders>
            <w:shd w:val="clear" w:color="auto" w:fill="auto"/>
            <w:vAlign w:val="bottom"/>
          </w:tcPr>
          <w:p w:rsidR="007023B4" w:rsidRPr="006D5CDD" w:rsidRDefault="007023B4" w:rsidP="006D5CDD">
            <w:pPr>
              <w:pStyle w:val="SingleTxt"/>
              <w:spacing w:before="80" w:after="80" w:line="240" w:lineRule="exact"/>
              <w:ind w:left="0" w:right="0"/>
              <w:rPr>
                <w:rFonts w:hint="cs"/>
                <w:i/>
                <w:iCs/>
                <w:sz w:val="16"/>
                <w:szCs w:val="24"/>
                <w:rtl/>
              </w:rPr>
            </w:pPr>
            <w:r w:rsidRPr="006D5CDD">
              <w:rPr>
                <w:rFonts w:hint="cs"/>
                <w:i/>
                <w:iCs/>
                <w:sz w:val="16"/>
                <w:szCs w:val="24"/>
                <w:rtl/>
              </w:rPr>
              <w:t>الهيئات</w:t>
            </w:r>
          </w:p>
        </w:tc>
        <w:tc>
          <w:tcPr>
            <w:tcW w:w="1270" w:type="dxa"/>
            <w:tcBorders>
              <w:top w:val="single" w:sz="4" w:space="0" w:color="auto"/>
              <w:bottom w:val="single" w:sz="12" w:space="0" w:color="auto"/>
            </w:tcBorders>
            <w:shd w:val="clear" w:color="auto" w:fill="auto"/>
            <w:vAlign w:val="bottom"/>
          </w:tcPr>
          <w:p w:rsidR="007023B4" w:rsidRPr="006D5CDD" w:rsidRDefault="007023B4" w:rsidP="006D5CDD">
            <w:pPr>
              <w:pStyle w:val="SingleTxt"/>
              <w:spacing w:before="80" w:after="80" w:line="240" w:lineRule="exact"/>
              <w:ind w:left="0" w:right="144"/>
              <w:rPr>
                <w:rFonts w:hint="cs"/>
                <w:i/>
                <w:iCs/>
                <w:sz w:val="16"/>
                <w:szCs w:val="24"/>
                <w:rtl/>
              </w:rPr>
            </w:pPr>
            <w:r w:rsidRPr="006D5CDD">
              <w:rPr>
                <w:rFonts w:hint="cs"/>
                <w:i/>
                <w:iCs/>
                <w:sz w:val="16"/>
                <w:szCs w:val="24"/>
                <w:rtl/>
              </w:rPr>
              <w:t>النساء</w:t>
            </w:r>
          </w:p>
        </w:tc>
        <w:tc>
          <w:tcPr>
            <w:tcW w:w="1270" w:type="dxa"/>
            <w:tcBorders>
              <w:top w:val="single" w:sz="4" w:space="0" w:color="auto"/>
              <w:bottom w:val="single" w:sz="12" w:space="0" w:color="auto"/>
            </w:tcBorders>
            <w:shd w:val="clear" w:color="auto" w:fill="auto"/>
            <w:vAlign w:val="bottom"/>
          </w:tcPr>
          <w:p w:rsidR="007023B4" w:rsidRPr="006D5CDD" w:rsidRDefault="007023B4" w:rsidP="006D5CDD">
            <w:pPr>
              <w:pStyle w:val="SingleTxt"/>
              <w:spacing w:before="80" w:after="80" w:line="240" w:lineRule="exact"/>
              <w:ind w:left="0" w:right="144"/>
              <w:rPr>
                <w:rFonts w:hint="cs"/>
                <w:i/>
                <w:iCs/>
                <w:sz w:val="16"/>
                <w:szCs w:val="24"/>
                <w:rtl/>
              </w:rPr>
            </w:pPr>
            <w:r w:rsidRPr="006D5CDD">
              <w:rPr>
                <w:rFonts w:hint="cs"/>
                <w:i/>
                <w:iCs/>
                <w:sz w:val="16"/>
                <w:szCs w:val="24"/>
                <w:rtl/>
              </w:rPr>
              <w:t>الرجال</w:t>
            </w:r>
          </w:p>
        </w:tc>
        <w:tc>
          <w:tcPr>
            <w:tcW w:w="1168" w:type="dxa"/>
            <w:tcBorders>
              <w:top w:val="single" w:sz="4" w:space="0" w:color="auto"/>
              <w:bottom w:val="single" w:sz="12" w:space="0" w:color="auto"/>
            </w:tcBorders>
            <w:shd w:val="clear" w:color="auto" w:fill="auto"/>
            <w:vAlign w:val="bottom"/>
          </w:tcPr>
          <w:p w:rsidR="007023B4" w:rsidRPr="006D5CDD" w:rsidRDefault="007023B4" w:rsidP="006D5CDD">
            <w:pPr>
              <w:pStyle w:val="SingleTxt"/>
              <w:spacing w:before="80" w:after="80" w:line="240" w:lineRule="exact"/>
              <w:ind w:left="0" w:right="144"/>
              <w:rPr>
                <w:rFonts w:hint="cs"/>
                <w:i/>
                <w:iCs/>
                <w:sz w:val="16"/>
                <w:szCs w:val="24"/>
                <w:rtl/>
              </w:rPr>
            </w:pPr>
            <w:r w:rsidRPr="006D5CDD">
              <w:rPr>
                <w:rFonts w:hint="cs"/>
                <w:i/>
                <w:iCs/>
                <w:sz w:val="16"/>
                <w:szCs w:val="24"/>
                <w:rtl/>
              </w:rPr>
              <w:t>العدد الكلي</w:t>
            </w:r>
          </w:p>
        </w:tc>
      </w:tr>
      <w:tr w:rsidR="006D5CDD" w:rsidRPr="006D5CDD">
        <w:trPr>
          <w:cantSplit/>
          <w:trHeight w:hRule="exact" w:val="115"/>
          <w:tblHeader/>
        </w:trPr>
        <w:tc>
          <w:tcPr>
            <w:tcW w:w="3605" w:type="dxa"/>
            <w:tcBorders>
              <w:top w:val="single" w:sz="12" w:space="0" w:color="auto"/>
            </w:tcBorders>
            <w:shd w:val="clear" w:color="auto" w:fill="auto"/>
            <w:vAlign w:val="bottom"/>
          </w:tcPr>
          <w:p w:rsidR="006D5CDD" w:rsidRPr="006D5CDD" w:rsidRDefault="006D5CDD" w:rsidP="006D5CDD">
            <w:pPr>
              <w:pStyle w:val="SingleTxt"/>
              <w:spacing w:before="40" w:after="80" w:line="240" w:lineRule="exact"/>
              <w:ind w:left="0" w:right="0"/>
              <w:rPr>
                <w:rFonts w:hint="cs"/>
                <w:sz w:val="16"/>
                <w:szCs w:val="24"/>
                <w:rtl/>
              </w:rPr>
            </w:pPr>
          </w:p>
        </w:tc>
        <w:tc>
          <w:tcPr>
            <w:tcW w:w="1270" w:type="dxa"/>
            <w:tcBorders>
              <w:top w:val="single" w:sz="12" w:space="0" w:color="auto"/>
            </w:tcBorders>
            <w:shd w:val="clear" w:color="auto" w:fill="auto"/>
            <w:vAlign w:val="bottom"/>
          </w:tcPr>
          <w:p w:rsidR="006D5CDD" w:rsidRPr="006D5CDD" w:rsidRDefault="006D5CDD" w:rsidP="006D5CDD">
            <w:pPr>
              <w:pStyle w:val="SingleTxt"/>
              <w:spacing w:before="40" w:after="80" w:line="240" w:lineRule="exact"/>
              <w:ind w:left="0" w:right="144"/>
              <w:rPr>
                <w:rFonts w:hint="cs"/>
                <w:sz w:val="16"/>
                <w:szCs w:val="24"/>
                <w:rtl/>
              </w:rPr>
            </w:pPr>
          </w:p>
        </w:tc>
        <w:tc>
          <w:tcPr>
            <w:tcW w:w="1270" w:type="dxa"/>
            <w:tcBorders>
              <w:top w:val="single" w:sz="12" w:space="0" w:color="auto"/>
            </w:tcBorders>
            <w:shd w:val="clear" w:color="auto" w:fill="auto"/>
            <w:vAlign w:val="bottom"/>
          </w:tcPr>
          <w:p w:rsidR="006D5CDD" w:rsidRPr="006D5CDD" w:rsidRDefault="006D5CDD" w:rsidP="006D5CDD">
            <w:pPr>
              <w:pStyle w:val="SingleTxt"/>
              <w:spacing w:before="40" w:after="80" w:line="240" w:lineRule="exact"/>
              <w:ind w:left="0" w:right="144"/>
              <w:rPr>
                <w:rFonts w:hint="cs"/>
                <w:sz w:val="16"/>
                <w:szCs w:val="24"/>
                <w:rtl/>
              </w:rPr>
            </w:pPr>
          </w:p>
        </w:tc>
        <w:tc>
          <w:tcPr>
            <w:tcW w:w="1168" w:type="dxa"/>
            <w:tcBorders>
              <w:top w:val="single" w:sz="12" w:space="0" w:color="auto"/>
            </w:tcBorders>
            <w:shd w:val="clear" w:color="auto" w:fill="auto"/>
            <w:vAlign w:val="bottom"/>
          </w:tcPr>
          <w:p w:rsidR="006D5CDD" w:rsidRPr="006D5CDD" w:rsidRDefault="006D5CDD" w:rsidP="006D5CDD">
            <w:pPr>
              <w:pStyle w:val="SingleTxt"/>
              <w:spacing w:before="40" w:after="80" w:line="240" w:lineRule="exact"/>
              <w:ind w:left="0" w:right="144"/>
              <w:rPr>
                <w:rFonts w:hint="cs"/>
                <w:sz w:val="16"/>
                <w:szCs w:val="24"/>
                <w:rtl/>
              </w:rPr>
            </w:pPr>
          </w:p>
        </w:tc>
      </w:tr>
      <w:tr w:rsidR="007023B4" w:rsidRPr="006D5CDD">
        <w:trPr>
          <w:cantSplit/>
        </w:trPr>
        <w:tc>
          <w:tcPr>
            <w:tcW w:w="3605" w:type="dxa"/>
            <w:shd w:val="clear" w:color="auto" w:fill="auto"/>
            <w:vAlign w:val="bottom"/>
          </w:tcPr>
          <w:p w:rsidR="007023B4" w:rsidRPr="006D5CDD" w:rsidRDefault="007023B4" w:rsidP="006D5CDD">
            <w:pPr>
              <w:pStyle w:val="SingleTxt"/>
              <w:spacing w:before="40" w:after="80" w:line="240" w:lineRule="exact"/>
              <w:ind w:left="0" w:right="0"/>
              <w:rPr>
                <w:rFonts w:hint="cs"/>
                <w:sz w:val="16"/>
                <w:szCs w:val="24"/>
                <w:rtl/>
              </w:rPr>
            </w:pPr>
            <w:r w:rsidRPr="006D5CDD">
              <w:rPr>
                <w:rFonts w:hint="cs"/>
                <w:sz w:val="16"/>
                <w:szCs w:val="24"/>
                <w:rtl/>
              </w:rPr>
              <w:t>وزارة إقليم بروكسل العاصمة</w:t>
            </w:r>
          </w:p>
        </w:tc>
        <w:tc>
          <w:tcPr>
            <w:tcW w:w="1270" w:type="dxa"/>
            <w:shd w:val="clear" w:color="auto" w:fill="auto"/>
            <w:vAlign w:val="bottom"/>
          </w:tcPr>
          <w:p w:rsidR="007023B4" w:rsidRPr="006D5CDD" w:rsidRDefault="007023B4" w:rsidP="006D5CDD">
            <w:pPr>
              <w:pStyle w:val="SingleTxt"/>
              <w:spacing w:before="40" w:after="80" w:line="240" w:lineRule="exact"/>
              <w:ind w:left="0" w:right="144"/>
              <w:rPr>
                <w:rFonts w:hint="cs"/>
                <w:sz w:val="16"/>
                <w:szCs w:val="24"/>
                <w:rtl/>
              </w:rPr>
            </w:pPr>
            <w:r w:rsidRPr="006D5CDD">
              <w:rPr>
                <w:rFonts w:hint="cs"/>
                <w:sz w:val="16"/>
                <w:szCs w:val="24"/>
                <w:rtl/>
              </w:rPr>
              <w:t>52</w:t>
            </w:r>
            <w:r w:rsidRPr="006D5CDD">
              <w:rPr>
                <w:rFonts w:cs="Akhbar MT" w:hint="cs"/>
                <w:sz w:val="16"/>
                <w:szCs w:val="24"/>
                <w:rtl/>
              </w:rPr>
              <w:t>%</w:t>
            </w:r>
          </w:p>
        </w:tc>
        <w:tc>
          <w:tcPr>
            <w:tcW w:w="1270" w:type="dxa"/>
            <w:shd w:val="clear" w:color="auto" w:fill="auto"/>
            <w:vAlign w:val="bottom"/>
          </w:tcPr>
          <w:p w:rsidR="007023B4" w:rsidRPr="006D5CDD" w:rsidRDefault="007023B4" w:rsidP="006D5CDD">
            <w:pPr>
              <w:pStyle w:val="SingleTxt"/>
              <w:spacing w:before="40" w:after="80" w:line="240" w:lineRule="exact"/>
              <w:ind w:left="0" w:right="144"/>
              <w:rPr>
                <w:rFonts w:hint="cs"/>
                <w:sz w:val="16"/>
                <w:szCs w:val="24"/>
                <w:rtl/>
              </w:rPr>
            </w:pPr>
            <w:r w:rsidRPr="006D5CDD">
              <w:rPr>
                <w:rFonts w:hint="cs"/>
                <w:sz w:val="16"/>
                <w:szCs w:val="24"/>
                <w:rtl/>
              </w:rPr>
              <w:t>48</w:t>
            </w:r>
            <w:r w:rsidR="006D5CDD" w:rsidRPr="006D5CDD">
              <w:rPr>
                <w:rFonts w:cs="Akhbar MT" w:hint="cs"/>
                <w:sz w:val="16"/>
                <w:szCs w:val="24"/>
                <w:rtl/>
              </w:rPr>
              <w:t>%</w:t>
            </w:r>
          </w:p>
        </w:tc>
        <w:tc>
          <w:tcPr>
            <w:tcW w:w="1168" w:type="dxa"/>
            <w:shd w:val="clear" w:color="auto" w:fill="auto"/>
            <w:vAlign w:val="bottom"/>
          </w:tcPr>
          <w:p w:rsidR="007023B4" w:rsidRPr="006D5CDD" w:rsidRDefault="007023B4" w:rsidP="006D5CDD">
            <w:pPr>
              <w:pStyle w:val="SingleTxt"/>
              <w:spacing w:before="40" w:after="80" w:line="240" w:lineRule="exact"/>
              <w:ind w:left="0" w:right="144"/>
              <w:rPr>
                <w:rFonts w:hint="cs"/>
                <w:sz w:val="16"/>
                <w:szCs w:val="24"/>
                <w:rtl/>
              </w:rPr>
            </w:pPr>
            <w:r w:rsidRPr="006D5CDD">
              <w:rPr>
                <w:rFonts w:hint="cs"/>
                <w:sz w:val="16"/>
                <w:szCs w:val="24"/>
                <w:rtl/>
              </w:rPr>
              <w:t>443 1</w:t>
            </w:r>
          </w:p>
        </w:tc>
      </w:tr>
      <w:tr w:rsidR="007023B4" w:rsidRPr="006D5CDD">
        <w:trPr>
          <w:cantSplit/>
        </w:trPr>
        <w:tc>
          <w:tcPr>
            <w:tcW w:w="3605" w:type="dxa"/>
            <w:shd w:val="clear" w:color="auto" w:fill="auto"/>
            <w:vAlign w:val="bottom"/>
          </w:tcPr>
          <w:p w:rsidR="007023B4" w:rsidRPr="006D5CDD" w:rsidRDefault="007023B4" w:rsidP="006D5CDD">
            <w:pPr>
              <w:pStyle w:val="SingleTxt"/>
              <w:spacing w:before="40" w:after="80" w:line="240" w:lineRule="exact"/>
              <w:ind w:left="0" w:right="0"/>
              <w:rPr>
                <w:rFonts w:hint="cs"/>
                <w:sz w:val="16"/>
                <w:szCs w:val="24"/>
                <w:rtl/>
                <w:lang w:bidi="ar-EG"/>
              </w:rPr>
            </w:pPr>
            <w:r w:rsidRPr="006D5CDD">
              <w:rPr>
                <w:rFonts w:hint="cs"/>
                <w:sz w:val="16"/>
                <w:szCs w:val="24"/>
                <w:rtl/>
                <w:lang w:bidi="ar-EG"/>
              </w:rPr>
              <w:t>الوكالة الإقليمية للنظافة</w:t>
            </w:r>
          </w:p>
        </w:tc>
        <w:tc>
          <w:tcPr>
            <w:tcW w:w="1270" w:type="dxa"/>
            <w:shd w:val="clear" w:color="auto" w:fill="auto"/>
            <w:vAlign w:val="bottom"/>
          </w:tcPr>
          <w:p w:rsidR="007023B4" w:rsidRPr="006D5CDD" w:rsidRDefault="007023B4" w:rsidP="006D5CDD">
            <w:pPr>
              <w:pStyle w:val="SingleTxt"/>
              <w:spacing w:before="40" w:after="80" w:line="240" w:lineRule="exact"/>
              <w:ind w:left="0" w:right="144"/>
              <w:rPr>
                <w:rFonts w:hint="cs"/>
                <w:sz w:val="16"/>
                <w:szCs w:val="24"/>
                <w:rtl/>
              </w:rPr>
            </w:pPr>
            <w:r w:rsidRPr="006D5CDD">
              <w:rPr>
                <w:rFonts w:hint="cs"/>
                <w:sz w:val="16"/>
                <w:szCs w:val="24"/>
                <w:rtl/>
              </w:rPr>
              <w:t>5</w:t>
            </w:r>
            <w:r w:rsidR="006D5CDD" w:rsidRPr="006D5CDD">
              <w:rPr>
                <w:rFonts w:cs="Akhbar MT" w:hint="cs"/>
                <w:sz w:val="16"/>
                <w:szCs w:val="24"/>
                <w:rtl/>
              </w:rPr>
              <w:t>%</w:t>
            </w:r>
          </w:p>
        </w:tc>
        <w:tc>
          <w:tcPr>
            <w:tcW w:w="1270" w:type="dxa"/>
            <w:shd w:val="clear" w:color="auto" w:fill="auto"/>
            <w:vAlign w:val="bottom"/>
          </w:tcPr>
          <w:p w:rsidR="007023B4" w:rsidRPr="006D5CDD" w:rsidRDefault="007023B4" w:rsidP="006D5CDD">
            <w:pPr>
              <w:pStyle w:val="SingleTxt"/>
              <w:spacing w:before="40" w:after="80" w:line="240" w:lineRule="exact"/>
              <w:ind w:left="0" w:right="144"/>
              <w:rPr>
                <w:rFonts w:hint="cs"/>
                <w:sz w:val="16"/>
                <w:szCs w:val="24"/>
                <w:rtl/>
              </w:rPr>
            </w:pPr>
            <w:r w:rsidRPr="006D5CDD">
              <w:rPr>
                <w:rFonts w:hint="cs"/>
                <w:sz w:val="16"/>
                <w:szCs w:val="24"/>
                <w:rtl/>
              </w:rPr>
              <w:t>95</w:t>
            </w:r>
            <w:r w:rsidR="006D5CDD" w:rsidRPr="006D5CDD">
              <w:rPr>
                <w:rFonts w:cs="Akhbar MT" w:hint="cs"/>
                <w:sz w:val="16"/>
                <w:szCs w:val="24"/>
                <w:rtl/>
              </w:rPr>
              <w:t>%</w:t>
            </w:r>
          </w:p>
        </w:tc>
        <w:tc>
          <w:tcPr>
            <w:tcW w:w="1168" w:type="dxa"/>
            <w:shd w:val="clear" w:color="auto" w:fill="auto"/>
            <w:vAlign w:val="bottom"/>
          </w:tcPr>
          <w:p w:rsidR="007023B4" w:rsidRPr="006D5CDD" w:rsidRDefault="007023B4" w:rsidP="006D5CDD">
            <w:pPr>
              <w:pStyle w:val="SingleTxt"/>
              <w:spacing w:before="40" w:after="80" w:line="240" w:lineRule="exact"/>
              <w:ind w:left="0" w:right="144"/>
              <w:rPr>
                <w:rFonts w:hint="cs"/>
                <w:sz w:val="16"/>
                <w:szCs w:val="24"/>
                <w:rtl/>
              </w:rPr>
            </w:pPr>
            <w:r w:rsidRPr="006D5CDD">
              <w:rPr>
                <w:rFonts w:hint="cs"/>
                <w:sz w:val="16"/>
                <w:szCs w:val="24"/>
                <w:rtl/>
              </w:rPr>
              <w:t>941 1</w:t>
            </w:r>
          </w:p>
        </w:tc>
      </w:tr>
      <w:tr w:rsidR="007023B4" w:rsidRPr="006D5CDD">
        <w:trPr>
          <w:cantSplit/>
        </w:trPr>
        <w:tc>
          <w:tcPr>
            <w:tcW w:w="3605" w:type="dxa"/>
            <w:shd w:val="clear" w:color="auto" w:fill="auto"/>
            <w:vAlign w:val="bottom"/>
          </w:tcPr>
          <w:p w:rsidR="007023B4" w:rsidRPr="006D5CDD" w:rsidRDefault="007023B4" w:rsidP="006D5CDD">
            <w:pPr>
              <w:pStyle w:val="SingleTxt"/>
              <w:spacing w:before="40" w:after="80" w:line="240" w:lineRule="exact"/>
              <w:ind w:left="0" w:right="0"/>
              <w:rPr>
                <w:rFonts w:hint="cs"/>
                <w:sz w:val="16"/>
                <w:szCs w:val="24"/>
                <w:rtl/>
              </w:rPr>
            </w:pPr>
            <w:r w:rsidRPr="006D5CDD">
              <w:rPr>
                <w:rFonts w:hint="cs"/>
                <w:sz w:val="16"/>
                <w:szCs w:val="24"/>
                <w:rtl/>
              </w:rPr>
              <w:t>مركز المعلومات لإقليم بروكسل</w:t>
            </w:r>
          </w:p>
        </w:tc>
        <w:tc>
          <w:tcPr>
            <w:tcW w:w="1270" w:type="dxa"/>
            <w:shd w:val="clear" w:color="auto" w:fill="auto"/>
            <w:vAlign w:val="bottom"/>
          </w:tcPr>
          <w:p w:rsidR="007023B4" w:rsidRPr="006D5CDD" w:rsidRDefault="007023B4" w:rsidP="006D5CDD">
            <w:pPr>
              <w:pStyle w:val="SingleTxt"/>
              <w:spacing w:before="40" w:after="80" w:line="240" w:lineRule="exact"/>
              <w:ind w:left="0" w:right="144"/>
              <w:rPr>
                <w:rFonts w:hint="cs"/>
                <w:sz w:val="16"/>
                <w:szCs w:val="24"/>
                <w:rtl/>
              </w:rPr>
            </w:pPr>
            <w:r w:rsidRPr="006D5CDD">
              <w:rPr>
                <w:rFonts w:hint="cs"/>
                <w:sz w:val="16"/>
                <w:szCs w:val="24"/>
                <w:rtl/>
              </w:rPr>
              <w:t>23</w:t>
            </w:r>
            <w:r w:rsidR="006D5CDD" w:rsidRPr="006D5CDD">
              <w:rPr>
                <w:rFonts w:cs="Akhbar MT" w:hint="cs"/>
                <w:sz w:val="16"/>
                <w:szCs w:val="24"/>
                <w:rtl/>
              </w:rPr>
              <w:t>%</w:t>
            </w:r>
          </w:p>
        </w:tc>
        <w:tc>
          <w:tcPr>
            <w:tcW w:w="1270" w:type="dxa"/>
            <w:shd w:val="clear" w:color="auto" w:fill="auto"/>
            <w:vAlign w:val="bottom"/>
          </w:tcPr>
          <w:p w:rsidR="007023B4" w:rsidRPr="006D5CDD" w:rsidRDefault="007023B4" w:rsidP="006D5CDD">
            <w:pPr>
              <w:pStyle w:val="SingleTxt"/>
              <w:spacing w:before="40" w:after="80" w:line="240" w:lineRule="exact"/>
              <w:ind w:left="0" w:right="144"/>
              <w:rPr>
                <w:rFonts w:hint="cs"/>
                <w:sz w:val="16"/>
                <w:szCs w:val="24"/>
                <w:rtl/>
              </w:rPr>
            </w:pPr>
            <w:r w:rsidRPr="006D5CDD">
              <w:rPr>
                <w:rFonts w:hint="cs"/>
                <w:sz w:val="16"/>
                <w:szCs w:val="24"/>
                <w:rtl/>
              </w:rPr>
              <w:t>77</w:t>
            </w:r>
            <w:r w:rsidR="006D5CDD" w:rsidRPr="006D5CDD">
              <w:rPr>
                <w:rFonts w:cs="Akhbar MT" w:hint="cs"/>
                <w:sz w:val="16"/>
                <w:szCs w:val="24"/>
                <w:rtl/>
              </w:rPr>
              <w:t>%</w:t>
            </w:r>
          </w:p>
        </w:tc>
        <w:tc>
          <w:tcPr>
            <w:tcW w:w="1168" w:type="dxa"/>
            <w:shd w:val="clear" w:color="auto" w:fill="auto"/>
            <w:vAlign w:val="bottom"/>
          </w:tcPr>
          <w:p w:rsidR="007023B4" w:rsidRPr="006D5CDD" w:rsidRDefault="007023B4" w:rsidP="006D5CDD">
            <w:pPr>
              <w:pStyle w:val="SingleTxt"/>
              <w:spacing w:before="40" w:after="80" w:line="240" w:lineRule="exact"/>
              <w:ind w:left="0" w:right="144"/>
              <w:rPr>
                <w:rFonts w:hint="cs"/>
                <w:sz w:val="16"/>
                <w:szCs w:val="24"/>
                <w:rtl/>
              </w:rPr>
            </w:pPr>
            <w:r w:rsidRPr="006D5CDD">
              <w:rPr>
                <w:rFonts w:hint="cs"/>
                <w:sz w:val="16"/>
                <w:szCs w:val="24"/>
                <w:rtl/>
              </w:rPr>
              <w:t>154</w:t>
            </w:r>
          </w:p>
        </w:tc>
      </w:tr>
      <w:tr w:rsidR="007023B4" w:rsidRPr="006D5CDD">
        <w:trPr>
          <w:cantSplit/>
        </w:trPr>
        <w:tc>
          <w:tcPr>
            <w:tcW w:w="3605" w:type="dxa"/>
            <w:shd w:val="clear" w:color="auto" w:fill="auto"/>
            <w:vAlign w:val="bottom"/>
          </w:tcPr>
          <w:p w:rsidR="007023B4" w:rsidRPr="006D5CDD" w:rsidRDefault="007023B4" w:rsidP="006D5CDD">
            <w:pPr>
              <w:pStyle w:val="SingleTxt"/>
              <w:spacing w:before="40" w:after="80" w:line="240" w:lineRule="exact"/>
              <w:ind w:left="0" w:right="0"/>
              <w:rPr>
                <w:rFonts w:hint="cs"/>
                <w:sz w:val="16"/>
                <w:szCs w:val="24"/>
                <w:rtl/>
              </w:rPr>
            </w:pPr>
            <w:r w:rsidRPr="006D5CDD">
              <w:rPr>
                <w:rFonts w:hint="cs"/>
                <w:sz w:val="16"/>
                <w:szCs w:val="24"/>
                <w:rtl/>
              </w:rPr>
              <w:t>معهد بروكسل لإدارة البيئة</w:t>
            </w:r>
          </w:p>
        </w:tc>
        <w:tc>
          <w:tcPr>
            <w:tcW w:w="1270" w:type="dxa"/>
            <w:shd w:val="clear" w:color="auto" w:fill="auto"/>
            <w:vAlign w:val="bottom"/>
          </w:tcPr>
          <w:p w:rsidR="007023B4" w:rsidRPr="006D5CDD" w:rsidRDefault="007023B4" w:rsidP="006D5CDD">
            <w:pPr>
              <w:pStyle w:val="SingleTxt"/>
              <w:spacing w:before="40" w:after="80" w:line="240" w:lineRule="exact"/>
              <w:ind w:left="0" w:right="144"/>
              <w:rPr>
                <w:rFonts w:hint="cs"/>
                <w:sz w:val="16"/>
                <w:szCs w:val="24"/>
                <w:rtl/>
              </w:rPr>
            </w:pPr>
            <w:r w:rsidRPr="006D5CDD">
              <w:rPr>
                <w:rFonts w:hint="cs"/>
                <w:sz w:val="16"/>
                <w:szCs w:val="24"/>
                <w:rtl/>
              </w:rPr>
              <w:t>32</w:t>
            </w:r>
            <w:r w:rsidR="006D5CDD" w:rsidRPr="006D5CDD">
              <w:rPr>
                <w:rFonts w:cs="Akhbar MT" w:hint="cs"/>
                <w:sz w:val="16"/>
                <w:szCs w:val="24"/>
                <w:rtl/>
              </w:rPr>
              <w:t>%</w:t>
            </w:r>
          </w:p>
        </w:tc>
        <w:tc>
          <w:tcPr>
            <w:tcW w:w="1270" w:type="dxa"/>
            <w:shd w:val="clear" w:color="auto" w:fill="auto"/>
            <w:vAlign w:val="bottom"/>
          </w:tcPr>
          <w:p w:rsidR="007023B4" w:rsidRPr="006D5CDD" w:rsidRDefault="007023B4" w:rsidP="006D5CDD">
            <w:pPr>
              <w:pStyle w:val="SingleTxt"/>
              <w:spacing w:before="40" w:after="80" w:line="240" w:lineRule="exact"/>
              <w:ind w:left="0" w:right="144"/>
              <w:rPr>
                <w:rFonts w:hint="cs"/>
                <w:sz w:val="16"/>
                <w:szCs w:val="24"/>
                <w:rtl/>
              </w:rPr>
            </w:pPr>
            <w:r w:rsidRPr="006D5CDD">
              <w:rPr>
                <w:rFonts w:hint="cs"/>
                <w:sz w:val="16"/>
                <w:szCs w:val="24"/>
                <w:rtl/>
              </w:rPr>
              <w:t>68</w:t>
            </w:r>
            <w:r w:rsidR="006D5CDD" w:rsidRPr="006D5CDD">
              <w:rPr>
                <w:rFonts w:cs="Akhbar MT" w:hint="cs"/>
                <w:sz w:val="16"/>
                <w:szCs w:val="24"/>
                <w:rtl/>
              </w:rPr>
              <w:t>%</w:t>
            </w:r>
          </w:p>
        </w:tc>
        <w:tc>
          <w:tcPr>
            <w:tcW w:w="1168" w:type="dxa"/>
            <w:shd w:val="clear" w:color="auto" w:fill="auto"/>
            <w:vAlign w:val="bottom"/>
          </w:tcPr>
          <w:p w:rsidR="007023B4" w:rsidRPr="006D5CDD" w:rsidRDefault="007023B4" w:rsidP="006D5CDD">
            <w:pPr>
              <w:pStyle w:val="SingleTxt"/>
              <w:spacing w:before="40" w:after="80" w:line="240" w:lineRule="exact"/>
              <w:ind w:left="0" w:right="144"/>
              <w:rPr>
                <w:rFonts w:hint="cs"/>
                <w:sz w:val="16"/>
                <w:szCs w:val="24"/>
                <w:rtl/>
              </w:rPr>
            </w:pPr>
            <w:r w:rsidRPr="006D5CDD">
              <w:rPr>
                <w:rFonts w:hint="cs"/>
                <w:sz w:val="16"/>
                <w:szCs w:val="24"/>
                <w:rtl/>
              </w:rPr>
              <w:t>617</w:t>
            </w:r>
          </w:p>
        </w:tc>
      </w:tr>
      <w:tr w:rsidR="007023B4" w:rsidRPr="006D5CDD">
        <w:trPr>
          <w:cantSplit/>
        </w:trPr>
        <w:tc>
          <w:tcPr>
            <w:tcW w:w="3605" w:type="dxa"/>
            <w:shd w:val="clear" w:color="auto" w:fill="auto"/>
            <w:vAlign w:val="bottom"/>
          </w:tcPr>
          <w:p w:rsidR="007023B4" w:rsidRPr="006D5CDD" w:rsidRDefault="007023B4" w:rsidP="006D5CDD">
            <w:pPr>
              <w:pStyle w:val="SingleTxt"/>
              <w:spacing w:before="40" w:after="80" w:line="240" w:lineRule="exact"/>
              <w:ind w:left="0" w:right="0"/>
              <w:rPr>
                <w:rFonts w:hint="cs"/>
                <w:sz w:val="16"/>
                <w:szCs w:val="24"/>
                <w:rtl/>
              </w:rPr>
            </w:pPr>
            <w:r w:rsidRPr="006D5CDD">
              <w:rPr>
                <w:rFonts w:hint="cs"/>
                <w:sz w:val="16"/>
                <w:szCs w:val="24"/>
                <w:rtl/>
              </w:rPr>
              <w:t>مكتب إقليم بروكسل للاستخدام</w:t>
            </w:r>
          </w:p>
        </w:tc>
        <w:tc>
          <w:tcPr>
            <w:tcW w:w="1270" w:type="dxa"/>
            <w:shd w:val="clear" w:color="auto" w:fill="auto"/>
            <w:vAlign w:val="bottom"/>
          </w:tcPr>
          <w:p w:rsidR="007023B4" w:rsidRPr="006D5CDD" w:rsidRDefault="007023B4" w:rsidP="006D5CDD">
            <w:pPr>
              <w:pStyle w:val="SingleTxt"/>
              <w:spacing w:before="40" w:after="80" w:line="240" w:lineRule="exact"/>
              <w:ind w:left="0" w:right="144"/>
              <w:rPr>
                <w:rFonts w:hint="cs"/>
                <w:sz w:val="16"/>
                <w:szCs w:val="24"/>
                <w:rtl/>
              </w:rPr>
            </w:pPr>
            <w:r w:rsidRPr="006D5CDD">
              <w:rPr>
                <w:rFonts w:hint="cs"/>
                <w:sz w:val="16"/>
                <w:szCs w:val="24"/>
                <w:rtl/>
              </w:rPr>
              <w:t>70</w:t>
            </w:r>
            <w:r w:rsidR="006D5CDD" w:rsidRPr="006D5CDD">
              <w:rPr>
                <w:rFonts w:cs="Akhbar MT" w:hint="cs"/>
                <w:sz w:val="16"/>
                <w:szCs w:val="24"/>
                <w:rtl/>
              </w:rPr>
              <w:t>%</w:t>
            </w:r>
          </w:p>
        </w:tc>
        <w:tc>
          <w:tcPr>
            <w:tcW w:w="1270" w:type="dxa"/>
            <w:shd w:val="clear" w:color="auto" w:fill="auto"/>
            <w:vAlign w:val="bottom"/>
          </w:tcPr>
          <w:p w:rsidR="007023B4" w:rsidRPr="006D5CDD" w:rsidRDefault="007023B4" w:rsidP="006D5CDD">
            <w:pPr>
              <w:pStyle w:val="SingleTxt"/>
              <w:spacing w:before="40" w:after="80" w:line="240" w:lineRule="exact"/>
              <w:ind w:left="0" w:right="144"/>
              <w:rPr>
                <w:rFonts w:hint="cs"/>
                <w:sz w:val="16"/>
                <w:szCs w:val="24"/>
                <w:rtl/>
              </w:rPr>
            </w:pPr>
            <w:r w:rsidRPr="006D5CDD">
              <w:rPr>
                <w:rFonts w:hint="cs"/>
                <w:sz w:val="16"/>
                <w:szCs w:val="24"/>
                <w:rtl/>
              </w:rPr>
              <w:t>30</w:t>
            </w:r>
            <w:r w:rsidR="006D5CDD" w:rsidRPr="006D5CDD">
              <w:rPr>
                <w:rFonts w:cs="Akhbar MT" w:hint="cs"/>
                <w:sz w:val="16"/>
                <w:szCs w:val="24"/>
                <w:rtl/>
              </w:rPr>
              <w:t>%</w:t>
            </w:r>
          </w:p>
        </w:tc>
        <w:tc>
          <w:tcPr>
            <w:tcW w:w="1168" w:type="dxa"/>
            <w:shd w:val="clear" w:color="auto" w:fill="auto"/>
            <w:vAlign w:val="bottom"/>
          </w:tcPr>
          <w:p w:rsidR="007023B4" w:rsidRPr="006D5CDD" w:rsidRDefault="007023B4" w:rsidP="006D5CDD">
            <w:pPr>
              <w:pStyle w:val="SingleTxt"/>
              <w:spacing w:before="40" w:after="80" w:line="240" w:lineRule="exact"/>
              <w:ind w:left="0" w:right="144"/>
              <w:rPr>
                <w:rFonts w:hint="cs"/>
                <w:sz w:val="16"/>
                <w:szCs w:val="24"/>
                <w:rtl/>
              </w:rPr>
            </w:pPr>
            <w:r w:rsidRPr="006D5CDD">
              <w:rPr>
                <w:rFonts w:hint="cs"/>
                <w:sz w:val="16"/>
                <w:szCs w:val="24"/>
                <w:rtl/>
              </w:rPr>
              <w:t>605</w:t>
            </w:r>
          </w:p>
        </w:tc>
      </w:tr>
      <w:tr w:rsidR="007023B4" w:rsidRPr="006D5CDD">
        <w:trPr>
          <w:cantSplit/>
        </w:trPr>
        <w:tc>
          <w:tcPr>
            <w:tcW w:w="3605" w:type="dxa"/>
            <w:shd w:val="clear" w:color="auto" w:fill="auto"/>
            <w:vAlign w:val="bottom"/>
          </w:tcPr>
          <w:p w:rsidR="007023B4" w:rsidRPr="006D5CDD" w:rsidRDefault="007023B4" w:rsidP="006D5CDD">
            <w:pPr>
              <w:pStyle w:val="SingleTxt"/>
              <w:spacing w:before="40" w:after="80" w:line="240" w:lineRule="exact"/>
              <w:ind w:left="0" w:right="0"/>
              <w:rPr>
                <w:rFonts w:hint="cs"/>
                <w:sz w:val="16"/>
                <w:szCs w:val="24"/>
                <w:rtl/>
              </w:rPr>
            </w:pPr>
            <w:r w:rsidRPr="006D5CDD">
              <w:rPr>
                <w:rFonts w:hint="cs"/>
                <w:sz w:val="16"/>
                <w:szCs w:val="24"/>
                <w:rtl/>
              </w:rPr>
              <w:t>ميناء بروكسل</w:t>
            </w:r>
          </w:p>
        </w:tc>
        <w:tc>
          <w:tcPr>
            <w:tcW w:w="1270" w:type="dxa"/>
            <w:shd w:val="clear" w:color="auto" w:fill="auto"/>
            <w:vAlign w:val="bottom"/>
          </w:tcPr>
          <w:p w:rsidR="007023B4" w:rsidRPr="006D5CDD" w:rsidRDefault="007023B4" w:rsidP="006D5CDD">
            <w:pPr>
              <w:pStyle w:val="SingleTxt"/>
              <w:spacing w:before="40" w:after="80" w:line="240" w:lineRule="exact"/>
              <w:ind w:left="0" w:right="144"/>
              <w:rPr>
                <w:rFonts w:hint="cs"/>
                <w:sz w:val="16"/>
                <w:szCs w:val="24"/>
                <w:rtl/>
              </w:rPr>
            </w:pPr>
            <w:r w:rsidRPr="006D5CDD">
              <w:rPr>
                <w:rFonts w:hint="cs"/>
                <w:sz w:val="16"/>
                <w:szCs w:val="24"/>
                <w:rtl/>
              </w:rPr>
              <w:t>30</w:t>
            </w:r>
            <w:r w:rsidR="006D5CDD" w:rsidRPr="006D5CDD">
              <w:rPr>
                <w:rFonts w:cs="Akhbar MT" w:hint="cs"/>
                <w:sz w:val="16"/>
                <w:szCs w:val="24"/>
                <w:rtl/>
              </w:rPr>
              <w:t>%</w:t>
            </w:r>
          </w:p>
        </w:tc>
        <w:tc>
          <w:tcPr>
            <w:tcW w:w="1270" w:type="dxa"/>
            <w:shd w:val="clear" w:color="auto" w:fill="auto"/>
            <w:vAlign w:val="bottom"/>
          </w:tcPr>
          <w:p w:rsidR="007023B4" w:rsidRPr="006D5CDD" w:rsidRDefault="007023B4" w:rsidP="006D5CDD">
            <w:pPr>
              <w:pStyle w:val="SingleTxt"/>
              <w:spacing w:before="40" w:after="80" w:line="240" w:lineRule="exact"/>
              <w:ind w:left="0" w:right="144"/>
              <w:rPr>
                <w:rFonts w:hint="cs"/>
                <w:sz w:val="16"/>
                <w:szCs w:val="24"/>
                <w:rtl/>
              </w:rPr>
            </w:pPr>
            <w:r w:rsidRPr="006D5CDD">
              <w:rPr>
                <w:rFonts w:hint="cs"/>
                <w:sz w:val="16"/>
                <w:szCs w:val="24"/>
                <w:rtl/>
              </w:rPr>
              <w:t>70</w:t>
            </w:r>
            <w:r w:rsidR="006D5CDD" w:rsidRPr="006D5CDD">
              <w:rPr>
                <w:rFonts w:cs="Akhbar MT" w:hint="cs"/>
                <w:sz w:val="16"/>
                <w:szCs w:val="24"/>
                <w:rtl/>
              </w:rPr>
              <w:t>%</w:t>
            </w:r>
          </w:p>
        </w:tc>
        <w:tc>
          <w:tcPr>
            <w:tcW w:w="1168" w:type="dxa"/>
            <w:shd w:val="clear" w:color="auto" w:fill="auto"/>
            <w:vAlign w:val="bottom"/>
          </w:tcPr>
          <w:p w:rsidR="007023B4" w:rsidRPr="006D5CDD" w:rsidRDefault="007023B4" w:rsidP="006D5CDD">
            <w:pPr>
              <w:pStyle w:val="SingleTxt"/>
              <w:spacing w:before="40" w:after="80" w:line="240" w:lineRule="exact"/>
              <w:ind w:left="0" w:right="144"/>
              <w:rPr>
                <w:rFonts w:hint="cs"/>
                <w:sz w:val="16"/>
                <w:szCs w:val="24"/>
                <w:rtl/>
              </w:rPr>
            </w:pPr>
            <w:r w:rsidRPr="006D5CDD">
              <w:rPr>
                <w:rFonts w:hint="cs"/>
                <w:sz w:val="16"/>
                <w:szCs w:val="24"/>
                <w:rtl/>
              </w:rPr>
              <w:t>129</w:t>
            </w:r>
          </w:p>
        </w:tc>
      </w:tr>
      <w:tr w:rsidR="007023B4" w:rsidRPr="006D5CDD">
        <w:trPr>
          <w:cantSplit/>
        </w:trPr>
        <w:tc>
          <w:tcPr>
            <w:tcW w:w="3605" w:type="dxa"/>
            <w:shd w:val="clear" w:color="auto" w:fill="auto"/>
            <w:vAlign w:val="bottom"/>
          </w:tcPr>
          <w:p w:rsidR="007023B4" w:rsidRPr="006D5CDD" w:rsidRDefault="007023B4" w:rsidP="006D5CDD">
            <w:pPr>
              <w:pStyle w:val="SingleTxt"/>
              <w:spacing w:before="40" w:after="80" w:line="240" w:lineRule="exact"/>
              <w:ind w:left="0" w:right="0"/>
              <w:rPr>
                <w:rFonts w:hint="cs"/>
                <w:sz w:val="16"/>
                <w:szCs w:val="24"/>
                <w:rtl/>
              </w:rPr>
            </w:pPr>
            <w:r w:rsidRPr="006D5CDD">
              <w:rPr>
                <w:rFonts w:hint="cs"/>
                <w:sz w:val="16"/>
                <w:szCs w:val="24"/>
                <w:rtl/>
              </w:rPr>
              <w:t>جمعية تنمية إقليم بروكسل العاصمة</w:t>
            </w:r>
          </w:p>
        </w:tc>
        <w:tc>
          <w:tcPr>
            <w:tcW w:w="1270" w:type="dxa"/>
            <w:shd w:val="clear" w:color="auto" w:fill="auto"/>
            <w:vAlign w:val="bottom"/>
          </w:tcPr>
          <w:p w:rsidR="007023B4" w:rsidRPr="006D5CDD" w:rsidRDefault="007023B4" w:rsidP="006D5CDD">
            <w:pPr>
              <w:pStyle w:val="SingleTxt"/>
              <w:spacing w:before="40" w:after="80" w:line="240" w:lineRule="exact"/>
              <w:ind w:left="0" w:right="144"/>
              <w:rPr>
                <w:rFonts w:hint="cs"/>
                <w:sz w:val="16"/>
                <w:szCs w:val="24"/>
                <w:rtl/>
              </w:rPr>
            </w:pPr>
            <w:r w:rsidRPr="006D5CDD">
              <w:rPr>
                <w:rFonts w:hint="cs"/>
                <w:sz w:val="16"/>
                <w:szCs w:val="24"/>
                <w:rtl/>
              </w:rPr>
              <w:t>51</w:t>
            </w:r>
            <w:r w:rsidR="006D5CDD" w:rsidRPr="006D5CDD">
              <w:rPr>
                <w:rFonts w:cs="Akhbar MT" w:hint="cs"/>
                <w:sz w:val="16"/>
                <w:szCs w:val="24"/>
                <w:rtl/>
              </w:rPr>
              <w:t>%</w:t>
            </w:r>
          </w:p>
        </w:tc>
        <w:tc>
          <w:tcPr>
            <w:tcW w:w="1270" w:type="dxa"/>
            <w:shd w:val="clear" w:color="auto" w:fill="auto"/>
            <w:vAlign w:val="bottom"/>
          </w:tcPr>
          <w:p w:rsidR="007023B4" w:rsidRPr="006D5CDD" w:rsidRDefault="007023B4" w:rsidP="006D5CDD">
            <w:pPr>
              <w:pStyle w:val="SingleTxt"/>
              <w:spacing w:before="40" w:after="80" w:line="240" w:lineRule="exact"/>
              <w:ind w:left="0" w:right="144"/>
              <w:rPr>
                <w:rFonts w:hint="cs"/>
                <w:sz w:val="16"/>
                <w:szCs w:val="24"/>
                <w:rtl/>
              </w:rPr>
            </w:pPr>
            <w:r w:rsidRPr="006D5CDD">
              <w:rPr>
                <w:rFonts w:hint="cs"/>
                <w:sz w:val="16"/>
                <w:szCs w:val="24"/>
                <w:rtl/>
              </w:rPr>
              <w:t>49</w:t>
            </w:r>
            <w:r w:rsidR="006D5CDD" w:rsidRPr="006D5CDD">
              <w:rPr>
                <w:rFonts w:cs="Akhbar MT" w:hint="cs"/>
                <w:sz w:val="16"/>
                <w:szCs w:val="24"/>
                <w:rtl/>
              </w:rPr>
              <w:t>%</w:t>
            </w:r>
          </w:p>
        </w:tc>
        <w:tc>
          <w:tcPr>
            <w:tcW w:w="1168" w:type="dxa"/>
            <w:shd w:val="clear" w:color="auto" w:fill="auto"/>
            <w:vAlign w:val="bottom"/>
          </w:tcPr>
          <w:p w:rsidR="007023B4" w:rsidRPr="006D5CDD" w:rsidRDefault="007023B4" w:rsidP="006D5CDD">
            <w:pPr>
              <w:pStyle w:val="SingleTxt"/>
              <w:spacing w:before="40" w:after="80" w:line="240" w:lineRule="exact"/>
              <w:ind w:left="0" w:right="144"/>
              <w:rPr>
                <w:rFonts w:hint="cs"/>
                <w:sz w:val="16"/>
                <w:szCs w:val="24"/>
                <w:rtl/>
              </w:rPr>
            </w:pPr>
            <w:r w:rsidRPr="006D5CDD">
              <w:rPr>
                <w:rFonts w:hint="cs"/>
                <w:sz w:val="16"/>
                <w:szCs w:val="24"/>
                <w:rtl/>
              </w:rPr>
              <w:t>124</w:t>
            </w:r>
          </w:p>
        </w:tc>
      </w:tr>
      <w:tr w:rsidR="007023B4" w:rsidRPr="006D5CDD">
        <w:trPr>
          <w:cantSplit/>
        </w:trPr>
        <w:tc>
          <w:tcPr>
            <w:tcW w:w="3605" w:type="dxa"/>
            <w:shd w:val="clear" w:color="auto" w:fill="auto"/>
            <w:vAlign w:val="bottom"/>
          </w:tcPr>
          <w:p w:rsidR="007023B4" w:rsidRPr="006D5CDD" w:rsidRDefault="007023B4" w:rsidP="006D5CDD">
            <w:pPr>
              <w:pStyle w:val="SingleTxt"/>
              <w:spacing w:before="40" w:after="80" w:line="240" w:lineRule="exact"/>
              <w:ind w:left="0" w:right="0"/>
              <w:rPr>
                <w:rFonts w:hint="cs"/>
                <w:sz w:val="16"/>
                <w:szCs w:val="24"/>
                <w:rtl/>
              </w:rPr>
            </w:pPr>
            <w:r w:rsidRPr="006D5CDD">
              <w:rPr>
                <w:rFonts w:hint="cs"/>
                <w:sz w:val="16"/>
                <w:szCs w:val="24"/>
                <w:rtl/>
              </w:rPr>
              <w:t>خدمات الحريق والمعونة الطبية العاجلة</w:t>
            </w:r>
          </w:p>
        </w:tc>
        <w:tc>
          <w:tcPr>
            <w:tcW w:w="1270" w:type="dxa"/>
            <w:shd w:val="clear" w:color="auto" w:fill="auto"/>
            <w:vAlign w:val="bottom"/>
          </w:tcPr>
          <w:p w:rsidR="007023B4" w:rsidRPr="006D5CDD" w:rsidRDefault="007023B4" w:rsidP="006D5CDD">
            <w:pPr>
              <w:pStyle w:val="SingleTxt"/>
              <w:spacing w:before="40" w:after="80" w:line="240" w:lineRule="exact"/>
              <w:ind w:left="0" w:right="144"/>
              <w:rPr>
                <w:rFonts w:hint="cs"/>
                <w:sz w:val="16"/>
                <w:szCs w:val="24"/>
                <w:rtl/>
              </w:rPr>
            </w:pPr>
            <w:r w:rsidRPr="006D5CDD">
              <w:rPr>
                <w:rFonts w:hint="cs"/>
                <w:sz w:val="16"/>
                <w:szCs w:val="24"/>
                <w:rtl/>
              </w:rPr>
              <w:t>7</w:t>
            </w:r>
            <w:r w:rsidR="006D5CDD" w:rsidRPr="006D5CDD">
              <w:rPr>
                <w:rFonts w:cs="Akhbar MT" w:hint="cs"/>
                <w:sz w:val="16"/>
                <w:szCs w:val="24"/>
                <w:rtl/>
              </w:rPr>
              <w:t>%</w:t>
            </w:r>
          </w:p>
        </w:tc>
        <w:tc>
          <w:tcPr>
            <w:tcW w:w="1270" w:type="dxa"/>
            <w:shd w:val="clear" w:color="auto" w:fill="auto"/>
            <w:vAlign w:val="bottom"/>
          </w:tcPr>
          <w:p w:rsidR="007023B4" w:rsidRPr="006D5CDD" w:rsidRDefault="007023B4" w:rsidP="006D5CDD">
            <w:pPr>
              <w:pStyle w:val="SingleTxt"/>
              <w:spacing w:before="40" w:after="80" w:line="240" w:lineRule="exact"/>
              <w:ind w:left="0" w:right="144"/>
              <w:rPr>
                <w:rFonts w:hint="cs"/>
                <w:sz w:val="16"/>
                <w:szCs w:val="24"/>
                <w:rtl/>
              </w:rPr>
            </w:pPr>
            <w:r w:rsidRPr="006D5CDD">
              <w:rPr>
                <w:rFonts w:hint="cs"/>
                <w:sz w:val="16"/>
                <w:szCs w:val="24"/>
                <w:rtl/>
              </w:rPr>
              <w:t>93</w:t>
            </w:r>
            <w:r w:rsidR="006D5CDD" w:rsidRPr="006D5CDD">
              <w:rPr>
                <w:rFonts w:cs="Akhbar MT" w:hint="cs"/>
                <w:sz w:val="16"/>
                <w:szCs w:val="24"/>
                <w:rtl/>
              </w:rPr>
              <w:t>%</w:t>
            </w:r>
          </w:p>
        </w:tc>
        <w:tc>
          <w:tcPr>
            <w:tcW w:w="1168" w:type="dxa"/>
            <w:shd w:val="clear" w:color="auto" w:fill="auto"/>
            <w:vAlign w:val="bottom"/>
          </w:tcPr>
          <w:p w:rsidR="007023B4" w:rsidRPr="006D5CDD" w:rsidRDefault="007023B4" w:rsidP="006D5CDD">
            <w:pPr>
              <w:pStyle w:val="SingleTxt"/>
              <w:spacing w:before="40" w:after="80" w:line="240" w:lineRule="exact"/>
              <w:ind w:left="0" w:right="144"/>
              <w:rPr>
                <w:rFonts w:hint="cs"/>
                <w:sz w:val="16"/>
                <w:szCs w:val="24"/>
                <w:rtl/>
              </w:rPr>
            </w:pPr>
            <w:r w:rsidRPr="006D5CDD">
              <w:rPr>
                <w:rFonts w:hint="cs"/>
                <w:sz w:val="16"/>
                <w:szCs w:val="24"/>
                <w:rtl/>
              </w:rPr>
              <w:t>131 1</w:t>
            </w:r>
          </w:p>
        </w:tc>
      </w:tr>
      <w:tr w:rsidR="007023B4" w:rsidRPr="006D5CDD">
        <w:trPr>
          <w:cantSplit/>
        </w:trPr>
        <w:tc>
          <w:tcPr>
            <w:tcW w:w="3605" w:type="dxa"/>
            <w:tcBorders>
              <w:bottom w:val="single" w:sz="2" w:space="0" w:color="auto"/>
            </w:tcBorders>
            <w:shd w:val="clear" w:color="auto" w:fill="auto"/>
            <w:vAlign w:val="bottom"/>
          </w:tcPr>
          <w:p w:rsidR="007023B4" w:rsidRPr="006D5CDD" w:rsidRDefault="007023B4" w:rsidP="006D5CDD">
            <w:pPr>
              <w:pStyle w:val="SingleTxt"/>
              <w:spacing w:before="40" w:after="80" w:line="240" w:lineRule="exact"/>
              <w:ind w:left="0" w:right="0"/>
              <w:rPr>
                <w:rFonts w:hint="cs"/>
                <w:sz w:val="16"/>
                <w:szCs w:val="24"/>
                <w:rtl/>
              </w:rPr>
            </w:pPr>
            <w:r w:rsidRPr="006D5CDD">
              <w:rPr>
                <w:rFonts w:hint="cs"/>
                <w:sz w:val="16"/>
                <w:szCs w:val="24"/>
                <w:rtl/>
              </w:rPr>
              <w:t>جمعية الإسكان في إقليم بروكسل</w:t>
            </w:r>
          </w:p>
        </w:tc>
        <w:tc>
          <w:tcPr>
            <w:tcW w:w="1270" w:type="dxa"/>
            <w:tcBorders>
              <w:bottom w:val="single" w:sz="2" w:space="0" w:color="auto"/>
            </w:tcBorders>
            <w:shd w:val="clear" w:color="auto" w:fill="auto"/>
            <w:vAlign w:val="bottom"/>
          </w:tcPr>
          <w:p w:rsidR="007023B4" w:rsidRPr="006D5CDD" w:rsidRDefault="007023B4" w:rsidP="006D5CDD">
            <w:pPr>
              <w:pStyle w:val="SingleTxt"/>
              <w:spacing w:before="40" w:after="80" w:line="240" w:lineRule="exact"/>
              <w:ind w:left="0" w:right="144"/>
              <w:rPr>
                <w:rFonts w:hint="cs"/>
                <w:sz w:val="16"/>
                <w:szCs w:val="24"/>
                <w:rtl/>
              </w:rPr>
            </w:pPr>
            <w:r w:rsidRPr="006D5CDD">
              <w:rPr>
                <w:rFonts w:hint="cs"/>
                <w:sz w:val="16"/>
                <w:szCs w:val="24"/>
                <w:rtl/>
              </w:rPr>
              <w:t>58</w:t>
            </w:r>
            <w:r w:rsidR="006D5CDD" w:rsidRPr="006D5CDD">
              <w:rPr>
                <w:rFonts w:cs="Akhbar MT" w:hint="cs"/>
                <w:sz w:val="16"/>
                <w:szCs w:val="24"/>
                <w:rtl/>
              </w:rPr>
              <w:t>%</w:t>
            </w:r>
          </w:p>
        </w:tc>
        <w:tc>
          <w:tcPr>
            <w:tcW w:w="1270" w:type="dxa"/>
            <w:tcBorders>
              <w:bottom w:val="single" w:sz="2" w:space="0" w:color="auto"/>
            </w:tcBorders>
            <w:shd w:val="clear" w:color="auto" w:fill="auto"/>
            <w:vAlign w:val="bottom"/>
          </w:tcPr>
          <w:p w:rsidR="007023B4" w:rsidRPr="006D5CDD" w:rsidRDefault="007023B4" w:rsidP="006D5CDD">
            <w:pPr>
              <w:pStyle w:val="SingleTxt"/>
              <w:spacing w:before="40" w:after="80" w:line="240" w:lineRule="exact"/>
              <w:ind w:left="0" w:right="144"/>
              <w:rPr>
                <w:rFonts w:hint="cs"/>
                <w:sz w:val="16"/>
                <w:szCs w:val="24"/>
                <w:rtl/>
              </w:rPr>
            </w:pPr>
            <w:r w:rsidRPr="006D5CDD">
              <w:rPr>
                <w:rFonts w:hint="cs"/>
                <w:sz w:val="16"/>
                <w:szCs w:val="24"/>
                <w:rtl/>
              </w:rPr>
              <w:t>42</w:t>
            </w:r>
            <w:r w:rsidR="006D5CDD" w:rsidRPr="006D5CDD">
              <w:rPr>
                <w:rFonts w:cs="Akhbar MT" w:hint="cs"/>
                <w:sz w:val="16"/>
                <w:szCs w:val="24"/>
                <w:rtl/>
              </w:rPr>
              <w:t>%</w:t>
            </w:r>
          </w:p>
        </w:tc>
        <w:tc>
          <w:tcPr>
            <w:tcW w:w="1168" w:type="dxa"/>
            <w:tcBorders>
              <w:bottom w:val="single" w:sz="2" w:space="0" w:color="auto"/>
            </w:tcBorders>
            <w:shd w:val="clear" w:color="auto" w:fill="auto"/>
            <w:vAlign w:val="bottom"/>
          </w:tcPr>
          <w:p w:rsidR="007023B4" w:rsidRPr="006D5CDD" w:rsidRDefault="007023B4" w:rsidP="006D5CDD">
            <w:pPr>
              <w:pStyle w:val="SingleTxt"/>
              <w:spacing w:before="40" w:after="80" w:line="240" w:lineRule="exact"/>
              <w:ind w:left="0" w:right="144"/>
              <w:rPr>
                <w:rFonts w:hint="cs"/>
                <w:sz w:val="16"/>
                <w:szCs w:val="24"/>
                <w:rtl/>
              </w:rPr>
            </w:pPr>
            <w:r w:rsidRPr="006D5CDD">
              <w:rPr>
                <w:rFonts w:hint="cs"/>
                <w:sz w:val="16"/>
                <w:szCs w:val="24"/>
                <w:rtl/>
              </w:rPr>
              <w:t>84</w:t>
            </w:r>
          </w:p>
        </w:tc>
      </w:tr>
      <w:tr w:rsidR="007023B4" w:rsidRPr="006D5CDD">
        <w:trPr>
          <w:cantSplit/>
        </w:trPr>
        <w:tc>
          <w:tcPr>
            <w:tcW w:w="3605" w:type="dxa"/>
            <w:tcBorders>
              <w:top w:val="single" w:sz="2" w:space="0" w:color="auto"/>
              <w:bottom w:val="single" w:sz="12" w:space="0" w:color="auto"/>
            </w:tcBorders>
            <w:shd w:val="clear" w:color="auto" w:fill="auto"/>
            <w:vAlign w:val="bottom"/>
          </w:tcPr>
          <w:p w:rsidR="007023B4" w:rsidRPr="006D5CDD" w:rsidRDefault="007023B4" w:rsidP="006D5CDD">
            <w:pPr>
              <w:pStyle w:val="SingleTxt"/>
              <w:spacing w:before="40" w:after="80" w:line="240" w:lineRule="exact"/>
              <w:ind w:left="0" w:right="0"/>
              <w:rPr>
                <w:rFonts w:hint="cs"/>
                <w:b/>
                <w:bCs/>
                <w:sz w:val="16"/>
                <w:szCs w:val="24"/>
                <w:rtl/>
                <w:lang w:bidi="ar-EG"/>
              </w:rPr>
            </w:pPr>
            <w:r w:rsidRPr="006D5CDD">
              <w:rPr>
                <w:rFonts w:hint="cs"/>
                <w:b/>
                <w:bCs/>
                <w:sz w:val="16"/>
                <w:szCs w:val="24"/>
                <w:rtl/>
                <w:lang w:bidi="ar-EG"/>
              </w:rPr>
              <w:t>المجموع</w:t>
            </w:r>
          </w:p>
        </w:tc>
        <w:tc>
          <w:tcPr>
            <w:tcW w:w="1270" w:type="dxa"/>
            <w:tcBorders>
              <w:top w:val="single" w:sz="2" w:space="0" w:color="auto"/>
              <w:bottom w:val="single" w:sz="12" w:space="0" w:color="auto"/>
            </w:tcBorders>
            <w:shd w:val="clear" w:color="auto" w:fill="auto"/>
            <w:vAlign w:val="bottom"/>
          </w:tcPr>
          <w:p w:rsidR="007023B4" w:rsidRPr="006D5CDD" w:rsidRDefault="007023B4" w:rsidP="006D5CDD">
            <w:pPr>
              <w:pStyle w:val="SingleTxt"/>
              <w:spacing w:before="40" w:after="80" w:line="240" w:lineRule="exact"/>
              <w:ind w:left="0" w:right="144"/>
              <w:rPr>
                <w:rFonts w:hint="cs"/>
                <w:b/>
                <w:bCs/>
                <w:sz w:val="16"/>
                <w:szCs w:val="24"/>
                <w:rtl/>
              </w:rPr>
            </w:pPr>
            <w:r w:rsidRPr="006D5CDD">
              <w:rPr>
                <w:rFonts w:hint="cs"/>
                <w:b/>
                <w:bCs/>
                <w:sz w:val="16"/>
                <w:szCs w:val="24"/>
                <w:rtl/>
              </w:rPr>
              <w:t>28</w:t>
            </w:r>
            <w:r w:rsidR="006D5CDD" w:rsidRPr="006D5CDD">
              <w:rPr>
                <w:rFonts w:cs="Akhbar MT" w:hint="cs"/>
                <w:sz w:val="16"/>
                <w:szCs w:val="24"/>
                <w:rtl/>
              </w:rPr>
              <w:t>%</w:t>
            </w:r>
          </w:p>
        </w:tc>
        <w:tc>
          <w:tcPr>
            <w:tcW w:w="1270" w:type="dxa"/>
            <w:tcBorders>
              <w:top w:val="single" w:sz="2" w:space="0" w:color="auto"/>
              <w:bottom w:val="single" w:sz="12" w:space="0" w:color="auto"/>
            </w:tcBorders>
            <w:shd w:val="clear" w:color="auto" w:fill="auto"/>
            <w:vAlign w:val="bottom"/>
          </w:tcPr>
          <w:p w:rsidR="007023B4" w:rsidRPr="006D5CDD" w:rsidRDefault="007023B4" w:rsidP="006D5CDD">
            <w:pPr>
              <w:pStyle w:val="SingleTxt"/>
              <w:spacing w:before="40" w:after="80" w:line="240" w:lineRule="exact"/>
              <w:ind w:left="0" w:right="144"/>
              <w:rPr>
                <w:rFonts w:hint="cs"/>
                <w:b/>
                <w:bCs/>
                <w:sz w:val="16"/>
                <w:szCs w:val="24"/>
                <w:rtl/>
              </w:rPr>
            </w:pPr>
            <w:r w:rsidRPr="006D5CDD">
              <w:rPr>
                <w:rFonts w:hint="cs"/>
                <w:b/>
                <w:bCs/>
                <w:sz w:val="16"/>
                <w:szCs w:val="24"/>
                <w:rtl/>
              </w:rPr>
              <w:t>72</w:t>
            </w:r>
            <w:r w:rsidR="006D5CDD" w:rsidRPr="006D5CDD">
              <w:rPr>
                <w:rFonts w:cs="Akhbar MT" w:hint="cs"/>
                <w:sz w:val="16"/>
                <w:szCs w:val="24"/>
                <w:rtl/>
              </w:rPr>
              <w:t>%</w:t>
            </w:r>
          </w:p>
        </w:tc>
        <w:tc>
          <w:tcPr>
            <w:tcW w:w="1168" w:type="dxa"/>
            <w:tcBorders>
              <w:top w:val="single" w:sz="2" w:space="0" w:color="auto"/>
              <w:bottom w:val="single" w:sz="12" w:space="0" w:color="auto"/>
            </w:tcBorders>
            <w:shd w:val="clear" w:color="auto" w:fill="auto"/>
            <w:vAlign w:val="bottom"/>
          </w:tcPr>
          <w:p w:rsidR="007023B4" w:rsidRPr="006D5CDD" w:rsidRDefault="007023B4" w:rsidP="006D5CDD">
            <w:pPr>
              <w:pStyle w:val="SingleTxt"/>
              <w:spacing w:before="40" w:after="80" w:line="240" w:lineRule="exact"/>
              <w:ind w:left="0" w:right="144"/>
              <w:rPr>
                <w:rFonts w:hint="cs"/>
                <w:b/>
                <w:bCs/>
                <w:sz w:val="16"/>
                <w:szCs w:val="24"/>
                <w:rtl/>
              </w:rPr>
            </w:pPr>
            <w:r w:rsidRPr="006D5CDD">
              <w:rPr>
                <w:rFonts w:hint="cs"/>
                <w:b/>
                <w:bCs/>
                <w:sz w:val="16"/>
                <w:szCs w:val="24"/>
                <w:rtl/>
              </w:rPr>
              <w:t>628 6</w:t>
            </w:r>
          </w:p>
        </w:tc>
      </w:tr>
    </w:tbl>
    <w:p w:rsidR="007023B4" w:rsidRPr="002C72D3" w:rsidRDefault="007023B4" w:rsidP="007023B4">
      <w:pPr>
        <w:pStyle w:val="SingleTxt"/>
        <w:spacing w:after="0" w:line="120" w:lineRule="exact"/>
        <w:rPr>
          <w:rFonts w:hint="cs"/>
          <w:sz w:val="10"/>
          <w:szCs w:val="26"/>
          <w:rtl/>
        </w:rPr>
      </w:pPr>
    </w:p>
    <w:p w:rsidR="007023B4" w:rsidRDefault="007023B4" w:rsidP="007023B4">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 xml:space="preserve">     </w:t>
      </w:r>
      <w:r w:rsidRPr="00466E67">
        <w:rPr>
          <w:rFonts w:hint="cs"/>
          <w:i/>
          <w:iCs/>
          <w:rtl/>
        </w:rPr>
        <w:t>المصدر</w:t>
      </w:r>
      <w:r w:rsidRPr="00826C83">
        <w:rPr>
          <w:rFonts w:hint="cs"/>
          <w:rtl/>
        </w:rPr>
        <w:t>:</w:t>
      </w:r>
      <w:r>
        <w:rPr>
          <w:rFonts w:hint="cs"/>
          <w:rtl/>
        </w:rPr>
        <w:t xml:space="preserve">  </w:t>
      </w:r>
      <w:r w:rsidRPr="00826C83">
        <w:rPr>
          <w:rFonts w:hint="cs"/>
          <w:rtl/>
        </w:rPr>
        <w:t>مرصد الاستخدام.</w:t>
      </w:r>
    </w:p>
    <w:p w:rsidR="007023B4" w:rsidRPr="00466E67" w:rsidRDefault="007023B4" w:rsidP="007023B4">
      <w:pPr>
        <w:pStyle w:val="SingleTxt"/>
        <w:spacing w:after="0" w:line="120" w:lineRule="exact"/>
        <w:rPr>
          <w:rFonts w:hint="cs"/>
          <w:i/>
          <w:iCs/>
          <w:sz w:val="10"/>
          <w:szCs w:val="26"/>
          <w:rtl/>
        </w:rPr>
      </w:pPr>
    </w:p>
    <w:p w:rsidR="007023B4" w:rsidRPr="00466E67" w:rsidRDefault="007023B4" w:rsidP="007023B4">
      <w:pPr>
        <w:pStyle w:val="SingleTxt"/>
        <w:spacing w:after="0" w:line="120" w:lineRule="exact"/>
        <w:rPr>
          <w:rFonts w:hint="cs"/>
          <w:sz w:val="10"/>
          <w:szCs w:val="26"/>
          <w:rtl/>
        </w:rPr>
      </w:pPr>
    </w:p>
    <w:p w:rsidR="007023B4" w:rsidRDefault="007023B4" w:rsidP="007023B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توزيع الرجال والنساء على مختلف مستويات إدارة بروكسل</w:t>
      </w:r>
    </w:p>
    <w:p w:rsidR="007023B4" w:rsidRPr="00466E67" w:rsidRDefault="007023B4" w:rsidP="007023B4">
      <w:pPr>
        <w:pStyle w:val="SingleTxt"/>
        <w:spacing w:after="0" w:line="120" w:lineRule="exact"/>
        <w:rPr>
          <w:rFonts w:hint="cs"/>
          <w:sz w:val="10"/>
          <w:rtl/>
        </w:rPr>
      </w:pPr>
    </w:p>
    <w:tbl>
      <w:tblPr>
        <w:tblStyle w:val="TableGrid"/>
        <w:bidiVisual/>
        <w:tblW w:w="0" w:type="auto"/>
        <w:tblInd w:w="14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163"/>
        <w:gridCol w:w="1751"/>
        <w:gridCol w:w="1751"/>
        <w:gridCol w:w="1648"/>
      </w:tblGrid>
      <w:tr w:rsidR="007023B4" w:rsidRPr="006D5CDD">
        <w:trPr>
          <w:cantSplit/>
          <w:tblHeader/>
        </w:trPr>
        <w:tc>
          <w:tcPr>
            <w:tcW w:w="2163" w:type="dxa"/>
            <w:tcBorders>
              <w:top w:val="single" w:sz="4" w:space="0" w:color="auto"/>
              <w:bottom w:val="single" w:sz="12" w:space="0" w:color="auto"/>
            </w:tcBorders>
            <w:shd w:val="clear" w:color="auto" w:fill="auto"/>
            <w:vAlign w:val="bottom"/>
          </w:tcPr>
          <w:p w:rsidR="007023B4" w:rsidRPr="006D5CDD" w:rsidRDefault="007023B4" w:rsidP="006D5CDD">
            <w:pPr>
              <w:pStyle w:val="SingleTxt"/>
              <w:spacing w:before="80" w:after="80" w:line="240" w:lineRule="exact"/>
              <w:ind w:left="0" w:right="0"/>
              <w:rPr>
                <w:rFonts w:hint="cs"/>
                <w:i/>
                <w:iCs/>
                <w:sz w:val="16"/>
                <w:szCs w:val="24"/>
                <w:rtl/>
              </w:rPr>
            </w:pPr>
            <w:r w:rsidRPr="006D5CDD">
              <w:rPr>
                <w:rFonts w:hint="cs"/>
                <w:i/>
                <w:iCs/>
                <w:sz w:val="16"/>
                <w:szCs w:val="24"/>
                <w:rtl/>
              </w:rPr>
              <w:t>المستويات</w:t>
            </w:r>
          </w:p>
        </w:tc>
        <w:tc>
          <w:tcPr>
            <w:tcW w:w="1751" w:type="dxa"/>
            <w:tcBorders>
              <w:top w:val="single" w:sz="4" w:space="0" w:color="auto"/>
              <w:bottom w:val="single" w:sz="12" w:space="0" w:color="auto"/>
            </w:tcBorders>
            <w:shd w:val="clear" w:color="auto" w:fill="auto"/>
            <w:vAlign w:val="bottom"/>
          </w:tcPr>
          <w:p w:rsidR="007023B4" w:rsidRPr="006D5CDD" w:rsidRDefault="007023B4" w:rsidP="006D5CDD">
            <w:pPr>
              <w:pStyle w:val="SingleTxt"/>
              <w:spacing w:before="80" w:after="80" w:line="240" w:lineRule="exact"/>
              <w:ind w:left="0" w:right="144"/>
              <w:rPr>
                <w:rFonts w:hint="cs"/>
                <w:i/>
                <w:iCs/>
                <w:sz w:val="16"/>
                <w:szCs w:val="24"/>
                <w:rtl/>
              </w:rPr>
            </w:pPr>
            <w:r w:rsidRPr="006D5CDD">
              <w:rPr>
                <w:rFonts w:hint="cs"/>
                <w:i/>
                <w:iCs/>
                <w:sz w:val="16"/>
                <w:szCs w:val="24"/>
                <w:rtl/>
              </w:rPr>
              <w:t>النساء</w:t>
            </w:r>
          </w:p>
        </w:tc>
        <w:tc>
          <w:tcPr>
            <w:tcW w:w="1751" w:type="dxa"/>
            <w:tcBorders>
              <w:top w:val="single" w:sz="4" w:space="0" w:color="auto"/>
              <w:bottom w:val="single" w:sz="12" w:space="0" w:color="auto"/>
            </w:tcBorders>
            <w:shd w:val="clear" w:color="auto" w:fill="auto"/>
            <w:vAlign w:val="bottom"/>
          </w:tcPr>
          <w:p w:rsidR="007023B4" w:rsidRPr="006D5CDD" w:rsidRDefault="007023B4" w:rsidP="006D5CDD">
            <w:pPr>
              <w:pStyle w:val="SingleTxt"/>
              <w:spacing w:before="80" w:after="80" w:line="240" w:lineRule="exact"/>
              <w:ind w:left="0" w:right="144"/>
              <w:rPr>
                <w:rFonts w:hint="cs"/>
                <w:i/>
                <w:iCs/>
                <w:sz w:val="16"/>
                <w:szCs w:val="24"/>
                <w:rtl/>
              </w:rPr>
            </w:pPr>
            <w:r w:rsidRPr="006D5CDD">
              <w:rPr>
                <w:rFonts w:hint="cs"/>
                <w:i/>
                <w:iCs/>
                <w:sz w:val="16"/>
                <w:szCs w:val="24"/>
                <w:rtl/>
              </w:rPr>
              <w:t>الرجال</w:t>
            </w:r>
          </w:p>
        </w:tc>
        <w:tc>
          <w:tcPr>
            <w:tcW w:w="1648" w:type="dxa"/>
            <w:tcBorders>
              <w:top w:val="single" w:sz="4" w:space="0" w:color="auto"/>
              <w:bottom w:val="single" w:sz="12" w:space="0" w:color="auto"/>
            </w:tcBorders>
            <w:shd w:val="clear" w:color="auto" w:fill="auto"/>
            <w:vAlign w:val="bottom"/>
          </w:tcPr>
          <w:p w:rsidR="007023B4" w:rsidRPr="006D5CDD" w:rsidRDefault="007023B4" w:rsidP="006D5CDD">
            <w:pPr>
              <w:pStyle w:val="SingleTxt"/>
              <w:spacing w:before="80" w:after="80" w:line="240" w:lineRule="exact"/>
              <w:ind w:left="0" w:right="144"/>
              <w:rPr>
                <w:rFonts w:hint="cs"/>
                <w:i/>
                <w:iCs/>
                <w:sz w:val="16"/>
                <w:szCs w:val="24"/>
                <w:rtl/>
              </w:rPr>
            </w:pPr>
            <w:r w:rsidRPr="006D5CDD">
              <w:rPr>
                <w:rFonts w:hint="cs"/>
                <w:i/>
                <w:iCs/>
                <w:sz w:val="16"/>
                <w:szCs w:val="24"/>
                <w:rtl/>
              </w:rPr>
              <w:t>العدد الكلي</w:t>
            </w:r>
          </w:p>
        </w:tc>
      </w:tr>
      <w:tr w:rsidR="006D5CDD" w:rsidRPr="006D5CDD">
        <w:trPr>
          <w:cantSplit/>
          <w:trHeight w:hRule="exact" w:val="115"/>
          <w:tblHeader/>
        </w:trPr>
        <w:tc>
          <w:tcPr>
            <w:tcW w:w="2163" w:type="dxa"/>
            <w:tcBorders>
              <w:top w:val="single" w:sz="12" w:space="0" w:color="auto"/>
            </w:tcBorders>
            <w:shd w:val="clear" w:color="auto" w:fill="auto"/>
            <w:vAlign w:val="bottom"/>
          </w:tcPr>
          <w:p w:rsidR="006D5CDD" w:rsidRPr="006D5CDD" w:rsidRDefault="006D5CDD" w:rsidP="006D5CDD">
            <w:pPr>
              <w:pStyle w:val="SingleTxt"/>
              <w:spacing w:before="40" w:after="80" w:line="240" w:lineRule="exact"/>
              <w:ind w:left="0" w:right="0"/>
              <w:rPr>
                <w:rFonts w:hint="cs"/>
                <w:sz w:val="16"/>
                <w:szCs w:val="24"/>
                <w:rtl/>
              </w:rPr>
            </w:pPr>
          </w:p>
        </w:tc>
        <w:tc>
          <w:tcPr>
            <w:tcW w:w="1751" w:type="dxa"/>
            <w:tcBorders>
              <w:top w:val="single" w:sz="12" w:space="0" w:color="auto"/>
            </w:tcBorders>
            <w:shd w:val="clear" w:color="auto" w:fill="auto"/>
            <w:vAlign w:val="bottom"/>
          </w:tcPr>
          <w:p w:rsidR="006D5CDD" w:rsidRPr="006D5CDD" w:rsidRDefault="006D5CDD" w:rsidP="006D5CDD">
            <w:pPr>
              <w:pStyle w:val="SingleTxt"/>
              <w:spacing w:before="40" w:after="80" w:line="240" w:lineRule="exact"/>
              <w:ind w:left="0" w:right="144"/>
              <w:rPr>
                <w:rFonts w:hint="cs"/>
                <w:sz w:val="16"/>
                <w:szCs w:val="24"/>
                <w:rtl/>
              </w:rPr>
            </w:pPr>
          </w:p>
        </w:tc>
        <w:tc>
          <w:tcPr>
            <w:tcW w:w="1751" w:type="dxa"/>
            <w:tcBorders>
              <w:top w:val="single" w:sz="12" w:space="0" w:color="auto"/>
            </w:tcBorders>
            <w:shd w:val="clear" w:color="auto" w:fill="auto"/>
            <w:vAlign w:val="bottom"/>
          </w:tcPr>
          <w:p w:rsidR="006D5CDD" w:rsidRPr="006D5CDD" w:rsidRDefault="006D5CDD" w:rsidP="006D5CDD">
            <w:pPr>
              <w:pStyle w:val="SingleTxt"/>
              <w:spacing w:before="40" w:after="80" w:line="240" w:lineRule="exact"/>
              <w:ind w:left="0" w:right="144"/>
              <w:rPr>
                <w:rFonts w:hint="cs"/>
                <w:sz w:val="16"/>
                <w:szCs w:val="24"/>
                <w:rtl/>
              </w:rPr>
            </w:pPr>
          </w:p>
        </w:tc>
        <w:tc>
          <w:tcPr>
            <w:tcW w:w="1648" w:type="dxa"/>
            <w:tcBorders>
              <w:top w:val="single" w:sz="12" w:space="0" w:color="auto"/>
            </w:tcBorders>
            <w:shd w:val="clear" w:color="auto" w:fill="auto"/>
            <w:vAlign w:val="bottom"/>
          </w:tcPr>
          <w:p w:rsidR="006D5CDD" w:rsidRPr="006D5CDD" w:rsidRDefault="006D5CDD" w:rsidP="006D5CDD">
            <w:pPr>
              <w:pStyle w:val="SingleTxt"/>
              <w:spacing w:before="40" w:after="80" w:line="240" w:lineRule="exact"/>
              <w:ind w:left="0" w:right="144"/>
              <w:rPr>
                <w:rFonts w:hint="cs"/>
                <w:sz w:val="16"/>
                <w:szCs w:val="24"/>
                <w:rtl/>
              </w:rPr>
            </w:pPr>
          </w:p>
        </w:tc>
      </w:tr>
      <w:tr w:rsidR="007023B4" w:rsidRPr="006D5CDD">
        <w:trPr>
          <w:cantSplit/>
        </w:trPr>
        <w:tc>
          <w:tcPr>
            <w:tcW w:w="2163" w:type="dxa"/>
            <w:shd w:val="clear" w:color="auto" w:fill="auto"/>
            <w:vAlign w:val="bottom"/>
          </w:tcPr>
          <w:p w:rsidR="007023B4" w:rsidRPr="006D5CDD" w:rsidRDefault="007023B4" w:rsidP="006D5CDD">
            <w:pPr>
              <w:pStyle w:val="SingleTxt"/>
              <w:spacing w:before="40" w:after="80" w:line="240" w:lineRule="exact"/>
              <w:ind w:left="0" w:right="0"/>
              <w:rPr>
                <w:rFonts w:hint="cs"/>
                <w:sz w:val="16"/>
                <w:szCs w:val="24"/>
                <w:rtl/>
              </w:rPr>
            </w:pPr>
            <w:r w:rsidRPr="006D5CDD">
              <w:rPr>
                <w:rFonts w:hint="cs"/>
                <w:sz w:val="16"/>
                <w:szCs w:val="24"/>
                <w:rtl/>
              </w:rPr>
              <w:t>المستوى ألف</w:t>
            </w:r>
          </w:p>
        </w:tc>
        <w:tc>
          <w:tcPr>
            <w:tcW w:w="1751" w:type="dxa"/>
            <w:shd w:val="clear" w:color="auto" w:fill="auto"/>
            <w:vAlign w:val="bottom"/>
          </w:tcPr>
          <w:p w:rsidR="007023B4" w:rsidRPr="006D5CDD" w:rsidRDefault="007023B4" w:rsidP="006D5CDD">
            <w:pPr>
              <w:pStyle w:val="SingleTxt"/>
              <w:spacing w:before="40" w:after="80" w:line="240" w:lineRule="exact"/>
              <w:ind w:left="0" w:right="144"/>
              <w:rPr>
                <w:rFonts w:hint="cs"/>
                <w:sz w:val="16"/>
                <w:szCs w:val="24"/>
                <w:rtl/>
              </w:rPr>
            </w:pPr>
            <w:r w:rsidRPr="006D5CDD">
              <w:rPr>
                <w:rFonts w:hint="cs"/>
                <w:sz w:val="16"/>
                <w:szCs w:val="24"/>
                <w:rtl/>
              </w:rPr>
              <w:t>38.66</w:t>
            </w:r>
            <w:r w:rsidR="006D5CDD" w:rsidRPr="006D5CDD">
              <w:rPr>
                <w:rFonts w:cs="Akhbar MT" w:hint="cs"/>
                <w:sz w:val="16"/>
                <w:szCs w:val="24"/>
                <w:rtl/>
              </w:rPr>
              <w:t>%</w:t>
            </w:r>
          </w:p>
        </w:tc>
        <w:tc>
          <w:tcPr>
            <w:tcW w:w="1751" w:type="dxa"/>
            <w:shd w:val="clear" w:color="auto" w:fill="auto"/>
            <w:vAlign w:val="bottom"/>
          </w:tcPr>
          <w:p w:rsidR="007023B4" w:rsidRPr="006D5CDD" w:rsidRDefault="007023B4" w:rsidP="006D5CDD">
            <w:pPr>
              <w:pStyle w:val="SingleTxt"/>
              <w:spacing w:before="40" w:after="80" w:line="240" w:lineRule="exact"/>
              <w:ind w:left="0" w:right="144"/>
              <w:rPr>
                <w:rFonts w:hint="cs"/>
                <w:sz w:val="16"/>
                <w:szCs w:val="24"/>
                <w:rtl/>
              </w:rPr>
            </w:pPr>
            <w:r w:rsidRPr="006D5CDD">
              <w:rPr>
                <w:rFonts w:hint="cs"/>
                <w:sz w:val="16"/>
                <w:szCs w:val="24"/>
                <w:rtl/>
              </w:rPr>
              <w:t>61.34</w:t>
            </w:r>
            <w:r w:rsidR="006D5CDD" w:rsidRPr="006D5CDD">
              <w:rPr>
                <w:rFonts w:cs="Akhbar MT" w:hint="cs"/>
                <w:sz w:val="16"/>
                <w:szCs w:val="24"/>
                <w:rtl/>
              </w:rPr>
              <w:t>%</w:t>
            </w:r>
          </w:p>
        </w:tc>
        <w:tc>
          <w:tcPr>
            <w:tcW w:w="1648" w:type="dxa"/>
            <w:shd w:val="clear" w:color="auto" w:fill="auto"/>
            <w:vAlign w:val="bottom"/>
          </w:tcPr>
          <w:p w:rsidR="007023B4" w:rsidRPr="006D5CDD" w:rsidRDefault="007023B4" w:rsidP="006D5CDD">
            <w:pPr>
              <w:pStyle w:val="SingleTxt"/>
              <w:spacing w:before="40" w:after="80" w:line="240" w:lineRule="exact"/>
              <w:ind w:left="0" w:right="144"/>
              <w:rPr>
                <w:rFonts w:hint="cs"/>
                <w:sz w:val="16"/>
                <w:szCs w:val="24"/>
                <w:rtl/>
              </w:rPr>
            </w:pPr>
            <w:r w:rsidRPr="006D5CDD">
              <w:rPr>
                <w:rFonts w:hint="cs"/>
                <w:sz w:val="16"/>
                <w:szCs w:val="24"/>
                <w:rtl/>
              </w:rPr>
              <w:t>146 1</w:t>
            </w:r>
          </w:p>
        </w:tc>
      </w:tr>
      <w:tr w:rsidR="007023B4" w:rsidRPr="006D5CDD">
        <w:trPr>
          <w:cantSplit/>
        </w:trPr>
        <w:tc>
          <w:tcPr>
            <w:tcW w:w="2163" w:type="dxa"/>
            <w:shd w:val="clear" w:color="auto" w:fill="auto"/>
            <w:vAlign w:val="bottom"/>
          </w:tcPr>
          <w:p w:rsidR="007023B4" w:rsidRPr="006D5CDD" w:rsidRDefault="007023B4" w:rsidP="006D5CDD">
            <w:pPr>
              <w:pStyle w:val="SingleTxt"/>
              <w:spacing w:before="40" w:after="80" w:line="240" w:lineRule="exact"/>
              <w:ind w:left="0" w:right="0"/>
              <w:rPr>
                <w:rFonts w:hint="cs"/>
                <w:sz w:val="16"/>
                <w:szCs w:val="24"/>
                <w:rtl/>
              </w:rPr>
            </w:pPr>
            <w:r w:rsidRPr="006D5CDD">
              <w:rPr>
                <w:rFonts w:hint="cs"/>
                <w:sz w:val="16"/>
                <w:szCs w:val="24"/>
                <w:rtl/>
              </w:rPr>
              <w:t>المستوى باء</w:t>
            </w:r>
          </w:p>
        </w:tc>
        <w:tc>
          <w:tcPr>
            <w:tcW w:w="1751" w:type="dxa"/>
            <w:shd w:val="clear" w:color="auto" w:fill="auto"/>
            <w:vAlign w:val="bottom"/>
          </w:tcPr>
          <w:p w:rsidR="007023B4" w:rsidRPr="006D5CDD" w:rsidRDefault="007023B4" w:rsidP="006D5CDD">
            <w:pPr>
              <w:pStyle w:val="SingleTxt"/>
              <w:spacing w:before="40" w:after="80" w:line="240" w:lineRule="exact"/>
              <w:ind w:left="0" w:right="144"/>
              <w:rPr>
                <w:rFonts w:hint="cs"/>
                <w:sz w:val="16"/>
                <w:szCs w:val="24"/>
                <w:rtl/>
              </w:rPr>
            </w:pPr>
            <w:r w:rsidRPr="006D5CDD">
              <w:rPr>
                <w:rFonts w:hint="cs"/>
                <w:sz w:val="16"/>
                <w:szCs w:val="24"/>
                <w:rtl/>
              </w:rPr>
              <w:t>52.80</w:t>
            </w:r>
            <w:r w:rsidR="006D5CDD" w:rsidRPr="006D5CDD">
              <w:rPr>
                <w:rFonts w:cs="Akhbar MT" w:hint="cs"/>
                <w:sz w:val="16"/>
                <w:szCs w:val="24"/>
                <w:rtl/>
              </w:rPr>
              <w:t>%</w:t>
            </w:r>
          </w:p>
        </w:tc>
        <w:tc>
          <w:tcPr>
            <w:tcW w:w="1751" w:type="dxa"/>
            <w:shd w:val="clear" w:color="auto" w:fill="auto"/>
            <w:vAlign w:val="bottom"/>
          </w:tcPr>
          <w:p w:rsidR="007023B4" w:rsidRPr="006D5CDD" w:rsidRDefault="007023B4" w:rsidP="006D5CDD">
            <w:pPr>
              <w:pStyle w:val="SingleTxt"/>
              <w:spacing w:before="40" w:after="80" w:line="240" w:lineRule="exact"/>
              <w:ind w:left="0" w:right="144"/>
              <w:rPr>
                <w:rFonts w:hint="cs"/>
                <w:sz w:val="16"/>
                <w:szCs w:val="24"/>
                <w:rtl/>
              </w:rPr>
            </w:pPr>
            <w:r w:rsidRPr="006D5CDD">
              <w:rPr>
                <w:rFonts w:hint="cs"/>
                <w:sz w:val="16"/>
                <w:szCs w:val="24"/>
                <w:rtl/>
              </w:rPr>
              <w:t>47.20</w:t>
            </w:r>
            <w:r w:rsidR="006D5CDD" w:rsidRPr="006D5CDD">
              <w:rPr>
                <w:rFonts w:cs="Akhbar MT" w:hint="cs"/>
                <w:sz w:val="16"/>
                <w:szCs w:val="24"/>
                <w:rtl/>
              </w:rPr>
              <w:t>%</w:t>
            </w:r>
          </w:p>
        </w:tc>
        <w:tc>
          <w:tcPr>
            <w:tcW w:w="1648" w:type="dxa"/>
            <w:shd w:val="clear" w:color="auto" w:fill="auto"/>
            <w:vAlign w:val="bottom"/>
          </w:tcPr>
          <w:p w:rsidR="007023B4" w:rsidRPr="006D5CDD" w:rsidRDefault="007023B4" w:rsidP="006D5CDD">
            <w:pPr>
              <w:pStyle w:val="SingleTxt"/>
              <w:spacing w:before="40" w:after="80" w:line="240" w:lineRule="exact"/>
              <w:ind w:left="0" w:right="144"/>
              <w:rPr>
                <w:rFonts w:hint="cs"/>
                <w:sz w:val="16"/>
                <w:szCs w:val="24"/>
                <w:rtl/>
              </w:rPr>
            </w:pPr>
            <w:r w:rsidRPr="006D5CDD">
              <w:rPr>
                <w:rFonts w:hint="cs"/>
                <w:sz w:val="16"/>
                <w:szCs w:val="24"/>
                <w:rtl/>
              </w:rPr>
              <w:t>572</w:t>
            </w:r>
          </w:p>
        </w:tc>
      </w:tr>
      <w:tr w:rsidR="007023B4" w:rsidRPr="006D5CDD">
        <w:trPr>
          <w:cantSplit/>
        </w:trPr>
        <w:tc>
          <w:tcPr>
            <w:tcW w:w="2163" w:type="dxa"/>
            <w:shd w:val="clear" w:color="auto" w:fill="auto"/>
            <w:vAlign w:val="bottom"/>
          </w:tcPr>
          <w:p w:rsidR="007023B4" w:rsidRPr="006D5CDD" w:rsidRDefault="007023B4" w:rsidP="006D5CDD">
            <w:pPr>
              <w:pStyle w:val="SingleTxt"/>
              <w:spacing w:before="40" w:after="80" w:line="240" w:lineRule="exact"/>
              <w:ind w:left="0" w:right="0"/>
              <w:rPr>
                <w:rFonts w:hint="cs"/>
                <w:sz w:val="16"/>
                <w:szCs w:val="24"/>
                <w:rtl/>
              </w:rPr>
            </w:pPr>
            <w:r w:rsidRPr="006D5CDD">
              <w:rPr>
                <w:rFonts w:hint="cs"/>
                <w:sz w:val="16"/>
                <w:szCs w:val="24"/>
                <w:rtl/>
              </w:rPr>
              <w:t>المستوى جيم</w:t>
            </w:r>
          </w:p>
        </w:tc>
        <w:tc>
          <w:tcPr>
            <w:tcW w:w="1751" w:type="dxa"/>
            <w:shd w:val="clear" w:color="auto" w:fill="auto"/>
            <w:vAlign w:val="bottom"/>
          </w:tcPr>
          <w:p w:rsidR="007023B4" w:rsidRPr="006D5CDD" w:rsidRDefault="007023B4" w:rsidP="006D5CDD">
            <w:pPr>
              <w:pStyle w:val="SingleTxt"/>
              <w:spacing w:before="40" w:after="80" w:line="240" w:lineRule="exact"/>
              <w:ind w:left="0" w:right="144"/>
              <w:rPr>
                <w:rFonts w:hint="cs"/>
                <w:sz w:val="16"/>
                <w:szCs w:val="24"/>
                <w:rtl/>
              </w:rPr>
            </w:pPr>
            <w:r w:rsidRPr="006D5CDD">
              <w:rPr>
                <w:rFonts w:hint="cs"/>
                <w:sz w:val="16"/>
                <w:szCs w:val="24"/>
                <w:rtl/>
              </w:rPr>
              <w:t>52.41</w:t>
            </w:r>
            <w:r w:rsidR="006D5CDD" w:rsidRPr="006D5CDD">
              <w:rPr>
                <w:rFonts w:cs="Akhbar MT" w:hint="cs"/>
                <w:sz w:val="16"/>
                <w:szCs w:val="24"/>
                <w:rtl/>
              </w:rPr>
              <w:t>%</w:t>
            </w:r>
          </w:p>
        </w:tc>
        <w:tc>
          <w:tcPr>
            <w:tcW w:w="1751" w:type="dxa"/>
            <w:shd w:val="clear" w:color="auto" w:fill="auto"/>
            <w:vAlign w:val="bottom"/>
          </w:tcPr>
          <w:p w:rsidR="007023B4" w:rsidRPr="006D5CDD" w:rsidRDefault="007023B4" w:rsidP="006D5CDD">
            <w:pPr>
              <w:pStyle w:val="SingleTxt"/>
              <w:spacing w:before="40" w:after="80" w:line="240" w:lineRule="exact"/>
              <w:ind w:left="0" w:right="144"/>
              <w:rPr>
                <w:rFonts w:hint="cs"/>
                <w:sz w:val="16"/>
                <w:szCs w:val="24"/>
                <w:rtl/>
              </w:rPr>
            </w:pPr>
            <w:r w:rsidRPr="006D5CDD">
              <w:rPr>
                <w:rFonts w:hint="cs"/>
                <w:sz w:val="16"/>
                <w:szCs w:val="24"/>
                <w:rtl/>
              </w:rPr>
              <w:t>47.59</w:t>
            </w:r>
            <w:r w:rsidR="006D5CDD" w:rsidRPr="006D5CDD">
              <w:rPr>
                <w:rFonts w:cs="Akhbar MT" w:hint="cs"/>
                <w:sz w:val="16"/>
                <w:szCs w:val="24"/>
                <w:rtl/>
              </w:rPr>
              <w:t>%</w:t>
            </w:r>
          </w:p>
        </w:tc>
        <w:tc>
          <w:tcPr>
            <w:tcW w:w="1648" w:type="dxa"/>
            <w:shd w:val="clear" w:color="auto" w:fill="auto"/>
            <w:vAlign w:val="bottom"/>
          </w:tcPr>
          <w:p w:rsidR="007023B4" w:rsidRPr="006D5CDD" w:rsidRDefault="007023B4" w:rsidP="006D5CDD">
            <w:pPr>
              <w:pStyle w:val="SingleTxt"/>
              <w:spacing w:before="40" w:after="80" w:line="240" w:lineRule="exact"/>
              <w:ind w:left="0" w:right="144"/>
              <w:rPr>
                <w:rFonts w:hint="cs"/>
                <w:sz w:val="16"/>
                <w:szCs w:val="24"/>
                <w:rtl/>
              </w:rPr>
            </w:pPr>
            <w:r w:rsidRPr="006D5CDD">
              <w:rPr>
                <w:rFonts w:hint="cs"/>
                <w:sz w:val="16"/>
                <w:szCs w:val="24"/>
                <w:rtl/>
              </w:rPr>
              <w:t>017 1</w:t>
            </w:r>
          </w:p>
        </w:tc>
      </w:tr>
      <w:tr w:rsidR="007023B4" w:rsidRPr="006D5CDD">
        <w:trPr>
          <w:cantSplit/>
        </w:trPr>
        <w:tc>
          <w:tcPr>
            <w:tcW w:w="2163" w:type="dxa"/>
            <w:shd w:val="clear" w:color="auto" w:fill="auto"/>
            <w:vAlign w:val="bottom"/>
          </w:tcPr>
          <w:p w:rsidR="007023B4" w:rsidRPr="006D5CDD" w:rsidRDefault="007023B4" w:rsidP="006D5CDD">
            <w:pPr>
              <w:pStyle w:val="SingleTxt"/>
              <w:spacing w:before="40" w:after="80" w:line="240" w:lineRule="exact"/>
              <w:ind w:left="0" w:right="0"/>
              <w:rPr>
                <w:rFonts w:hint="cs"/>
                <w:sz w:val="16"/>
                <w:szCs w:val="24"/>
                <w:rtl/>
              </w:rPr>
            </w:pPr>
            <w:r w:rsidRPr="006D5CDD">
              <w:rPr>
                <w:rFonts w:hint="cs"/>
                <w:sz w:val="16"/>
                <w:szCs w:val="24"/>
                <w:rtl/>
              </w:rPr>
              <w:t>المستوى دال</w:t>
            </w:r>
          </w:p>
        </w:tc>
        <w:tc>
          <w:tcPr>
            <w:tcW w:w="1751" w:type="dxa"/>
            <w:shd w:val="clear" w:color="auto" w:fill="auto"/>
            <w:vAlign w:val="bottom"/>
          </w:tcPr>
          <w:p w:rsidR="007023B4" w:rsidRPr="006D5CDD" w:rsidRDefault="007023B4" w:rsidP="006D5CDD">
            <w:pPr>
              <w:pStyle w:val="SingleTxt"/>
              <w:spacing w:before="40" w:after="80" w:line="240" w:lineRule="exact"/>
              <w:ind w:left="0" w:right="144"/>
              <w:rPr>
                <w:rFonts w:hint="cs"/>
                <w:sz w:val="16"/>
                <w:szCs w:val="24"/>
                <w:rtl/>
              </w:rPr>
            </w:pPr>
            <w:r w:rsidRPr="006D5CDD">
              <w:rPr>
                <w:rFonts w:hint="cs"/>
                <w:sz w:val="16"/>
                <w:szCs w:val="24"/>
                <w:rtl/>
              </w:rPr>
              <w:t>19.97</w:t>
            </w:r>
            <w:r w:rsidR="006D5CDD" w:rsidRPr="006D5CDD">
              <w:rPr>
                <w:rFonts w:cs="Akhbar MT" w:hint="cs"/>
                <w:sz w:val="16"/>
                <w:szCs w:val="24"/>
                <w:rtl/>
              </w:rPr>
              <w:t>%</w:t>
            </w:r>
          </w:p>
        </w:tc>
        <w:tc>
          <w:tcPr>
            <w:tcW w:w="1751" w:type="dxa"/>
            <w:shd w:val="clear" w:color="auto" w:fill="auto"/>
            <w:vAlign w:val="bottom"/>
          </w:tcPr>
          <w:p w:rsidR="007023B4" w:rsidRPr="006D5CDD" w:rsidRDefault="007023B4" w:rsidP="006D5CDD">
            <w:pPr>
              <w:pStyle w:val="SingleTxt"/>
              <w:spacing w:before="40" w:after="80" w:line="240" w:lineRule="exact"/>
              <w:ind w:left="0" w:right="144"/>
              <w:rPr>
                <w:rFonts w:hint="cs"/>
                <w:sz w:val="16"/>
                <w:szCs w:val="24"/>
                <w:rtl/>
              </w:rPr>
            </w:pPr>
            <w:r w:rsidRPr="006D5CDD">
              <w:rPr>
                <w:rFonts w:hint="cs"/>
                <w:sz w:val="16"/>
                <w:szCs w:val="24"/>
                <w:rtl/>
              </w:rPr>
              <w:t>80.03</w:t>
            </w:r>
            <w:r w:rsidR="006D5CDD" w:rsidRPr="006D5CDD">
              <w:rPr>
                <w:rFonts w:cs="Akhbar MT" w:hint="cs"/>
                <w:sz w:val="16"/>
                <w:szCs w:val="24"/>
                <w:rtl/>
              </w:rPr>
              <w:t>%</w:t>
            </w:r>
          </w:p>
        </w:tc>
        <w:tc>
          <w:tcPr>
            <w:tcW w:w="1648" w:type="dxa"/>
            <w:shd w:val="clear" w:color="auto" w:fill="auto"/>
            <w:vAlign w:val="bottom"/>
          </w:tcPr>
          <w:p w:rsidR="007023B4" w:rsidRPr="006D5CDD" w:rsidRDefault="007023B4" w:rsidP="006D5CDD">
            <w:pPr>
              <w:pStyle w:val="SingleTxt"/>
              <w:spacing w:before="40" w:after="80" w:line="240" w:lineRule="exact"/>
              <w:ind w:left="0" w:right="144"/>
              <w:rPr>
                <w:rFonts w:hint="cs"/>
                <w:sz w:val="16"/>
                <w:szCs w:val="24"/>
                <w:rtl/>
              </w:rPr>
            </w:pPr>
            <w:r w:rsidRPr="006D5CDD">
              <w:rPr>
                <w:rFonts w:hint="cs"/>
                <w:sz w:val="16"/>
                <w:szCs w:val="24"/>
                <w:rtl/>
              </w:rPr>
              <w:t>312 1</w:t>
            </w:r>
          </w:p>
        </w:tc>
      </w:tr>
      <w:tr w:rsidR="007023B4" w:rsidRPr="006D5CDD">
        <w:trPr>
          <w:cantSplit/>
        </w:trPr>
        <w:tc>
          <w:tcPr>
            <w:tcW w:w="2163" w:type="dxa"/>
            <w:tcBorders>
              <w:bottom w:val="single" w:sz="2" w:space="0" w:color="auto"/>
            </w:tcBorders>
            <w:shd w:val="clear" w:color="auto" w:fill="auto"/>
            <w:vAlign w:val="bottom"/>
          </w:tcPr>
          <w:p w:rsidR="007023B4" w:rsidRPr="006D5CDD" w:rsidRDefault="007023B4" w:rsidP="006D5CDD">
            <w:pPr>
              <w:pStyle w:val="SingleTxt"/>
              <w:spacing w:before="40" w:after="80" w:line="240" w:lineRule="exact"/>
              <w:ind w:left="0" w:right="0"/>
              <w:rPr>
                <w:rFonts w:hint="cs"/>
                <w:sz w:val="16"/>
                <w:szCs w:val="24"/>
                <w:rtl/>
              </w:rPr>
            </w:pPr>
            <w:r w:rsidRPr="006D5CDD">
              <w:rPr>
                <w:rFonts w:hint="cs"/>
                <w:sz w:val="16"/>
                <w:szCs w:val="24"/>
                <w:rtl/>
              </w:rPr>
              <w:t>المستوى هاء</w:t>
            </w:r>
          </w:p>
        </w:tc>
        <w:tc>
          <w:tcPr>
            <w:tcW w:w="1751" w:type="dxa"/>
            <w:tcBorders>
              <w:bottom w:val="single" w:sz="2" w:space="0" w:color="auto"/>
            </w:tcBorders>
            <w:shd w:val="clear" w:color="auto" w:fill="auto"/>
            <w:vAlign w:val="bottom"/>
          </w:tcPr>
          <w:p w:rsidR="007023B4" w:rsidRPr="006D5CDD" w:rsidRDefault="007023B4" w:rsidP="006D5CDD">
            <w:pPr>
              <w:pStyle w:val="SingleTxt"/>
              <w:spacing w:before="40" w:after="80" w:line="240" w:lineRule="exact"/>
              <w:ind w:left="0" w:right="144"/>
              <w:rPr>
                <w:rFonts w:hint="cs"/>
                <w:sz w:val="16"/>
                <w:szCs w:val="24"/>
                <w:rtl/>
              </w:rPr>
            </w:pPr>
            <w:r w:rsidRPr="006D5CDD">
              <w:rPr>
                <w:rFonts w:hint="cs"/>
                <w:sz w:val="16"/>
                <w:szCs w:val="24"/>
                <w:rtl/>
              </w:rPr>
              <w:t>8.67</w:t>
            </w:r>
            <w:r w:rsidR="006D5CDD" w:rsidRPr="006D5CDD">
              <w:rPr>
                <w:rFonts w:cs="Akhbar MT" w:hint="cs"/>
                <w:sz w:val="16"/>
                <w:szCs w:val="24"/>
                <w:rtl/>
              </w:rPr>
              <w:t>%</w:t>
            </w:r>
          </w:p>
        </w:tc>
        <w:tc>
          <w:tcPr>
            <w:tcW w:w="1751" w:type="dxa"/>
            <w:tcBorders>
              <w:bottom w:val="single" w:sz="2" w:space="0" w:color="auto"/>
            </w:tcBorders>
            <w:shd w:val="clear" w:color="auto" w:fill="auto"/>
            <w:vAlign w:val="bottom"/>
          </w:tcPr>
          <w:p w:rsidR="007023B4" w:rsidRPr="006D5CDD" w:rsidRDefault="007023B4" w:rsidP="006D5CDD">
            <w:pPr>
              <w:pStyle w:val="SingleTxt"/>
              <w:spacing w:before="40" w:after="80" w:line="240" w:lineRule="exact"/>
              <w:ind w:left="0" w:right="144"/>
              <w:rPr>
                <w:rFonts w:hint="cs"/>
                <w:sz w:val="16"/>
                <w:szCs w:val="24"/>
                <w:rtl/>
              </w:rPr>
            </w:pPr>
            <w:r w:rsidRPr="006D5CDD">
              <w:rPr>
                <w:rFonts w:hint="cs"/>
                <w:sz w:val="16"/>
                <w:szCs w:val="24"/>
                <w:rtl/>
              </w:rPr>
              <w:t>91.33</w:t>
            </w:r>
            <w:r w:rsidR="006D5CDD" w:rsidRPr="006D5CDD">
              <w:rPr>
                <w:rFonts w:cs="Akhbar MT" w:hint="cs"/>
                <w:sz w:val="16"/>
                <w:szCs w:val="24"/>
                <w:rtl/>
              </w:rPr>
              <w:t>%</w:t>
            </w:r>
          </w:p>
        </w:tc>
        <w:tc>
          <w:tcPr>
            <w:tcW w:w="1648" w:type="dxa"/>
            <w:tcBorders>
              <w:bottom w:val="single" w:sz="2" w:space="0" w:color="auto"/>
            </w:tcBorders>
            <w:shd w:val="clear" w:color="auto" w:fill="auto"/>
            <w:vAlign w:val="bottom"/>
          </w:tcPr>
          <w:p w:rsidR="007023B4" w:rsidRPr="006D5CDD" w:rsidRDefault="007023B4" w:rsidP="006D5CDD">
            <w:pPr>
              <w:pStyle w:val="SingleTxt"/>
              <w:spacing w:before="40" w:after="80" w:line="240" w:lineRule="exact"/>
              <w:ind w:left="0" w:right="144"/>
              <w:rPr>
                <w:rFonts w:hint="cs"/>
                <w:sz w:val="16"/>
                <w:szCs w:val="24"/>
                <w:rtl/>
              </w:rPr>
            </w:pPr>
            <w:r w:rsidRPr="006D5CDD">
              <w:rPr>
                <w:rFonts w:hint="cs"/>
                <w:sz w:val="16"/>
                <w:szCs w:val="24"/>
                <w:rtl/>
              </w:rPr>
              <w:t>181 2</w:t>
            </w:r>
          </w:p>
        </w:tc>
      </w:tr>
      <w:tr w:rsidR="007023B4" w:rsidRPr="006D5CDD">
        <w:trPr>
          <w:cantSplit/>
        </w:trPr>
        <w:tc>
          <w:tcPr>
            <w:tcW w:w="2163" w:type="dxa"/>
            <w:tcBorders>
              <w:top w:val="single" w:sz="2" w:space="0" w:color="auto"/>
              <w:bottom w:val="single" w:sz="12" w:space="0" w:color="auto"/>
            </w:tcBorders>
            <w:shd w:val="clear" w:color="auto" w:fill="auto"/>
            <w:vAlign w:val="bottom"/>
          </w:tcPr>
          <w:p w:rsidR="007023B4" w:rsidRPr="006D5CDD" w:rsidRDefault="007023B4" w:rsidP="006D5CDD">
            <w:pPr>
              <w:pStyle w:val="SingleTxt"/>
              <w:spacing w:before="40" w:after="80" w:line="240" w:lineRule="exact"/>
              <w:ind w:left="0" w:right="0"/>
              <w:rPr>
                <w:rFonts w:hint="cs"/>
                <w:b/>
                <w:bCs/>
                <w:sz w:val="16"/>
                <w:szCs w:val="24"/>
                <w:rtl/>
              </w:rPr>
            </w:pPr>
            <w:r w:rsidRPr="006D5CDD">
              <w:rPr>
                <w:rFonts w:hint="cs"/>
                <w:b/>
                <w:bCs/>
                <w:sz w:val="16"/>
                <w:szCs w:val="24"/>
                <w:rtl/>
              </w:rPr>
              <w:t>المجموع</w:t>
            </w:r>
          </w:p>
        </w:tc>
        <w:tc>
          <w:tcPr>
            <w:tcW w:w="1751" w:type="dxa"/>
            <w:tcBorders>
              <w:top w:val="single" w:sz="2" w:space="0" w:color="auto"/>
              <w:bottom w:val="single" w:sz="12" w:space="0" w:color="auto"/>
            </w:tcBorders>
            <w:shd w:val="clear" w:color="auto" w:fill="auto"/>
            <w:vAlign w:val="bottom"/>
          </w:tcPr>
          <w:p w:rsidR="007023B4" w:rsidRPr="006D5CDD" w:rsidRDefault="007023B4" w:rsidP="006D5CDD">
            <w:pPr>
              <w:pStyle w:val="SingleTxt"/>
              <w:spacing w:before="40" w:after="80" w:line="240" w:lineRule="exact"/>
              <w:ind w:left="0" w:right="144"/>
              <w:rPr>
                <w:rFonts w:hint="cs"/>
                <w:b/>
                <w:bCs/>
                <w:sz w:val="16"/>
                <w:szCs w:val="24"/>
                <w:rtl/>
              </w:rPr>
            </w:pPr>
            <w:r w:rsidRPr="006D5CDD">
              <w:rPr>
                <w:rFonts w:hint="cs"/>
                <w:b/>
                <w:bCs/>
                <w:sz w:val="16"/>
                <w:szCs w:val="24"/>
                <w:rtl/>
              </w:rPr>
              <w:t>27.76</w:t>
            </w:r>
            <w:r w:rsidR="006D5CDD" w:rsidRPr="006D5CDD">
              <w:rPr>
                <w:rFonts w:cs="Akhbar MT" w:hint="cs"/>
                <w:sz w:val="16"/>
                <w:szCs w:val="24"/>
                <w:rtl/>
              </w:rPr>
              <w:t>%</w:t>
            </w:r>
          </w:p>
        </w:tc>
        <w:tc>
          <w:tcPr>
            <w:tcW w:w="1751" w:type="dxa"/>
            <w:tcBorders>
              <w:top w:val="single" w:sz="2" w:space="0" w:color="auto"/>
              <w:bottom w:val="single" w:sz="12" w:space="0" w:color="auto"/>
            </w:tcBorders>
            <w:shd w:val="clear" w:color="auto" w:fill="auto"/>
            <w:vAlign w:val="bottom"/>
          </w:tcPr>
          <w:p w:rsidR="007023B4" w:rsidRPr="006D5CDD" w:rsidRDefault="007023B4" w:rsidP="006D5CDD">
            <w:pPr>
              <w:pStyle w:val="SingleTxt"/>
              <w:spacing w:before="40" w:after="80" w:line="240" w:lineRule="exact"/>
              <w:ind w:left="0" w:right="144"/>
              <w:rPr>
                <w:rFonts w:hint="cs"/>
                <w:b/>
                <w:bCs/>
                <w:sz w:val="16"/>
                <w:szCs w:val="24"/>
                <w:rtl/>
              </w:rPr>
            </w:pPr>
            <w:r w:rsidRPr="006D5CDD">
              <w:rPr>
                <w:rFonts w:hint="cs"/>
                <w:b/>
                <w:bCs/>
                <w:sz w:val="16"/>
                <w:szCs w:val="24"/>
                <w:rtl/>
              </w:rPr>
              <w:t>72.24</w:t>
            </w:r>
            <w:r w:rsidR="006D5CDD" w:rsidRPr="006D5CDD">
              <w:rPr>
                <w:rFonts w:cs="Akhbar MT" w:hint="cs"/>
                <w:sz w:val="16"/>
                <w:szCs w:val="24"/>
                <w:rtl/>
              </w:rPr>
              <w:t>%</w:t>
            </w:r>
          </w:p>
        </w:tc>
        <w:tc>
          <w:tcPr>
            <w:tcW w:w="1648" w:type="dxa"/>
            <w:tcBorders>
              <w:top w:val="single" w:sz="2" w:space="0" w:color="auto"/>
              <w:bottom w:val="single" w:sz="12" w:space="0" w:color="auto"/>
            </w:tcBorders>
            <w:shd w:val="clear" w:color="auto" w:fill="auto"/>
            <w:vAlign w:val="bottom"/>
          </w:tcPr>
          <w:p w:rsidR="007023B4" w:rsidRPr="006D5CDD" w:rsidRDefault="007023B4" w:rsidP="006D5CDD">
            <w:pPr>
              <w:pStyle w:val="SingleTxt"/>
              <w:spacing w:before="40" w:after="80" w:line="240" w:lineRule="exact"/>
              <w:ind w:left="0" w:right="144"/>
              <w:rPr>
                <w:rFonts w:hint="cs"/>
                <w:b/>
                <w:bCs/>
                <w:sz w:val="16"/>
                <w:szCs w:val="24"/>
                <w:rtl/>
              </w:rPr>
            </w:pPr>
            <w:r w:rsidRPr="006D5CDD">
              <w:rPr>
                <w:rFonts w:hint="cs"/>
                <w:b/>
                <w:bCs/>
                <w:sz w:val="16"/>
                <w:szCs w:val="24"/>
                <w:rtl/>
              </w:rPr>
              <w:t>228 6</w:t>
            </w:r>
          </w:p>
        </w:tc>
      </w:tr>
    </w:tbl>
    <w:p w:rsidR="007023B4" w:rsidRPr="00466E67" w:rsidRDefault="007023B4" w:rsidP="007023B4">
      <w:pPr>
        <w:pStyle w:val="SingleTxt"/>
        <w:spacing w:after="0" w:line="120" w:lineRule="exact"/>
        <w:rPr>
          <w:rFonts w:hint="cs"/>
          <w:sz w:val="10"/>
          <w:szCs w:val="26"/>
          <w:rtl/>
        </w:rPr>
      </w:pPr>
    </w:p>
    <w:p w:rsidR="007023B4" w:rsidRDefault="007023B4" w:rsidP="007023B4">
      <w:pPr>
        <w:pStyle w:val="FootnoteText"/>
        <w:tabs>
          <w:tab w:val="clear" w:pos="418"/>
          <w:tab w:val="right" w:pos="1915"/>
          <w:tab w:val="left" w:pos="2016"/>
          <w:tab w:val="left" w:pos="2491"/>
          <w:tab w:val="left" w:pos="2966"/>
          <w:tab w:val="left" w:pos="3442"/>
          <w:tab w:val="left" w:pos="3917"/>
        </w:tabs>
        <w:spacing w:after="80"/>
        <w:ind w:left="2030" w:right="1267" w:hanging="763"/>
        <w:rPr>
          <w:rtl/>
        </w:rPr>
      </w:pPr>
      <w:r>
        <w:rPr>
          <w:rFonts w:hint="cs"/>
          <w:i/>
          <w:iCs/>
          <w:rtl/>
        </w:rPr>
        <w:t xml:space="preserve">     </w:t>
      </w:r>
      <w:r w:rsidRPr="00466E67">
        <w:rPr>
          <w:rFonts w:hint="cs"/>
          <w:i/>
          <w:iCs/>
          <w:rtl/>
        </w:rPr>
        <w:t>المصدر</w:t>
      </w:r>
      <w:r w:rsidRPr="00826C83">
        <w:rPr>
          <w:rFonts w:hint="cs"/>
          <w:rtl/>
        </w:rPr>
        <w:t>:</w:t>
      </w:r>
      <w:r>
        <w:rPr>
          <w:rFonts w:hint="cs"/>
          <w:rtl/>
        </w:rPr>
        <w:t xml:space="preserve">  </w:t>
      </w:r>
      <w:r w:rsidRPr="00826C83">
        <w:rPr>
          <w:rFonts w:hint="cs"/>
          <w:rtl/>
        </w:rPr>
        <w:t>مرصد الاستخدام.</w:t>
      </w:r>
    </w:p>
    <w:p w:rsidR="007023B4" w:rsidRDefault="007023B4" w:rsidP="007023B4">
      <w:pPr>
        <w:pStyle w:val="SingleTxt"/>
        <w:rPr>
          <w:rFonts w:hint="cs"/>
          <w:rtl/>
        </w:rPr>
      </w:pPr>
      <w:r>
        <w:rPr>
          <w:rFonts w:hint="cs"/>
          <w:rtl/>
        </w:rPr>
        <w:tab/>
        <w:t>والتقرير التحليلي لعام 2004 والصادر عن وزارة إقليم بروكسل العاصمة يظهر أن الوظائف القيادية يشغلها الرجال (الرتبة ألف 7 ألف 6 وألف 5)، في حين أن النساء الأوليات يوجدن في الرتبة ألف 3 (مدير/مديرة)، أي بنسبة 8.05 في المائة من الموظفين، مقابل 91.95 في المائة من الرجال، في حين أن عدد الموظفين الإجمالي هو 49.23 في المائة من النساء و 50.77 في المائة من الرجال. وإذا لم يتوقف عدد النساء عن الازدياد، بما في ذلك على مستوى المناصب الجامعية، فإن وصول المرأة إلى الوظائف الإشرافية سوف يظل ضئيلا للغاية في المناصب العامة في بروكسل، وهذا على الرغم من ارتفاع مستوى الدراسات لدى المرأة. ولم يتخذ حتى الآن أي تدبير إجباري يهدف إلى تصحيح هذه الحالة.</w:t>
      </w:r>
    </w:p>
    <w:p w:rsidR="007023B4" w:rsidRPr="00A239FD" w:rsidRDefault="007023B4" w:rsidP="007023B4">
      <w:pPr>
        <w:pStyle w:val="HCh"/>
        <w:spacing w:line="120" w:lineRule="exact"/>
        <w:rPr>
          <w:rFonts w:hint="cs"/>
          <w:sz w:val="10"/>
          <w:rtl/>
        </w:rPr>
      </w:pPr>
    </w:p>
    <w:p w:rsidR="007023B4" w:rsidRPr="0062713A" w:rsidRDefault="007023B4" w:rsidP="007023B4">
      <w:pPr>
        <w:pStyle w:val="HCh"/>
        <w:rPr>
          <w:rFonts w:hint="cs"/>
          <w:rtl/>
        </w:rPr>
      </w:pPr>
      <w:r>
        <w:rPr>
          <w:rFonts w:hint="cs"/>
          <w:rtl/>
        </w:rPr>
        <w:tab/>
      </w:r>
      <w:r>
        <w:rPr>
          <w:rFonts w:hint="cs"/>
          <w:rtl/>
        </w:rPr>
        <w:tab/>
        <w:t>المادة 8</w:t>
      </w:r>
    </w:p>
    <w:p w:rsidR="007023B4" w:rsidRPr="00A239FD" w:rsidRDefault="007023B4" w:rsidP="007023B4">
      <w:pPr>
        <w:pStyle w:val="H1"/>
        <w:spacing w:line="120" w:lineRule="exact"/>
        <w:rPr>
          <w:rFonts w:hint="cs"/>
          <w:sz w:val="10"/>
          <w:rtl/>
        </w:rPr>
      </w:pPr>
    </w:p>
    <w:p w:rsidR="007023B4" w:rsidRDefault="007023B4" w:rsidP="007023B4">
      <w:pPr>
        <w:pStyle w:val="HCh"/>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Pr>
          <w:rFonts w:hint="cs"/>
          <w:rtl/>
        </w:rPr>
        <w:tab/>
        <w:t>أولا - على المستوى الاتحادي</w:t>
      </w:r>
    </w:p>
    <w:p w:rsidR="007023B4" w:rsidRPr="002C72D3" w:rsidRDefault="007023B4" w:rsidP="007023B4">
      <w:pPr>
        <w:spacing w:line="120" w:lineRule="exact"/>
        <w:rPr>
          <w:rFonts w:hint="cs"/>
          <w:sz w:val="10"/>
          <w:rtl/>
        </w:rPr>
      </w:pPr>
    </w:p>
    <w:p w:rsidR="007023B4" w:rsidRPr="0062713A" w:rsidRDefault="007023B4" w:rsidP="007023B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1 -</w:t>
      </w:r>
      <w:r>
        <w:rPr>
          <w:rFonts w:hint="cs"/>
          <w:rtl/>
        </w:rPr>
        <w:tab/>
        <w:t xml:space="preserve">تمثيل المرأة في المناصب </w:t>
      </w:r>
      <w:r>
        <w:rPr>
          <w:rFonts w:hint="eastAsia"/>
          <w:rtl/>
        </w:rPr>
        <w:t>”الخارجية</w:t>
      </w:r>
      <w:r>
        <w:rPr>
          <w:rFonts w:hint="cs"/>
          <w:rtl/>
        </w:rPr>
        <w:t>“ في الدائرة العامة الاتحادية للشؤون الخارجية</w:t>
      </w:r>
    </w:p>
    <w:p w:rsidR="007023B4" w:rsidRDefault="007023B4" w:rsidP="007023B4">
      <w:pPr>
        <w:pStyle w:val="SingleTxt"/>
        <w:rPr>
          <w:rFonts w:hint="cs"/>
          <w:rtl/>
        </w:rPr>
      </w:pPr>
      <w:r>
        <w:rPr>
          <w:rFonts w:hint="cs"/>
          <w:rtl/>
        </w:rPr>
        <w:tab/>
        <w:t>يتبدى تمثيل المرأة في السلك الدبلوماسي والقنصلي والملحق في مجال التعاون من أجل التنمية على أساس التوزيع حسب الفئة الإدارية على النحو التالي:</w:t>
      </w:r>
    </w:p>
    <w:p w:rsidR="007023B4" w:rsidRPr="00A239FD" w:rsidRDefault="007023B4" w:rsidP="007023B4">
      <w:pPr>
        <w:pStyle w:val="SingleTxt"/>
        <w:spacing w:after="0" w:line="120" w:lineRule="exact"/>
        <w:rPr>
          <w:rFonts w:hint="cs"/>
          <w:i/>
          <w:iCs/>
          <w:sz w:val="10"/>
          <w:rtl/>
        </w:rPr>
      </w:pPr>
    </w:p>
    <w:p w:rsidR="007023B4" w:rsidRDefault="00B105BA" w:rsidP="00B105BA">
      <w:pPr>
        <w:pStyle w:val="SingleTxt"/>
        <w:rPr>
          <w:rFonts w:hint="cs"/>
          <w:i/>
          <w:iCs/>
          <w:rtl/>
        </w:rPr>
      </w:pPr>
      <w:r>
        <w:rPr>
          <w:rFonts w:hint="cs"/>
          <w:rtl/>
        </w:rPr>
        <w:t xml:space="preserve">1-1- </w:t>
      </w:r>
      <w:r>
        <w:rPr>
          <w:rFonts w:hint="cs"/>
          <w:i/>
          <w:iCs/>
          <w:rtl/>
        </w:rPr>
        <w:t xml:space="preserve"> </w:t>
      </w:r>
      <w:r w:rsidR="007023B4">
        <w:rPr>
          <w:rFonts w:hint="cs"/>
          <w:i/>
          <w:iCs/>
          <w:rtl/>
        </w:rPr>
        <w:t xml:space="preserve">السلك </w:t>
      </w:r>
      <w:r w:rsidR="007023B4" w:rsidRPr="008C39FE">
        <w:rPr>
          <w:rFonts w:hint="cs"/>
          <w:i/>
          <w:iCs/>
          <w:rtl/>
        </w:rPr>
        <w:t>الدبلوماسي (الحالة في أول تشرين الثاني/نوفمبر 2006)</w:t>
      </w:r>
    </w:p>
    <w:p w:rsidR="007023B4" w:rsidRPr="002C72D3" w:rsidRDefault="007023B4" w:rsidP="007023B4">
      <w:pPr>
        <w:pStyle w:val="SingleTxt"/>
        <w:spacing w:after="0" w:line="120" w:lineRule="exact"/>
        <w:rPr>
          <w:rFonts w:hint="cs"/>
          <w:i/>
          <w:iCs/>
          <w:sz w:val="10"/>
          <w:rtl/>
        </w:rPr>
      </w:pPr>
    </w:p>
    <w:tbl>
      <w:tblPr>
        <w:tblStyle w:val="TableGrid"/>
        <w:bidiVisual/>
        <w:tblW w:w="0" w:type="auto"/>
        <w:tblInd w:w="14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380"/>
        <w:gridCol w:w="1483"/>
        <w:gridCol w:w="1483"/>
        <w:gridCol w:w="1483"/>
        <w:gridCol w:w="1484"/>
      </w:tblGrid>
      <w:tr w:rsidR="007023B4" w:rsidRPr="006D5CDD">
        <w:trPr>
          <w:cantSplit/>
          <w:tblHeader/>
        </w:trPr>
        <w:tc>
          <w:tcPr>
            <w:tcW w:w="1380" w:type="dxa"/>
            <w:tcBorders>
              <w:top w:val="single" w:sz="4" w:space="0" w:color="auto"/>
              <w:bottom w:val="single" w:sz="12" w:space="0" w:color="auto"/>
            </w:tcBorders>
            <w:shd w:val="clear" w:color="auto" w:fill="auto"/>
            <w:vAlign w:val="bottom"/>
          </w:tcPr>
          <w:p w:rsidR="007023B4" w:rsidRPr="006D5CDD" w:rsidRDefault="007023B4" w:rsidP="006D5CDD">
            <w:pPr>
              <w:pStyle w:val="SingleTxt"/>
              <w:spacing w:before="80" w:after="80" w:line="240" w:lineRule="exact"/>
              <w:ind w:left="0" w:right="0"/>
              <w:rPr>
                <w:rFonts w:hint="cs"/>
                <w:i/>
                <w:iCs/>
                <w:sz w:val="16"/>
                <w:szCs w:val="24"/>
                <w:rtl/>
              </w:rPr>
            </w:pPr>
            <w:r w:rsidRPr="006D5CDD">
              <w:rPr>
                <w:rFonts w:hint="cs"/>
                <w:i/>
                <w:iCs/>
                <w:sz w:val="16"/>
                <w:szCs w:val="24"/>
                <w:rtl/>
              </w:rPr>
              <w:t>الرتبة</w:t>
            </w:r>
          </w:p>
        </w:tc>
        <w:tc>
          <w:tcPr>
            <w:tcW w:w="1483" w:type="dxa"/>
            <w:tcBorders>
              <w:top w:val="single" w:sz="4" w:space="0" w:color="auto"/>
              <w:bottom w:val="single" w:sz="12" w:space="0" w:color="auto"/>
            </w:tcBorders>
            <w:shd w:val="clear" w:color="auto" w:fill="auto"/>
            <w:vAlign w:val="bottom"/>
          </w:tcPr>
          <w:p w:rsidR="007023B4" w:rsidRPr="006D5CDD" w:rsidRDefault="007023B4" w:rsidP="006D5CDD">
            <w:pPr>
              <w:pStyle w:val="SingleTxt"/>
              <w:spacing w:before="80" w:after="80" w:line="240" w:lineRule="exact"/>
              <w:ind w:left="0" w:right="144"/>
              <w:rPr>
                <w:rFonts w:hint="cs"/>
                <w:i/>
                <w:iCs/>
                <w:sz w:val="16"/>
                <w:szCs w:val="24"/>
                <w:rtl/>
              </w:rPr>
            </w:pPr>
            <w:r w:rsidRPr="006D5CDD">
              <w:rPr>
                <w:rFonts w:hint="cs"/>
                <w:i/>
                <w:iCs/>
                <w:sz w:val="16"/>
                <w:szCs w:val="24"/>
                <w:rtl/>
              </w:rPr>
              <w:t>رجل</w:t>
            </w:r>
          </w:p>
        </w:tc>
        <w:tc>
          <w:tcPr>
            <w:tcW w:w="1483" w:type="dxa"/>
            <w:tcBorders>
              <w:top w:val="single" w:sz="4" w:space="0" w:color="auto"/>
              <w:bottom w:val="single" w:sz="12" w:space="0" w:color="auto"/>
            </w:tcBorders>
            <w:shd w:val="clear" w:color="auto" w:fill="auto"/>
            <w:vAlign w:val="bottom"/>
          </w:tcPr>
          <w:p w:rsidR="007023B4" w:rsidRPr="006D5CDD" w:rsidRDefault="007023B4" w:rsidP="006D5CDD">
            <w:pPr>
              <w:pStyle w:val="SingleTxt"/>
              <w:spacing w:before="80" w:after="80" w:line="240" w:lineRule="exact"/>
              <w:ind w:left="0" w:right="144"/>
              <w:rPr>
                <w:rFonts w:hint="cs"/>
                <w:i/>
                <w:iCs/>
                <w:sz w:val="16"/>
                <w:szCs w:val="24"/>
                <w:rtl/>
              </w:rPr>
            </w:pPr>
            <w:r w:rsidRPr="006D5CDD">
              <w:rPr>
                <w:rFonts w:hint="cs"/>
                <w:i/>
                <w:iCs/>
                <w:sz w:val="16"/>
                <w:szCs w:val="24"/>
                <w:rtl/>
              </w:rPr>
              <w:t>امرأة</w:t>
            </w:r>
          </w:p>
        </w:tc>
        <w:tc>
          <w:tcPr>
            <w:tcW w:w="1483" w:type="dxa"/>
            <w:tcBorders>
              <w:top w:val="single" w:sz="4" w:space="0" w:color="auto"/>
              <w:bottom w:val="single" w:sz="12" w:space="0" w:color="auto"/>
            </w:tcBorders>
            <w:shd w:val="clear" w:color="auto" w:fill="auto"/>
            <w:vAlign w:val="bottom"/>
          </w:tcPr>
          <w:p w:rsidR="007023B4" w:rsidRPr="006D5CDD" w:rsidRDefault="007023B4" w:rsidP="006D5CDD">
            <w:pPr>
              <w:pStyle w:val="SingleTxt"/>
              <w:spacing w:before="80" w:after="80" w:line="240" w:lineRule="exact"/>
              <w:ind w:left="0" w:right="144"/>
              <w:rPr>
                <w:rFonts w:hint="cs"/>
                <w:i/>
                <w:iCs/>
                <w:sz w:val="16"/>
                <w:szCs w:val="24"/>
                <w:rtl/>
              </w:rPr>
            </w:pPr>
            <w:r w:rsidRPr="006D5CDD">
              <w:rPr>
                <w:rFonts w:hint="cs"/>
                <w:i/>
                <w:iCs/>
                <w:sz w:val="16"/>
                <w:szCs w:val="24"/>
                <w:rtl/>
              </w:rPr>
              <w:t>المجموع</w:t>
            </w:r>
          </w:p>
        </w:tc>
        <w:tc>
          <w:tcPr>
            <w:tcW w:w="1484" w:type="dxa"/>
            <w:tcBorders>
              <w:top w:val="single" w:sz="4" w:space="0" w:color="auto"/>
              <w:bottom w:val="single" w:sz="12" w:space="0" w:color="auto"/>
            </w:tcBorders>
            <w:shd w:val="clear" w:color="auto" w:fill="auto"/>
            <w:vAlign w:val="bottom"/>
          </w:tcPr>
          <w:p w:rsidR="007023B4" w:rsidRPr="006D5CDD" w:rsidRDefault="007023B4" w:rsidP="006D5CDD">
            <w:pPr>
              <w:pStyle w:val="SingleTxt"/>
              <w:spacing w:before="80" w:after="80" w:line="240" w:lineRule="exact"/>
              <w:ind w:left="0" w:right="144"/>
              <w:rPr>
                <w:rFonts w:hint="cs"/>
                <w:i/>
                <w:iCs/>
                <w:sz w:val="16"/>
                <w:szCs w:val="24"/>
                <w:rtl/>
              </w:rPr>
            </w:pPr>
            <w:r w:rsidRPr="00B105BA">
              <w:rPr>
                <w:rFonts w:cs="Akhbar MT" w:hint="cs"/>
                <w:i/>
                <w:iCs/>
                <w:sz w:val="16"/>
                <w:szCs w:val="24"/>
                <w:rtl/>
              </w:rPr>
              <w:t>%</w:t>
            </w:r>
            <w:r w:rsidRPr="006D5CDD">
              <w:rPr>
                <w:rFonts w:hint="cs"/>
                <w:i/>
                <w:iCs/>
                <w:sz w:val="16"/>
                <w:szCs w:val="24"/>
                <w:rtl/>
              </w:rPr>
              <w:t xml:space="preserve"> من النساء</w:t>
            </w:r>
          </w:p>
        </w:tc>
      </w:tr>
      <w:tr w:rsidR="006D5CDD" w:rsidRPr="006D5CDD">
        <w:trPr>
          <w:cantSplit/>
          <w:trHeight w:hRule="exact" w:val="115"/>
          <w:tblHeader/>
        </w:trPr>
        <w:tc>
          <w:tcPr>
            <w:tcW w:w="1380" w:type="dxa"/>
            <w:tcBorders>
              <w:top w:val="single" w:sz="12" w:space="0" w:color="auto"/>
            </w:tcBorders>
            <w:shd w:val="clear" w:color="auto" w:fill="auto"/>
            <w:vAlign w:val="bottom"/>
          </w:tcPr>
          <w:p w:rsidR="006D5CDD" w:rsidRPr="006D5CDD" w:rsidRDefault="006D5CDD" w:rsidP="006D5CDD">
            <w:pPr>
              <w:pStyle w:val="SingleTxt"/>
              <w:spacing w:before="40" w:after="80" w:line="240" w:lineRule="exact"/>
              <w:ind w:left="0" w:right="0"/>
              <w:rPr>
                <w:rFonts w:hint="cs"/>
                <w:sz w:val="16"/>
                <w:szCs w:val="24"/>
                <w:rtl/>
              </w:rPr>
            </w:pPr>
          </w:p>
        </w:tc>
        <w:tc>
          <w:tcPr>
            <w:tcW w:w="1483" w:type="dxa"/>
            <w:tcBorders>
              <w:top w:val="single" w:sz="12" w:space="0" w:color="auto"/>
            </w:tcBorders>
            <w:shd w:val="clear" w:color="auto" w:fill="auto"/>
            <w:vAlign w:val="bottom"/>
          </w:tcPr>
          <w:p w:rsidR="006D5CDD" w:rsidRPr="006D5CDD" w:rsidRDefault="006D5CDD" w:rsidP="006D5CDD">
            <w:pPr>
              <w:pStyle w:val="SingleTxt"/>
              <w:spacing w:before="40" w:after="80" w:line="240" w:lineRule="exact"/>
              <w:ind w:left="0" w:right="144"/>
              <w:rPr>
                <w:rFonts w:hint="cs"/>
                <w:sz w:val="16"/>
                <w:szCs w:val="24"/>
                <w:rtl/>
              </w:rPr>
            </w:pPr>
          </w:p>
        </w:tc>
        <w:tc>
          <w:tcPr>
            <w:tcW w:w="1483" w:type="dxa"/>
            <w:tcBorders>
              <w:top w:val="single" w:sz="12" w:space="0" w:color="auto"/>
            </w:tcBorders>
            <w:shd w:val="clear" w:color="auto" w:fill="auto"/>
            <w:vAlign w:val="bottom"/>
          </w:tcPr>
          <w:p w:rsidR="006D5CDD" w:rsidRPr="006D5CDD" w:rsidRDefault="006D5CDD" w:rsidP="006D5CDD">
            <w:pPr>
              <w:pStyle w:val="SingleTxt"/>
              <w:spacing w:before="40" w:after="80" w:line="240" w:lineRule="exact"/>
              <w:ind w:left="0" w:right="144"/>
              <w:rPr>
                <w:rFonts w:hint="cs"/>
                <w:sz w:val="16"/>
                <w:szCs w:val="24"/>
                <w:rtl/>
              </w:rPr>
            </w:pPr>
          </w:p>
        </w:tc>
        <w:tc>
          <w:tcPr>
            <w:tcW w:w="1483" w:type="dxa"/>
            <w:tcBorders>
              <w:top w:val="single" w:sz="12" w:space="0" w:color="auto"/>
            </w:tcBorders>
            <w:shd w:val="clear" w:color="auto" w:fill="auto"/>
            <w:vAlign w:val="bottom"/>
          </w:tcPr>
          <w:p w:rsidR="006D5CDD" w:rsidRPr="006D5CDD" w:rsidRDefault="006D5CDD" w:rsidP="006D5CDD">
            <w:pPr>
              <w:pStyle w:val="SingleTxt"/>
              <w:spacing w:before="40" w:after="80" w:line="240" w:lineRule="exact"/>
              <w:ind w:left="0" w:right="144"/>
              <w:rPr>
                <w:rFonts w:hint="cs"/>
                <w:sz w:val="16"/>
                <w:szCs w:val="24"/>
                <w:rtl/>
              </w:rPr>
            </w:pPr>
          </w:p>
        </w:tc>
        <w:tc>
          <w:tcPr>
            <w:tcW w:w="1484" w:type="dxa"/>
            <w:tcBorders>
              <w:top w:val="single" w:sz="12" w:space="0" w:color="auto"/>
            </w:tcBorders>
            <w:shd w:val="clear" w:color="auto" w:fill="auto"/>
            <w:vAlign w:val="bottom"/>
          </w:tcPr>
          <w:p w:rsidR="006D5CDD" w:rsidRPr="006D5CDD" w:rsidRDefault="006D5CDD" w:rsidP="006D5CDD">
            <w:pPr>
              <w:pStyle w:val="SingleTxt"/>
              <w:spacing w:before="40" w:after="80" w:line="240" w:lineRule="exact"/>
              <w:ind w:left="0" w:right="144"/>
              <w:rPr>
                <w:rFonts w:hint="cs"/>
                <w:sz w:val="16"/>
                <w:szCs w:val="24"/>
                <w:rtl/>
              </w:rPr>
            </w:pPr>
          </w:p>
        </w:tc>
      </w:tr>
      <w:tr w:rsidR="007023B4" w:rsidRPr="006D5CDD">
        <w:trPr>
          <w:cantSplit/>
        </w:trPr>
        <w:tc>
          <w:tcPr>
            <w:tcW w:w="1380" w:type="dxa"/>
            <w:shd w:val="clear" w:color="auto" w:fill="auto"/>
            <w:vAlign w:val="bottom"/>
          </w:tcPr>
          <w:p w:rsidR="007023B4" w:rsidRPr="006D5CDD" w:rsidRDefault="007023B4" w:rsidP="006D5CDD">
            <w:pPr>
              <w:pStyle w:val="SingleTxt"/>
              <w:spacing w:before="40" w:after="80" w:line="240" w:lineRule="exact"/>
              <w:ind w:left="0" w:right="0"/>
              <w:rPr>
                <w:rFonts w:hint="cs"/>
                <w:sz w:val="16"/>
                <w:szCs w:val="24"/>
                <w:rtl/>
              </w:rPr>
            </w:pPr>
            <w:r w:rsidRPr="006D5CDD">
              <w:rPr>
                <w:rFonts w:hint="cs"/>
                <w:sz w:val="16"/>
                <w:szCs w:val="24"/>
                <w:rtl/>
              </w:rPr>
              <w:t>1</w:t>
            </w:r>
          </w:p>
        </w:tc>
        <w:tc>
          <w:tcPr>
            <w:tcW w:w="1483" w:type="dxa"/>
            <w:shd w:val="clear" w:color="auto" w:fill="auto"/>
            <w:vAlign w:val="bottom"/>
          </w:tcPr>
          <w:p w:rsidR="007023B4" w:rsidRPr="006D5CDD" w:rsidRDefault="007023B4" w:rsidP="006D5CDD">
            <w:pPr>
              <w:pStyle w:val="SingleTxt"/>
              <w:spacing w:before="40" w:after="80" w:line="240" w:lineRule="exact"/>
              <w:ind w:left="0" w:right="144"/>
              <w:rPr>
                <w:rFonts w:hint="cs"/>
                <w:sz w:val="16"/>
                <w:szCs w:val="24"/>
                <w:rtl/>
              </w:rPr>
            </w:pPr>
            <w:r w:rsidRPr="006D5CDD">
              <w:rPr>
                <w:rFonts w:hint="cs"/>
                <w:sz w:val="16"/>
                <w:szCs w:val="24"/>
                <w:rtl/>
              </w:rPr>
              <w:t>16</w:t>
            </w:r>
          </w:p>
        </w:tc>
        <w:tc>
          <w:tcPr>
            <w:tcW w:w="1483" w:type="dxa"/>
            <w:shd w:val="clear" w:color="auto" w:fill="auto"/>
            <w:vAlign w:val="bottom"/>
          </w:tcPr>
          <w:p w:rsidR="007023B4" w:rsidRPr="006D5CDD" w:rsidRDefault="007023B4" w:rsidP="006D5CDD">
            <w:pPr>
              <w:pStyle w:val="SingleTxt"/>
              <w:spacing w:before="40" w:after="80" w:line="240" w:lineRule="exact"/>
              <w:ind w:left="0" w:right="144"/>
              <w:rPr>
                <w:rFonts w:hint="cs"/>
                <w:sz w:val="16"/>
                <w:szCs w:val="24"/>
                <w:rtl/>
              </w:rPr>
            </w:pPr>
            <w:r w:rsidRPr="006D5CDD">
              <w:rPr>
                <w:rFonts w:hint="cs"/>
                <w:sz w:val="16"/>
                <w:szCs w:val="24"/>
                <w:rtl/>
              </w:rPr>
              <w:t>3</w:t>
            </w:r>
          </w:p>
        </w:tc>
        <w:tc>
          <w:tcPr>
            <w:tcW w:w="1483" w:type="dxa"/>
            <w:shd w:val="clear" w:color="auto" w:fill="auto"/>
            <w:vAlign w:val="bottom"/>
          </w:tcPr>
          <w:p w:rsidR="007023B4" w:rsidRPr="006D5CDD" w:rsidRDefault="007023B4" w:rsidP="006D5CDD">
            <w:pPr>
              <w:pStyle w:val="SingleTxt"/>
              <w:spacing w:before="40" w:after="80" w:line="240" w:lineRule="exact"/>
              <w:ind w:left="0" w:right="144"/>
              <w:rPr>
                <w:rFonts w:hint="cs"/>
                <w:sz w:val="16"/>
                <w:szCs w:val="24"/>
                <w:rtl/>
              </w:rPr>
            </w:pPr>
            <w:r w:rsidRPr="006D5CDD">
              <w:rPr>
                <w:rFonts w:hint="cs"/>
                <w:sz w:val="16"/>
                <w:szCs w:val="24"/>
                <w:rtl/>
              </w:rPr>
              <w:t>19</w:t>
            </w:r>
          </w:p>
        </w:tc>
        <w:tc>
          <w:tcPr>
            <w:tcW w:w="1484" w:type="dxa"/>
            <w:shd w:val="clear" w:color="auto" w:fill="auto"/>
            <w:vAlign w:val="bottom"/>
          </w:tcPr>
          <w:p w:rsidR="007023B4" w:rsidRPr="006D5CDD" w:rsidRDefault="007023B4" w:rsidP="006D5CDD">
            <w:pPr>
              <w:pStyle w:val="SingleTxt"/>
              <w:spacing w:before="40" w:after="80" w:line="240" w:lineRule="exact"/>
              <w:ind w:left="0" w:right="144"/>
              <w:rPr>
                <w:rFonts w:hint="cs"/>
                <w:sz w:val="16"/>
                <w:szCs w:val="24"/>
                <w:rtl/>
              </w:rPr>
            </w:pPr>
            <w:r w:rsidRPr="006D5CDD">
              <w:rPr>
                <w:rFonts w:hint="cs"/>
                <w:sz w:val="16"/>
                <w:szCs w:val="24"/>
                <w:rtl/>
              </w:rPr>
              <w:t>16</w:t>
            </w:r>
          </w:p>
        </w:tc>
      </w:tr>
      <w:tr w:rsidR="007023B4" w:rsidRPr="006D5CDD">
        <w:trPr>
          <w:cantSplit/>
        </w:trPr>
        <w:tc>
          <w:tcPr>
            <w:tcW w:w="1380" w:type="dxa"/>
            <w:shd w:val="clear" w:color="auto" w:fill="auto"/>
            <w:vAlign w:val="bottom"/>
          </w:tcPr>
          <w:p w:rsidR="007023B4" w:rsidRPr="006D5CDD" w:rsidRDefault="007023B4" w:rsidP="006D5CDD">
            <w:pPr>
              <w:pStyle w:val="SingleTxt"/>
              <w:spacing w:before="40" w:after="80" w:line="240" w:lineRule="exact"/>
              <w:ind w:left="0" w:right="0"/>
              <w:rPr>
                <w:rFonts w:hint="cs"/>
                <w:sz w:val="16"/>
                <w:szCs w:val="24"/>
                <w:rtl/>
              </w:rPr>
            </w:pPr>
            <w:r w:rsidRPr="006D5CDD">
              <w:rPr>
                <w:rFonts w:hint="cs"/>
                <w:sz w:val="16"/>
                <w:szCs w:val="24"/>
                <w:rtl/>
              </w:rPr>
              <w:t>2</w:t>
            </w:r>
          </w:p>
        </w:tc>
        <w:tc>
          <w:tcPr>
            <w:tcW w:w="1483" w:type="dxa"/>
            <w:shd w:val="clear" w:color="auto" w:fill="auto"/>
            <w:vAlign w:val="bottom"/>
          </w:tcPr>
          <w:p w:rsidR="007023B4" w:rsidRPr="006D5CDD" w:rsidRDefault="007023B4" w:rsidP="006D5CDD">
            <w:pPr>
              <w:pStyle w:val="SingleTxt"/>
              <w:spacing w:before="40" w:after="80" w:line="240" w:lineRule="exact"/>
              <w:ind w:left="0" w:right="144"/>
              <w:rPr>
                <w:rFonts w:hint="cs"/>
                <w:sz w:val="16"/>
                <w:szCs w:val="24"/>
                <w:rtl/>
              </w:rPr>
            </w:pPr>
            <w:r w:rsidRPr="006D5CDD">
              <w:rPr>
                <w:rFonts w:hint="cs"/>
                <w:sz w:val="16"/>
                <w:szCs w:val="24"/>
                <w:rtl/>
              </w:rPr>
              <w:t>99</w:t>
            </w:r>
          </w:p>
        </w:tc>
        <w:tc>
          <w:tcPr>
            <w:tcW w:w="1483" w:type="dxa"/>
            <w:shd w:val="clear" w:color="auto" w:fill="auto"/>
            <w:vAlign w:val="bottom"/>
          </w:tcPr>
          <w:p w:rsidR="007023B4" w:rsidRPr="006D5CDD" w:rsidRDefault="007023B4" w:rsidP="006D5CDD">
            <w:pPr>
              <w:pStyle w:val="SingleTxt"/>
              <w:spacing w:before="40" w:after="80" w:line="240" w:lineRule="exact"/>
              <w:ind w:left="0" w:right="144"/>
              <w:rPr>
                <w:rFonts w:hint="cs"/>
                <w:sz w:val="16"/>
                <w:szCs w:val="24"/>
                <w:rtl/>
              </w:rPr>
            </w:pPr>
            <w:r w:rsidRPr="006D5CDD">
              <w:rPr>
                <w:rFonts w:hint="cs"/>
                <w:sz w:val="16"/>
                <w:szCs w:val="24"/>
                <w:rtl/>
              </w:rPr>
              <w:t>10</w:t>
            </w:r>
          </w:p>
        </w:tc>
        <w:tc>
          <w:tcPr>
            <w:tcW w:w="1483" w:type="dxa"/>
            <w:shd w:val="clear" w:color="auto" w:fill="auto"/>
            <w:vAlign w:val="bottom"/>
          </w:tcPr>
          <w:p w:rsidR="007023B4" w:rsidRPr="006D5CDD" w:rsidRDefault="007023B4" w:rsidP="006D5CDD">
            <w:pPr>
              <w:pStyle w:val="SingleTxt"/>
              <w:spacing w:before="40" w:after="80" w:line="240" w:lineRule="exact"/>
              <w:ind w:left="0" w:right="144"/>
              <w:rPr>
                <w:rFonts w:hint="cs"/>
                <w:sz w:val="16"/>
                <w:szCs w:val="24"/>
                <w:rtl/>
              </w:rPr>
            </w:pPr>
            <w:r w:rsidRPr="006D5CDD">
              <w:rPr>
                <w:rFonts w:hint="cs"/>
                <w:sz w:val="16"/>
                <w:szCs w:val="24"/>
                <w:rtl/>
              </w:rPr>
              <w:t>109</w:t>
            </w:r>
          </w:p>
        </w:tc>
        <w:tc>
          <w:tcPr>
            <w:tcW w:w="1484" w:type="dxa"/>
            <w:shd w:val="clear" w:color="auto" w:fill="auto"/>
            <w:vAlign w:val="bottom"/>
          </w:tcPr>
          <w:p w:rsidR="007023B4" w:rsidRPr="006D5CDD" w:rsidRDefault="007023B4" w:rsidP="006D5CDD">
            <w:pPr>
              <w:pStyle w:val="SingleTxt"/>
              <w:spacing w:before="40" w:after="80" w:line="240" w:lineRule="exact"/>
              <w:ind w:left="0" w:right="144"/>
              <w:rPr>
                <w:rFonts w:hint="cs"/>
                <w:sz w:val="16"/>
                <w:szCs w:val="24"/>
                <w:rtl/>
              </w:rPr>
            </w:pPr>
            <w:r w:rsidRPr="006D5CDD">
              <w:rPr>
                <w:rFonts w:hint="cs"/>
                <w:sz w:val="16"/>
                <w:szCs w:val="24"/>
                <w:rtl/>
              </w:rPr>
              <w:t>9</w:t>
            </w:r>
          </w:p>
        </w:tc>
      </w:tr>
      <w:tr w:rsidR="007023B4" w:rsidRPr="006D5CDD">
        <w:trPr>
          <w:cantSplit/>
        </w:trPr>
        <w:tc>
          <w:tcPr>
            <w:tcW w:w="1380" w:type="dxa"/>
            <w:shd w:val="clear" w:color="auto" w:fill="auto"/>
            <w:vAlign w:val="bottom"/>
          </w:tcPr>
          <w:p w:rsidR="007023B4" w:rsidRPr="006D5CDD" w:rsidRDefault="007023B4" w:rsidP="006D5CDD">
            <w:pPr>
              <w:pStyle w:val="SingleTxt"/>
              <w:spacing w:before="40" w:after="80" w:line="240" w:lineRule="exact"/>
              <w:ind w:left="0" w:right="0"/>
              <w:rPr>
                <w:rFonts w:hint="cs"/>
                <w:sz w:val="16"/>
                <w:szCs w:val="24"/>
                <w:rtl/>
              </w:rPr>
            </w:pPr>
            <w:r w:rsidRPr="006D5CDD">
              <w:rPr>
                <w:rFonts w:hint="cs"/>
                <w:sz w:val="16"/>
                <w:szCs w:val="24"/>
                <w:rtl/>
              </w:rPr>
              <w:t>3</w:t>
            </w:r>
          </w:p>
        </w:tc>
        <w:tc>
          <w:tcPr>
            <w:tcW w:w="1483" w:type="dxa"/>
            <w:shd w:val="clear" w:color="auto" w:fill="auto"/>
            <w:vAlign w:val="bottom"/>
          </w:tcPr>
          <w:p w:rsidR="007023B4" w:rsidRPr="006D5CDD" w:rsidRDefault="007023B4" w:rsidP="006D5CDD">
            <w:pPr>
              <w:pStyle w:val="SingleTxt"/>
              <w:spacing w:before="40" w:after="80" w:line="240" w:lineRule="exact"/>
              <w:ind w:left="0" w:right="144"/>
              <w:rPr>
                <w:rFonts w:hint="cs"/>
                <w:sz w:val="16"/>
                <w:szCs w:val="24"/>
                <w:rtl/>
              </w:rPr>
            </w:pPr>
            <w:r w:rsidRPr="006D5CDD">
              <w:rPr>
                <w:rFonts w:hint="cs"/>
                <w:sz w:val="16"/>
                <w:szCs w:val="24"/>
                <w:rtl/>
              </w:rPr>
              <w:t>91</w:t>
            </w:r>
          </w:p>
        </w:tc>
        <w:tc>
          <w:tcPr>
            <w:tcW w:w="1483" w:type="dxa"/>
            <w:shd w:val="clear" w:color="auto" w:fill="auto"/>
            <w:vAlign w:val="bottom"/>
          </w:tcPr>
          <w:p w:rsidR="007023B4" w:rsidRPr="006D5CDD" w:rsidRDefault="007023B4" w:rsidP="006D5CDD">
            <w:pPr>
              <w:pStyle w:val="SingleTxt"/>
              <w:spacing w:before="40" w:after="80" w:line="240" w:lineRule="exact"/>
              <w:ind w:left="0" w:right="144"/>
              <w:rPr>
                <w:rFonts w:hint="cs"/>
                <w:sz w:val="16"/>
                <w:szCs w:val="24"/>
                <w:rtl/>
              </w:rPr>
            </w:pPr>
            <w:r w:rsidRPr="006D5CDD">
              <w:rPr>
                <w:rFonts w:hint="cs"/>
                <w:sz w:val="16"/>
                <w:szCs w:val="24"/>
                <w:rtl/>
              </w:rPr>
              <w:t>18</w:t>
            </w:r>
          </w:p>
        </w:tc>
        <w:tc>
          <w:tcPr>
            <w:tcW w:w="1483" w:type="dxa"/>
            <w:shd w:val="clear" w:color="auto" w:fill="auto"/>
            <w:vAlign w:val="bottom"/>
          </w:tcPr>
          <w:p w:rsidR="007023B4" w:rsidRPr="006D5CDD" w:rsidRDefault="007023B4" w:rsidP="006D5CDD">
            <w:pPr>
              <w:pStyle w:val="SingleTxt"/>
              <w:spacing w:before="40" w:after="80" w:line="240" w:lineRule="exact"/>
              <w:ind w:left="0" w:right="144"/>
              <w:rPr>
                <w:rFonts w:hint="cs"/>
                <w:sz w:val="16"/>
                <w:szCs w:val="24"/>
                <w:rtl/>
              </w:rPr>
            </w:pPr>
            <w:r w:rsidRPr="006D5CDD">
              <w:rPr>
                <w:rFonts w:hint="cs"/>
                <w:sz w:val="16"/>
                <w:szCs w:val="24"/>
                <w:rtl/>
              </w:rPr>
              <w:t>109</w:t>
            </w:r>
          </w:p>
        </w:tc>
        <w:tc>
          <w:tcPr>
            <w:tcW w:w="1484" w:type="dxa"/>
            <w:shd w:val="clear" w:color="auto" w:fill="auto"/>
            <w:vAlign w:val="bottom"/>
          </w:tcPr>
          <w:p w:rsidR="007023B4" w:rsidRPr="006D5CDD" w:rsidRDefault="007023B4" w:rsidP="006D5CDD">
            <w:pPr>
              <w:pStyle w:val="SingleTxt"/>
              <w:spacing w:before="40" w:after="80" w:line="240" w:lineRule="exact"/>
              <w:ind w:left="0" w:right="144"/>
              <w:rPr>
                <w:rFonts w:hint="cs"/>
                <w:sz w:val="16"/>
                <w:szCs w:val="24"/>
                <w:rtl/>
              </w:rPr>
            </w:pPr>
            <w:r w:rsidRPr="006D5CDD">
              <w:rPr>
                <w:rFonts w:hint="cs"/>
                <w:sz w:val="16"/>
                <w:szCs w:val="24"/>
                <w:rtl/>
              </w:rPr>
              <w:t>17</w:t>
            </w:r>
          </w:p>
        </w:tc>
      </w:tr>
      <w:tr w:rsidR="007023B4" w:rsidRPr="006D5CDD">
        <w:trPr>
          <w:cantSplit/>
        </w:trPr>
        <w:tc>
          <w:tcPr>
            <w:tcW w:w="1380" w:type="dxa"/>
            <w:shd w:val="clear" w:color="auto" w:fill="auto"/>
            <w:vAlign w:val="bottom"/>
          </w:tcPr>
          <w:p w:rsidR="007023B4" w:rsidRPr="006D5CDD" w:rsidRDefault="007023B4" w:rsidP="006D5CDD">
            <w:pPr>
              <w:pStyle w:val="SingleTxt"/>
              <w:spacing w:before="40" w:after="80" w:line="240" w:lineRule="exact"/>
              <w:ind w:left="0" w:right="0"/>
              <w:rPr>
                <w:rFonts w:hint="cs"/>
                <w:sz w:val="16"/>
                <w:szCs w:val="24"/>
                <w:rtl/>
              </w:rPr>
            </w:pPr>
            <w:r w:rsidRPr="006D5CDD">
              <w:rPr>
                <w:rFonts w:hint="cs"/>
                <w:sz w:val="16"/>
                <w:szCs w:val="24"/>
                <w:rtl/>
              </w:rPr>
              <w:t>4</w:t>
            </w:r>
          </w:p>
        </w:tc>
        <w:tc>
          <w:tcPr>
            <w:tcW w:w="1483" w:type="dxa"/>
            <w:shd w:val="clear" w:color="auto" w:fill="auto"/>
            <w:vAlign w:val="bottom"/>
          </w:tcPr>
          <w:p w:rsidR="007023B4" w:rsidRPr="006D5CDD" w:rsidRDefault="007023B4" w:rsidP="006D5CDD">
            <w:pPr>
              <w:pStyle w:val="SingleTxt"/>
              <w:spacing w:before="40" w:after="80" w:line="240" w:lineRule="exact"/>
              <w:ind w:left="0" w:right="144"/>
              <w:rPr>
                <w:rFonts w:hint="cs"/>
                <w:sz w:val="16"/>
                <w:szCs w:val="24"/>
                <w:rtl/>
              </w:rPr>
            </w:pPr>
            <w:r w:rsidRPr="006D5CDD">
              <w:rPr>
                <w:rFonts w:hint="cs"/>
                <w:sz w:val="16"/>
                <w:szCs w:val="24"/>
                <w:rtl/>
              </w:rPr>
              <w:t>127</w:t>
            </w:r>
          </w:p>
        </w:tc>
        <w:tc>
          <w:tcPr>
            <w:tcW w:w="1483" w:type="dxa"/>
            <w:shd w:val="clear" w:color="auto" w:fill="auto"/>
            <w:vAlign w:val="bottom"/>
          </w:tcPr>
          <w:p w:rsidR="007023B4" w:rsidRPr="006D5CDD" w:rsidRDefault="007023B4" w:rsidP="006D5CDD">
            <w:pPr>
              <w:pStyle w:val="SingleTxt"/>
              <w:spacing w:before="40" w:after="80" w:line="240" w:lineRule="exact"/>
              <w:ind w:left="0" w:right="144"/>
              <w:rPr>
                <w:rFonts w:hint="cs"/>
                <w:sz w:val="16"/>
                <w:szCs w:val="24"/>
                <w:rtl/>
              </w:rPr>
            </w:pPr>
            <w:r w:rsidRPr="006D5CDD">
              <w:rPr>
                <w:rFonts w:hint="cs"/>
                <w:sz w:val="16"/>
                <w:szCs w:val="24"/>
                <w:rtl/>
              </w:rPr>
              <w:t>23</w:t>
            </w:r>
          </w:p>
        </w:tc>
        <w:tc>
          <w:tcPr>
            <w:tcW w:w="1483" w:type="dxa"/>
            <w:shd w:val="clear" w:color="auto" w:fill="auto"/>
            <w:vAlign w:val="bottom"/>
          </w:tcPr>
          <w:p w:rsidR="007023B4" w:rsidRPr="006D5CDD" w:rsidRDefault="007023B4" w:rsidP="006D5CDD">
            <w:pPr>
              <w:pStyle w:val="SingleTxt"/>
              <w:spacing w:before="40" w:after="80" w:line="240" w:lineRule="exact"/>
              <w:ind w:left="0" w:right="144"/>
              <w:rPr>
                <w:rFonts w:hint="cs"/>
                <w:sz w:val="16"/>
                <w:szCs w:val="24"/>
                <w:rtl/>
              </w:rPr>
            </w:pPr>
            <w:r w:rsidRPr="006D5CDD">
              <w:rPr>
                <w:rFonts w:hint="cs"/>
                <w:sz w:val="16"/>
                <w:szCs w:val="24"/>
                <w:rtl/>
              </w:rPr>
              <w:t>150</w:t>
            </w:r>
          </w:p>
        </w:tc>
        <w:tc>
          <w:tcPr>
            <w:tcW w:w="1484" w:type="dxa"/>
            <w:shd w:val="clear" w:color="auto" w:fill="auto"/>
            <w:vAlign w:val="bottom"/>
          </w:tcPr>
          <w:p w:rsidR="007023B4" w:rsidRPr="006D5CDD" w:rsidRDefault="007023B4" w:rsidP="006D5CDD">
            <w:pPr>
              <w:pStyle w:val="SingleTxt"/>
              <w:spacing w:before="40" w:after="80" w:line="240" w:lineRule="exact"/>
              <w:ind w:left="0" w:right="144"/>
              <w:rPr>
                <w:rFonts w:hint="cs"/>
                <w:sz w:val="16"/>
                <w:szCs w:val="24"/>
                <w:rtl/>
              </w:rPr>
            </w:pPr>
            <w:r w:rsidRPr="006D5CDD">
              <w:rPr>
                <w:rFonts w:hint="cs"/>
                <w:sz w:val="16"/>
                <w:szCs w:val="24"/>
                <w:rtl/>
              </w:rPr>
              <w:t>15</w:t>
            </w:r>
          </w:p>
        </w:tc>
      </w:tr>
      <w:tr w:rsidR="007023B4" w:rsidRPr="006D5CDD">
        <w:trPr>
          <w:cantSplit/>
        </w:trPr>
        <w:tc>
          <w:tcPr>
            <w:tcW w:w="1380" w:type="dxa"/>
            <w:tcBorders>
              <w:bottom w:val="single" w:sz="2" w:space="0" w:color="auto"/>
            </w:tcBorders>
            <w:shd w:val="clear" w:color="auto" w:fill="auto"/>
            <w:vAlign w:val="bottom"/>
          </w:tcPr>
          <w:p w:rsidR="007023B4" w:rsidRPr="006D5CDD" w:rsidRDefault="007023B4" w:rsidP="006D5CDD">
            <w:pPr>
              <w:pStyle w:val="SingleTxt"/>
              <w:spacing w:before="40" w:after="80" w:line="240" w:lineRule="exact"/>
              <w:ind w:left="0" w:right="0"/>
              <w:rPr>
                <w:rFonts w:hint="cs"/>
                <w:sz w:val="16"/>
                <w:szCs w:val="24"/>
                <w:rtl/>
              </w:rPr>
            </w:pPr>
            <w:r w:rsidRPr="006D5CDD">
              <w:rPr>
                <w:rFonts w:hint="cs"/>
                <w:sz w:val="16"/>
                <w:szCs w:val="24"/>
                <w:rtl/>
              </w:rPr>
              <w:t>متدربون*</w:t>
            </w:r>
          </w:p>
        </w:tc>
        <w:tc>
          <w:tcPr>
            <w:tcW w:w="1483" w:type="dxa"/>
            <w:tcBorders>
              <w:bottom w:val="single" w:sz="2" w:space="0" w:color="auto"/>
            </w:tcBorders>
            <w:shd w:val="clear" w:color="auto" w:fill="auto"/>
            <w:vAlign w:val="bottom"/>
          </w:tcPr>
          <w:p w:rsidR="007023B4" w:rsidRPr="006D5CDD" w:rsidRDefault="007023B4" w:rsidP="006D5CDD">
            <w:pPr>
              <w:pStyle w:val="SingleTxt"/>
              <w:spacing w:before="40" w:after="80" w:line="240" w:lineRule="exact"/>
              <w:ind w:left="0" w:right="144"/>
              <w:rPr>
                <w:rFonts w:hint="cs"/>
                <w:sz w:val="16"/>
                <w:szCs w:val="24"/>
                <w:rtl/>
              </w:rPr>
            </w:pPr>
            <w:r w:rsidRPr="006D5CDD">
              <w:rPr>
                <w:rFonts w:hint="cs"/>
                <w:sz w:val="16"/>
                <w:szCs w:val="24"/>
                <w:rtl/>
              </w:rPr>
              <w:t>22</w:t>
            </w:r>
          </w:p>
        </w:tc>
        <w:tc>
          <w:tcPr>
            <w:tcW w:w="1483" w:type="dxa"/>
            <w:tcBorders>
              <w:bottom w:val="single" w:sz="2" w:space="0" w:color="auto"/>
            </w:tcBorders>
            <w:shd w:val="clear" w:color="auto" w:fill="auto"/>
            <w:vAlign w:val="bottom"/>
          </w:tcPr>
          <w:p w:rsidR="007023B4" w:rsidRPr="006D5CDD" w:rsidRDefault="007023B4" w:rsidP="006D5CDD">
            <w:pPr>
              <w:pStyle w:val="SingleTxt"/>
              <w:spacing w:before="40" w:after="80" w:line="240" w:lineRule="exact"/>
              <w:ind w:left="0" w:right="144"/>
              <w:rPr>
                <w:rFonts w:hint="cs"/>
                <w:sz w:val="16"/>
                <w:szCs w:val="24"/>
                <w:rtl/>
              </w:rPr>
            </w:pPr>
            <w:r w:rsidRPr="006D5CDD">
              <w:rPr>
                <w:rFonts w:hint="cs"/>
                <w:sz w:val="16"/>
                <w:szCs w:val="24"/>
                <w:rtl/>
              </w:rPr>
              <w:t>5</w:t>
            </w:r>
          </w:p>
        </w:tc>
        <w:tc>
          <w:tcPr>
            <w:tcW w:w="1483" w:type="dxa"/>
            <w:tcBorders>
              <w:bottom w:val="single" w:sz="2" w:space="0" w:color="auto"/>
            </w:tcBorders>
            <w:shd w:val="clear" w:color="auto" w:fill="auto"/>
            <w:vAlign w:val="bottom"/>
          </w:tcPr>
          <w:p w:rsidR="007023B4" w:rsidRPr="006D5CDD" w:rsidRDefault="007023B4" w:rsidP="006D5CDD">
            <w:pPr>
              <w:pStyle w:val="SingleTxt"/>
              <w:spacing w:before="40" w:after="80" w:line="240" w:lineRule="exact"/>
              <w:ind w:left="0" w:right="144"/>
              <w:rPr>
                <w:rFonts w:hint="cs"/>
                <w:sz w:val="16"/>
                <w:szCs w:val="24"/>
                <w:rtl/>
              </w:rPr>
            </w:pPr>
            <w:r w:rsidRPr="006D5CDD">
              <w:rPr>
                <w:rFonts w:hint="cs"/>
                <w:sz w:val="16"/>
                <w:szCs w:val="24"/>
                <w:rtl/>
              </w:rPr>
              <w:t>27</w:t>
            </w:r>
          </w:p>
        </w:tc>
        <w:tc>
          <w:tcPr>
            <w:tcW w:w="1484" w:type="dxa"/>
            <w:tcBorders>
              <w:bottom w:val="single" w:sz="2" w:space="0" w:color="auto"/>
            </w:tcBorders>
            <w:shd w:val="clear" w:color="auto" w:fill="auto"/>
            <w:vAlign w:val="bottom"/>
          </w:tcPr>
          <w:p w:rsidR="007023B4" w:rsidRPr="006D5CDD" w:rsidRDefault="007023B4" w:rsidP="006D5CDD">
            <w:pPr>
              <w:pStyle w:val="SingleTxt"/>
              <w:spacing w:before="40" w:after="80" w:line="240" w:lineRule="exact"/>
              <w:ind w:left="0" w:right="144"/>
              <w:rPr>
                <w:rFonts w:hint="cs"/>
                <w:sz w:val="16"/>
                <w:szCs w:val="24"/>
                <w:rtl/>
              </w:rPr>
            </w:pPr>
            <w:r w:rsidRPr="006D5CDD">
              <w:rPr>
                <w:rFonts w:hint="cs"/>
                <w:sz w:val="16"/>
                <w:szCs w:val="24"/>
                <w:rtl/>
              </w:rPr>
              <w:t>20</w:t>
            </w:r>
          </w:p>
        </w:tc>
      </w:tr>
      <w:tr w:rsidR="007023B4" w:rsidRPr="006D5CDD">
        <w:trPr>
          <w:cantSplit/>
        </w:trPr>
        <w:tc>
          <w:tcPr>
            <w:tcW w:w="1380" w:type="dxa"/>
            <w:tcBorders>
              <w:top w:val="single" w:sz="2" w:space="0" w:color="auto"/>
              <w:bottom w:val="single" w:sz="12" w:space="0" w:color="auto"/>
            </w:tcBorders>
            <w:shd w:val="clear" w:color="auto" w:fill="auto"/>
            <w:vAlign w:val="bottom"/>
          </w:tcPr>
          <w:p w:rsidR="007023B4" w:rsidRPr="006D5CDD" w:rsidRDefault="007023B4" w:rsidP="006D5CDD">
            <w:pPr>
              <w:pStyle w:val="SingleTxt"/>
              <w:spacing w:before="40" w:after="80" w:line="240" w:lineRule="exact"/>
              <w:ind w:left="0" w:right="0"/>
              <w:rPr>
                <w:rFonts w:hint="cs"/>
                <w:b/>
                <w:bCs/>
                <w:sz w:val="16"/>
                <w:szCs w:val="24"/>
                <w:rtl/>
              </w:rPr>
            </w:pPr>
            <w:r w:rsidRPr="006D5CDD">
              <w:rPr>
                <w:rFonts w:hint="cs"/>
                <w:b/>
                <w:bCs/>
                <w:sz w:val="16"/>
                <w:szCs w:val="24"/>
                <w:rtl/>
              </w:rPr>
              <w:t>المجموع</w:t>
            </w:r>
          </w:p>
        </w:tc>
        <w:tc>
          <w:tcPr>
            <w:tcW w:w="1483" w:type="dxa"/>
            <w:tcBorders>
              <w:top w:val="single" w:sz="2" w:space="0" w:color="auto"/>
              <w:bottom w:val="single" w:sz="12" w:space="0" w:color="auto"/>
            </w:tcBorders>
            <w:shd w:val="clear" w:color="auto" w:fill="auto"/>
            <w:vAlign w:val="bottom"/>
          </w:tcPr>
          <w:p w:rsidR="007023B4" w:rsidRPr="006D5CDD" w:rsidRDefault="007023B4" w:rsidP="006D5CDD">
            <w:pPr>
              <w:pStyle w:val="SingleTxt"/>
              <w:spacing w:before="40" w:after="80" w:line="240" w:lineRule="exact"/>
              <w:ind w:left="0" w:right="144"/>
              <w:rPr>
                <w:rFonts w:hint="cs"/>
                <w:b/>
                <w:bCs/>
                <w:sz w:val="16"/>
                <w:szCs w:val="24"/>
                <w:rtl/>
              </w:rPr>
            </w:pPr>
            <w:r w:rsidRPr="006D5CDD">
              <w:rPr>
                <w:rFonts w:hint="cs"/>
                <w:b/>
                <w:bCs/>
                <w:sz w:val="16"/>
                <w:szCs w:val="24"/>
                <w:rtl/>
              </w:rPr>
              <w:t>355</w:t>
            </w:r>
          </w:p>
        </w:tc>
        <w:tc>
          <w:tcPr>
            <w:tcW w:w="1483" w:type="dxa"/>
            <w:tcBorders>
              <w:top w:val="single" w:sz="2" w:space="0" w:color="auto"/>
              <w:bottom w:val="single" w:sz="12" w:space="0" w:color="auto"/>
            </w:tcBorders>
            <w:shd w:val="clear" w:color="auto" w:fill="auto"/>
            <w:vAlign w:val="bottom"/>
          </w:tcPr>
          <w:p w:rsidR="007023B4" w:rsidRPr="006D5CDD" w:rsidRDefault="007023B4" w:rsidP="006D5CDD">
            <w:pPr>
              <w:pStyle w:val="SingleTxt"/>
              <w:spacing w:before="40" w:after="80" w:line="240" w:lineRule="exact"/>
              <w:ind w:left="0" w:right="144"/>
              <w:rPr>
                <w:rFonts w:hint="cs"/>
                <w:b/>
                <w:bCs/>
                <w:sz w:val="16"/>
                <w:szCs w:val="24"/>
                <w:rtl/>
              </w:rPr>
            </w:pPr>
            <w:r w:rsidRPr="006D5CDD">
              <w:rPr>
                <w:rFonts w:hint="cs"/>
                <w:b/>
                <w:bCs/>
                <w:sz w:val="16"/>
                <w:szCs w:val="24"/>
                <w:rtl/>
              </w:rPr>
              <w:t>59</w:t>
            </w:r>
          </w:p>
        </w:tc>
        <w:tc>
          <w:tcPr>
            <w:tcW w:w="1483" w:type="dxa"/>
            <w:tcBorders>
              <w:top w:val="single" w:sz="2" w:space="0" w:color="auto"/>
              <w:bottom w:val="single" w:sz="12" w:space="0" w:color="auto"/>
            </w:tcBorders>
            <w:shd w:val="clear" w:color="auto" w:fill="auto"/>
            <w:vAlign w:val="bottom"/>
          </w:tcPr>
          <w:p w:rsidR="007023B4" w:rsidRPr="006D5CDD" w:rsidRDefault="007023B4" w:rsidP="006D5CDD">
            <w:pPr>
              <w:pStyle w:val="SingleTxt"/>
              <w:spacing w:before="40" w:after="80" w:line="240" w:lineRule="exact"/>
              <w:ind w:left="0" w:right="144"/>
              <w:rPr>
                <w:rFonts w:hint="cs"/>
                <w:b/>
                <w:bCs/>
                <w:sz w:val="16"/>
                <w:szCs w:val="24"/>
                <w:rtl/>
              </w:rPr>
            </w:pPr>
            <w:r w:rsidRPr="006D5CDD">
              <w:rPr>
                <w:rFonts w:hint="cs"/>
                <w:b/>
                <w:bCs/>
                <w:sz w:val="16"/>
                <w:szCs w:val="24"/>
                <w:rtl/>
              </w:rPr>
              <w:t>414</w:t>
            </w:r>
          </w:p>
        </w:tc>
        <w:tc>
          <w:tcPr>
            <w:tcW w:w="1484" w:type="dxa"/>
            <w:tcBorders>
              <w:top w:val="single" w:sz="2" w:space="0" w:color="auto"/>
              <w:bottom w:val="single" w:sz="12" w:space="0" w:color="auto"/>
            </w:tcBorders>
            <w:shd w:val="clear" w:color="auto" w:fill="auto"/>
            <w:vAlign w:val="bottom"/>
          </w:tcPr>
          <w:p w:rsidR="007023B4" w:rsidRPr="006D5CDD" w:rsidRDefault="007023B4" w:rsidP="006D5CDD">
            <w:pPr>
              <w:pStyle w:val="SingleTxt"/>
              <w:spacing w:before="40" w:after="80" w:line="240" w:lineRule="exact"/>
              <w:ind w:left="0" w:right="144"/>
              <w:rPr>
                <w:rFonts w:hint="cs"/>
                <w:b/>
                <w:bCs/>
                <w:sz w:val="16"/>
                <w:szCs w:val="24"/>
                <w:rtl/>
              </w:rPr>
            </w:pPr>
            <w:r w:rsidRPr="006D5CDD">
              <w:rPr>
                <w:rFonts w:hint="cs"/>
                <w:b/>
                <w:bCs/>
                <w:sz w:val="16"/>
                <w:szCs w:val="24"/>
                <w:rtl/>
              </w:rPr>
              <w:t>14</w:t>
            </w:r>
          </w:p>
        </w:tc>
      </w:tr>
    </w:tbl>
    <w:p w:rsidR="007023B4" w:rsidRPr="002C72D3" w:rsidRDefault="007023B4" w:rsidP="007023B4">
      <w:pPr>
        <w:pStyle w:val="SingleTxt"/>
        <w:spacing w:after="0" w:line="120" w:lineRule="exact"/>
        <w:rPr>
          <w:rFonts w:hint="cs"/>
          <w:sz w:val="10"/>
          <w:szCs w:val="26"/>
          <w:rtl/>
        </w:rPr>
      </w:pPr>
    </w:p>
    <w:p w:rsidR="007023B4" w:rsidRDefault="007023B4" w:rsidP="007023B4">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ab/>
      </w:r>
      <w:r w:rsidRPr="00A402B0">
        <w:rPr>
          <w:rFonts w:hint="cs"/>
          <w:rtl/>
        </w:rPr>
        <w:t>*</w:t>
      </w:r>
      <w:r>
        <w:rPr>
          <w:rFonts w:hint="cs"/>
          <w:rtl/>
        </w:rPr>
        <w:tab/>
      </w:r>
      <w:r w:rsidRPr="00A402B0">
        <w:rPr>
          <w:rFonts w:hint="cs"/>
          <w:rtl/>
        </w:rPr>
        <w:t xml:space="preserve">26 من </w:t>
      </w:r>
      <w:r>
        <w:rPr>
          <w:rFonts w:hint="cs"/>
          <w:rtl/>
        </w:rPr>
        <w:t xml:space="preserve">دفعة عام </w:t>
      </w:r>
      <w:r w:rsidRPr="00A402B0">
        <w:rPr>
          <w:rFonts w:hint="cs"/>
          <w:rtl/>
        </w:rPr>
        <w:t xml:space="preserve">2006 (21 رجلا و5 نساء) ورجل واحد </w:t>
      </w:r>
      <w:r>
        <w:rPr>
          <w:rFonts w:hint="cs"/>
          <w:rtl/>
        </w:rPr>
        <w:t xml:space="preserve">من دفعة </w:t>
      </w:r>
      <w:r w:rsidRPr="00A402B0">
        <w:rPr>
          <w:rFonts w:hint="cs"/>
          <w:rtl/>
        </w:rPr>
        <w:t>سابقة.</w:t>
      </w:r>
    </w:p>
    <w:p w:rsidR="007023B4" w:rsidRPr="002C72D3" w:rsidRDefault="007023B4" w:rsidP="007023B4">
      <w:pPr>
        <w:pStyle w:val="SingleTxt"/>
        <w:spacing w:after="0" w:line="120" w:lineRule="exact"/>
        <w:rPr>
          <w:rFonts w:hint="cs"/>
          <w:sz w:val="10"/>
          <w:szCs w:val="26"/>
          <w:rtl/>
        </w:rPr>
      </w:pPr>
    </w:p>
    <w:p w:rsidR="007023B4" w:rsidRPr="00A239FD" w:rsidRDefault="007023B4" w:rsidP="007023B4">
      <w:pPr>
        <w:pStyle w:val="SingleTxt"/>
        <w:spacing w:after="0" w:line="120" w:lineRule="exact"/>
        <w:rPr>
          <w:rFonts w:hint="cs"/>
          <w:sz w:val="10"/>
          <w:rtl/>
        </w:rPr>
      </w:pPr>
    </w:p>
    <w:p w:rsidR="004D3C2E" w:rsidRDefault="007023B4" w:rsidP="007023B4">
      <w:pPr>
        <w:pStyle w:val="SingleTxt"/>
        <w:rPr>
          <w:rFonts w:hint="cs"/>
          <w:rtl/>
        </w:rPr>
      </w:pPr>
      <w:r>
        <w:rPr>
          <w:rFonts w:hint="cs"/>
          <w:rtl/>
        </w:rPr>
        <w:tab/>
        <w:t>وفيما يتعلق بعام 2002، ما زالت نسبة النساء إلى المجموع 14 في المائة. وعلى مستوى المتدربين ارتفعت هذه النسبة إلى 20 في المائة.</w:t>
      </w:r>
    </w:p>
    <w:p w:rsidR="006D5CDD" w:rsidRPr="006D5CDD" w:rsidRDefault="006D5CDD" w:rsidP="006D5CDD">
      <w:pPr>
        <w:pStyle w:val="SingleTxt"/>
        <w:spacing w:after="0" w:line="120" w:lineRule="exact"/>
        <w:rPr>
          <w:rFonts w:hint="cs"/>
          <w:sz w:val="10"/>
          <w:rtl/>
        </w:rPr>
      </w:pPr>
    </w:p>
    <w:p w:rsidR="007023B4" w:rsidRDefault="00B105BA" w:rsidP="00B105BA">
      <w:pPr>
        <w:pStyle w:val="SingleTxt"/>
        <w:rPr>
          <w:rFonts w:hint="cs"/>
          <w:i/>
          <w:iCs/>
          <w:rtl/>
        </w:rPr>
      </w:pPr>
      <w:r>
        <w:rPr>
          <w:rFonts w:hint="cs"/>
          <w:rtl/>
        </w:rPr>
        <w:t xml:space="preserve">1-2-  </w:t>
      </w:r>
      <w:r w:rsidR="007023B4">
        <w:rPr>
          <w:rFonts w:hint="cs"/>
          <w:i/>
          <w:iCs/>
          <w:rtl/>
        </w:rPr>
        <w:t>السلك</w:t>
      </w:r>
      <w:r w:rsidR="007023B4" w:rsidRPr="00A42906">
        <w:rPr>
          <w:rFonts w:hint="cs"/>
          <w:i/>
          <w:iCs/>
          <w:rtl/>
        </w:rPr>
        <w:t xml:space="preserve"> القنصلي (الحالة في أول تشرين الثاني/نوفمبر 2006)</w:t>
      </w:r>
    </w:p>
    <w:p w:rsidR="007023B4" w:rsidRPr="002317F4" w:rsidRDefault="007023B4" w:rsidP="007023B4">
      <w:pPr>
        <w:pStyle w:val="SingleTxt"/>
        <w:spacing w:after="0" w:line="120" w:lineRule="exact"/>
        <w:rPr>
          <w:rFonts w:hint="cs"/>
          <w:i/>
          <w:iCs/>
          <w:sz w:val="10"/>
          <w:rtl/>
        </w:rPr>
      </w:pPr>
    </w:p>
    <w:tbl>
      <w:tblPr>
        <w:tblStyle w:val="TableGrid"/>
        <w:bidiVisual/>
        <w:tblW w:w="0" w:type="auto"/>
        <w:tblInd w:w="13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483"/>
        <w:gridCol w:w="1483"/>
        <w:gridCol w:w="1483"/>
        <w:gridCol w:w="1483"/>
        <w:gridCol w:w="1484"/>
      </w:tblGrid>
      <w:tr w:rsidR="007023B4" w:rsidRPr="006D5CDD">
        <w:trPr>
          <w:cantSplit/>
          <w:tblHeader/>
        </w:trPr>
        <w:tc>
          <w:tcPr>
            <w:tcW w:w="1483" w:type="dxa"/>
            <w:tcBorders>
              <w:top w:val="single" w:sz="4" w:space="0" w:color="auto"/>
              <w:bottom w:val="single" w:sz="12" w:space="0" w:color="auto"/>
            </w:tcBorders>
            <w:shd w:val="clear" w:color="auto" w:fill="auto"/>
            <w:vAlign w:val="bottom"/>
          </w:tcPr>
          <w:p w:rsidR="007023B4" w:rsidRPr="006D5CDD" w:rsidRDefault="007023B4" w:rsidP="006D5CDD">
            <w:pPr>
              <w:pStyle w:val="SingleTxt"/>
              <w:spacing w:before="80" w:after="80" w:line="240" w:lineRule="exact"/>
              <w:ind w:left="0" w:right="0"/>
              <w:rPr>
                <w:rFonts w:hint="cs"/>
                <w:i/>
                <w:iCs/>
                <w:sz w:val="16"/>
                <w:szCs w:val="24"/>
                <w:rtl/>
              </w:rPr>
            </w:pPr>
            <w:r w:rsidRPr="006D5CDD">
              <w:rPr>
                <w:rFonts w:hint="cs"/>
                <w:i/>
                <w:iCs/>
                <w:sz w:val="16"/>
                <w:szCs w:val="24"/>
                <w:rtl/>
              </w:rPr>
              <w:t>الرتبة</w:t>
            </w:r>
          </w:p>
        </w:tc>
        <w:tc>
          <w:tcPr>
            <w:tcW w:w="1483" w:type="dxa"/>
            <w:tcBorders>
              <w:top w:val="single" w:sz="4" w:space="0" w:color="auto"/>
              <w:bottom w:val="single" w:sz="12" w:space="0" w:color="auto"/>
            </w:tcBorders>
            <w:shd w:val="clear" w:color="auto" w:fill="auto"/>
            <w:vAlign w:val="bottom"/>
          </w:tcPr>
          <w:p w:rsidR="007023B4" w:rsidRPr="006D5CDD" w:rsidRDefault="007023B4" w:rsidP="006D5CDD">
            <w:pPr>
              <w:pStyle w:val="SingleTxt"/>
              <w:spacing w:before="80" w:after="80" w:line="240" w:lineRule="exact"/>
              <w:ind w:left="0" w:right="144"/>
              <w:rPr>
                <w:rFonts w:hint="cs"/>
                <w:i/>
                <w:iCs/>
                <w:sz w:val="16"/>
                <w:szCs w:val="24"/>
                <w:rtl/>
              </w:rPr>
            </w:pPr>
            <w:r w:rsidRPr="006D5CDD">
              <w:rPr>
                <w:rFonts w:hint="cs"/>
                <w:i/>
                <w:iCs/>
                <w:sz w:val="16"/>
                <w:szCs w:val="24"/>
                <w:rtl/>
              </w:rPr>
              <w:t>رجل</w:t>
            </w:r>
          </w:p>
        </w:tc>
        <w:tc>
          <w:tcPr>
            <w:tcW w:w="1483" w:type="dxa"/>
            <w:tcBorders>
              <w:top w:val="single" w:sz="4" w:space="0" w:color="auto"/>
              <w:bottom w:val="single" w:sz="12" w:space="0" w:color="auto"/>
            </w:tcBorders>
            <w:shd w:val="clear" w:color="auto" w:fill="auto"/>
            <w:vAlign w:val="bottom"/>
          </w:tcPr>
          <w:p w:rsidR="007023B4" w:rsidRPr="006D5CDD" w:rsidRDefault="007023B4" w:rsidP="006D5CDD">
            <w:pPr>
              <w:pStyle w:val="SingleTxt"/>
              <w:spacing w:before="80" w:after="80" w:line="240" w:lineRule="exact"/>
              <w:ind w:left="0" w:right="144"/>
              <w:rPr>
                <w:rFonts w:hint="cs"/>
                <w:i/>
                <w:iCs/>
                <w:sz w:val="16"/>
                <w:szCs w:val="24"/>
                <w:rtl/>
              </w:rPr>
            </w:pPr>
            <w:r w:rsidRPr="006D5CDD">
              <w:rPr>
                <w:rFonts w:hint="cs"/>
                <w:i/>
                <w:iCs/>
                <w:sz w:val="16"/>
                <w:szCs w:val="24"/>
                <w:rtl/>
              </w:rPr>
              <w:t>امرأة</w:t>
            </w:r>
          </w:p>
        </w:tc>
        <w:tc>
          <w:tcPr>
            <w:tcW w:w="1483" w:type="dxa"/>
            <w:tcBorders>
              <w:top w:val="single" w:sz="4" w:space="0" w:color="auto"/>
              <w:bottom w:val="single" w:sz="12" w:space="0" w:color="auto"/>
            </w:tcBorders>
            <w:shd w:val="clear" w:color="auto" w:fill="auto"/>
            <w:vAlign w:val="bottom"/>
          </w:tcPr>
          <w:p w:rsidR="007023B4" w:rsidRPr="006D5CDD" w:rsidRDefault="007023B4" w:rsidP="006D5CDD">
            <w:pPr>
              <w:pStyle w:val="SingleTxt"/>
              <w:spacing w:before="80" w:after="80" w:line="240" w:lineRule="exact"/>
              <w:ind w:left="0" w:right="144"/>
              <w:rPr>
                <w:rFonts w:hint="cs"/>
                <w:i/>
                <w:iCs/>
                <w:sz w:val="16"/>
                <w:szCs w:val="24"/>
                <w:rtl/>
              </w:rPr>
            </w:pPr>
            <w:r w:rsidRPr="006D5CDD">
              <w:rPr>
                <w:rFonts w:hint="cs"/>
                <w:i/>
                <w:iCs/>
                <w:sz w:val="16"/>
                <w:szCs w:val="24"/>
                <w:rtl/>
              </w:rPr>
              <w:t>المجموع</w:t>
            </w:r>
          </w:p>
        </w:tc>
        <w:tc>
          <w:tcPr>
            <w:tcW w:w="1484" w:type="dxa"/>
            <w:tcBorders>
              <w:top w:val="single" w:sz="4" w:space="0" w:color="auto"/>
              <w:bottom w:val="single" w:sz="12" w:space="0" w:color="auto"/>
            </w:tcBorders>
            <w:shd w:val="clear" w:color="auto" w:fill="auto"/>
            <w:vAlign w:val="bottom"/>
          </w:tcPr>
          <w:p w:rsidR="007023B4" w:rsidRPr="006D5CDD" w:rsidRDefault="007023B4" w:rsidP="006D5CDD">
            <w:pPr>
              <w:pStyle w:val="SingleTxt"/>
              <w:spacing w:before="80" w:after="80" w:line="240" w:lineRule="exact"/>
              <w:ind w:left="0" w:right="144"/>
              <w:rPr>
                <w:rFonts w:hint="cs"/>
                <w:i/>
                <w:iCs/>
                <w:sz w:val="16"/>
                <w:szCs w:val="24"/>
                <w:rtl/>
              </w:rPr>
            </w:pPr>
            <w:r w:rsidRPr="006D5CDD">
              <w:rPr>
                <w:rFonts w:hint="cs"/>
                <w:i/>
                <w:iCs/>
                <w:sz w:val="16"/>
                <w:szCs w:val="24"/>
                <w:rtl/>
              </w:rPr>
              <w:t>% من النساء</w:t>
            </w:r>
          </w:p>
        </w:tc>
      </w:tr>
      <w:tr w:rsidR="006D5CDD" w:rsidRPr="006D5CDD">
        <w:trPr>
          <w:cantSplit/>
          <w:trHeight w:hRule="exact" w:val="115"/>
          <w:tblHeader/>
        </w:trPr>
        <w:tc>
          <w:tcPr>
            <w:tcW w:w="1483" w:type="dxa"/>
            <w:tcBorders>
              <w:top w:val="single" w:sz="12" w:space="0" w:color="auto"/>
            </w:tcBorders>
            <w:shd w:val="clear" w:color="auto" w:fill="auto"/>
            <w:vAlign w:val="bottom"/>
          </w:tcPr>
          <w:p w:rsidR="006D5CDD" w:rsidRPr="006D5CDD" w:rsidRDefault="006D5CDD" w:rsidP="006D5CDD">
            <w:pPr>
              <w:pStyle w:val="SingleTxt"/>
              <w:spacing w:before="40" w:after="80" w:line="240" w:lineRule="exact"/>
              <w:ind w:left="0" w:right="0"/>
              <w:rPr>
                <w:rFonts w:hint="cs"/>
                <w:sz w:val="16"/>
                <w:szCs w:val="24"/>
                <w:rtl/>
              </w:rPr>
            </w:pPr>
          </w:p>
        </w:tc>
        <w:tc>
          <w:tcPr>
            <w:tcW w:w="1483" w:type="dxa"/>
            <w:tcBorders>
              <w:top w:val="single" w:sz="12" w:space="0" w:color="auto"/>
            </w:tcBorders>
            <w:shd w:val="clear" w:color="auto" w:fill="auto"/>
            <w:vAlign w:val="bottom"/>
          </w:tcPr>
          <w:p w:rsidR="006D5CDD" w:rsidRPr="006D5CDD" w:rsidRDefault="006D5CDD" w:rsidP="006D5CDD">
            <w:pPr>
              <w:pStyle w:val="SingleTxt"/>
              <w:spacing w:before="40" w:after="80" w:line="240" w:lineRule="exact"/>
              <w:ind w:left="0" w:right="144"/>
              <w:rPr>
                <w:rFonts w:hint="cs"/>
                <w:sz w:val="16"/>
                <w:szCs w:val="24"/>
                <w:rtl/>
              </w:rPr>
            </w:pPr>
          </w:p>
        </w:tc>
        <w:tc>
          <w:tcPr>
            <w:tcW w:w="1483" w:type="dxa"/>
            <w:tcBorders>
              <w:top w:val="single" w:sz="12" w:space="0" w:color="auto"/>
            </w:tcBorders>
            <w:shd w:val="clear" w:color="auto" w:fill="auto"/>
            <w:vAlign w:val="bottom"/>
          </w:tcPr>
          <w:p w:rsidR="006D5CDD" w:rsidRPr="006D5CDD" w:rsidRDefault="006D5CDD" w:rsidP="006D5CDD">
            <w:pPr>
              <w:pStyle w:val="SingleTxt"/>
              <w:spacing w:before="40" w:after="80" w:line="240" w:lineRule="exact"/>
              <w:ind w:left="0" w:right="144"/>
              <w:rPr>
                <w:rFonts w:hint="cs"/>
                <w:sz w:val="16"/>
                <w:szCs w:val="24"/>
                <w:rtl/>
              </w:rPr>
            </w:pPr>
          </w:p>
        </w:tc>
        <w:tc>
          <w:tcPr>
            <w:tcW w:w="1483" w:type="dxa"/>
            <w:tcBorders>
              <w:top w:val="single" w:sz="12" w:space="0" w:color="auto"/>
            </w:tcBorders>
            <w:shd w:val="clear" w:color="auto" w:fill="auto"/>
            <w:vAlign w:val="bottom"/>
          </w:tcPr>
          <w:p w:rsidR="006D5CDD" w:rsidRPr="006D5CDD" w:rsidRDefault="006D5CDD" w:rsidP="006D5CDD">
            <w:pPr>
              <w:pStyle w:val="SingleTxt"/>
              <w:spacing w:before="40" w:after="80" w:line="240" w:lineRule="exact"/>
              <w:ind w:left="0" w:right="144"/>
              <w:rPr>
                <w:rFonts w:hint="cs"/>
                <w:sz w:val="16"/>
                <w:szCs w:val="24"/>
                <w:rtl/>
              </w:rPr>
            </w:pPr>
          </w:p>
        </w:tc>
        <w:tc>
          <w:tcPr>
            <w:tcW w:w="1484" w:type="dxa"/>
            <w:tcBorders>
              <w:top w:val="single" w:sz="12" w:space="0" w:color="auto"/>
            </w:tcBorders>
            <w:shd w:val="clear" w:color="auto" w:fill="auto"/>
            <w:vAlign w:val="bottom"/>
          </w:tcPr>
          <w:p w:rsidR="006D5CDD" w:rsidRPr="006D5CDD" w:rsidRDefault="006D5CDD" w:rsidP="006D5CDD">
            <w:pPr>
              <w:pStyle w:val="SingleTxt"/>
              <w:spacing w:before="40" w:after="80" w:line="240" w:lineRule="exact"/>
              <w:ind w:left="0" w:right="144"/>
              <w:rPr>
                <w:rFonts w:hint="cs"/>
                <w:sz w:val="16"/>
                <w:szCs w:val="24"/>
                <w:rtl/>
              </w:rPr>
            </w:pPr>
          </w:p>
        </w:tc>
      </w:tr>
      <w:tr w:rsidR="007023B4" w:rsidRPr="006D5CDD">
        <w:trPr>
          <w:cantSplit/>
        </w:trPr>
        <w:tc>
          <w:tcPr>
            <w:tcW w:w="1483" w:type="dxa"/>
            <w:shd w:val="clear" w:color="auto" w:fill="auto"/>
            <w:vAlign w:val="bottom"/>
          </w:tcPr>
          <w:p w:rsidR="007023B4" w:rsidRPr="006D5CDD" w:rsidRDefault="007023B4" w:rsidP="006D5CDD">
            <w:pPr>
              <w:pStyle w:val="SingleTxt"/>
              <w:spacing w:before="40" w:after="80" w:line="240" w:lineRule="exact"/>
              <w:ind w:left="0" w:right="0"/>
              <w:rPr>
                <w:rFonts w:hint="cs"/>
                <w:sz w:val="16"/>
                <w:szCs w:val="24"/>
                <w:rtl/>
              </w:rPr>
            </w:pPr>
            <w:r w:rsidRPr="006D5CDD">
              <w:rPr>
                <w:rFonts w:hint="cs"/>
                <w:sz w:val="16"/>
                <w:szCs w:val="24"/>
                <w:rtl/>
              </w:rPr>
              <w:t>1</w:t>
            </w:r>
          </w:p>
        </w:tc>
        <w:tc>
          <w:tcPr>
            <w:tcW w:w="1483" w:type="dxa"/>
            <w:shd w:val="clear" w:color="auto" w:fill="auto"/>
            <w:vAlign w:val="bottom"/>
          </w:tcPr>
          <w:p w:rsidR="007023B4" w:rsidRPr="006D5CDD" w:rsidRDefault="007023B4" w:rsidP="006D5CDD">
            <w:pPr>
              <w:pStyle w:val="SingleTxt"/>
              <w:spacing w:before="40" w:after="80" w:line="240" w:lineRule="exact"/>
              <w:ind w:left="0" w:right="144"/>
              <w:rPr>
                <w:rFonts w:hint="cs"/>
                <w:sz w:val="16"/>
                <w:szCs w:val="24"/>
                <w:rtl/>
              </w:rPr>
            </w:pPr>
            <w:r w:rsidRPr="006D5CDD">
              <w:rPr>
                <w:rFonts w:hint="cs"/>
                <w:sz w:val="16"/>
                <w:szCs w:val="24"/>
                <w:rtl/>
              </w:rPr>
              <w:t>6</w:t>
            </w:r>
          </w:p>
        </w:tc>
        <w:tc>
          <w:tcPr>
            <w:tcW w:w="1483" w:type="dxa"/>
            <w:shd w:val="clear" w:color="auto" w:fill="auto"/>
            <w:vAlign w:val="bottom"/>
          </w:tcPr>
          <w:p w:rsidR="007023B4" w:rsidRPr="006D5CDD" w:rsidRDefault="007023B4" w:rsidP="006D5CDD">
            <w:pPr>
              <w:pStyle w:val="SingleTxt"/>
              <w:spacing w:before="40" w:after="80" w:line="240" w:lineRule="exact"/>
              <w:ind w:left="0" w:right="144"/>
              <w:rPr>
                <w:rFonts w:hint="cs"/>
                <w:sz w:val="16"/>
                <w:szCs w:val="24"/>
                <w:rtl/>
              </w:rPr>
            </w:pPr>
            <w:r w:rsidRPr="006D5CDD">
              <w:rPr>
                <w:rFonts w:hint="cs"/>
                <w:sz w:val="16"/>
                <w:szCs w:val="24"/>
                <w:rtl/>
              </w:rPr>
              <w:t>4</w:t>
            </w:r>
          </w:p>
        </w:tc>
        <w:tc>
          <w:tcPr>
            <w:tcW w:w="1483" w:type="dxa"/>
            <w:shd w:val="clear" w:color="auto" w:fill="auto"/>
            <w:vAlign w:val="bottom"/>
          </w:tcPr>
          <w:p w:rsidR="007023B4" w:rsidRPr="006D5CDD" w:rsidRDefault="007023B4" w:rsidP="006D5CDD">
            <w:pPr>
              <w:pStyle w:val="SingleTxt"/>
              <w:spacing w:before="40" w:after="80" w:line="240" w:lineRule="exact"/>
              <w:ind w:left="0" w:right="144"/>
              <w:rPr>
                <w:rFonts w:hint="cs"/>
                <w:sz w:val="16"/>
                <w:szCs w:val="24"/>
                <w:rtl/>
              </w:rPr>
            </w:pPr>
            <w:r w:rsidRPr="006D5CDD">
              <w:rPr>
                <w:rFonts w:hint="cs"/>
                <w:sz w:val="16"/>
                <w:szCs w:val="24"/>
                <w:rtl/>
              </w:rPr>
              <w:t>10</w:t>
            </w:r>
          </w:p>
        </w:tc>
        <w:tc>
          <w:tcPr>
            <w:tcW w:w="1484" w:type="dxa"/>
            <w:shd w:val="clear" w:color="auto" w:fill="auto"/>
            <w:vAlign w:val="bottom"/>
          </w:tcPr>
          <w:p w:rsidR="007023B4" w:rsidRPr="006D5CDD" w:rsidRDefault="007023B4" w:rsidP="006D5CDD">
            <w:pPr>
              <w:pStyle w:val="SingleTxt"/>
              <w:spacing w:before="40" w:after="80" w:line="240" w:lineRule="exact"/>
              <w:ind w:left="0" w:right="144"/>
              <w:rPr>
                <w:rFonts w:hint="cs"/>
                <w:sz w:val="16"/>
                <w:szCs w:val="24"/>
                <w:rtl/>
              </w:rPr>
            </w:pPr>
            <w:r w:rsidRPr="006D5CDD">
              <w:rPr>
                <w:rFonts w:hint="cs"/>
                <w:sz w:val="16"/>
                <w:szCs w:val="24"/>
                <w:rtl/>
              </w:rPr>
              <w:t>40</w:t>
            </w:r>
          </w:p>
        </w:tc>
      </w:tr>
      <w:tr w:rsidR="007023B4" w:rsidRPr="006D5CDD">
        <w:trPr>
          <w:cantSplit/>
        </w:trPr>
        <w:tc>
          <w:tcPr>
            <w:tcW w:w="1483" w:type="dxa"/>
            <w:shd w:val="clear" w:color="auto" w:fill="auto"/>
            <w:vAlign w:val="bottom"/>
          </w:tcPr>
          <w:p w:rsidR="007023B4" w:rsidRPr="006D5CDD" w:rsidRDefault="007023B4" w:rsidP="006D5CDD">
            <w:pPr>
              <w:pStyle w:val="SingleTxt"/>
              <w:spacing w:before="40" w:after="80" w:line="240" w:lineRule="exact"/>
              <w:ind w:left="0" w:right="0"/>
              <w:rPr>
                <w:rFonts w:hint="cs"/>
                <w:sz w:val="16"/>
                <w:szCs w:val="24"/>
                <w:rtl/>
              </w:rPr>
            </w:pPr>
            <w:r w:rsidRPr="006D5CDD">
              <w:rPr>
                <w:rFonts w:hint="cs"/>
                <w:sz w:val="16"/>
                <w:szCs w:val="24"/>
                <w:rtl/>
              </w:rPr>
              <w:t>2</w:t>
            </w:r>
          </w:p>
        </w:tc>
        <w:tc>
          <w:tcPr>
            <w:tcW w:w="1483" w:type="dxa"/>
            <w:shd w:val="clear" w:color="auto" w:fill="auto"/>
            <w:vAlign w:val="bottom"/>
          </w:tcPr>
          <w:p w:rsidR="007023B4" w:rsidRPr="006D5CDD" w:rsidRDefault="007023B4" w:rsidP="006D5CDD">
            <w:pPr>
              <w:pStyle w:val="SingleTxt"/>
              <w:spacing w:before="40" w:after="80" w:line="240" w:lineRule="exact"/>
              <w:ind w:left="0" w:right="144"/>
              <w:rPr>
                <w:rFonts w:hint="cs"/>
                <w:sz w:val="16"/>
                <w:szCs w:val="24"/>
                <w:rtl/>
              </w:rPr>
            </w:pPr>
            <w:r w:rsidRPr="006D5CDD">
              <w:rPr>
                <w:rFonts w:hint="cs"/>
                <w:sz w:val="16"/>
                <w:szCs w:val="24"/>
                <w:rtl/>
              </w:rPr>
              <w:t>43</w:t>
            </w:r>
          </w:p>
        </w:tc>
        <w:tc>
          <w:tcPr>
            <w:tcW w:w="1483" w:type="dxa"/>
            <w:shd w:val="clear" w:color="auto" w:fill="auto"/>
            <w:vAlign w:val="bottom"/>
          </w:tcPr>
          <w:p w:rsidR="007023B4" w:rsidRPr="006D5CDD" w:rsidRDefault="007023B4" w:rsidP="006D5CDD">
            <w:pPr>
              <w:pStyle w:val="SingleTxt"/>
              <w:spacing w:before="40" w:after="80" w:line="240" w:lineRule="exact"/>
              <w:ind w:left="0" w:right="144"/>
              <w:rPr>
                <w:rFonts w:hint="cs"/>
                <w:sz w:val="16"/>
                <w:szCs w:val="24"/>
                <w:rtl/>
              </w:rPr>
            </w:pPr>
            <w:r w:rsidRPr="006D5CDD">
              <w:rPr>
                <w:rFonts w:hint="cs"/>
                <w:sz w:val="16"/>
                <w:szCs w:val="24"/>
                <w:rtl/>
              </w:rPr>
              <w:t>19</w:t>
            </w:r>
          </w:p>
        </w:tc>
        <w:tc>
          <w:tcPr>
            <w:tcW w:w="1483" w:type="dxa"/>
            <w:shd w:val="clear" w:color="auto" w:fill="auto"/>
            <w:vAlign w:val="bottom"/>
          </w:tcPr>
          <w:p w:rsidR="007023B4" w:rsidRPr="006D5CDD" w:rsidRDefault="007023B4" w:rsidP="006D5CDD">
            <w:pPr>
              <w:pStyle w:val="SingleTxt"/>
              <w:spacing w:before="40" w:after="80" w:line="240" w:lineRule="exact"/>
              <w:ind w:left="0" w:right="144"/>
              <w:rPr>
                <w:rFonts w:hint="cs"/>
                <w:sz w:val="16"/>
                <w:szCs w:val="24"/>
                <w:rtl/>
              </w:rPr>
            </w:pPr>
            <w:r w:rsidRPr="006D5CDD">
              <w:rPr>
                <w:rFonts w:hint="cs"/>
                <w:sz w:val="16"/>
                <w:szCs w:val="24"/>
                <w:rtl/>
              </w:rPr>
              <w:t>62</w:t>
            </w:r>
          </w:p>
        </w:tc>
        <w:tc>
          <w:tcPr>
            <w:tcW w:w="1484" w:type="dxa"/>
            <w:shd w:val="clear" w:color="auto" w:fill="auto"/>
            <w:vAlign w:val="bottom"/>
          </w:tcPr>
          <w:p w:rsidR="007023B4" w:rsidRPr="006D5CDD" w:rsidRDefault="007023B4" w:rsidP="006D5CDD">
            <w:pPr>
              <w:pStyle w:val="SingleTxt"/>
              <w:spacing w:before="40" w:after="80" w:line="240" w:lineRule="exact"/>
              <w:ind w:left="0" w:right="144"/>
              <w:rPr>
                <w:rFonts w:hint="cs"/>
                <w:sz w:val="16"/>
                <w:szCs w:val="24"/>
                <w:rtl/>
              </w:rPr>
            </w:pPr>
            <w:r w:rsidRPr="006D5CDD">
              <w:rPr>
                <w:rFonts w:hint="cs"/>
                <w:sz w:val="16"/>
                <w:szCs w:val="24"/>
                <w:rtl/>
              </w:rPr>
              <w:t>30</w:t>
            </w:r>
          </w:p>
        </w:tc>
      </w:tr>
      <w:tr w:rsidR="007023B4" w:rsidRPr="006D5CDD">
        <w:trPr>
          <w:cantSplit/>
        </w:trPr>
        <w:tc>
          <w:tcPr>
            <w:tcW w:w="1483" w:type="dxa"/>
            <w:shd w:val="clear" w:color="auto" w:fill="auto"/>
            <w:vAlign w:val="bottom"/>
          </w:tcPr>
          <w:p w:rsidR="007023B4" w:rsidRPr="006D5CDD" w:rsidRDefault="007023B4" w:rsidP="006D5CDD">
            <w:pPr>
              <w:pStyle w:val="SingleTxt"/>
              <w:spacing w:before="40" w:after="80" w:line="240" w:lineRule="exact"/>
              <w:ind w:left="0" w:right="0"/>
              <w:rPr>
                <w:rFonts w:hint="cs"/>
                <w:sz w:val="16"/>
                <w:szCs w:val="24"/>
                <w:rtl/>
              </w:rPr>
            </w:pPr>
            <w:r w:rsidRPr="006D5CDD">
              <w:rPr>
                <w:rFonts w:hint="cs"/>
                <w:sz w:val="16"/>
                <w:szCs w:val="24"/>
                <w:rtl/>
              </w:rPr>
              <w:t>3</w:t>
            </w:r>
          </w:p>
        </w:tc>
        <w:tc>
          <w:tcPr>
            <w:tcW w:w="1483" w:type="dxa"/>
            <w:shd w:val="clear" w:color="auto" w:fill="auto"/>
            <w:vAlign w:val="bottom"/>
          </w:tcPr>
          <w:p w:rsidR="007023B4" w:rsidRPr="006D5CDD" w:rsidRDefault="007023B4" w:rsidP="006D5CDD">
            <w:pPr>
              <w:pStyle w:val="SingleTxt"/>
              <w:spacing w:before="40" w:after="80" w:line="240" w:lineRule="exact"/>
              <w:ind w:left="0" w:right="144"/>
              <w:rPr>
                <w:rFonts w:hint="cs"/>
                <w:sz w:val="16"/>
                <w:szCs w:val="24"/>
                <w:rtl/>
              </w:rPr>
            </w:pPr>
            <w:r w:rsidRPr="006D5CDD">
              <w:rPr>
                <w:rFonts w:hint="cs"/>
                <w:sz w:val="16"/>
                <w:szCs w:val="24"/>
                <w:rtl/>
              </w:rPr>
              <w:t>27</w:t>
            </w:r>
          </w:p>
        </w:tc>
        <w:tc>
          <w:tcPr>
            <w:tcW w:w="1483" w:type="dxa"/>
            <w:shd w:val="clear" w:color="auto" w:fill="auto"/>
            <w:vAlign w:val="bottom"/>
          </w:tcPr>
          <w:p w:rsidR="007023B4" w:rsidRPr="006D5CDD" w:rsidRDefault="007023B4" w:rsidP="006D5CDD">
            <w:pPr>
              <w:pStyle w:val="SingleTxt"/>
              <w:spacing w:before="40" w:after="80" w:line="240" w:lineRule="exact"/>
              <w:ind w:left="0" w:right="144"/>
              <w:rPr>
                <w:rFonts w:hint="cs"/>
                <w:sz w:val="16"/>
                <w:szCs w:val="24"/>
                <w:rtl/>
              </w:rPr>
            </w:pPr>
            <w:r w:rsidRPr="006D5CDD">
              <w:rPr>
                <w:rFonts w:hint="cs"/>
                <w:sz w:val="16"/>
                <w:szCs w:val="24"/>
                <w:rtl/>
              </w:rPr>
              <w:t>8</w:t>
            </w:r>
          </w:p>
        </w:tc>
        <w:tc>
          <w:tcPr>
            <w:tcW w:w="1483" w:type="dxa"/>
            <w:shd w:val="clear" w:color="auto" w:fill="auto"/>
            <w:vAlign w:val="bottom"/>
          </w:tcPr>
          <w:p w:rsidR="007023B4" w:rsidRPr="006D5CDD" w:rsidRDefault="007023B4" w:rsidP="006D5CDD">
            <w:pPr>
              <w:pStyle w:val="SingleTxt"/>
              <w:spacing w:before="40" w:after="80" w:line="240" w:lineRule="exact"/>
              <w:ind w:left="0" w:right="144"/>
              <w:rPr>
                <w:rFonts w:hint="cs"/>
                <w:sz w:val="16"/>
                <w:szCs w:val="24"/>
                <w:rtl/>
              </w:rPr>
            </w:pPr>
            <w:r w:rsidRPr="006D5CDD">
              <w:rPr>
                <w:rFonts w:hint="cs"/>
                <w:sz w:val="16"/>
                <w:szCs w:val="24"/>
                <w:rtl/>
              </w:rPr>
              <w:t>35</w:t>
            </w:r>
          </w:p>
        </w:tc>
        <w:tc>
          <w:tcPr>
            <w:tcW w:w="1484" w:type="dxa"/>
            <w:shd w:val="clear" w:color="auto" w:fill="auto"/>
            <w:vAlign w:val="bottom"/>
          </w:tcPr>
          <w:p w:rsidR="007023B4" w:rsidRPr="006D5CDD" w:rsidRDefault="007023B4" w:rsidP="006D5CDD">
            <w:pPr>
              <w:pStyle w:val="SingleTxt"/>
              <w:spacing w:before="40" w:after="80" w:line="240" w:lineRule="exact"/>
              <w:ind w:left="0" w:right="144"/>
              <w:rPr>
                <w:rFonts w:hint="cs"/>
                <w:sz w:val="16"/>
                <w:szCs w:val="24"/>
                <w:rtl/>
              </w:rPr>
            </w:pPr>
            <w:r w:rsidRPr="006D5CDD">
              <w:rPr>
                <w:rFonts w:hint="cs"/>
                <w:sz w:val="16"/>
                <w:szCs w:val="24"/>
                <w:rtl/>
              </w:rPr>
              <w:t>25</w:t>
            </w:r>
          </w:p>
        </w:tc>
      </w:tr>
      <w:tr w:rsidR="007023B4" w:rsidRPr="006D5CDD">
        <w:trPr>
          <w:cantSplit/>
        </w:trPr>
        <w:tc>
          <w:tcPr>
            <w:tcW w:w="1483" w:type="dxa"/>
            <w:shd w:val="clear" w:color="auto" w:fill="auto"/>
            <w:vAlign w:val="bottom"/>
          </w:tcPr>
          <w:p w:rsidR="007023B4" w:rsidRPr="006D5CDD" w:rsidRDefault="007023B4" w:rsidP="006D5CDD">
            <w:pPr>
              <w:pStyle w:val="SingleTxt"/>
              <w:spacing w:before="40" w:after="80" w:line="240" w:lineRule="exact"/>
              <w:ind w:left="0" w:right="0"/>
              <w:rPr>
                <w:rFonts w:hint="cs"/>
                <w:sz w:val="16"/>
                <w:szCs w:val="24"/>
                <w:rtl/>
              </w:rPr>
            </w:pPr>
            <w:r w:rsidRPr="006D5CDD">
              <w:rPr>
                <w:rFonts w:hint="cs"/>
                <w:sz w:val="16"/>
                <w:szCs w:val="24"/>
                <w:rtl/>
              </w:rPr>
              <w:t>4</w:t>
            </w:r>
          </w:p>
        </w:tc>
        <w:tc>
          <w:tcPr>
            <w:tcW w:w="1483" w:type="dxa"/>
            <w:shd w:val="clear" w:color="auto" w:fill="auto"/>
            <w:vAlign w:val="bottom"/>
          </w:tcPr>
          <w:p w:rsidR="007023B4" w:rsidRPr="006D5CDD" w:rsidRDefault="007023B4" w:rsidP="006D5CDD">
            <w:pPr>
              <w:pStyle w:val="SingleTxt"/>
              <w:spacing w:before="40" w:after="80" w:line="240" w:lineRule="exact"/>
              <w:ind w:left="0" w:right="144"/>
              <w:rPr>
                <w:rFonts w:hint="cs"/>
                <w:sz w:val="16"/>
                <w:szCs w:val="24"/>
                <w:rtl/>
              </w:rPr>
            </w:pPr>
            <w:r w:rsidRPr="006D5CDD">
              <w:rPr>
                <w:rFonts w:hint="cs"/>
                <w:sz w:val="16"/>
                <w:szCs w:val="24"/>
                <w:rtl/>
              </w:rPr>
              <w:t>44</w:t>
            </w:r>
          </w:p>
        </w:tc>
        <w:tc>
          <w:tcPr>
            <w:tcW w:w="1483" w:type="dxa"/>
            <w:shd w:val="clear" w:color="auto" w:fill="auto"/>
            <w:vAlign w:val="bottom"/>
          </w:tcPr>
          <w:p w:rsidR="007023B4" w:rsidRPr="006D5CDD" w:rsidRDefault="007023B4" w:rsidP="006D5CDD">
            <w:pPr>
              <w:pStyle w:val="SingleTxt"/>
              <w:spacing w:before="40" w:after="80" w:line="240" w:lineRule="exact"/>
              <w:ind w:left="0" w:right="144"/>
              <w:rPr>
                <w:rFonts w:hint="cs"/>
                <w:sz w:val="16"/>
                <w:szCs w:val="24"/>
                <w:rtl/>
              </w:rPr>
            </w:pPr>
            <w:r w:rsidRPr="006D5CDD">
              <w:rPr>
                <w:rFonts w:hint="cs"/>
                <w:sz w:val="16"/>
                <w:szCs w:val="24"/>
                <w:rtl/>
              </w:rPr>
              <w:t>21</w:t>
            </w:r>
          </w:p>
        </w:tc>
        <w:tc>
          <w:tcPr>
            <w:tcW w:w="1483" w:type="dxa"/>
            <w:shd w:val="clear" w:color="auto" w:fill="auto"/>
            <w:vAlign w:val="bottom"/>
          </w:tcPr>
          <w:p w:rsidR="007023B4" w:rsidRPr="006D5CDD" w:rsidRDefault="007023B4" w:rsidP="006D5CDD">
            <w:pPr>
              <w:pStyle w:val="SingleTxt"/>
              <w:spacing w:before="40" w:after="80" w:line="240" w:lineRule="exact"/>
              <w:ind w:left="0" w:right="144"/>
              <w:rPr>
                <w:rFonts w:hint="cs"/>
                <w:sz w:val="16"/>
                <w:szCs w:val="24"/>
                <w:rtl/>
              </w:rPr>
            </w:pPr>
            <w:r w:rsidRPr="006D5CDD">
              <w:rPr>
                <w:rFonts w:hint="cs"/>
                <w:sz w:val="16"/>
                <w:szCs w:val="24"/>
                <w:rtl/>
              </w:rPr>
              <w:t>65</w:t>
            </w:r>
          </w:p>
        </w:tc>
        <w:tc>
          <w:tcPr>
            <w:tcW w:w="1484" w:type="dxa"/>
            <w:shd w:val="clear" w:color="auto" w:fill="auto"/>
            <w:vAlign w:val="bottom"/>
          </w:tcPr>
          <w:p w:rsidR="007023B4" w:rsidRPr="006D5CDD" w:rsidRDefault="007023B4" w:rsidP="006D5CDD">
            <w:pPr>
              <w:pStyle w:val="SingleTxt"/>
              <w:spacing w:before="40" w:after="80" w:line="240" w:lineRule="exact"/>
              <w:ind w:left="0" w:right="144"/>
              <w:rPr>
                <w:rFonts w:hint="cs"/>
                <w:sz w:val="16"/>
                <w:szCs w:val="24"/>
                <w:rtl/>
              </w:rPr>
            </w:pPr>
            <w:r w:rsidRPr="006D5CDD">
              <w:rPr>
                <w:rFonts w:hint="cs"/>
                <w:sz w:val="16"/>
                <w:szCs w:val="24"/>
                <w:rtl/>
              </w:rPr>
              <w:t>32</w:t>
            </w:r>
          </w:p>
        </w:tc>
      </w:tr>
      <w:tr w:rsidR="007023B4" w:rsidRPr="006D5CDD">
        <w:trPr>
          <w:cantSplit/>
        </w:trPr>
        <w:tc>
          <w:tcPr>
            <w:tcW w:w="1483" w:type="dxa"/>
            <w:tcBorders>
              <w:bottom w:val="single" w:sz="2" w:space="0" w:color="auto"/>
            </w:tcBorders>
            <w:shd w:val="clear" w:color="auto" w:fill="auto"/>
            <w:vAlign w:val="bottom"/>
          </w:tcPr>
          <w:p w:rsidR="007023B4" w:rsidRPr="006D5CDD" w:rsidRDefault="007023B4" w:rsidP="006D5CDD">
            <w:pPr>
              <w:pStyle w:val="SingleTxt"/>
              <w:spacing w:before="40" w:after="80" w:line="240" w:lineRule="exact"/>
              <w:ind w:left="0" w:right="0"/>
              <w:rPr>
                <w:rFonts w:hint="cs"/>
                <w:sz w:val="16"/>
                <w:szCs w:val="24"/>
                <w:rtl/>
              </w:rPr>
            </w:pPr>
            <w:r w:rsidRPr="006D5CDD">
              <w:rPr>
                <w:rFonts w:hint="cs"/>
                <w:sz w:val="16"/>
                <w:szCs w:val="24"/>
                <w:rtl/>
              </w:rPr>
              <w:t>متدربون</w:t>
            </w:r>
          </w:p>
        </w:tc>
        <w:tc>
          <w:tcPr>
            <w:tcW w:w="1483" w:type="dxa"/>
            <w:tcBorders>
              <w:bottom w:val="single" w:sz="2" w:space="0" w:color="auto"/>
            </w:tcBorders>
            <w:shd w:val="clear" w:color="auto" w:fill="auto"/>
            <w:vAlign w:val="bottom"/>
          </w:tcPr>
          <w:p w:rsidR="007023B4" w:rsidRPr="006D5CDD" w:rsidRDefault="007023B4" w:rsidP="006D5CDD">
            <w:pPr>
              <w:pStyle w:val="SingleTxt"/>
              <w:spacing w:before="40" w:after="80" w:line="240" w:lineRule="exact"/>
              <w:ind w:left="0" w:right="144"/>
              <w:rPr>
                <w:rFonts w:hint="cs"/>
                <w:sz w:val="16"/>
                <w:szCs w:val="24"/>
                <w:rtl/>
              </w:rPr>
            </w:pPr>
            <w:r w:rsidRPr="006D5CDD">
              <w:rPr>
                <w:rFonts w:hint="cs"/>
                <w:sz w:val="16"/>
                <w:szCs w:val="24"/>
                <w:rtl/>
              </w:rPr>
              <w:t>صفر</w:t>
            </w:r>
          </w:p>
        </w:tc>
        <w:tc>
          <w:tcPr>
            <w:tcW w:w="1483" w:type="dxa"/>
            <w:tcBorders>
              <w:bottom w:val="single" w:sz="2" w:space="0" w:color="auto"/>
            </w:tcBorders>
            <w:shd w:val="clear" w:color="auto" w:fill="auto"/>
            <w:vAlign w:val="bottom"/>
          </w:tcPr>
          <w:p w:rsidR="007023B4" w:rsidRPr="006D5CDD" w:rsidRDefault="007023B4" w:rsidP="006D5CDD">
            <w:pPr>
              <w:pStyle w:val="SingleTxt"/>
              <w:spacing w:before="40" w:after="80" w:line="240" w:lineRule="exact"/>
              <w:ind w:left="0" w:right="144"/>
              <w:rPr>
                <w:rFonts w:hint="cs"/>
                <w:sz w:val="16"/>
                <w:szCs w:val="24"/>
                <w:rtl/>
              </w:rPr>
            </w:pPr>
            <w:r w:rsidRPr="006D5CDD">
              <w:rPr>
                <w:rFonts w:hint="cs"/>
                <w:sz w:val="16"/>
                <w:szCs w:val="24"/>
                <w:rtl/>
              </w:rPr>
              <w:t>صفر</w:t>
            </w:r>
          </w:p>
        </w:tc>
        <w:tc>
          <w:tcPr>
            <w:tcW w:w="1483" w:type="dxa"/>
            <w:tcBorders>
              <w:bottom w:val="single" w:sz="2" w:space="0" w:color="auto"/>
            </w:tcBorders>
            <w:shd w:val="clear" w:color="auto" w:fill="auto"/>
            <w:vAlign w:val="bottom"/>
          </w:tcPr>
          <w:p w:rsidR="007023B4" w:rsidRPr="006D5CDD" w:rsidRDefault="007023B4" w:rsidP="006D5CDD">
            <w:pPr>
              <w:pStyle w:val="SingleTxt"/>
              <w:spacing w:before="40" w:after="80" w:line="240" w:lineRule="exact"/>
              <w:ind w:left="0" w:right="144"/>
              <w:rPr>
                <w:rFonts w:hint="cs"/>
                <w:sz w:val="16"/>
                <w:szCs w:val="24"/>
                <w:rtl/>
              </w:rPr>
            </w:pPr>
            <w:r w:rsidRPr="006D5CDD">
              <w:rPr>
                <w:rFonts w:hint="cs"/>
                <w:sz w:val="16"/>
                <w:szCs w:val="24"/>
                <w:rtl/>
              </w:rPr>
              <w:t>صفر</w:t>
            </w:r>
          </w:p>
        </w:tc>
        <w:tc>
          <w:tcPr>
            <w:tcW w:w="1484" w:type="dxa"/>
            <w:tcBorders>
              <w:bottom w:val="single" w:sz="2" w:space="0" w:color="auto"/>
            </w:tcBorders>
            <w:shd w:val="clear" w:color="auto" w:fill="auto"/>
            <w:vAlign w:val="bottom"/>
          </w:tcPr>
          <w:p w:rsidR="007023B4" w:rsidRPr="006D5CDD" w:rsidRDefault="007023B4" w:rsidP="006D5CDD">
            <w:pPr>
              <w:pStyle w:val="SingleTxt"/>
              <w:spacing w:before="40" w:after="80" w:line="240" w:lineRule="exact"/>
              <w:ind w:left="0" w:right="144"/>
              <w:rPr>
                <w:rFonts w:hint="cs"/>
                <w:sz w:val="16"/>
                <w:szCs w:val="24"/>
                <w:rtl/>
              </w:rPr>
            </w:pPr>
          </w:p>
        </w:tc>
      </w:tr>
      <w:tr w:rsidR="007023B4" w:rsidRPr="006D5CDD">
        <w:trPr>
          <w:cantSplit/>
        </w:trPr>
        <w:tc>
          <w:tcPr>
            <w:tcW w:w="1483" w:type="dxa"/>
            <w:tcBorders>
              <w:top w:val="single" w:sz="2" w:space="0" w:color="auto"/>
              <w:bottom w:val="single" w:sz="12" w:space="0" w:color="auto"/>
            </w:tcBorders>
            <w:shd w:val="clear" w:color="auto" w:fill="auto"/>
            <w:vAlign w:val="bottom"/>
          </w:tcPr>
          <w:p w:rsidR="007023B4" w:rsidRPr="006D5CDD" w:rsidRDefault="007023B4" w:rsidP="006D5CDD">
            <w:pPr>
              <w:pStyle w:val="SingleTxt"/>
              <w:tabs>
                <w:tab w:val="clear" w:pos="1267"/>
                <w:tab w:val="clear" w:pos="1930"/>
                <w:tab w:val="left" w:pos="407"/>
              </w:tabs>
              <w:spacing w:before="40" w:after="80" w:line="240" w:lineRule="exact"/>
              <w:ind w:left="0" w:right="0"/>
              <w:rPr>
                <w:rFonts w:hint="cs"/>
                <w:b/>
                <w:bCs/>
                <w:sz w:val="16"/>
                <w:szCs w:val="24"/>
                <w:rtl/>
              </w:rPr>
            </w:pPr>
            <w:r w:rsidRPr="006D5CDD">
              <w:rPr>
                <w:b/>
                <w:bCs/>
                <w:sz w:val="16"/>
                <w:szCs w:val="24"/>
                <w:rtl/>
              </w:rPr>
              <w:tab/>
            </w:r>
            <w:r w:rsidRPr="006D5CDD">
              <w:rPr>
                <w:rFonts w:hint="cs"/>
                <w:b/>
                <w:bCs/>
                <w:sz w:val="16"/>
                <w:szCs w:val="24"/>
                <w:rtl/>
              </w:rPr>
              <w:t>المجموع</w:t>
            </w:r>
          </w:p>
        </w:tc>
        <w:tc>
          <w:tcPr>
            <w:tcW w:w="1483" w:type="dxa"/>
            <w:tcBorders>
              <w:top w:val="single" w:sz="2" w:space="0" w:color="auto"/>
              <w:bottom w:val="single" w:sz="12" w:space="0" w:color="auto"/>
            </w:tcBorders>
            <w:shd w:val="clear" w:color="auto" w:fill="auto"/>
            <w:vAlign w:val="bottom"/>
          </w:tcPr>
          <w:p w:rsidR="007023B4" w:rsidRPr="006D5CDD" w:rsidRDefault="007023B4" w:rsidP="006D5CDD">
            <w:pPr>
              <w:pStyle w:val="SingleTxt"/>
              <w:spacing w:before="40" w:after="80" w:line="240" w:lineRule="exact"/>
              <w:ind w:left="0" w:right="144"/>
              <w:rPr>
                <w:rFonts w:hint="cs"/>
                <w:b/>
                <w:bCs/>
                <w:sz w:val="16"/>
                <w:szCs w:val="24"/>
                <w:rtl/>
              </w:rPr>
            </w:pPr>
            <w:r w:rsidRPr="006D5CDD">
              <w:rPr>
                <w:rFonts w:hint="cs"/>
                <w:b/>
                <w:bCs/>
                <w:sz w:val="16"/>
                <w:szCs w:val="24"/>
                <w:rtl/>
              </w:rPr>
              <w:t>120</w:t>
            </w:r>
          </w:p>
        </w:tc>
        <w:tc>
          <w:tcPr>
            <w:tcW w:w="1483" w:type="dxa"/>
            <w:tcBorders>
              <w:top w:val="single" w:sz="2" w:space="0" w:color="auto"/>
              <w:bottom w:val="single" w:sz="12" w:space="0" w:color="auto"/>
            </w:tcBorders>
            <w:shd w:val="clear" w:color="auto" w:fill="auto"/>
            <w:vAlign w:val="bottom"/>
          </w:tcPr>
          <w:p w:rsidR="007023B4" w:rsidRPr="006D5CDD" w:rsidRDefault="007023B4" w:rsidP="006D5CDD">
            <w:pPr>
              <w:pStyle w:val="SingleTxt"/>
              <w:spacing w:before="40" w:after="80" w:line="240" w:lineRule="exact"/>
              <w:ind w:left="0" w:right="144"/>
              <w:rPr>
                <w:rFonts w:hint="cs"/>
                <w:b/>
                <w:bCs/>
                <w:sz w:val="16"/>
                <w:szCs w:val="24"/>
                <w:rtl/>
              </w:rPr>
            </w:pPr>
            <w:r w:rsidRPr="006D5CDD">
              <w:rPr>
                <w:rFonts w:hint="cs"/>
                <w:b/>
                <w:bCs/>
                <w:sz w:val="16"/>
                <w:szCs w:val="24"/>
                <w:rtl/>
              </w:rPr>
              <w:t>52</w:t>
            </w:r>
          </w:p>
        </w:tc>
        <w:tc>
          <w:tcPr>
            <w:tcW w:w="1483" w:type="dxa"/>
            <w:tcBorders>
              <w:top w:val="single" w:sz="2" w:space="0" w:color="auto"/>
              <w:bottom w:val="single" w:sz="12" w:space="0" w:color="auto"/>
            </w:tcBorders>
            <w:shd w:val="clear" w:color="auto" w:fill="auto"/>
            <w:vAlign w:val="bottom"/>
          </w:tcPr>
          <w:p w:rsidR="007023B4" w:rsidRPr="006D5CDD" w:rsidRDefault="007023B4" w:rsidP="006D5CDD">
            <w:pPr>
              <w:pStyle w:val="SingleTxt"/>
              <w:spacing w:before="40" w:after="80" w:line="240" w:lineRule="exact"/>
              <w:ind w:left="0" w:right="144"/>
              <w:rPr>
                <w:rFonts w:hint="cs"/>
                <w:b/>
                <w:bCs/>
                <w:sz w:val="16"/>
                <w:szCs w:val="24"/>
                <w:rtl/>
              </w:rPr>
            </w:pPr>
            <w:r w:rsidRPr="006D5CDD">
              <w:rPr>
                <w:rFonts w:hint="cs"/>
                <w:b/>
                <w:bCs/>
                <w:sz w:val="16"/>
                <w:szCs w:val="24"/>
                <w:rtl/>
              </w:rPr>
              <w:t>172</w:t>
            </w:r>
          </w:p>
        </w:tc>
        <w:tc>
          <w:tcPr>
            <w:tcW w:w="1484" w:type="dxa"/>
            <w:tcBorders>
              <w:top w:val="single" w:sz="2" w:space="0" w:color="auto"/>
              <w:bottom w:val="single" w:sz="12" w:space="0" w:color="auto"/>
            </w:tcBorders>
            <w:shd w:val="clear" w:color="auto" w:fill="auto"/>
            <w:vAlign w:val="bottom"/>
          </w:tcPr>
          <w:p w:rsidR="007023B4" w:rsidRPr="006D5CDD" w:rsidRDefault="007023B4" w:rsidP="006D5CDD">
            <w:pPr>
              <w:pStyle w:val="SingleTxt"/>
              <w:spacing w:before="40" w:after="80" w:line="240" w:lineRule="exact"/>
              <w:ind w:left="0" w:right="144"/>
              <w:rPr>
                <w:rFonts w:hint="cs"/>
                <w:b/>
                <w:bCs/>
                <w:sz w:val="16"/>
                <w:szCs w:val="24"/>
                <w:rtl/>
              </w:rPr>
            </w:pPr>
            <w:r w:rsidRPr="006D5CDD">
              <w:rPr>
                <w:rFonts w:hint="cs"/>
                <w:b/>
                <w:bCs/>
                <w:sz w:val="16"/>
                <w:szCs w:val="24"/>
                <w:rtl/>
              </w:rPr>
              <w:t>31</w:t>
            </w:r>
          </w:p>
        </w:tc>
      </w:tr>
    </w:tbl>
    <w:p w:rsidR="007023B4" w:rsidRDefault="007023B4" w:rsidP="007023B4">
      <w:pPr>
        <w:pStyle w:val="SingleTxt"/>
        <w:rPr>
          <w:rFonts w:hint="cs"/>
          <w:rtl/>
        </w:rPr>
      </w:pPr>
      <w:r>
        <w:rPr>
          <w:rFonts w:hint="cs"/>
          <w:rtl/>
        </w:rPr>
        <w:tab/>
        <w:t>والنسبة المئوية للنساء تبلغ في المجموع 31 في المائة مقابل 28 في المائة في عام</w:t>
      </w:r>
      <w:r>
        <w:rPr>
          <w:rFonts w:hint="eastAsia"/>
          <w:rtl/>
        </w:rPr>
        <w:t> </w:t>
      </w:r>
      <w:r>
        <w:rPr>
          <w:rFonts w:hint="cs"/>
          <w:rtl/>
        </w:rPr>
        <w:t>2002.</w:t>
      </w:r>
    </w:p>
    <w:p w:rsidR="007023B4" w:rsidRDefault="00B105BA" w:rsidP="00B105BA">
      <w:pPr>
        <w:pStyle w:val="SingleTxt"/>
        <w:rPr>
          <w:rFonts w:hint="cs"/>
          <w:i/>
          <w:iCs/>
          <w:rtl/>
        </w:rPr>
      </w:pPr>
      <w:r>
        <w:rPr>
          <w:rFonts w:hint="cs"/>
          <w:rtl/>
        </w:rPr>
        <w:t xml:space="preserve">1-3-  </w:t>
      </w:r>
      <w:r w:rsidR="007023B4">
        <w:rPr>
          <w:rFonts w:hint="cs"/>
          <w:i/>
          <w:iCs/>
          <w:rtl/>
        </w:rPr>
        <w:t>سلك</w:t>
      </w:r>
      <w:r w:rsidR="007023B4" w:rsidRPr="00A42906">
        <w:rPr>
          <w:rFonts w:hint="cs"/>
          <w:i/>
          <w:iCs/>
          <w:rtl/>
        </w:rPr>
        <w:t xml:space="preserve"> الملحقين </w:t>
      </w:r>
      <w:r w:rsidR="007023B4">
        <w:rPr>
          <w:rFonts w:hint="cs"/>
          <w:i/>
          <w:iCs/>
          <w:rtl/>
        </w:rPr>
        <w:t>في مجال ال</w:t>
      </w:r>
      <w:r w:rsidR="007023B4" w:rsidRPr="00A42906">
        <w:rPr>
          <w:rFonts w:hint="cs"/>
          <w:i/>
          <w:iCs/>
          <w:rtl/>
        </w:rPr>
        <w:t>تعاون من أجل التنمية (الحالة في أول تشرين الثاني/</w:t>
      </w:r>
      <w:r w:rsidR="007023B4">
        <w:rPr>
          <w:rFonts w:hint="cs"/>
          <w:i/>
          <w:iCs/>
          <w:rtl/>
        </w:rPr>
        <w:t xml:space="preserve"> نوفمبر</w:t>
      </w:r>
      <w:r w:rsidR="007023B4">
        <w:rPr>
          <w:rFonts w:hint="eastAsia"/>
          <w:i/>
          <w:iCs/>
          <w:rtl/>
        </w:rPr>
        <w:t> </w:t>
      </w:r>
      <w:r w:rsidR="007023B4" w:rsidRPr="00A42906">
        <w:rPr>
          <w:rFonts w:hint="cs"/>
          <w:i/>
          <w:iCs/>
          <w:rtl/>
        </w:rPr>
        <w:t>2006)</w:t>
      </w:r>
    </w:p>
    <w:p w:rsidR="007023B4" w:rsidRPr="002317F4" w:rsidRDefault="007023B4" w:rsidP="007023B4">
      <w:pPr>
        <w:pStyle w:val="SingleTxt"/>
        <w:spacing w:after="0" w:line="120" w:lineRule="exact"/>
        <w:rPr>
          <w:rFonts w:hint="cs"/>
          <w:i/>
          <w:iCs/>
          <w:sz w:val="10"/>
          <w:rtl/>
        </w:rPr>
      </w:pPr>
    </w:p>
    <w:tbl>
      <w:tblPr>
        <w:tblStyle w:val="TableGrid"/>
        <w:bidiVisual/>
        <w:tblW w:w="0" w:type="auto"/>
        <w:tblInd w:w="120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545"/>
        <w:gridCol w:w="1545"/>
        <w:gridCol w:w="1545"/>
        <w:gridCol w:w="1545"/>
        <w:gridCol w:w="1545"/>
      </w:tblGrid>
      <w:tr w:rsidR="007023B4" w:rsidRPr="006D5CDD">
        <w:trPr>
          <w:cantSplit/>
          <w:tblHeader/>
        </w:trPr>
        <w:tc>
          <w:tcPr>
            <w:tcW w:w="1545" w:type="dxa"/>
            <w:tcBorders>
              <w:top w:val="single" w:sz="4" w:space="0" w:color="auto"/>
              <w:bottom w:val="single" w:sz="12" w:space="0" w:color="auto"/>
            </w:tcBorders>
            <w:shd w:val="clear" w:color="auto" w:fill="auto"/>
            <w:vAlign w:val="bottom"/>
          </w:tcPr>
          <w:p w:rsidR="007023B4" w:rsidRPr="006D5CDD" w:rsidRDefault="007023B4" w:rsidP="006D5CDD">
            <w:pPr>
              <w:pStyle w:val="SingleTxt"/>
              <w:spacing w:before="80" w:after="80" w:line="240" w:lineRule="exact"/>
              <w:ind w:left="0" w:right="0"/>
              <w:rPr>
                <w:rFonts w:hint="cs"/>
                <w:i/>
                <w:iCs/>
                <w:sz w:val="16"/>
                <w:szCs w:val="24"/>
                <w:rtl/>
              </w:rPr>
            </w:pPr>
            <w:r w:rsidRPr="006D5CDD">
              <w:rPr>
                <w:rFonts w:hint="cs"/>
                <w:i/>
                <w:iCs/>
                <w:sz w:val="16"/>
                <w:szCs w:val="24"/>
                <w:rtl/>
              </w:rPr>
              <w:t>الرتبة</w:t>
            </w:r>
          </w:p>
        </w:tc>
        <w:tc>
          <w:tcPr>
            <w:tcW w:w="1545" w:type="dxa"/>
            <w:tcBorders>
              <w:top w:val="single" w:sz="4" w:space="0" w:color="auto"/>
              <w:bottom w:val="single" w:sz="12" w:space="0" w:color="auto"/>
            </w:tcBorders>
            <w:shd w:val="clear" w:color="auto" w:fill="auto"/>
            <w:vAlign w:val="bottom"/>
          </w:tcPr>
          <w:p w:rsidR="007023B4" w:rsidRPr="006D5CDD" w:rsidRDefault="007023B4" w:rsidP="006D5CDD">
            <w:pPr>
              <w:pStyle w:val="SingleTxt"/>
              <w:spacing w:before="80" w:after="80" w:line="240" w:lineRule="exact"/>
              <w:ind w:left="0" w:right="144"/>
              <w:rPr>
                <w:rFonts w:hint="cs"/>
                <w:i/>
                <w:iCs/>
                <w:sz w:val="16"/>
                <w:szCs w:val="24"/>
                <w:rtl/>
              </w:rPr>
            </w:pPr>
            <w:r w:rsidRPr="006D5CDD">
              <w:rPr>
                <w:rFonts w:hint="cs"/>
                <w:i/>
                <w:iCs/>
                <w:sz w:val="16"/>
                <w:szCs w:val="24"/>
                <w:rtl/>
              </w:rPr>
              <w:t>رجل</w:t>
            </w:r>
          </w:p>
        </w:tc>
        <w:tc>
          <w:tcPr>
            <w:tcW w:w="1545" w:type="dxa"/>
            <w:tcBorders>
              <w:top w:val="single" w:sz="4" w:space="0" w:color="auto"/>
              <w:bottom w:val="single" w:sz="12" w:space="0" w:color="auto"/>
            </w:tcBorders>
            <w:shd w:val="clear" w:color="auto" w:fill="auto"/>
            <w:vAlign w:val="bottom"/>
          </w:tcPr>
          <w:p w:rsidR="007023B4" w:rsidRPr="006D5CDD" w:rsidRDefault="007023B4" w:rsidP="006D5CDD">
            <w:pPr>
              <w:pStyle w:val="SingleTxt"/>
              <w:spacing w:before="80" w:after="80" w:line="240" w:lineRule="exact"/>
              <w:ind w:left="0" w:right="144"/>
              <w:rPr>
                <w:rFonts w:hint="cs"/>
                <w:i/>
                <w:iCs/>
                <w:sz w:val="16"/>
                <w:szCs w:val="24"/>
                <w:rtl/>
              </w:rPr>
            </w:pPr>
            <w:r w:rsidRPr="006D5CDD">
              <w:rPr>
                <w:rFonts w:hint="cs"/>
                <w:i/>
                <w:iCs/>
                <w:sz w:val="16"/>
                <w:szCs w:val="24"/>
                <w:rtl/>
              </w:rPr>
              <w:t>امرأة</w:t>
            </w:r>
          </w:p>
        </w:tc>
        <w:tc>
          <w:tcPr>
            <w:tcW w:w="1545" w:type="dxa"/>
            <w:tcBorders>
              <w:top w:val="single" w:sz="4" w:space="0" w:color="auto"/>
              <w:bottom w:val="single" w:sz="12" w:space="0" w:color="auto"/>
            </w:tcBorders>
            <w:shd w:val="clear" w:color="auto" w:fill="auto"/>
            <w:vAlign w:val="bottom"/>
          </w:tcPr>
          <w:p w:rsidR="007023B4" w:rsidRPr="006D5CDD" w:rsidRDefault="007023B4" w:rsidP="006D5CDD">
            <w:pPr>
              <w:pStyle w:val="SingleTxt"/>
              <w:spacing w:before="80" w:after="80" w:line="240" w:lineRule="exact"/>
              <w:ind w:left="0" w:right="144"/>
              <w:rPr>
                <w:rFonts w:hint="cs"/>
                <w:i/>
                <w:iCs/>
                <w:sz w:val="16"/>
                <w:szCs w:val="24"/>
                <w:rtl/>
              </w:rPr>
            </w:pPr>
            <w:r w:rsidRPr="006D5CDD">
              <w:rPr>
                <w:rFonts w:hint="cs"/>
                <w:i/>
                <w:iCs/>
                <w:sz w:val="16"/>
                <w:szCs w:val="24"/>
                <w:rtl/>
              </w:rPr>
              <w:t>المجموع</w:t>
            </w:r>
          </w:p>
        </w:tc>
        <w:tc>
          <w:tcPr>
            <w:tcW w:w="1545" w:type="dxa"/>
            <w:tcBorders>
              <w:top w:val="single" w:sz="4" w:space="0" w:color="auto"/>
              <w:bottom w:val="single" w:sz="12" w:space="0" w:color="auto"/>
            </w:tcBorders>
            <w:shd w:val="clear" w:color="auto" w:fill="auto"/>
            <w:vAlign w:val="bottom"/>
          </w:tcPr>
          <w:p w:rsidR="007023B4" w:rsidRPr="006D5CDD" w:rsidRDefault="007023B4" w:rsidP="006D5CDD">
            <w:pPr>
              <w:pStyle w:val="SingleTxt"/>
              <w:spacing w:before="80" w:after="80" w:line="240" w:lineRule="exact"/>
              <w:ind w:left="0" w:right="144"/>
              <w:rPr>
                <w:rFonts w:hint="cs"/>
                <w:i/>
                <w:iCs/>
                <w:sz w:val="16"/>
                <w:szCs w:val="24"/>
                <w:rtl/>
              </w:rPr>
            </w:pPr>
            <w:r w:rsidRPr="006D5CDD">
              <w:rPr>
                <w:rFonts w:hint="cs"/>
                <w:i/>
                <w:iCs/>
                <w:sz w:val="16"/>
                <w:szCs w:val="24"/>
                <w:rtl/>
              </w:rPr>
              <w:t>% من النساء</w:t>
            </w:r>
          </w:p>
        </w:tc>
      </w:tr>
      <w:tr w:rsidR="006D5CDD" w:rsidRPr="006D5CDD">
        <w:trPr>
          <w:cantSplit/>
          <w:trHeight w:hRule="exact" w:val="115"/>
          <w:tblHeader/>
        </w:trPr>
        <w:tc>
          <w:tcPr>
            <w:tcW w:w="1545" w:type="dxa"/>
            <w:tcBorders>
              <w:top w:val="single" w:sz="12" w:space="0" w:color="auto"/>
            </w:tcBorders>
            <w:shd w:val="clear" w:color="auto" w:fill="auto"/>
            <w:vAlign w:val="bottom"/>
          </w:tcPr>
          <w:p w:rsidR="006D5CDD" w:rsidRPr="006D5CDD" w:rsidRDefault="006D5CDD" w:rsidP="006D5CDD">
            <w:pPr>
              <w:pStyle w:val="SingleTxt"/>
              <w:spacing w:before="40" w:after="80" w:line="240" w:lineRule="exact"/>
              <w:ind w:left="0" w:right="0"/>
              <w:rPr>
                <w:rFonts w:hint="cs"/>
                <w:sz w:val="16"/>
                <w:szCs w:val="24"/>
                <w:rtl/>
              </w:rPr>
            </w:pPr>
          </w:p>
        </w:tc>
        <w:tc>
          <w:tcPr>
            <w:tcW w:w="1545" w:type="dxa"/>
            <w:tcBorders>
              <w:top w:val="single" w:sz="12" w:space="0" w:color="auto"/>
            </w:tcBorders>
            <w:shd w:val="clear" w:color="auto" w:fill="auto"/>
            <w:vAlign w:val="bottom"/>
          </w:tcPr>
          <w:p w:rsidR="006D5CDD" w:rsidRPr="006D5CDD" w:rsidRDefault="006D5CDD" w:rsidP="006D5CDD">
            <w:pPr>
              <w:pStyle w:val="SingleTxt"/>
              <w:spacing w:before="40" w:after="80" w:line="240" w:lineRule="exact"/>
              <w:ind w:left="0" w:right="144"/>
              <w:rPr>
                <w:rFonts w:hint="cs"/>
                <w:sz w:val="16"/>
                <w:szCs w:val="24"/>
                <w:rtl/>
              </w:rPr>
            </w:pPr>
          </w:p>
        </w:tc>
        <w:tc>
          <w:tcPr>
            <w:tcW w:w="1545" w:type="dxa"/>
            <w:tcBorders>
              <w:top w:val="single" w:sz="12" w:space="0" w:color="auto"/>
            </w:tcBorders>
            <w:shd w:val="clear" w:color="auto" w:fill="auto"/>
            <w:vAlign w:val="bottom"/>
          </w:tcPr>
          <w:p w:rsidR="006D5CDD" w:rsidRPr="006D5CDD" w:rsidRDefault="006D5CDD" w:rsidP="006D5CDD">
            <w:pPr>
              <w:pStyle w:val="SingleTxt"/>
              <w:spacing w:before="40" w:after="80" w:line="240" w:lineRule="exact"/>
              <w:ind w:left="0" w:right="144"/>
              <w:rPr>
                <w:rFonts w:hint="cs"/>
                <w:sz w:val="16"/>
                <w:szCs w:val="24"/>
                <w:rtl/>
              </w:rPr>
            </w:pPr>
          </w:p>
        </w:tc>
        <w:tc>
          <w:tcPr>
            <w:tcW w:w="1545" w:type="dxa"/>
            <w:tcBorders>
              <w:top w:val="single" w:sz="12" w:space="0" w:color="auto"/>
            </w:tcBorders>
            <w:shd w:val="clear" w:color="auto" w:fill="auto"/>
            <w:vAlign w:val="bottom"/>
          </w:tcPr>
          <w:p w:rsidR="006D5CDD" w:rsidRPr="006D5CDD" w:rsidRDefault="006D5CDD" w:rsidP="006D5CDD">
            <w:pPr>
              <w:pStyle w:val="SingleTxt"/>
              <w:spacing w:before="40" w:after="80" w:line="240" w:lineRule="exact"/>
              <w:ind w:left="0" w:right="144"/>
              <w:rPr>
                <w:rFonts w:hint="cs"/>
                <w:sz w:val="16"/>
                <w:szCs w:val="24"/>
                <w:rtl/>
              </w:rPr>
            </w:pPr>
          </w:p>
        </w:tc>
        <w:tc>
          <w:tcPr>
            <w:tcW w:w="1545" w:type="dxa"/>
            <w:tcBorders>
              <w:top w:val="single" w:sz="12" w:space="0" w:color="auto"/>
            </w:tcBorders>
            <w:shd w:val="clear" w:color="auto" w:fill="auto"/>
            <w:vAlign w:val="bottom"/>
          </w:tcPr>
          <w:p w:rsidR="006D5CDD" w:rsidRPr="006D5CDD" w:rsidRDefault="006D5CDD" w:rsidP="006D5CDD">
            <w:pPr>
              <w:pStyle w:val="SingleTxt"/>
              <w:spacing w:before="40" w:after="80" w:line="240" w:lineRule="exact"/>
              <w:ind w:left="0" w:right="144"/>
              <w:rPr>
                <w:rFonts w:hint="cs"/>
                <w:sz w:val="16"/>
                <w:szCs w:val="24"/>
                <w:rtl/>
              </w:rPr>
            </w:pPr>
          </w:p>
        </w:tc>
      </w:tr>
      <w:tr w:rsidR="007023B4" w:rsidRPr="006D5CDD">
        <w:trPr>
          <w:cantSplit/>
        </w:trPr>
        <w:tc>
          <w:tcPr>
            <w:tcW w:w="1545" w:type="dxa"/>
            <w:shd w:val="clear" w:color="auto" w:fill="auto"/>
            <w:vAlign w:val="bottom"/>
          </w:tcPr>
          <w:p w:rsidR="007023B4" w:rsidRPr="006D5CDD" w:rsidRDefault="007023B4" w:rsidP="006D5CDD">
            <w:pPr>
              <w:pStyle w:val="SingleTxt"/>
              <w:spacing w:before="40" w:after="80" w:line="240" w:lineRule="exact"/>
              <w:ind w:left="0" w:right="0"/>
              <w:rPr>
                <w:rFonts w:hint="cs"/>
                <w:sz w:val="16"/>
                <w:szCs w:val="24"/>
                <w:rtl/>
              </w:rPr>
            </w:pPr>
            <w:r w:rsidRPr="006D5CDD">
              <w:rPr>
                <w:rFonts w:hint="cs"/>
                <w:sz w:val="16"/>
                <w:szCs w:val="24"/>
                <w:rtl/>
              </w:rPr>
              <w:t>1</w:t>
            </w:r>
          </w:p>
        </w:tc>
        <w:tc>
          <w:tcPr>
            <w:tcW w:w="1545" w:type="dxa"/>
            <w:shd w:val="clear" w:color="auto" w:fill="auto"/>
            <w:vAlign w:val="bottom"/>
          </w:tcPr>
          <w:p w:rsidR="007023B4" w:rsidRPr="006D5CDD" w:rsidRDefault="007023B4" w:rsidP="006D5CDD">
            <w:pPr>
              <w:pStyle w:val="SingleTxt"/>
              <w:spacing w:before="40" w:after="80" w:line="240" w:lineRule="exact"/>
              <w:ind w:left="0" w:right="144"/>
              <w:rPr>
                <w:rFonts w:hint="cs"/>
                <w:sz w:val="16"/>
                <w:szCs w:val="24"/>
                <w:rtl/>
              </w:rPr>
            </w:pPr>
            <w:r w:rsidRPr="006D5CDD">
              <w:rPr>
                <w:rFonts w:hint="cs"/>
                <w:sz w:val="16"/>
                <w:szCs w:val="24"/>
                <w:rtl/>
              </w:rPr>
              <w:t>6</w:t>
            </w:r>
          </w:p>
        </w:tc>
        <w:tc>
          <w:tcPr>
            <w:tcW w:w="1545" w:type="dxa"/>
            <w:shd w:val="clear" w:color="auto" w:fill="auto"/>
            <w:vAlign w:val="bottom"/>
          </w:tcPr>
          <w:p w:rsidR="007023B4" w:rsidRPr="006D5CDD" w:rsidRDefault="007023B4" w:rsidP="006D5CDD">
            <w:pPr>
              <w:pStyle w:val="SingleTxt"/>
              <w:spacing w:before="40" w:after="80" w:line="240" w:lineRule="exact"/>
              <w:ind w:left="0" w:right="144"/>
              <w:rPr>
                <w:rFonts w:hint="cs"/>
                <w:sz w:val="16"/>
                <w:szCs w:val="24"/>
                <w:rtl/>
              </w:rPr>
            </w:pPr>
            <w:r w:rsidRPr="006D5CDD">
              <w:rPr>
                <w:rFonts w:hint="cs"/>
                <w:sz w:val="16"/>
                <w:szCs w:val="24"/>
                <w:rtl/>
              </w:rPr>
              <w:t>صفر</w:t>
            </w:r>
          </w:p>
        </w:tc>
        <w:tc>
          <w:tcPr>
            <w:tcW w:w="1545" w:type="dxa"/>
            <w:shd w:val="clear" w:color="auto" w:fill="auto"/>
            <w:vAlign w:val="bottom"/>
          </w:tcPr>
          <w:p w:rsidR="007023B4" w:rsidRPr="006D5CDD" w:rsidRDefault="007023B4" w:rsidP="006D5CDD">
            <w:pPr>
              <w:pStyle w:val="SingleTxt"/>
              <w:spacing w:before="40" w:after="80" w:line="240" w:lineRule="exact"/>
              <w:ind w:left="0" w:right="144"/>
              <w:rPr>
                <w:rFonts w:hint="cs"/>
                <w:sz w:val="16"/>
                <w:szCs w:val="24"/>
                <w:rtl/>
              </w:rPr>
            </w:pPr>
            <w:r w:rsidRPr="006D5CDD">
              <w:rPr>
                <w:rFonts w:hint="cs"/>
                <w:sz w:val="16"/>
                <w:szCs w:val="24"/>
                <w:rtl/>
              </w:rPr>
              <w:t>6</w:t>
            </w:r>
          </w:p>
        </w:tc>
        <w:tc>
          <w:tcPr>
            <w:tcW w:w="1545" w:type="dxa"/>
            <w:shd w:val="clear" w:color="auto" w:fill="auto"/>
            <w:vAlign w:val="bottom"/>
          </w:tcPr>
          <w:p w:rsidR="007023B4" w:rsidRPr="006D5CDD" w:rsidRDefault="007023B4" w:rsidP="006D5CDD">
            <w:pPr>
              <w:pStyle w:val="SingleTxt"/>
              <w:spacing w:before="40" w:after="80" w:line="240" w:lineRule="exact"/>
              <w:ind w:left="0" w:right="144"/>
              <w:rPr>
                <w:rFonts w:hint="cs"/>
                <w:sz w:val="16"/>
                <w:szCs w:val="24"/>
                <w:rtl/>
              </w:rPr>
            </w:pPr>
            <w:r w:rsidRPr="006D5CDD">
              <w:rPr>
                <w:rFonts w:hint="cs"/>
                <w:sz w:val="16"/>
                <w:szCs w:val="24"/>
                <w:rtl/>
              </w:rPr>
              <w:t>صفر</w:t>
            </w:r>
          </w:p>
        </w:tc>
      </w:tr>
      <w:tr w:rsidR="007023B4" w:rsidRPr="006D5CDD">
        <w:trPr>
          <w:cantSplit/>
        </w:trPr>
        <w:tc>
          <w:tcPr>
            <w:tcW w:w="1545" w:type="dxa"/>
            <w:shd w:val="clear" w:color="auto" w:fill="auto"/>
            <w:vAlign w:val="bottom"/>
          </w:tcPr>
          <w:p w:rsidR="007023B4" w:rsidRPr="006D5CDD" w:rsidRDefault="007023B4" w:rsidP="006D5CDD">
            <w:pPr>
              <w:pStyle w:val="SingleTxt"/>
              <w:spacing w:before="40" w:after="80" w:line="240" w:lineRule="exact"/>
              <w:ind w:left="0" w:right="0"/>
              <w:rPr>
                <w:rFonts w:hint="cs"/>
                <w:sz w:val="16"/>
                <w:szCs w:val="24"/>
                <w:rtl/>
              </w:rPr>
            </w:pPr>
            <w:r w:rsidRPr="006D5CDD">
              <w:rPr>
                <w:rFonts w:hint="cs"/>
                <w:sz w:val="16"/>
                <w:szCs w:val="24"/>
                <w:rtl/>
              </w:rPr>
              <w:t>2</w:t>
            </w:r>
          </w:p>
        </w:tc>
        <w:tc>
          <w:tcPr>
            <w:tcW w:w="1545" w:type="dxa"/>
            <w:shd w:val="clear" w:color="auto" w:fill="auto"/>
            <w:vAlign w:val="bottom"/>
          </w:tcPr>
          <w:p w:rsidR="007023B4" w:rsidRPr="006D5CDD" w:rsidRDefault="007023B4" w:rsidP="006D5CDD">
            <w:pPr>
              <w:pStyle w:val="SingleTxt"/>
              <w:spacing w:before="40" w:after="80" w:line="240" w:lineRule="exact"/>
              <w:ind w:left="0" w:right="144"/>
              <w:rPr>
                <w:rFonts w:hint="cs"/>
                <w:sz w:val="16"/>
                <w:szCs w:val="24"/>
                <w:rtl/>
              </w:rPr>
            </w:pPr>
            <w:r w:rsidRPr="006D5CDD">
              <w:rPr>
                <w:rFonts w:hint="cs"/>
                <w:sz w:val="16"/>
                <w:szCs w:val="24"/>
                <w:rtl/>
              </w:rPr>
              <w:t>18</w:t>
            </w:r>
          </w:p>
        </w:tc>
        <w:tc>
          <w:tcPr>
            <w:tcW w:w="1545" w:type="dxa"/>
            <w:shd w:val="clear" w:color="auto" w:fill="auto"/>
            <w:vAlign w:val="bottom"/>
          </w:tcPr>
          <w:p w:rsidR="007023B4" w:rsidRPr="006D5CDD" w:rsidRDefault="007023B4" w:rsidP="006D5CDD">
            <w:pPr>
              <w:pStyle w:val="SingleTxt"/>
              <w:spacing w:before="40" w:after="80" w:line="240" w:lineRule="exact"/>
              <w:ind w:left="0" w:right="144"/>
              <w:rPr>
                <w:rFonts w:hint="cs"/>
                <w:sz w:val="16"/>
                <w:szCs w:val="24"/>
                <w:rtl/>
              </w:rPr>
            </w:pPr>
            <w:r w:rsidRPr="006D5CDD">
              <w:rPr>
                <w:rFonts w:hint="cs"/>
                <w:sz w:val="16"/>
                <w:szCs w:val="24"/>
                <w:rtl/>
              </w:rPr>
              <w:t>2</w:t>
            </w:r>
          </w:p>
        </w:tc>
        <w:tc>
          <w:tcPr>
            <w:tcW w:w="1545" w:type="dxa"/>
            <w:shd w:val="clear" w:color="auto" w:fill="auto"/>
            <w:vAlign w:val="bottom"/>
          </w:tcPr>
          <w:p w:rsidR="007023B4" w:rsidRPr="006D5CDD" w:rsidRDefault="007023B4" w:rsidP="006D5CDD">
            <w:pPr>
              <w:pStyle w:val="SingleTxt"/>
              <w:spacing w:before="40" w:after="80" w:line="240" w:lineRule="exact"/>
              <w:ind w:left="0" w:right="144"/>
              <w:rPr>
                <w:rFonts w:hint="cs"/>
                <w:sz w:val="16"/>
                <w:szCs w:val="24"/>
                <w:rtl/>
              </w:rPr>
            </w:pPr>
            <w:r w:rsidRPr="006D5CDD">
              <w:rPr>
                <w:rFonts w:hint="cs"/>
                <w:sz w:val="16"/>
                <w:szCs w:val="24"/>
                <w:rtl/>
              </w:rPr>
              <w:t>20</w:t>
            </w:r>
          </w:p>
        </w:tc>
        <w:tc>
          <w:tcPr>
            <w:tcW w:w="1545" w:type="dxa"/>
            <w:shd w:val="clear" w:color="auto" w:fill="auto"/>
            <w:vAlign w:val="bottom"/>
          </w:tcPr>
          <w:p w:rsidR="007023B4" w:rsidRPr="006D5CDD" w:rsidRDefault="007023B4" w:rsidP="006D5CDD">
            <w:pPr>
              <w:pStyle w:val="SingleTxt"/>
              <w:spacing w:before="40" w:after="80" w:line="240" w:lineRule="exact"/>
              <w:ind w:left="0" w:right="144"/>
              <w:rPr>
                <w:rFonts w:hint="cs"/>
                <w:sz w:val="16"/>
                <w:szCs w:val="24"/>
                <w:rtl/>
              </w:rPr>
            </w:pPr>
            <w:r w:rsidRPr="006D5CDD">
              <w:rPr>
                <w:rFonts w:hint="cs"/>
                <w:sz w:val="16"/>
                <w:szCs w:val="24"/>
                <w:rtl/>
              </w:rPr>
              <w:t>11</w:t>
            </w:r>
          </w:p>
        </w:tc>
      </w:tr>
      <w:tr w:rsidR="007023B4" w:rsidRPr="006D5CDD">
        <w:trPr>
          <w:cantSplit/>
        </w:trPr>
        <w:tc>
          <w:tcPr>
            <w:tcW w:w="1545" w:type="dxa"/>
            <w:shd w:val="clear" w:color="auto" w:fill="auto"/>
            <w:vAlign w:val="bottom"/>
          </w:tcPr>
          <w:p w:rsidR="007023B4" w:rsidRPr="006D5CDD" w:rsidRDefault="007023B4" w:rsidP="006D5CDD">
            <w:pPr>
              <w:pStyle w:val="SingleTxt"/>
              <w:spacing w:before="40" w:after="80" w:line="240" w:lineRule="exact"/>
              <w:ind w:left="0" w:right="0"/>
              <w:rPr>
                <w:rFonts w:hint="cs"/>
                <w:sz w:val="16"/>
                <w:szCs w:val="24"/>
                <w:rtl/>
              </w:rPr>
            </w:pPr>
            <w:r w:rsidRPr="006D5CDD">
              <w:rPr>
                <w:rFonts w:hint="cs"/>
                <w:sz w:val="16"/>
                <w:szCs w:val="24"/>
                <w:rtl/>
              </w:rPr>
              <w:t>3</w:t>
            </w:r>
          </w:p>
        </w:tc>
        <w:tc>
          <w:tcPr>
            <w:tcW w:w="1545" w:type="dxa"/>
            <w:shd w:val="clear" w:color="auto" w:fill="auto"/>
            <w:vAlign w:val="bottom"/>
          </w:tcPr>
          <w:p w:rsidR="007023B4" w:rsidRPr="006D5CDD" w:rsidRDefault="007023B4" w:rsidP="006D5CDD">
            <w:pPr>
              <w:pStyle w:val="SingleTxt"/>
              <w:spacing w:before="40" w:after="80" w:line="240" w:lineRule="exact"/>
              <w:ind w:left="0" w:right="144"/>
              <w:rPr>
                <w:rFonts w:hint="cs"/>
                <w:sz w:val="16"/>
                <w:szCs w:val="24"/>
                <w:rtl/>
              </w:rPr>
            </w:pPr>
            <w:r w:rsidRPr="006D5CDD">
              <w:rPr>
                <w:rFonts w:hint="cs"/>
                <w:sz w:val="16"/>
                <w:szCs w:val="24"/>
                <w:rtl/>
              </w:rPr>
              <w:t>23</w:t>
            </w:r>
          </w:p>
        </w:tc>
        <w:tc>
          <w:tcPr>
            <w:tcW w:w="1545" w:type="dxa"/>
            <w:shd w:val="clear" w:color="auto" w:fill="auto"/>
            <w:vAlign w:val="bottom"/>
          </w:tcPr>
          <w:p w:rsidR="007023B4" w:rsidRPr="006D5CDD" w:rsidRDefault="007023B4" w:rsidP="006D5CDD">
            <w:pPr>
              <w:pStyle w:val="SingleTxt"/>
              <w:spacing w:before="40" w:after="80" w:line="240" w:lineRule="exact"/>
              <w:ind w:left="0" w:right="144"/>
              <w:rPr>
                <w:rFonts w:hint="cs"/>
                <w:sz w:val="16"/>
                <w:szCs w:val="24"/>
                <w:rtl/>
              </w:rPr>
            </w:pPr>
            <w:r w:rsidRPr="006D5CDD">
              <w:rPr>
                <w:rFonts w:hint="cs"/>
                <w:sz w:val="16"/>
                <w:szCs w:val="24"/>
                <w:rtl/>
              </w:rPr>
              <w:t>4</w:t>
            </w:r>
          </w:p>
        </w:tc>
        <w:tc>
          <w:tcPr>
            <w:tcW w:w="1545" w:type="dxa"/>
            <w:shd w:val="clear" w:color="auto" w:fill="auto"/>
            <w:vAlign w:val="bottom"/>
          </w:tcPr>
          <w:p w:rsidR="007023B4" w:rsidRPr="006D5CDD" w:rsidRDefault="007023B4" w:rsidP="006D5CDD">
            <w:pPr>
              <w:pStyle w:val="SingleTxt"/>
              <w:spacing w:before="40" w:after="80" w:line="240" w:lineRule="exact"/>
              <w:ind w:left="0" w:right="144"/>
              <w:rPr>
                <w:rFonts w:hint="cs"/>
                <w:sz w:val="16"/>
                <w:szCs w:val="24"/>
                <w:rtl/>
              </w:rPr>
            </w:pPr>
            <w:r w:rsidRPr="006D5CDD">
              <w:rPr>
                <w:rFonts w:hint="cs"/>
                <w:sz w:val="16"/>
                <w:szCs w:val="24"/>
                <w:rtl/>
              </w:rPr>
              <w:t>27</w:t>
            </w:r>
          </w:p>
        </w:tc>
        <w:tc>
          <w:tcPr>
            <w:tcW w:w="1545" w:type="dxa"/>
            <w:shd w:val="clear" w:color="auto" w:fill="auto"/>
            <w:vAlign w:val="bottom"/>
          </w:tcPr>
          <w:p w:rsidR="007023B4" w:rsidRPr="006D5CDD" w:rsidRDefault="007023B4" w:rsidP="006D5CDD">
            <w:pPr>
              <w:pStyle w:val="SingleTxt"/>
              <w:spacing w:before="40" w:after="80" w:line="240" w:lineRule="exact"/>
              <w:ind w:left="0" w:right="144"/>
              <w:rPr>
                <w:rFonts w:hint="cs"/>
                <w:sz w:val="16"/>
                <w:szCs w:val="24"/>
                <w:rtl/>
              </w:rPr>
            </w:pPr>
            <w:r w:rsidRPr="006D5CDD">
              <w:rPr>
                <w:rFonts w:hint="cs"/>
                <w:sz w:val="16"/>
                <w:szCs w:val="24"/>
                <w:rtl/>
              </w:rPr>
              <w:t>17</w:t>
            </w:r>
          </w:p>
        </w:tc>
      </w:tr>
      <w:tr w:rsidR="007023B4" w:rsidRPr="006D5CDD">
        <w:trPr>
          <w:cantSplit/>
        </w:trPr>
        <w:tc>
          <w:tcPr>
            <w:tcW w:w="1545" w:type="dxa"/>
            <w:tcBorders>
              <w:bottom w:val="single" w:sz="2" w:space="0" w:color="auto"/>
            </w:tcBorders>
            <w:shd w:val="clear" w:color="auto" w:fill="auto"/>
            <w:vAlign w:val="bottom"/>
          </w:tcPr>
          <w:p w:rsidR="007023B4" w:rsidRPr="006D5CDD" w:rsidRDefault="007023B4" w:rsidP="006D5CDD">
            <w:pPr>
              <w:pStyle w:val="SingleTxt"/>
              <w:spacing w:before="40" w:after="80" w:line="240" w:lineRule="exact"/>
              <w:ind w:left="0" w:right="0"/>
              <w:rPr>
                <w:rFonts w:hint="cs"/>
                <w:sz w:val="16"/>
                <w:szCs w:val="24"/>
                <w:rtl/>
              </w:rPr>
            </w:pPr>
            <w:r w:rsidRPr="006D5CDD">
              <w:rPr>
                <w:rFonts w:hint="cs"/>
                <w:sz w:val="16"/>
                <w:szCs w:val="24"/>
                <w:rtl/>
              </w:rPr>
              <w:t>المتدربون</w:t>
            </w:r>
          </w:p>
        </w:tc>
        <w:tc>
          <w:tcPr>
            <w:tcW w:w="1545" w:type="dxa"/>
            <w:tcBorders>
              <w:bottom w:val="single" w:sz="2" w:space="0" w:color="auto"/>
            </w:tcBorders>
            <w:shd w:val="clear" w:color="auto" w:fill="auto"/>
            <w:vAlign w:val="bottom"/>
          </w:tcPr>
          <w:p w:rsidR="007023B4" w:rsidRPr="006D5CDD" w:rsidRDefault="007023B4" w:rsidP="006D5CDD">
            <w:pPr>
              <w:pStyle w:val="SingleTxt"/>
              <w:spacing w:before="40" w:after="80" w:line="240" w:lineRule="exact"/>
              <w:ind w:left="0" w:right="144"/>
              <w:rPr>
                <w:rFonts w:hint="cs"/>
                <w:sz w:val="16"/>
                <w:szCs w:val="24"/>
                <w:rtl/>
              </w:rPr>
            </w:pPr>
            <w:r w:rsidRPr="006D5CDD">
              <w:rPr>
                <w:rFonts w:hint="cs"/>
                <w:sz w:val="16"/>
                <w:szCs w:val="24"/>
                <w:rtl/>
              </w:rPr>
              <w:t>7</w:t>
            </w:r>
          </w:p>
        </w:tc>
        <w:tc>
          <w:tcPr>
            <w:tcW w:w="1545" w:type="dxa"/>
            <w:tcBorders>
              <w:bottom w:val="single" w:sz="2" w:space="0" w:color="auto"/>
            </w:tcBorders>
            <w:shd w:val="clear" w:color="auto" w:fill="auto"/>
            <w:vAlign w:val="bottom"/>
          </w:tcPr>
          <w:p w:rsidR="007023B4" w:rsidRPr="006D5CDD" w:rsidRDefault="007023B4" w:rsidP="006D5CDD">
            <w:pPr>
              <w:pStyle w:val="SingleTxt"/>
              <w:spacing w:before="40" w:after="80" w:line="240" w:lineRule="exact"/>
              <w:ind w:left="0" w:right="144"/>
              <w:rPr>
                <w:rFonts w:hint="cs"/>
                <w:sz w:val="16"/>
                <w:szCs w:val="24"/>
                <w:rtl/>
              </w:rPr>
            </w:pPr>
            <w:r w:rsidRPr="006D5CDD">
              <w:rPr>
                <w:rFonts w:hint="cs"/>
                <w:sz w:val="16"/>
                <w:szCs w:val="24"/>
                <w:rtl/>
              </w:rPr>
              <w:t>1</w:t>
            </w:r>
          </w:p>
        </w:tc>
        <w:tc>
          <w:tcPr>
            <w:tcW w:w="1545" w:type="dxa"/>
            <w:tcBorders>
              <w:bottom w:val="single" w:sz="2" w:space="0" w:color="auto"/>
            </w:tcBorders>
            <w:shd w:val="clear" w:color="auto" w:fill="auto"/>
            <w:vAlign w:val="bottom"/>
          </w:tcPr>
          <w:p w:rsidR="007023B4" w:rsidRPr="006D5CDD" w:rsidRDefault="007023B4" w:rsidP="006D5CDD">
            <w:pPr>
              <w:pStyle w:val="SingleTxt"/>
              <w:spacing w:before="40" w:after="80" w:line="240" w:lineRule="exact"/>
              <w:ind w:left="0" w:right="144"/>
              <w:rPr>
                <w:rFonts w:hint="cs"/>
                <w:sz w:val="16"/>
                <w:szCs w:val="24"/>
                <w:rtl/>
              </w:rPr>
            </w:pPr>
            <w:r w:rsidRPr="006D5CDD">
              <w:rPr>
                <w:rFonts w:hint="cs"/>
                <w:sz w:val="16"/>
                <w:szCs w:val="24"/>
                <w:rtl/>
              </w:rPr>
              <w:t>8</w:t>
            </w:r>
          </w:p>
        </w:tc>
        <w:tc>
          <w:tcPr>
            <w:tcW w:w="1545" w:type="dxa"/>
            <w:tcBorders>
              <w:bottom w:val="single" w:sz="2" w:space="0" w:color="auto"/>
            </w:tcBorders>
            <w:shd w:val="clear" w:color="auto" w:fill="auto"/>
            <w:vAlign w:val="bottom"/>
          </w:tcPr>
          <w:p w:rsidR="007023B4" w:rsidRPr="006D5CDD" w:rsidRDefault="007023B4" w:rsidP="006D5CDD">
            <w:pPr>
              <w:pStyle w:val="SingleTxt"/>
              <w:spacing w:before="40" w:after="80" w:line="240" w:lineRule="exact"/>
              <w:ind w:left="0" w:right="144"/>
              <w:rPr>
                <w:rFonts w:hint="cs"/>
                <w:sz w:val="16"/>
                <w:szCs w:val="24"/>
                <w:rtl/>
              </w:rPr>
            </w:pPr>
            <w:r w:rsidRPr="006D5CDD">
              <w:rPr>
                <w:rFonts w:hint="cs"/>
                <w:sz w:val="16"/>
                <w:szCs w:val="24"/>
                <w:rtl/>
              </w:rPr>
              <w:t>14</w:t>
            </w:r>
          </w:p>
        </w:tc>
      </w:tr>
      <w:tr w:rsidR="007023B4" w:rsidRPr="006D5CDD">
        <w:trPr>
          <w:cantSplit/>
        </w:trPr>
        <w:tc>
          <w:tcPr>
            <w:tcW w:w="1545" w:type="dxa"/>
            <w:tcBorders>
              <w:top w:val="single" w:sz="2" w:space="0" w:color="auto"/>
              <w:bottom w:val="single" w:sz="12" w:space="0" w:color="auto"/>
            </w:tcBorders>
            <w:shd w:val="clear" w:color="auto" w:fill="auto"/>
            <w:vAlign w:val="bottom"/>
          </w:tcPr>
          <w:p w:rsidR="007023B4" w:rsidRPr="006D5CDD" w:rsidRDefault="007023B4" w:rsidP="006D5CDD">
            <w:pPr>
              <w:pStyle w:val="SingleTxt"/>
              <w:spacing w:before="40" w:after="80" w:line="240" w:lineRule="exact"/>
              <w:ind w:left="0" w:right="0"/>
              <w:rPr>
                <w:rFonts w:hint="cs"/>
                <w:b/>
                <w:bCs/>
                <w:sz w:val="16"/>
                <w:szCs w:val="24"/>
                <w:rtl/>
              </w:rPr>
            </w:pPr>
            <w:r w:rsidRPr="006D5CDD">
              <w:rPr>
                <w:rFonts w:hint="cs"/>
                <w:b/>
                <w:bCs/>
                <w:sz w:val="16"/>
                <w:szCs w:val="24"/>
                <w:rtl/>
              </w:rPr>
              <w:t>المجموع</w:t>
            </w:r>
          </w:p>
        </w:tc>
        <w:tc>
          <w:tcPr>
            <w:tcW w:w="1545" w:type="dxa"/>
            <w:tcBorders>
              <w:top w:val="single" w:sz="2" w:space="0" w:color="auto"/>
              <w:bottom w:val="single" w:sz="12" w:space="0" w:color="auto"/>
            </w:tcBorders>
            <w:shd w:val="clear" w:color="auto" w:fill="auto"/>
            <w:vAlign w:val="bottom"/>
          </w:tcPr>
          <w:p w:rsidR="007023B4" w:rsidRPr="006D5CDD" w:rsidRDefault="007023B4" w:rsidP="006D5CDD">
            <w:pPr>
              <w:pStyle w:val="SingleTxt"/>
              <w:spacing w:before="40" w:after="80" w:line="240" w:lineRule="exact"/>
              <w:ind w:left="0" w:right="144"/>
              <w:rPr>
                <w:rFonts w:hint="cs"/>
                <w:b/>
                <w:bCs/>
                <w:sz w:val="16"/>
                <w:szCs w:val="24"/>
                <w:rtl/>
              </w:rPr>
            </w:pPr>
            <w:r w:rsidRPr="006D5CDD">
              <w:rPr>
                <w:rFonts w:hint="cs"/>
                <w:b/>
                <w:bCs/>
                <w:sz w:val="16"/>
                <w:szCs w:val="24"/>
                <w:rtl/>
              </w:rPr>
              <w:t>54</w:t>
            </w:r>
          </w:p>
        </w:tc>
        <w:tc>
          <w:tcPr>
            <w:tcW w:w="1545" w:type="dxa"/>
            <w:tcBorders>
              <w:top w:val="single" w:sz="2" w:space="0" w:color="auto"/>
              <w:bottom w:val="single" w:sz="12" w:space="0" w:color="auto"/>
            </w:tcBorders>
            <w:shd w:val="clear" w:color="auto" w:fill="auto"/>
            <w:vAlign w:val="bottom"/>
          </w:tcPr>
          <w:p w:rsidR="007023B4" w:rsidRPr="006D5CDD" w:rsidRDefault="007023B4" w:rsidP="006D5CDD">
            <w:pPr>
              <w:pStyle w:val="SingleTxt"/>
              <w:spacing w:before="40" w:after="80" w:line="240" w:lineRule="exact"/>
              <w:ind w:left="0" w:right="144"/>
              <w:rPr>
                <w:rFonts w:hint="cs"/>
                <w:b/>
                <w:bCs/>
                <w:sz w:val="16"/>
                <w:szCs w:val="24"/>
                <w:rtl/>
              </w:rPr>
            </w:pPr>
            <w:r w:rsidRPr="006D5CDD">
              <w:rPr>
                <w:rFonts w:hint="cs"/>
                <w:b/>
                <w:bCs/>
                <w:sz w:val="16"/>
                <w:szCs w:val="24"/>
                <w:rtl/>
              </w:rPr>
              <w:t>7</w:t>
            </w:r>
          </w:p>
        </w:tc>
        <w:tc>
          <w:tcPr>
            <w:tcW w:w="1545" w:type="dxa"/>
            <w:tcBorders>
              <w:top w:val="single" w:sz="2" w:space="0" w:color="auto"/>
              <w:bottom w:val="single" w:sz="12" w:space="0" w:color="auto"/>
            </w:tcBorders>
            <w:shd w:val="clear" w:color="auto" w:fill="auto"/>
            <w:vAlign w:val="bottom"/>
          </w:tcPr>
          <w:p w:rsidR="007023B4" w:rsidRPr="006D5CDD" w:rsidRDefault="007023B4" w:rsidP="006D5CDD">
            <w:pPr>
              <w:pStyle w:val="SingleTxt"/>
              <w:spacing w:before="40" w:after="80" w:line="240" w:lineRule="exact"/>
              <w:ind w:left="0" w:right="144"/>
              <w:rPr>
                <w:rFonts w:hint="cs"/>
                <w:b/>
                <w:bCs/>
                <w:sz w:val="16"/>
                <w:szCs w:val="24"/>
                <w:rtl/>
              </w:rPr>
            </w:pPr>
            <w:r w:rsidRPr="006D5CDD">
              <w:rPr>
                <w:rFonts w:hint="cs"/>
                <w:b/>
                <w:bCs/>
                <w:sz w:val="16"/>
                <w:szCs w:val="24"/>
                <w:rtl/>
              </w:rPr>
              <w:t>61</w:t>
            </w:r>
          </w:p>
        </w:tc>
        <w:tc>
          <w:tcPr>
            <w:tcW w:w="1545" w:type="dxa"/>
            <w:tcBorders>
              <w:top w:val="single" w:sz="2" w:space="0" w:color="auto"/>
              <w:bottom w:val="single" w:sz="12" w:space="0" w:color="auto"/>
            </w:tcBorders>
            <w:shd w:val="clear" w:color="auto" w:fill="auto"/>
            <w:vAlign w:val="bottom"/>
          </w:tcPr>
          <w:p w:rsidR="007023B4" w:rsidRPr="006D5CDD" w:rsidRDefault="007023B4" w:rsidP="006D5CDD">
            <w:pPr>
              <w:pStyle w:val="SingleTxt"/>
              <w:spacing w:before="40" w:after="80" w:line="240" w:lineRule="exact"/>
              <w:ind w:left="0" w:right="144"/>
              <w:rPr>
                <w:rFonts w:hint="cs"/>
                <w:b/>
                <w:bCs/>
                <w:sz w:val="16"/>
                <w:szCs w:val="24"/>
                <w:rtl/>
              </w:rPr>
            </w:pPr>
            <w:r w:rsidRPr="006D5CDD">
              <w:rPr>
                <w:rFonts w:hint="cs"/>
                <w:b/>
                <w:bCs/>
                <w:sz w:val="16"/>
                <w:szCs w:val="24"/>
                <w:rtl/>
              </w:rPr>
              <w:t>13</w:t>
            </w:r>
          </w:p>
        </w:tc>
      </w:tr>
    </w:tbl>
    <w:p w:rsidR="007023B4" w:rsidRPr="002317F4" w:rsidRDefault="007023B4" w:rsidP="007023B4">
      <w:pPr>
        <w:pStyle w:val="SingleTxt"/>
        <w:spacing w:after="0" w:line="120" w:lineRule="exact"/>
        <w:rPr>
          <w:rFonts w:hint="cs"/>
          <w:sz w:val="10"/>
          <w:rtl/>
        </w:rPr>
      </w:pPr>
    </w:p>
    <w:p w:rsidR="007023B4" w:rsidRPr="002317F4" w:rsidRDefault="007023B4" w:rsidP="007023B4">
      <w:pPr>
        <w:pStyle w:val="SingleTxt"/>
        <w:spacing w:after="0" w:line="120" w:lineRule="exact"/>
        <w:rPr>
          <w:rFonts w:hint="cs"/>
          <w:sz w:val="10"/>
          <w:rtl/>
        </w:rPr>
      </w:pPr>
    </w:p>
    <w:p w:rsidR="007023B4" w:rsidRDefault="007023B4" w:rsidP="007023B4">
      <w:pPr>
        <w:pStyle w:val="SingleTxt"/>
        <w:rPr>
          <w:rFonts w:hint="cs"/>
          <w:rtl/>
        </w:rPr>
      </w:pPr>
      <w:r>
        <w:rPr>
          <w:rFonts w:hint="cs"/>
          <w:rtl/>
        </w:rPr>
        <w:tab/>
        <w:t>وتبلغ نسبة النساء في المجموع 13 في المائة مقابل 6.7 في المائة في عام 2002.</w:t>
      </w:r>
    </w:p>
    <w:p w:rsidR="007023B4" w:rsidRDefault="007023B4" w:rsidP="007023B4">
      <w:pPr>
        <w:pStyle w:val="SingleTxt"/>
        <w:rPr>
          <w:rFonts w:hint="cs"/>
          <w:rtl/>
        </w:rPr>
      </w:pPr>
      <w:r>
        <w:rPr>
          <w:rFonts w:hint="cs"/>
          <w:rtl/>
        </w:rPr>
        <w:tab/>
        <w:t xml:space="preserve">وقد تم في عام 2003 إطلاق خطة عمل عامة من أجل </w:t>
      </w:r>
      <w:r>
        <w:rPr>
          <w:rFonts w:hint="eastAsia"/>
          <w:rtl/>
        </w:rPr>
        <w:t>”تكافؤ الفرص بين المرأة والرجل</w:t>
      </w:r>
      <w:r>
        <w:rPr>
          <w:rFonts w:hint="cs"/>
          <w:rtl/>
        </w:rPr>
        <w:t>“ تهدف إلى مراعاة تعميم المنظور الجنساني في سياسة الدائرة العامة الاتحادية للشؤون الخارجية والتجارة الخارجية والتعاون من أجل التنمية. وتستجيب خطة العمل للهدف الاستراتيجي لزيادة فرص وصول المرأة إلى المناصب الخارجية، مع إيلاء اهتمام خاص لإجراءات التوظيف وسير العمل الوظيفي، والتوفيق بين الحياة المهنية والحياة الخاصة، مع العمل أيضا على تغيير العقليات.</w:t>
      </w:r>
    </w:p>
    <w:p w:rsidR="007023B4" w:rsidRDefault="007023B4" w:rsidP="007023B4">
      <w:pPr>
        <w:pStyle w:val="SingleTxt"/>
        <w:rPr>
          <w:rFonts w:hint="cs"/>
          <w:rtl/>
        </w:rPr>
      </w:pPr>
      <w:r>
        <w:rPr>
          <w:rFonts w:hint="cs"/>
          <w:rtl/>
        </w:rPr>
        <w:tab/>
        <w:t>وتم إنشاء وظيفة مسؤول للأسرة، وتشغلها امرأة منذ حزيران/يونيه 2005. وهي تتعلق بشخص موضع ثقة يكون همزة وصل بين موظفي السلك الدبلوماسي وأزواجهم وأفراد أسرهم من ناحية وبين الإدارة من ناحية أخرى. ويجب عليه الاستماع إلى المشكلات ذات الطابع الأسري، والمساعدة بما يسديه من نصائح، والمساهمة في البحث عن حلول بالتضافر مع دوائر الإدارة.</w:t>
      </w:r>
    </w:p>
    <w:p w:rsidR="007023B4" w:rsidRDefault="007023B4" w:rsidP="00D904F3">
      <w:pPr>
        <w:pStyle w:val="SingleTxt"/>
        <w:rPr>
          <w:rFonts w:hint="cs"/>
          <w:rtl/>
        </w:rPr>
      </w:pPr>
      <w:r>
        <w:rPr>
          <w:rFonts w:hint="cs"/>
          <w:rtl/>
        </w:rPr>
        <w:tab/>
        <w:t>وعينت 3 نساء في رتبة السفير من الدرجة الأولى من بين 19 وظيفة، أي بنسبة 16 في المائة (مقابل امرأة واحدة من بين 13 وظيفة في عام 2002، أي بنسبة 8 في المائة).</w:t>
      </w:r>
    </w:p>
    <w:p w:rsidR="007023B4" w:rsidRDefault="007023B4" w:rsidP="007023B4">
      <w:pPr>
        <w:pStyle w:val="SingleTxt"/>
        <w:rPr>
          <w:rFonts w:hint="cs"/>
          <w:rtl/>
        </w:rPr>
      </w:pPr>
      <w:r>
        <w:rPr>
          <w:rFonts w:hint="cs"/>
          <w:rtl/>
        </w:rPr>
        <w:tab/>
        <w:t>وتمارس 11 امرأة وظيفة رئيس بعثة بدرجة سفير (بلغراد، كاركاس، هافانا، ليما، نيروبي، نيقوسيا، تل أبيب، زغرب) أو قنصل عام (الدار البيضاء، مونتريال، نيويورك)، من بين 110 مناصب، أي بنسبة 10 في المائة (مقابل 6 نساء من رؤساء البعثات في عام 2002، أي 5 في المائة).</w:t>
      </w:r>
    </w:p>
    <w:p w:rsidR="007023B4" w:rsidRDefault="007023B4" w:rsidP="00D904F3">
      <w:pPr>
        <w:pStyle w:val="SingleTxt"/>
        <w:rPr>
          <w:rFonts w:hint="cs"/>
          <w:rtl/>
        </w:rPr>
      </w:pPr>
      <w:r>
        <w:rPr>
          <w:rFonts w:hint="cs"/>
          <w:rtl/>
        </w:rPr>
        <w:tab/>
        <w:t>وفضلا عن ذلك، تمارس نساء أخريات وظائف ذات مسؤولية عالية وتمثيل دولي في الدائرة العامة الاتحادية للشؤون الخارجية، ومنها وظيفة المديرة العامة للتعاون من أجل التنمية، والمديرة العامة المساعدة للشؤون الأوروبية بدرجة سفير ورئيس اللجنة 133، وأيضا وظيفة المديرة بالأمم المتحدة؛ وكلفت دبلوماسيات بمهام خاصة مثل المبعوث الخاص للهجرة وسياسة اللجوء، والسفير الخاص بالسياسة تجاه البلدان المجاورة.</w:t>
      </w:r>
    </w:p>
    <w:p w:rsidR="007023B4" w:rsidRDefault="007023B4" w:rsidP="007023B4">
      <w:pPr>
        <w:pStyle w:val="SingleTxt"/>
        <w:rPr>
          <w:rFonts w:hint="cs"/>
          <w:rtl/>
        </w:rPr>
      </w:pPr>
      <w:r>
        <w:rPr>
          <w:rFonts w:hint="cs"/>
          <w:rtl/>
        </w:rPr>
        <w:tab/>
        <w:t>وتعمل الدائرة العامة الاتحادية للشؤون الخارجية في جميع الظروف على تأكيد أن العمل في السلك الدبلوماسي يتم بشروط صارمة من حيث المساواة للرجل والمرأة. ويتبين هذا الوضع في جملة أمور في الحملات الإعلامية عن السلك الدبلوماسي التي توجهها الدائرة إلى المؤسسات الجامعية والمنظمات المعنية الأخرى، وأيضا في المشاركة المنتظمة في أسواق العمالة الموجهة إلى الجمهور. (يقوم مكتب التعيين التابع للسلطة الاتحادية والملحق بوزارة الخدمة العامة بتنظيم المسابقات الدبلوماسية).</w:t>
      </w:r>
    </w:p>
    <w:p w:rsidR="007023B4" w:rsidRPr="007C4A32" w:rsidRDefault="007023B4" w:rsidP="007023B4">
      <w:pPr>
        <w:pStyle w:val="SingleTxt"/>
        <w:spacing w:after="0" w:line="120" w:lineRule="exact"/>
        <w:ind w:left="1927" w:right="1264" w:hanging="663"/>
        <w:rPr>
          <w:rFonts w:hint="cs"/>
          <w:b/>
          <w:bCs/>
          <w:sz w:val="10"/>
          <w:rtl/>
        </w:rPr>
      </w:pPr>
    </w:p>
    <w:p w:rsidR="007023B4" w:rsidRPr="00E718C6" w:rsidRDefault="007023B4" w:rsidP="007023B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2 -</w:t>
      </w:r>
      <w:r>
        <w:rPr>
          <w:rFonts w:hint="cs"/>
          <w:rtl/>
        </w:rPr>
        <w:tab/>
        <w:t>مشاركة النساء في المسابقات التي ينظمها مكتب التعيين التابع للسلطة الاتحادية من أجل الوظائف الخارجية للدائرة العامة الاتحادية للشؤون الخارجية</w:t>
      </w:r>
    </w:p>
    <w:p w:rsidR="007023B4" w:rsidRDefault="007023B4" w:rsidP="007023B4">
      <w:pPr>
        <w:pStyle w:val="SingleTxt"/>
        <w:rPr>
          <w:rFonts w:hint="cs"/>
          <w:rtl/>
        </w:rPr>
      </w:pPr>
      <w:r>
        <w:rPr>
          <w:rFonts w:hint="cs"/>
          <w:rtl/>
        </w:rPr>
        <w:tab/>
        <w:t>فيما بين عام 2002، وهو الفترة المرجعية، والفترة 2005 -2006، لم تنظم الدائرة العامة الاتحادية للشؤون الخارجية أي مسابقات للالتحاق. وتعكس البيانات أدناه الحالة في أعقاب المسابقات الأخيرة.</w:t>
      </w:r>
    </w:p>
    <w:p w:rsidR="007023B4" w:rsidRPr="007C4A32" w:rsidRDefault="007023B4" w:rsidP="007023B4">
      <w:pPr>
        <w:pStyle w:val="SingleTxt"/>
        <w:spacing w:after="0" w:line="120" w:lineRule="exact"/>
        <w:rPr>
          <w:rFonts w:hint="cs"/>
          <w:i/>
          <w:iCs/>
          <w:sz w:val="10"/>
          <w:rtl/>
        </w:rPr>
      </w:pPr>
    </w:p>
    <w:p w:rsidR="007023B4" w:rsidRDefault="00B105BA" w:rsidP="00B105BA">
      <w:pPr>
        <w:pStyle w:val="SingleTxt"/>
        <w:rPr>
          <w:rFonts w:hint="cs"/>
          <w:i/>
          <w:iCs/>
          <w:rtl/>
        </w:rPr>
      </w:pPr>
      <w:r>
        <w:rPr>
          <w:rFonts w:hint="cs"/>
          <w:rtl/>
        </w:rPr>
        <w:t>2-1-</w:t>
      </w:r>
      <w:r>
        <w:rPr>
          <w:rFonts w:hint="cs"/>
          <w:i/>
          <w:iCs/>
          <w:rtl/>
        </w:rPr>
        <w:t xml:space="preserve">  </w:t>
      </w:r>
      <w:r w:rsidR="007023B4" w:rsidRPr="00E71F07">
        <w:rPr>
          <w:rFonts w:hint="cs"/>
          <w:i/>
          <w:iCs/>
          <w:rtl/>
        </w:rPr>
        <w:t>السلك الدبلوماسي</w:t>
      </w:r>
    </w:p>
    <w:p w:rsidR="007023B4" w:rsidRPr="007C4A32" w:rsidRDefault="007023B4" w:rsidP="007023B4">
      <w:pPr>
        <w:pStyle w:val="SingleTxt"/>
        <w:spacing w:after="0" w:line="120" w:lineRule="exact"/>
        <w:rPr>
          <w:rFonts w:hint="cs"/>
          <w:i/>
          <w:iCs/>
          <w:sz w:val="10"/>
          <w:rtl/>
        </w:rPr>
      </w:pPr>
    </w:p>
    <w:tbl>
      <w:tblPr>
        <w:tblStyle w:val="TableGrid"/>
        <w:bidiVisual/>
        <w:tblW w:w="0" w:type="auto"/>
        <w:tblInd w:w="14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545"/>
        <w:gridCol w:w="1030"/>
        <w:gridCol w:w="1052"/>
        <w:gridCol w:w="927"/>
        <w:gridCol w:w="1152"/>
        <w:gridCol w:w="1030"/>
        <w:gridCol w:w="1092"/>
      </w:tblGrid>
      <w:tr w:rsidR="007023B4" w:rsidRPr="00630D32">
        <w:trPr>
          <w:cantSplit/>
          <w:tblHeader/>
        </w:trPr>
        <w:tc>
          <w:tcPr>
            <w:tcW w:w="1545" w:type="dxa"/>
            <w:tcBorders>
              <w:top w:val="single" w:sz="4" w:space="0" w:color="auto"/>
            </w:tcBorders>
            <w:shd w:val="clear" w:color="auto" w:fill="auto"/>
            <w:vAlign w:val="bottom"/>
          </w:tcPr>
          <w:p w:rsidR="007023B4" w:rsidRPr="00630D32" w:rsidRDefault="007023B4" w:rsidP="007023B4">
            <w:pPr>
              <w:pStyle w:val="SingleTxt"/>
              <w:spacing w:before="80" w:after="80" w:line="240" w:lineRule="exact"/>
              <w:ind w:left="0" w:right="0"/>
              <w:rPr>
                <w:rFonts w:hint="cs"/>
                <w:i/>
                <w:iCs/>
                <w:sz w:val="16"/>
                <w:szCs w:val="24"/>
                <w:rtl/>
              </w:rPr>
            </w:pPr>
            <w:r w:rsidRPr="00630D32">
              <w:rPr>
                <w:rFonts w:hint="cs"/>
                <w:i/>
                <w:iCs/>
                <w:sz w:val="16"/>
                <w:szCs w:val="24"/>
                <w:rtl/>
              </w:rPr>
              <w:t>بيان اللغة</w:t>
            </w:r>
          </w:p>
        </w:tc>
        <w:tc>
          <w:tcPr>
            <w:tcW w:w="1030" w:type="dxa"/>
            <w:tcBorders>
              <w:top w:val="single" w:sz="4" w:space="0" w:color="auto"/>
              <w:bottom w:val="single" w:sz="2" w:space="0" w:color="auto"/>
            </w:tcBorders>
            <w:shd w:val="clear" w:color="auto" w:fill="auto"/>
            <w:vAlign w:val="bottom"/>
          </w:tcPr>
          <w:p w:rsidR="007023B4" w:rsidRPr="00630D32" w:rsidRDefault="007023B4" w:rsidP="007023B4">
            <w:pPr>
              <w:pStyle w:val="SingleTxt"/>
              <w:spacing w:before="80" w:after="80" w:line="240" w:lineRule="exact"/>
              <w:ind w:left="0" w:right="144"/>
              <w:rPr>
                <w:rFonts w:hint="cs"/>
                <w:i/>
                <w:iCs/>
                <w:sz w:val="16"/>
                <w:szCs w:val="24"/>
                <w:rtl/>
              </w:rPr>
            </w:pPr>
            <w:r w:rsidRPr="00630D32">
              <w:rPr>
                <w:rFonts w:hint="cs"/>
                <w:i/>
                <w:iCs/>
                <w:sz w:val="16"/>
                <w:szCs w:val="24"/>
                <w:rtl/>
              </w:rPr>
              <w:t>الهولندية</w:t>
            </w:r>
          </w:p>
        </w:tc>
        <w:tc>
          <w:tcPr>
            <w:tcW w:w="1052" w:type="dxa"/>
            <w:tcBorders>
              <w:top w:val="single" w:sz="4" w:space="0" w:color="auto"/>
              <w:bottom w:val="single" w:sz="2" w:space="0" w:color="auto"/>
            </w:tcBorders>
            <w:shd w:val="clear" w:color="auto" w:fill="auto"/>
            <w:vAlign w:val="bottom"/>
          </w:tcPr>
          <w:p w:rsidR="007023B4" w:rsidRPr="00630D32" w:rsidRDefault="007023B4" w:rsidP="007023B4">
            <w:pPr>
              <w:pStyle w:val="SingleTxt"/>
              <w:spacing w:before="80" w:after="80" w:line="240" w:lineRule="exact"/>
              <w:ind w:left="0" w:right="144"/>
              <w:rPr>
                <w:rFonts w:hint="cs"/>
                <w:i/>
                <w:iCs/>
                <w:sz w:val="16"/>
                <w:szCs w:val="24"/>
                <w:rtl/>
              </w:rPr>
            </w:pPr>
            <w:r w:rsidRPr="00630D32">
              <w:rPr>
                <w:rFonts w:hint="cs"/>
                <w:i/>
                <w:iCs/>
                <w:sz w:val="16"/>
                <w:szCs w:val="24"/>
                <w:rtl/>
              </w:rPr>
              <w:t>الهولندية</w:t>
            </w:r>
          </w:p>
        </w:tc>
        <w:tc>
          <w:tcPr>
            <w:tcW w:w="927" w:type="dxa"/>
            <w:tcBorders>
              <w:top w:val="single" w:sz="4" w:space="0" w:color="auto"/>
              <w:bottom w:val="single" w:sz="2" w:space="0" w:color="auto"/>
            </w:tcBorders>
            <w:shd w:val="clear" w:color="auto" w:fill="auto"/>
            <w:vAlign w:val="bottom"/>
          </w:tcPr>
          <w:p w:rsidR="007023B4" w:rsidRPr="00630D32" w:rsidRDefault="007023B4" w:rsidP="007023B4">
            <w:pPr>
              <w:pStyle w:val="SingleTxt"/>
              <w:spacing w:before="80" w:after="80" w:line="240" w:lineRule="exact"/>
              <w:ind w:left="0" w:right="144"/>
              <w:rPr>
                <w:rFonts w:hint="cs"/>
                <w:i/>
                <w:iCs/>
                <w:sz w:val="16"/>
                <w:szCs w:val="24"/>
                <w:rtl/>
              </w:rPr>
            </w:pPr>
            <w:r w:rsidRPr="00630D32">
              <w:rPr>
                <w:rFonts w:hint="cs"/>
                <w:i/>
                <w:iCs/>
                <w:sz w:val="16"/>
                <w:szCs w:val="24"/>
                <w:rtl/>
              </w:rPr>
              <w:t>الهولندية</w:t>
            </w:r>
          </w:p>
        </w:tc>
        <w:tc>
          <w:tcPr>
            <w:tcW w:w="1152" w:type="dxa"/>
            <w:tcBorders>
              <w:top w:val="single" w:sz="4" w:space="0" w:color="auto"/>
              <w:bottom w:val="single" w:sz="2" w:space="0" w:color="auto"/>
            </w:tcBorders>
            <w:shd w:val="clear" w:color="auto" w:fill="auto"/>
            <w:vAlign w:val="bottom"/>
          </w:tcPr>
          <w:p w:rsidR="007023B4" w:rsidRPr="00630D32" w:rsidRDefault="007023B4" w:rsidP="007023B4">
            <w:pPr>
              <w:pStyle w:val="SingleTxt"/>
              <w:spacing w:before="80" w:after="80" w:line="240" w:lineRule="exact"/>
              <w:ind w:left="0" w:right="144"/>
              <w:rPr>
                <w:rFonts w:hint="cs"/>
                <w:i/>
                <w:iCs/>
                <w:sz w:val="16"/>
                <w:szCs w:val="24"/>
                <w:rtl/>
              </w:rPr>
            </w:pPr>
            <w:r w:rsidRPr="00630D32">
              <w:rPr>
                <w:rFonts w:hint="cs"/>
                <w:i/>
                <w:iCs/>
                <w:sz w:val="16"/>
                <w:szCs w:val="24"/>
                <w:rtl/>
              </w:rPr>
              <w:t>الفرنسية</w:t>
            </w:r>
          </w:p>
        </w:tc>
        <w:tc>
          <w:tcPr>
            <w:tcW w:w="1030" w:type="dxa"/>
            <w:tcBorders>
              <w:top w:val="single" w:sz="4" w:space="0" w:color="auto"/>
              <w:bottom w:val="single" w:sz="2" w:space="0" w:color="auto"/>
            </w:tcBorders>
            <w:shd w:val="clear" w:color="auto" w:fill="auto"/>
            <w:vAlign w:val="bottom"/>
          </w:tcPr>
          <w:p w:rsidR="007023B4" w:rsidRPr="00630D32" w:rsidRDefault="007023B4" w:rsidP="007023B4">
            <w:pPr>
              <w:pStyle w:val="SingleTxt"/>
              <w:spacing w:before="80" w:after="80" w:line="240" w:lineRule="exact"/>
              <w:ind w:left="0" w:right="144"/>
              <w:rPr>
                <w:rFonts w:hint="cs"/>
                <w:i/>
                <w:iCs/>
                <w:sz w:val="16"/>
                <w:szCs w:val="24"/>
                <w:rtl/>
              </w:rPr>
            </w:pPr>
            <w:r w:rsidRPr="00630D32">
              <w:rPr>
                <w:rFonts w:hint="cs"/>
                <w:i/>
                <w:iCs/>
                <w:sz w:val="16"/>
                <w:szCs w:val="24"/>
                <w:rtl/>
              </w:rPr>
              <w:t>الفرنسية</w:t>
            </w:r>
          </w:p>
        </w:tc>
        <w:tc>
          <w:tcPr>
            <w:tcW w:w="1092" w:type="dxa"/>
            <w:tcBorders>
              <w:top w:val="single" w:sz="4" w:space="0" w:color="auto"/>
              <w:bottom w:val="single" w:sz="2" w:space="0" w:color="auto"/>
            </w:tcBorders>
            <w:shd w:val="clear" w:color="auto" w:fill="auto"/>
            <w:vAlign w:val="bottom"/>
          </w:tcPr>
          <w:p w:rsidR="007023B4" w:rsidRPr="00630D32" w:rsidRDefault="007023B4" w:rsidP="007023B4">
            <w:pPr>
              <w:pStyle w:val="SingleTxt"/>
              <w:spacing w:before="80" w:after="80" w:line="240" w:lineRule="exact"/>
              <w:ind w:left="0" w:right="144"/>
              <w:rPr>
                <w:rFonts w:hint="cs"/>
                <w:i/>
                <w:iCs/>
                <w:sz w:val="16"/>
                <w:szCs w:val="24"/>
                <w:rtl/>
              </w:rPr>
            </w:pPr>
            <w:r w:rsidRPr="00630D32">
              <w:rPr>
                <w:rFonts w:hint="cs"/>
                <w:i/>
                <w:iCs/>
                <w:sz w:val="16"/>
                <w:szCs w:val="24"/>
                <w:rtl/>
              </w:rPr>
              <w:t>الفرنسية</w:t>
            </w:r>
          </w:p>
        </w:tc>
      </w:tr>
      <w:tr w:rsidR="007023B4" w:rsidRPr="00630D32">
        <w:trPr>
          <w:cantSplit/>
          <w:tblHeader/>
        </w:trPr>
        <w:tc>
          <w:tcPr>
            <w:tcW w:w="1545" w:type="dxa"/>
            <w:tcBorders>
              <w:bottom w:val="single" w:sz="12" w:space="0" w:color="auto"/>
            </w:tcBorders>
            <w:shd w:val="clear" w:color="auto" w:fill="auto"/>
            <w:vAlign w:val="bottom"/>
          </w:tcPr>
          <w:p w:rsidR="007023B4" w:rsidRPr="00630D32" w:rsidRDefault="007023B4" w:rsidP="007023B4">
            <w:pPr>
              <w:pStyle w:val="SingleTxt"/>
              <w:spacing w:before="40" w:after="80" w:line="240" w:lineRule="exact"/>
              <w:ind w:left="0" w:right="0"/>
              <w:rPr>
                <w:rFonts w:hint="cs"/>
                <w:i/>
                <w:iCs/>
                <w:sz w:val="16"/>
                <w:szCs w:val="24"/>
                <w:rtl/>
              </w:rPr>
            </w:pPr>
          </w:p>
        </w:tc>
        <w:tc>
          <w:tcPr>
            <w:tcW w:w="1030" w:type="dxa"/>
            <w:tcBorders>
              <w:top w:val="single" w:sz="2" w:space="0" w:color="auto"/>
              <w:bottom w:val="single" w:sz="12" w:space="0" w:color="auto"/>
            </w:tcBorders>
            <w:shd w:val="clear" w:color="auto" w:fill="auto"/>
            <w:vAlign w:val="bottom"/>
          </w:tcPr>
          <w:p w:rsidR="007023B4" w:rsidRPr="00630D32" w:rsidRDefault="007023B4" w:rsidP="007023B4">
            <w:pPr>
              <w:pStyle w:val="SingleTxt"/>
              <w:spacing w:before="40" w:after="80" w:line="240" w:lineRule="exact"/>
              <w:ind w:left="0" w:right="144"/>
              <w:rPr>
                <w:rFonts w:hint="cs"/>
                <w:i/>
                <w:iCs/>
                <w:sz w:val="16"/>
                <w:szCs w:val="24"/>
                <w:rtl/>
              </w:rPr>
            </w:pPr>
            <w:r w:rsidRPr="00630D32">
              <w:rPr>
                <w:rFonts w:hint="cs"/>
                <w:i/>
                <w:iCs/>
                <w:sz w:val="16"/>
                <w:szCs w:val="24"/>
                <w:rtl/>
              </w:rPr>
              <w:t>الرجال</w:t>
            </w:r>
          </w:p>
        </w:tc>
        <w:tc>
          <w:tcPr>
            <w:tcW w:w="1052" w:type="dxa"/>
            <w:tcBorders>
              <w:top w:val="single" w:sz="2" w:space="0" w:color="auto"/>
              <w:bottom w:val="single" w:sz="12" w:space="0" w:color="auto"/>
            </w:tcBorders>
            <w:shd w:val="clear" w:color="auto" w:fill="auto"/>
            <w:vAlign w:val="bottom"/>
          </w:tcPr>
          <w:p w:rsidR="007023B4" w:rsidRPr="00630D32" w:rsidRDefault="007023B4" w:rsidP="007023B4">
            <w:pPr>
              <w:pStyle w:val="SingleTxt"/>
              <w:spacing w:before="40" w:after="80" w:line="240" w:lineRule="exact"/>
              <w:ind w:left="0" w:right="144"/>
              <w:rPr>
                <w:rFonts w:hint="cs"/>
                <w:i/>
                <w:iCs/>
                <w:sz w:val="16"/>
                <w:szCs w:val="24"/>
                <w:rtl/>
              </w:rPr>
            </w:pPr>
            <w:r w:rsidRPr="00630D32">
              <w:rPr>
                <w:rFonts w:hint="cs"/>
                <w:i/>
                <w:iCs/>
                <w:sz w:val="16"/>
                <w:szCs w:val="24"/>
                <w:rtl/>
              </w:rPr>
              <w:t>النساء</w:t>
            </w:r>
          </w:p>
        </w:tc>
        <w:tc>
          <w:tcPr>
            <w:tcW w:w="927" w:type="dxa"/>
            <w:tcBorders>
              <w:top w:val="single" w:sz="2" w:space="0" w:color="auto"/>
              <w:bottom w:val="single" w:sz="12" w:space="0" w:color="auto"/>
            </w:tcBorders>
            <w:shd w:val="clear" w:color="auto" w:fill="auto"/>
            <w:vAlign w:val="bottom"/>
          </w:tcPr>
          <w:p w:rsidR="007023B4" w:rsidRPr="00630D32" w:rsidRDefault="007023B4" w:rsidP="007023B4">
            <w:pPr>
              <w:pStyle w:val="SingleTxt"/>
              <w:spacing w:before="40" w:after="80" w:line="240" w:lineRule="exact"/>
              <w:ind w:left="0" w:right="144"/>
              <w:rPr>
                <w:rFonts w:hint="cs"/>
                <w:i/>
                <w:iCs/>
                <w:sz w:val="16"/>
                <w:szCs w:val="24"/>
                <w:rtl/>
              </w:rPr>
            </w:pPr>
            <w:r w:rsidRPr="00630D32">
              <w:rPr>
                <w:rFonts w:hint="cs"/>
                <w:i/>
                <w:iCs/>
                <w:sz w:val="16"/>
                <w:szCs w:val="24"/>
                <w:rtl/>
              </w:rPr>
              <w:t>المجموع</w:t>
            </w:r>
          </w:p>
        </w:tc>
        <w:tc>
          <w:tcPr>
            <w:tcW w:w="1152" w:type="dxa"/>
            <w:tcBorders>
              <w:top w:val="single" w:sz="2" w:space="0" w:color="auto"/>
              <w:bottom w:val="single" w:sz="12" w:space="0" w:color="auto"/>
            </w:tcBorders>
            <w:shd w:val="clear" w:color="auto" w:fill="auto"/>
            <w:vAlign w:val="bottom"/>
          </w:tcPr>
          <w:p w:rsidR="007023B4" w:rsidRPr="00630D32" w:rsidRDefault="007023B4" w:rsidP="007023B4">
            <w:pPr>
              <w:pStyle w:val="SingleTxt"/>
              <w:spacing w:before="40" w:after="80" w:line="240" w:lineRule="exact"/>
              <w:ind w:left="0" w:right="144"/>
              <w:rPr>
                <w:rFonts w:hint="cs"/>
                <w:i/>
                <w:iCs/>
                <w:sz w:val="16"/>
                <w:szCs w:val="24"/>
                <w:rtl/>
              </w:rPr>
            </w:pPr>
            <w:r w:rsidRPr="00630D32">
              <w:rPr>
                <w:rFonts w:hint="cs"/>
                <w:i/>
                <w:iCs/>
                <w:sz w:val="16"/>
                <w:szCs w:val="24"/>
                <w:rtl/>
              </w:rPr>
              <w:t>الرجال</w:t>
            </w:r>
          </w:p>
        </w:tc>
        <w:tc>
          <w:tcPr>
            <w:tcW w:w="1030" w:type="dxa"/>
            <w:tcBorders>
              <w:top w:val="single" w:sz="2" w:space="0" w:color="auto"/>
              <w:bottom w:val="single" w:sz="12" w:space="0" w:color="auto"/>
            </w:tcBorders>
            <w:shd w:val="clear" w:color="auto" w:fill="auto"/>
            <w:vAlign w:val="bottom"/>
          </w:tcPr>
          <w:p w:rsidR="007023B4" w:rsidRPr="00630D32" w:rsidRDefault="007023B4" w:rsidP="007023B4">
            <w:pPr>
              <w:pStyle w:val="SingleTxt"/>
              <w:spacing w:before="40" w:after="80" w:line="240" w:lineRule="exact"/>
              <w:ind w:left="0" w:right="144"/>
              <w:rPr>
                <w:rFonts w:hint="cs"/>
                <w:i/>
                <w:iCs/>
                <w:sz w:val="16"/>
                <w:szCs w:val="24"/>
                <w:rtl/>
              </w:rPr>
            </w:pPr>
            <w:r w:rsidRPr="00630D32">
              <w:rPr>
                <w:rFonts w:hint="cs"/>
                <w:i/>
                <w:iCs/>
                <w:sz w:val="16"/>
                <w:szCs w:val="24"/>
                <w:rtl/>
              </w:rPr>
              <w:t>النساء</w:t>
            </w:r>
          </w:p>
        </w:tc>
        <w:tc>
          <w:tcPr>
            <w:tcW w:w="1092" w:type="dxa"/>
            <w:tcBorders>
              <w:top w:val="single" w:sz="2" w:space="0" w:color="auto"/>
              <w:bottom w:val="single" w:sz="12" w:space="0" w:color="auto"/>
            </w:tcBorders>
            <w:shd w:val="clear" w:color="auto" w:fill="auto"/>
            <w:vAlign w:val="bottom"/>
          </w:tcPr>
          <w:p w:rsidR="007023B4" w:rsidRPr="00630D32" w:rsidRDefault="007023B4" w:rsidP="007023B4">
            <w:pPr>
              <w:pStyle w:val="SingleTxt"/>
              <w:spacing w:before="40" w:after="80" w:line="240" w:lineRule="exact"/>
              <w:ind w:left="0" w:right="144"/>
              <w:rPr>
                <w:rFonts w:hint="cs"/>
                <w:i/>
                <w:iCs/>
                <w:sz w:val="16"/>
                <w:szCs w:val="24"/>
                <w:rtl/>
              </w:rPr>
            </w:pPr>
            <w:r w:rsidRPr="00630D32">
              <w:rPr>
                <w:rFonts w:hint="cs"/>
                <w:i/>
                <w:iCs/>
                <w:sz w:val="16"/>
                <w:szCs w:val="24"/>
                <w:rtl/>
              </w:rPr>
              <w:t>المجموع</w:t>
            </w:r>
          </w:p>
        </w:tc>
      </w:tr>
      <w:tr w:rsidR="007023B4" w:rsidRPr="00630D32">
        <w:trPr>
          <w:cantSplit/>
          <w:trHeight w:hRule="exact" w:val="115"/>
          <w:tblHeader/>
        </w:trPr>
        <w:tc>
          <w:tcPr>
            <w:tcW w:w="1545" w:type="dxa"/>
            <w:tcBorders>
              <w:top w:val="single" w:sz="12" w:space="0" w:color="auto"/>
            </w:tcBorders>
            <w:shd w:val="clear" w:color="auto" w:fill="auto"/>
            <w:vAlign w:val="bottom"/>
          </w:tcPr>
          <w:p w:rsidR="007023B4" w:rsidRPr="00630D32" w:rsidRDefault="007023B4" w:rsidP="007023B4">
            <w:pPr>
              <w:pStyle w:val="SingleTxt"/>
              <w:spacing w:before="40" w:after="80" w:line="240" w:lineRule="exact"/>
              <w:ind w:left="0" w:right="0"/>
              <w:rPr>
                <w:rFonts w:hint="cs"/>
                <w:sz w:val="16"/>
                <w:szCs w:val="24"/>
                <w:rtl/>
              </w:rPr>
            </w:pPr>
          </w:p>
        </w:tc>
        <w:tc>
          <w:tcPr>
            <w:tcW w:w="1030" w:type="dxa"/>
            <w:tcBorders>
              <w:top w:val="single" w:sz="12" w:space="0" w:color="auto"/>
            </w:tcBorders>
            <w:shd w:val="clear" w:color="auto" w:fill="auto"/>
            <w:vAlign w:val="bottom"/>
          </w:tcPr>
          <w:p w:rsidR="007023B4" w:rsidRPr="00630D32" w:rsidRDefault="007023B4" w:rsidP="007023B4">
            <w:pPr>
              <w:pStyle w:val="SingleTxt"/>
              <w:spacing w:before="40" w:after="80" w:line="240" w:lineRule="exact"/>
              <w:ind w:left="0" w:right="144"/>
              <w:rPr>
                <w:rFonts w:hint="cs"/>
                <w:sz w:val="16"/>
                <w:szCs w:val="24"/>
                <w:rtl/>
              </w:rPr>
            </w:pPr>
          </w:p>
        </w:tc>
        <w:tc>
          <w:tcPr>
            <w:tcW w:w="1052" w:type="dxa"/>
            <w:tcBorders>
              <w:top w:val="single" w:sz="12" w:space="0" w:color="auto"/>
            </w:tcBorders>
            <w:shd w:val="clear" w:color="auto" w:fill="auto"/>
            <w:vAlign w:val="bottom"/>
          </w:tcPr>
          <w:p w:rsidR="007023B4" w:rsidRPr="00630D32" w:rsidRDefault="007023B4" w:rsidP="007023B4">
            <w:pPr>
              <w:pStyle w:val="SingleTxt"/>
              <w:spacing w:before="40" w:after="80" w:line="240" w:lineRule="exact"/>
              <w:ind w:left="0" w:right="144"/>
              <w:rPr>
                <w:rFonts w:hint="cs"/>
                <w:sz w:val="16"/>
                <w:szCs w:val="24"/>
                <w:rtl/>
              </w:rPr>
            </w:pPr>
          </w:p>
        </w:tc>
        <w:tc>
          <w:tcPr>
            <w:tcW w:w="927" w:type="dxa"/>
            <w:tcBorders>
              <w:top w:val="single" w:sz="12" w:space="0" w:color="auto"/>
            </w:tcBorders>
            <w:shd w:val="clear" w:color="auto" w:fill="auto"/>
            <w:vAlign w:val="bottom"/>
          </w:tcPr>
          <w:p w:rsidR="007023B4" w:rsidRPr="00630D32" w:rsidRDefault="007023B4" w:rsidP="007023B4">
            <w:pPr>
              <w:pStyle w:val="SingleTxt"/>
              <w:spacing w:before="40" w:after="80" w:line="240" w:lineRule="exact"/>
              <w:ind w:left="0" w:right="144"/>
              <w:rPr>
                <w:rFonts w:hint="cs"/>
                <w:sz w:val="16"/>
                <w:szCs w:val="24"/>
                <w:rtl/>
              </w:rPr>
            </w:pPr>
          </w:p>
        </w:tc>
        <w:tc>
          <w:tcPr>
            <w:tcW w:w="1152" w:type="dxa"/>
            <w:tcBorders>
              <w:top w:val="single" w:sz="12" w:space="0" w:color="auto"/>
            </w:tcBorders>
            <w:shd w:val="clear" w:color="auto" w:fill="auto"/>
            <w:vAlign w:val="bottom"/>
          </w:tcPr>
          <w:p w:rsidR="007023B4" w:rsidRPr="00630D32" w:rsidRDefault="007023B4" w:rsidP="007023B4">
            <w:pPr>
              <w:pStyle w:val="SingleTxt"/>
              <w:spacing w:before="40" w:after="80" w:line="240" w:lineRule="exact"/>
              <w:ind w:left="0" w:right="144"/>
              <w:rPr>
                <w:rFonts w:hint="cs"/>
                <w:sz w:val="16"/>
                <w:szCs w:val="24"/>
                <w:rtl/>
              </w:rPr>
            </w:pPr>
          </w:p>
        </w:tc>
        <w:tc>
          <w:tcPr>
            <w:tcW w:w="1030" w:type="dxa"/>
            <w:tcBorders>
              <w:top w:val="single" w:sz="12" w:space="0" w:color="auto"/>
            </w:tcBorders>
            <w:shd w:val="clear" w:color="auto" w:fill="auto"/>
            <w:vAlign w:val="bottom"/>
          </w:tcPr>
          <w:p w:rsidR="007023B4" w:rsidRPr="00630D32" w:rsidRDefault="007023B4" w:rsidP="007023B4">
            <w:pPr>
              <w:pStyle w:val="SingleTxt"/>
              <w:spacing w:before="40" w:after="80" w:line="240" w:lineRule="exact"/>
              <w:ind w:left="0" w:right="144"/>
              <w:rPr>
                <w:rFonts w:hint="cs"/>
                <w:sz w:val="16"/>
                <w:szCs w:val="24"/>
                <w:rtl/>
              </w:rPr>
            </w:pPr>
          </w:p>
        </w:tc>
        <w:tc>
          <w:tcPr>
            <w:tcW w:w="1092" w:type="dxa"/>
            <w:tcBorders>
              <w:top w:val="single" w:sz="12" w:space="0" w:color="auto"/>
            </w:tcBorders>
            <w:shd w:val="clear" w:color="auto" w:fill="auto"/>
            <w:vAlign w:val="bottom"/>
          </w:tcPr>
          <w:p w:rsidR="007023B4" w:rsidRPr="00630D32" w:rsidRDefault="007023B4" w:rsidP="007023B4">
            <w:pPr>
              <w:pStyle w:val="SingleTxt"/>
              <w:spacing w:before="40" w:after="80" w:line="240" w:lineRule="exact"/>
              <w:ind w:left="0" w:right="144"/>
              <w:rPr>
                <w:rFonts w:hint="cs"/>
                <w:sz w:val="16"/>
                <w:szCs w:val="24"/>
                <w:rtl/>
              </w:rPr>
            </w:pPr>
          </w:p>
        </w:tc>
      </w:tr>
      <w:tr w:rsidR="007023B4" w:rsidRPr="00630D32">
        <w:trPr>
          <w:cantSplit/>
        </w:trPr>
        <w:tc>
          <w:tcPr>
            <w:tcW w:w="1545" w:type="dxa"/>
            <w:shd w:val="clear" w:color="auto" w:fill="auto"/>
            <w:vAlign w:val="bottom"/>
          </w:tcPr>
          <w:p w:rsidR="007023B4" w:rsidRPr="00630D32" w:rsidRDefault="007023B4" w:rsidP="007023B4">
            <w:pPr>
              <w:pStyle w:val="SingleTxt"/>
              <w:spacing w:before="40" w:after="80" w:line="240" w:lineRule="exact"/>
              <w:ind w:left="0" w:right="0"/>
              <w:rPr>
                <w:rFonts w:hint="cs"/>
                <w:sz w:val="16"/>
                <w:szCs w:val="24"/>
                <w:rtl/>
              </w:rPr>
            </w:pPr>
            <w:r w:rsidRPr="00630D32">
              <w:rPr>
                <w:rFonts w:hint="cs"/>
                <w:sz w:val="16"/>
                <w:szCs w:val="24"/>
                <w:rtl/>
              </w:rPr>
              <w:t>التسجيل</w:t>
            </w:r>
          </w:p>
        </w:tc>
        <w:tc>
          <w:tcPr>
            <w:tcW w:w="1030" w:type="dxa"/>
            <w:shd w:val="clear" w:color="auto" w:fill="auto"/>
            <w:vAlign w:val="bottom"/>
          </w:tcPr>
          <w:p w:rsidR="007023B4" w:rsidRPr="00630D32" w:rsidRDefault="007023B4" w:rsidP="007023B4">
            <w:pPr>
              <w:pStyle w:val="SingleTxt"/>
              <w:spacing w:before="40" w:after="80" w:line="240" w:lineRule="exact"/>
              <w:ind w:left="0" w:right="144"/>
              <w:rPr>
                <w:rFonts w:hint="cs"/>
                <w:sz w:val="16"/>
                <w:szCs w:val="24"/>
                <w:rtl/>
              </w:rPr>
            </w:pPr>
            <w:r w:rsidRPr="00630D32">
              <w:rPr>
                <w:rFonts w:hint="cs"/>
                <w:sz w:val="16"/>
                <w:szCs w:val="24"/>
                <w:rtl/>
              </w:rPr>
              <w:t>062 1</w:t>
            </w:r>
          </w:p>
        </w:tc>
        <w:tc>
          <w:tcPr>
            <w:tcW w:w="1052" w:type="dxa"/>
            <w:shd w:val="clear" w:color="auto" w:fill="auto"/>
            <w:vAlign w:val="bottom"/>
          </w:tcPr>
          <w:p w:rsidR="007023B4" w:rsidRPr="00630D32" w:rsidRDefault="007023B4" w:rsidP="007023B4">
            <w:pPr>
              <w:pStyle w:val="SingleTxt"/>
              <w:spacing w:before="40" w:after="80" w:line="240" w:lineRule="exact"/>
              <w:ind w:left="0" w:right="144"/>
              <w:rPr>
                <w:rFonts w:hint="cs"/>
                <w:sz w:val="16"/>
                <w:szCs w:val="24"/>
                <w:rtl/>
              </w:rPr>
            </w:pPr>
            <w:r w:rsidRPr="00630D32">
              <w:rPr>
                <w:rFonts w:hint="cs"/>
                <w:sz w:val="16"/>
                <w:szCs w:val="24"/>
                <w:rtl/>
              </w:rPr>
              <w:t>606</w:t>
            </w:r>
          </w:p>
        </w:tc>
        <w:tc>
          <w:tcPr>
            <w:tcW w:w="927" w:type="dxa"/>
            <w:shd w:val="clear" w:color="auto" w:fill="auto"/>
            <w:vAlign w:val="bottom"/>
          </w:tcPr>
          <w:p w:rsidR="007023B4" w:rsidRPr="00630D32" w:rsidRDefault="007023B4" w:rsidP="007023B4">
            <w:pPr>
              <w:pStyle w:val="SingleTxt"/>
              <w:spacing w:before="40" w:after="80" w:line="240" w:lineRule="exact"/>
              <w:ind w:left="0" w:right="144"/>
              <w:rPr>
                <w:rFonts w:hint="cs"/>
                <w:sz w:val="16"/>
                <w:szCs w:val="24"/>
                <w:rtl/>
              </w:rPr>
            </w:pPr>
            <w:r w:rsidRPr="00630D32">
              <w:rPr>
                <w:rFonts w:hint="cs"/>
                <w:sz w:val="16"/>
                <w:szCs w:val="24"/>
                <w:rtl/>
              </w:rPr>
              <w:t>668 1</w:t>
            </w:r>
          </w:p>
        </w:tc>
        <w:tc>
          <w:tcPr>
            <w:tcW w:w="1152" w:type="dxa"/>
            <w:shd w:val="clear" w:color="auto" w:fill="auto"/>
            <w:vAlign w:val="bottom"/>
          </w:tcPr>
          <w:p w:rsidR="007023B4" w:rsidRPr="00630D32" w:rsidRDefault="007023B4" w:rsidP="007023B4">
            <w:pPr>
              <w:pStyle w:val="SingleTxt"/>
              <w:spacing w:before="40" w:after="80" w:line="240" w:lineRule="exact"/>
              <w:ind w:left="0" w:right="144"/>
              <w:rPr>
                <w:rFonts w:hint="cs"/>
                <w:sz w:val="16"/>
                <w:szCs w:val="24"/>
                <w:rtl/>
              </w:rPr>
            </w:pPr>
            <w:r w:rsidRPr="00630D32">
              <w:rPr>
                <w:rFonts w:hint="cs"/>
                <w:sz w:val="16"/>
                <w:szCs w:val="24"/>
                <w:rtl/>
              </w:rPr>
              <w:t>220 1</w:t>
            </w:r>
          </w:p>
        </w:tc>
        <w:tc>
          <w:tcPr>
            <w:tcW w:w="1030" w:type="dxa"/>
            <w:shd w:val="clear" w:color="auto" w:fill="auto"/>
            <w:vAlign w:val="bottom"/>
          </w:tcPr>
          <w:p w:rsidR="007023B4" w:rsidRPr="00630D32" w:rsidRDefault="007023B4" w:rsidP="007023B4">
            <w:pPr>
              <w:pStyle w:val="SingleTxt"/>
              <w:spacing w:before="40" w:after="80" w:line="240" w:lineRule="exact"/>
              <w:ind w:left="0" w:right="144"/>
              <w:rPr>
                <w:rFonts w:hint="cs"/>
                <w:sz w:val="16"/>
                <w:szCs w:val="24"/>
                <w:rtl/>
              </w:rPr>
            </w:pPr>
            <w:r w:rsidRPr="00630D32">
              <w:rPr>
                <w:rFonts w:hint="cs"/>
                <w:sz w:val="16"/>
                <w:szCs w:val="24"/>
                <w:rtl/>
              </w:rPr>
              <w:t>838</w:t>
            </w:r>
          </w:p>
        </w:tc>
        <w:tc>
          <w:tcPr>
            <w:tcW w:w="1092" w:type="dxa"/>
            <w:shd w:val="clear" w:color="auto" w:fill="auto"/>
            <w:vAlign w:val="bottom"/>
          </w:tcPr>
          <w:p w:rsidR="007023B4" w:rsidRPr="00630D32" w:rsidRDefault="007023B4" w:rsidP="007023B4">
            <w:pPr>
              <w:pStyle w:val="SingleTxt"/>
              <w:spacing w:before="40" w:after="80" w:line="240" w:lineRule="exact"/>
              <w:ind w:left="0" w:right="144"/>
              <w:rPr>
                <w:rFonts w:hint="cs"/>
                <w:sz w:val="16"/>
                <w:szCs w:val="24"/>
                <w:rtl/>
              </w:rPr>
            </w:pPr>
            <w:r w:rsidRPr="00630D32">
              <w:rPr>
                <w:rFonts w:hint="cs"/>
                <w:sz w:val="16"/>
                <w:szCs w:val="24"/>
                <w:rtl/>
              </w:rPr>
              <w:t>058 2</w:t>
            </w:r>
            <w:r w:rsidR="00D904F3" w:rsidRPr="00630D32">
              <w:rPr>
                <w:rFonts w:cs="Akhbar MT" w:hint="cs"/>
                <w:sz w:val="16"/>
                <w:szCs w:val="24"/>
                <w:rtl/>
              </w:rPr>
              <w:t>%</w:t>
            </w:r>
          </w:p>
        </w:tc>
      </w:tr>
      <w:tr w:rsidR="007023B4" w:rsidRPr="00630D32">
        <w:trPr>
          <w:cantSplit/>
        </w:trPr>
        <w:tc>
          <w:tcPr>
            <w:tcW w:w="1545" w:type="dxa"/>
            <w:shd w:val="clear" w:color="auto" w:fill="auto"/>
            <w:vAlign w:val="bottom"/>
          </w:tcPr>
          <w:p w:rsidR="007023B4" w:rsidRPr="00630D32" w:rsidRDefault="007023B4" w:rsidP="007023B4">
            <w:pPr>
              <w:pStyle w:val="SingleTxt"/>
              <w:spacing w:before="40" w:after="80" w:line="240" w:lineRule="exact"/>
              <w:ind w:left="0" w:right="0"/>
              <w:rPr>
                <w:rFonts w:cs="Akhbar MT" w:hint="cs"/>
                <w:sz w:val="16"/>
                <w:szCs w:val="24"/>
                <w:rtl/>
              </w:rPr>
            </w:pPr>
            <w:r w:rsidRPr="00630D32">
              <w:rPr>
                <w:rFonts w:cs="Akhbar MT" w:hint="cs"/>
                <w:sz w:val="16"/>
                <w:szCs w:val="24"/>
                <w:rtl/>
              </w:rPr>
              <w:t>%</w:t>
            </w:r>
          </w:p>
        </w:tc>
        <w:tc>
          <w:tcPr>
            <w:tcW w:w="1030" w:type="dxa"/>
            <w:shd w:val="clear" w:color="auto" w:fill="auto"/>
            <w:vAlign w:val="bottom"/>
          </w:tcPr>
          <w:p w:rsidR="007023B4" w:rsidRPr="00630D32" w:rsidRDefault="007023B4" w:rsidP="007023B4">
            <w:pPr>
              <w:pStyle w:val="SingleTxt"/>
              <w:spacing w:before="40" w:after="80" w:line="240" w:lineRule="exact"/>
              <w:ind w:left="0" w:right="144"/>
              <w:rPr>
                <w:rFonts w:hint="cs"/>
                <w:sz w:val="16"/>
                <w:szCs w:val="24"/>
                <w:rtl/>
              </w:rPr>
            </w:pPr>
            <w:r w:rsidRPr="00630D32">
              <w:rPr>
                <w:rFonts w:hint="cs"/>
                <w:sz w:val="16"/>
                <w:szCs w:val="24"/>
                <w:rtl/>
              </w:rPr>
              <w:t>63.67</w:t>
            </w:r>
            <w:r w:rsidRPr="00630D32">
              <w:rPr>
                <w:rFonts w:cs="Akhbar MT" w:hint="cs"/>
                <w:sz w:val="16"/>
                <w:szCs w:val="24"/>
                <w:rtl/>
              </w:rPr>
              <w:t>%</w:t>
            </w:r>
          </w:p>
        </w:tc>
        <w:tc>
          <w:tcPr>
            <w:tcW w:w="1052" w:type="dxa"/>
            <w:shd w:val="clear" w:color="auto" w:fill="auto"/>
            <w:vAlign w:val="bottom"/>
          </w:tcPr>
          <w:p w:rsidR="007023B4" w:rsidRPr="00630D32" w:rsidRDefault="007023B4" w:rsidP="007023B4">
            <w:pPr>
              <w:pStyle w:val="SingleTxt"/>
              <w:spacing w:before="40" w:after="80" w:line="240" w:lineRule="exact"/>
              <w:ind w:left="0" w:right="144"/>
              <w:rPr>
                <w:rFonts w:hint="cs"/>
                <w:sz w:val="16"/>
                <w:szCs w:val="24"/>
                <w:rtl/>
              </w:rPr>
            </w:pPr>
            <w:r w:rsidRPr="00630D32">
              <w:rPr>
                <w:rFonts w:hint="cs"/>
                <w:sz w:val="16"/>
                <w:szCs w:val="24"/>
                <w:rtl/>
              </w:rPr>
              <w:t>36.33</w:t>
            </w:r>
            <w:r w:rsidRPr="00630D32">
              <w:rPr>
                <w:rFonts w:cs="Akhbar MT" w:hint="cs"/>
                <w:sz w:val="16"/>
                <w:szCs w:val="24"/>
                <w:rtl/>
              </w:rPr>
              <w:t>%</w:t>
            </w:r>
          </w:p>
        </w:tc>
        <w:tc>
          <w:tcPr>
            <w:tcW w:w="927" w:type="dxa"/>
            <w:shd w:val="clear" w:color="auto" w:fill="auto"/>
            <w:vAlign w:val="bottom"/>
          </w:tcPr>
          <w:p w:rsidR="007023B4" w:rsidRPr="00630D32" w:rsidRDefault="007023B4" w:rsidP="007023B4">
            <w:pPr>
              <w:pStyle w:val="SingleTxt"/>
              <w:spacing w:before="40" w:after="80" w:line="240" w:lineRule="exact"/>
              <w:ind w:left="0" w:right="144"/>
              <w:rPr>
                <w:rFonts w:hint="cs"/>
                <w:sz w:val="16"/>
                <w:szCs w:val="24"/>
                <w:rtl/>
              </w:rPr>
            </w:pPr>
            <w:r w:rsidRPr="00630D32">
              <w:rPr>
                <w:rFonts w:hint="cs"/>
                <w:sz w:val="16"/>
                <w:szCs w:val="24"/>
                <w:rtl/>
              </w:rPr>
              <w:t>100</w:t>
            </w:r>
            <w:r w:rsidRPr="00630D32">
              <w:rPr>
                <w:rFonts w:cs="Akhbar MT" w:hint="cs"/>
                <w:sz w:val="16"/>
                <w:szCs w:val="24"/>
                <w:rtl/>
              </w:rPr>
              <w:t>%</w:t>
            </w:r>
          </w:p>
        </w:tc>
        <w:tc>
          <w:tcPr>
            <w:tcW w:w="1152" w:type="dxa"/>
            <w:shd w:val="clear" w:color="auto" w:fill="auto"/>
            <w:vAlign w:val="bottom"/>
          </w:tcPr>
          <w:p w:rsidR="007023B4" w:rsidRPr="00630D32" w:rsidRDefault="007023B4" w:rsidP="007023B4">
            <w:pPr>
              <w:pStyle w:val="SingleTxt"/>
              <w:spacing w:before="40" w:after="80" w:line="240" w:lineRule="exact"/>
              <w:ind w:left="0" w:right="144"/>
              <w:rPr>
                <w:rFonts w:hint="cs"/>
                <w:sz w:val="16"/>
                <w:szCs w:val="24"/>
                <w:rtl/>
              </w:rPr>
            </w:pPr>
            <w:r w:rsidRPr="00630D32">
              <w:rPr>
                <w:rFonts w:hint="cs"/>
                <w:sz w:val="16"/>
                <w:szCs w:val="24"/>
                <w:rtl/>
              </w:rPr>
              <w:t>59.28</w:t>
            </w:r>
            <w:r w:rsidRPr="00630D32">
              <w:rPr>
                <w:rFonts w:cs="Akhbar MT" w:hint="cs"/>
                <w:sz w:val="16"/>
                <w:szCs w:val="24"/>
                <w:rtl/>
              </w:rPr>
              <w:t>%</w:t>
            </w:r>
          </w:p>
        </w:tc>
        <w:tc>
          <w:tcPr>
            <w:tcW w:w="1030" w:type="dxa"/>
            <w:shd w:val="clear" w:color="auto" w:fill="auto"/>
            <w:vAlign w:val="bottom"/>
          </w:tcPr>
          <w:p w:rsidR="007023B4" w:rsidRPr="00630D32" w:rsidRDefault="007023B4" w:rsidP="007023B4">
            <w:pPr>
              <w:pStyle w:val="SingleTxt"/>
              <w:spacing w:before="40" w:after="80" w:line="240" w:lineRule="exact"/>
              <w:ind w:left="0" w:right="144"/>
              <w:rPr>
                <w:rFonts w:hint="cs"/>
                <w:sz w:val="16"/>
                <w:szCs w:val="24"/>
                <w:rtl/>
              </w:rPr>
            </w:pPr>
            <w:r w:rsidRPr="00630D32">
              <w:rPr>
                <w:rFonts w:hint="cs"/>
                <w:sz w:val="16"/>
                <w:szCs w:val="24"/>
                <w:rtl/>
              </w:rPr>
              <w:t>40.72</w:t>
            </w:r>
            <w:r w:rsidRPr="00630D32">
              <w:rPr>
                <w:rFonts w:cs="Akhbar MT" w:hint="cs"/>
                <w:sz w:val="16"/>
                <w:szCs w:val="24"/>
                <w:rtl/>
              </w:rPr>
              <w:t>%</w:t>
            </w:r>
          </w:p>
        </w:tc>
        <w:tc>
          <w:tcPr>
            <w:tcW w:w="1092" w:type="dxa"/>
            <w:shd w:val="clear" w:color="auto" w:fill="auto"/>
            <w:vAlign w:val="bottom"/>
          </w:tcPr>
          <w:p w:rsidR="007023B4" w:rsidRPr="00630D32" w:rsidRDefault="007023B4" w:rsidP="007023B4">
            <w:pPr>
              <w:pStyle w:val="SingleTxt"/>
              <w:spacing w:before="40" w:after="80" w:line="240" w:lineRule="exact"/>
              <w:ind w:left="0" w:right="144"/>
              <w:rPr>
                <w:rFonts w:hint="cs"/>
                <w:sz w:val="16"/>
                <w:szCs w:val="24"/>
                <w:rtl/>
              </w:rPr>
            </w:pPr>
            <w:r w:rsidRPr="00630D32">
              <w:rPr>
                <w:rFonts w:hint="cs"/>
                <w:sz w:val="16"/>
                <w:szCs w:val="24"/>
                <w:rtl/>
              </w:rPr>
              <w:t>100</w:t>
            </w:r>
            <w:r w:rsidRPr="00630D32">
              <w:rPr>
                <w:rFonts w:cs="Akhbar MT" w:hint="cs"/>
                <w:sz w:val="16"/>
                <w:szCs w:val="24"/>
                <w:rtl/>
              </w:rPr>
              <w:t>%</w:t>
            </w:r>
          </w:p>
        </w:tc>
      </w:tr>
      <w:tr w:rsidR="007023B4" w:rsidRPr="00630D32">
        <w:trPr>
          <w:cantSplit/>
        </w:trPr>
        <w:tc>
          <w:tcPr>
            <w:tcW w:w="1545" w:type="dxa"/>
            <w:shd w:val="clear" w:color="auto" w:fill="auto"/>
            <w:vAlign w:val="bottom"/>
          </w:tcPr>
          <w:p w:rsidR="007023B4" w:rsidRPr="00630D32" w:rsidRDefault="007023B4" w:rsidP="007023B4">
            <w:pPr>
              <w:pStyle w:val="SingleTxt"/>
              <w:spacing w:before="40" w:after="80" w:line="240" w:lineRule="exact"/>
              <w:ind w:left="0" w:right="0"/>
              <w:rPr>
                <w:rFonts w:hint="cs"/>
                <w:sz w:val="16"/>
                <w:szCs w:val="24"/>
                <w:rtl/>
              </w:rPr>
            </w:pPr>
            <w:r w:rsidRPr="00630D32">
              <w:rPr>
                <w:rFonts w:hint="cs"/>
                <w:sz w:val="16"/>
                <w:szCs w:val="24"/>
                <w:rtl/>
              </w:rPr>
              <w:t>الفائزون</w:t>
            </w:r>
          </w:p>
        </w:tc>
        <w:tc>
          <w:tcPr>
            <w:tcW w:w="1030" w:type="dxa"/>
            <w:shd w:val="clear" w:color="auto" w:fill="auto"/>
            <w:vAlign w:val="bottom"/>
          </w:tcPr>
          <w:p w:rsidR="007023B4" w:rsidRPr="00630D32" w:rsidRDefault="007023B4" w:rsidP="007023B4">
            <w:pPr>
              <w:pStyle w:val="SingleTxt"/>
              <w:spacing w:before="40" w:after="80" w:line="240" w:lineRule="exact"/>
              <w:ind w:left="0" w:right="144"/>
              <w:rPr>
                <w:rFonts w:hint="cs"/>
                <w:sz w:val="16"/>
                <w:szCs w:val="24"/>
                <w:rtl/>
              </w:rPr>
            </w:pPr>
            <w:r w:rsidRPr="00630D32">
              <w:rPr>
                <w:rFonts w:hint="cs"/>
                <w:sz w:val="16"/>
                <w:szCs w:val="24"/>
                <w:rtl/>
              </w:rPr>
              <w:t>15</w:t>
            </w:r>
          </w:p>
        </w:tc>
        <w:tc>
          <w:tcPr>
            <w:tcW w:w="1052" w:type="dxa"/>
            <w:shd w:val="clear" w:color="auto" w:fill="auto"/>
            <w:vAlign w:val="bottom"/>
          </w:tcPr>
          <w:p w:rsidR="007023B4" w:rsidRPr="00630D32" w:rsidRDefault="007023B4" w:rsidP="007023B4">
            <w:pPr>
              <w:pStyle w:val="SingleTxt"/>
              <w:spacing w:before="40" w:after="80" w:line="240" w:lineRule="exact"/>
              <w:ind w:left="0" w:right="144"/>
              <w:rPr>
                <w:rFonts w:hint="cs"/>
                <w:sz w:val="16"/>
                <w:szCs w:val="24"/>
                <w:rtl/>
              </w:rPr>
            </w:pPr>
            <w:r w:rsidRPr="00630D32">
              <w:rPr>
                <w:rFonts w:hint="cs"/>
                <w:sz w:val="16"/>
                <w:szCs w:val="24"/>
                <w:rtl/>
              </w:rPr>
              <w:t>2</w:t>
            </w:r>
          </w:p>
        </w:tc>
        <w:tc>
          <w:tcPr>
            <w:tcW w:w="927" w:type="dxa"/>
            <w:shd w:val="clear" w:color="auto" w:fill="auto"/>
            <w:vAlign w:val="bottom"/>
          </w:tcPr>
          <w:p w:rsidR="007023B4" w:rsidRPr="00630D32" w:rsidRDefault="007023B4" w:rsidP="007023B4">
            <w:pPr>
              <w:pStyle w:val="SingleTxt"/>
              <w:spacing w:before="40" w:after="80" w:line="240" w:lineRule="exact"/>
              <w:ind w:left="0" w:right="144"/>
              <w:rPr>
                <w:rFonts w:hint="cs"/>
                <w:sz w:val="16"/>
                <w:szCs w:val="24"/>
                <w:rtl/>
              </w:rPr>
            </w:pPr>
            <w:r w:rsidRPr="00630D32">
              <w:rPr>
                <w:rFonts w:hint="cs"/>
                <w:sz w:val="16"/>
                <w:szCs w:val="24"/>
                <w:rtl/>
              </w:rPr>
              <w:t>17</w:t>
            </w:r>
          </w:p>
        </w:tc>
        <w:tc>
          <w:tcPr>
            <w:tcW w:w="1152" w:type="dxa"/>
            <w:shd w:val="clear" w:color="auto" w:fill="auto"/>
            <w:vAlign w:val="bottom"/>
          </w:tcPr>
          <w:p w:rsidR="007023B4" w:rsidRPr="00630D32" w:rsidRDefault="007023B4" w:rsidP="007023B4">
            <w:pPr>
              <w:pStyle w:val="SingleTxt"/>
              <w:spacing w:before="40" w:after="80" w:line="240" w:lineRule="exact"/>
              <w:ind w:left="0" w:right="144"/>
              <w:rPr>
                <w:rFonts w:hint="cs"/>
                <w:sz w:val="16"/>
                <w:szCs w:val="24"/>
                <w:rtl/>
              </w:rPr>
            </w:pPr>
            <w:r w:rsidRPr="00630D32">
              <w:rPr>
                <w:rFonts w:hint="cs"/>
                <w:sz w:val="16"/>
                <w:szCs w:val="24"/>
                <w:rtl/>
              </w:rPr>
              <w:t>12</w:t>
            </w:r>
          </w:p>
        </w:tc>
        <w:tc>
          <w:tcPr>
            <w:tcW w:w="1030" w:type="dxa"/>
            <w:shd w:val="clear" w:color="auto" w:fill="auto"/>
            <w:vAlign w:val="bottom"/>
          </w:tcPr>
          <w:p w:rsidR="007023B4" w:rsidRPr="00630D32" w:rsidRDefault="007023B4" w:rsidP="007023B4">
            <w:pPr>
              <w:pStyle w:val="SingleTxt"/>
              <w:spacing w:before="40" w:after="80" w:line="240" w:lineRule="exact"/>
              <w:ind w:left="0" w:right="144"/>
              <w:rPr>
                <w:rFonts w:hint="cs"/>
                <w:sz w:val="16"/>
                <w:szCs w:val="24"/>
                <w:rtl/>
              </w:rPr>
            </w:pPr>
            <w:r w:rsidRPr="00630D32">
              <w:rPr>
                <w:rFonts w:hint="cs"/>
                <w:sz w:val="16"/>
                <w:szCs w:val="24"/>
                <w:rtl/>
              </w:rPr>
              <w:t>4</w:t>
            </w:r>
          </w:p>
        </w:tc>
        <w:tc>
          <w:tcPr>
            <w:tcW w:w="1092" w:type="dxa"/>
            <w:shd w:val="clear" w:color="auto" w:fill="auto"/>
            <w:vAlign w:val="bottom"/>
          </w:tcPr>
          <w:p w:rsidR="007023B4" w:rsidRPr="00630D32" w:rsidRDefault="007023B4" w:rsidP="007023B4">
            <w:pPr>
              <w:pStyle w:val="SingleTxt"/>
              <w:spacing w:before="40" w:after="80" w:line="240" w:lineRule="exact"/>
              <w:ind w:left="0" w:right="144"/>
              <w:rPr>
                <w:rFonts w:hint="cs"/>
                <w:sz w:val="16"/>
                <w:szCs w:val="24"/>
                <w:rtl/>
              </w:rPr>
            </w:pPr>
            <w:r w:rsidRPr="00630D32">
              <w:rPr>
                <w:rFonts w:hint="cs"/>
                <w:sz w:val="16"/>
                <w:szCs w:val="24"/>
                <w:rtl/>
              </w:rPr>
              <w:t>16</w:t>
            </w:r>
          </w:p>
        </w:tc>
      </w:tr>
      <w:tr w:rsidR="007023B4" w:rsidRPr="00630D32">
        <w:trPr>
          <w:cantSplit/>
        </w:trPr>
        <w:tc>
          <w:tcPr>
            <w:tcW w:w="1545" w:type="dxa"/>
            <w:shd w:val="clear" w:color="auto" w:fill="auto"/>
            <w:vAlign w:val="bottom"/>
          </w:tcPr>
          <w:p w:rsidR="007023B4" w:rsidRPr="00630D32" w:rsidRDefault="007023B4" w:rsidP="007023B4">
            <w:pPr>
              <w:pStyle w:val="SingleTxt"/>
              <w:spacing w:before="40" w:after="80" w:line="240" w:lineRule="exact"/>
              <w:ind w:left="0" w:right="0"/>
              <w:rPr>
                <w:rFonts w:hint="cs"/>
                <w:sz w:val="16"/>
                <w:szCs w:val="24"/>
                <w:rtl/>
              </w:rPr>
            </w:pPr>
            <w:r w:rsidRPr="00630D32">
              <w:rPr>
                <w:rFonts w:cs="Akhbar MT" w:hint="cs"/>
                <w:sz w:val="16"/>
                <w:szCs w:val="24"/>
                <w:rtl/>
              </w:rPr>
              <w:t>%</w:t>
            </w:r>
          </w:p>
        </w:tc>
        <w:tc>
          <w:tcPr>
            <w:tcW w:w="1030" w:type="dxa"/>
            <w:shd w:val="clear" w:color="auto" w:fill="auto"/>
            <w:vAlign w:val="bottom"/>
          </w:tcPr>
          <w:p w:rsidR="007023B4" w:rsidRPr="00630D32" w:rsidRDefault="007023B4" w:rsidP="007023B4">
            <w:pPr>
              <w:pStyle w:val="SingleTxt"/>
              <w:spacing w:before="40" w:after="80" w:line="240" w:lineRule="exact"/>
              <w:ind w:left="0" w:right="144"/>
              <w:rPr>
                <w:rFonts w:hint="cs"/>
                <w:sz w:val="16"/>
                <w:szCs w:val="24"/>
                <w:rtl/>
              </w:rPr>
            </w:pPr>
            <w:r w:rsidRPr="00630D32">
              <w:rPr>
                <w:rFonts w:hint="cs"/>
                <w:sz w:val="16"/>
                <w:szCs w:val="24"/>
                <w:rtl/>
              </w:rPr>
              <w:t>88.23</w:t>
            </w:r>
            <w:r w:rsidRPr="00630D32">
              <w:rPr>
                <w:rFonts w:cs="Akhbar MT" w:hint="cs"/>
                <w:sz w:val="16"/>
                <w:szCs w:val="24"/>
                <w:rtl/>
              </w:rPr>
              <w:t>%</w:t>
            </w:r>
          </w:p>
        </w:tc>
        <w:tc>
          <w:tcPr>
            <w:tcW w:w="1052" w:type="dxa"/>
            <w:shd w:val="clear" w:color="auto" w:fill="auto"/>
            <w:vAlign w:val="bottom"/>
          </w:tcPr>
          <w:p w:rsidR="007023B4" w:rsidRPr="00630D32" w:rsidRDefault="007023B4" w:rsidP="007023B4">
            <w:pPr>
              <w:pStyle w:val="SingleTxt"/>
              <w:spacing w:before="40" w:after="80" w:line="240" w:lineRule="exact"/>
              <w:ind w:left="0" w:right="144"/>
              <w:rPr>
                <w:rFonts w:hint="cs"/>
                <w:sz w:val="16"/>
                <w:szCs w:val="24"/>
                <w:rtl/>
              </w:rPr>
            </w:pPr>
            <w:r w:rsidRPr="00630D32">
              <w:rPr>
                <w:rFonts w:hint="cs"/>
                <w:sz w:val="16"/>
                <w:szCs w:val="24"/>
                <w:rtl/>
              </w:rPr>
              <w:t>11.76</w:t>
            </w:r>
            <w:r w:rsidRPr="00630D32">
              <w:rPr>
                <w:rFonts w:cs="Akhbar MT" w:hint="cs"/>
                <w:sz w:val="16"/>
                <w:szCs w:val="24"/>
                <w:rtl/>
              </w:rPr>
              <w:t>%</w:t>
            </w:r>
          </w:p>
        </w:tc>
        <w:tc>
          <w:tcPr>
            <w:tcW w:w="927" w:type="dxa"/>
            <w:shd w:val="clear" w:color="auto" w:fill="auto"/>
            <w:vAlign w:val="bottom"/>
          </w:tcPr>
          <w:p w:rsidR="007023B4" w:rsidRPr="00630D32" w:rsidRDefault="007023B4" w:rsidP="007023B4">
            <w:pPr>
              <w:pStyle w:val="SingleTxt"/>
              <w:spacing w:before="40" w:after="80" w:line="240" w:lineRule="exact"/>
              <w:ind w:left="0" w:right="144"/>
              <w:rPr>
                <w:rFonts w:hint="cs"/>
                <w:sz w:val="16"/>
                <w:szCs w:val="24"/>
                <w:rtl/>
              </w:rPr>
            </w:pPr>
            <w:r w:rsidRPr="00630D32">
              <w:rPr>
                <w:rFonts w:hint="cs"/>
                <w:sz w:val="16"/>
                <w:szCs w:val="24"/>
                <w:rtl/>
              </w:rPr>
              <w:t>100</w:t>
            </w:r>
            <w:r w:rsidRPr="00B105BA">
              <w:rPr>
                <w:rFonts w:cs="Akhbar MT" w:hint="cs"/>
                <w:sz w:val="16"/>
                <w:szCs w:val="24"/>
                <w:rtl/>
              </w:rPr>
              <w:t>%</w:t>
            </w:r>
          </w:p>
        </w:tc>
        <w:tc>
          <w:tcPr>
            <w:tcW w:w="1152" w:type="dxa"/>
            <w:shd w:val="clear" w:color="auto" w:fill="auto"/>
            <w:vAlign w:val="bottom"/>
          </w:tcPr>
          <w:p w:rsidR="007023B4" w:rsidRPr="00630D32" w:rsidRDefault="007023B4" w:rsidP="007023B4">
            <w:pPr>
              <w:pStyle w:val="SingleTxt"/>
              <w:spacing w:before="40" w:after="80" w:line="240" w:lineRule="exact"/>
              <w:ind w:left="0" w:right="144"/>
              <w:rPr>
                <w:rFonts w:hint="cs"/>
                <w:sz w:val="16"/>
                <w:szCs w:val="24"/>
                <w:rtl/>
              </w:rPr>
            </w:pPr>
            <w:r w:rsidRPr="00630D32">
              <w:rPr>
                <w:rFonts w:hint="cs"/>
                <w:sz w:val="16"/>
                <w:szCs w:val="24"/>
                <w:rtl/>
              </w:rPr>
              <w:t>75</w:t>
            </w:r>
            <w:r w:rsidRPr="00630D32">
              <w:rPr>
                <w:rFonts w:cs="Akhbar MT" w:hint="cs"/>
                <w:sz w:val="16"/>
                <w:szCs w:val="24"/>
                <w:rtl/>
              </w:rPr>
              <w:t>%</w:t>
            </w:r>
          </w:p>
        </w:tc>
        <w:tc>
          <w:tcPr>
            <w:tcW w:w="1030" w:type="dxa"/>
            <w:shd w:val="clear" w:color="auto" w:fill="auto"/>
            <w:vAlign w:val="bottom"/>
          </w:tcPr>
          <w:p w:rsidR="007023B4" w:rsidRPr="00630D32" w:rsidRDefault="007023B4" w:rsidP="007023B4">
            <w:pPr>
              <w:pStyle w:val="SingleTxt"/>
              <w:spacing w:before="40" w:after="80" w:line="240" w:lineRule="exact"/>
              <w:ind w:left="0" w:right="144"/>
              <w:rPr>
                <w:rFonts w:hint="cs"/>
                <w:sz w:val="16"/>
                <w:szCs w:val="24"/>
                <w:rtl/>
              </w:rPr>
            </w:pPr>
            <w:r w:rsidRPr="00630D32">
              <w:rPr>
                <w:rFonts w:hint="cs"/>
                <w:sz w:val="16"/>
                <w:szCs w:val="24"/>
                <w:rtl/>
              </w:rPr>
              <w:t>25</w:t>
            </w:r>
            <w:r w:rsidRPr="00630D32">
              <w:rPr>
                <w:rFonts w:cs="Akhbar MT" w:hint="cs"/>
                <w:sz w:val="16"/>
                <w:szCs w:val="24"/>
                <w:rtl/>
              </w:rPr>
              <w:t>%</w:t>
            </w:r>
          </w:p>
        </w:tc>
        <w:tc>
          <w:tcPr>
            <w:tcW w:w="1092" w:type="dxa"/>
            <w:shd w:val="clear" w:color="auto" w:fill="auto"/>
            <w:vAlign w:val="bottom"/>
          </w:tcPr>
          <w:p w:rsidR="007023B4" w:rsidRPr="00630D32" w:rsidRDefault="007023B4" w:rsidP="007023B4">
            <w:pPr>
              <w:pStyle w:val="SingleTxt"/>
              <w:spacing w:before="40" w:after="80" w:line="240" w:lineRule="exact"/>
              <w:ind w:left="0" w:right="144"/>
              <w:rPr>
                <w:rFonts w:hint="cs"/>
                <w:sz w:val="16"/>
                <w:szCs w:val="24"/>
                <w:rtl/>
              </w:rPr>
            </w:pPr>
            <w:r w:rsidRPr="00630D32">
              <w:rPr>
                <w:rFonts w:hint="cs"/>
                <w:sz w:val="16"/>
                <w:szCs w:val="24"/>
                <w:rtl/>
              </w:rPr>
              <w:t>100</w:t>
            </w:r>
            <w:r w:rsidRPr="00630D32">
              <w:rPr>
                <w:rFonts w:cs="Akhbar MT" w:hint="cs"/>
                <w:sz w:val="16"/>
                <w:szCs w:val="24"/>
                <w:rtl/>
              </w:rPr>
              <w:t>%</w:t>
            </w:r>
          </w:p>
        </w:tc>
      </w:tr>
      <w:tr w:rsidR="007023B4" w:rsidRPr="00630D32">
        <w:trPr>
          <w:cantSplit/>
        </w:trPr>
        <w:tc>
          <w:tcPr>
            <w:tcW w:w="1545" w:type="dxa"/>
            <w:tcBorders>
              <w:bottom w:val="single" w:sz="12" w:space="0" w:color="auto"/>
            </w:tcBorders>
            <w:shd w:val="clear" w:color="auto" w:fill="auto"/>
            <w:vAlign w:val="bottom"/>
          </w:tcPr>
          <w:p w:rsidR="007023B4" w:rsidRDefault="007023B4" w:rsidP="007023B4">
            <w:pPr>
              <w:pStyle w:val="SingleTxt"/>
              <w:spacing w:before="40" w:after="80" w:line="240" w:lineRule="exact"/>
              <w:ind w:left="0" w:right="0"/>
              <w:rPr>
                <w:rFonts w:hint="cs"/>
                <w:sz w:val="16"/>
                <w:szCs w:val="24"/>
                <w:rtl/>
              </w:rPr>
            </w:pPr>
            <w:r w:rsidRPr="00630D32">
              <w:rPr>
                <w:rFonts w:cs="Akhbar MT" w:hint="cs"/>
                <w:sz w:val="16"/>
                <w:szCs w:val="24"/>
                <w:rtl/>
              </w:rPr>
              <w:t>%</w:t>
            </w:r>
          </w:p>
          <w:p w:rsidR="007023B4" w:rsidRPr="00630D32" w:rsidRDefault="007023B4" w:rsidP="007023B4">
            <w:pPr>
              <w:pStyle w:val="SingleTxt"/>
              <w:spacing w:before="40" w:after="80" w:line="240" w:lineRule="exact"/>
              <w:ind w:left="0" w:right="0"/>
              <w:rPr>
                <w:rFonts w:hint="cs"/>
                <w:sz w:val="16"/>
                <w:szCs w:val="24"/>
                <w:rtl/>
              </w:rPr>
            </w:pPr>
            <w:r w:rsidRPr="00630D32">
              <w:rPr>
                <w:rFonts w:hint="cs"/>
                <w:sz w:val="16"/>
                <w:szCs w:val="24"/>
                <w:rtl/>
              </w:rPr>
              <w:t>الفائزون/التسجيل</w:t>
            </w:r>
          </w:p>
        </w:tc>
        <w:tc>
          <w:tcPr>
            <w:tcW w:w="1030" w:type="dxa"/>
            <w:tcBorders>
              <w:bottom w:val="single" w:sz="12" w:space="0" w:color="auto"/>
            </w:tcBorders>
            <w:shd w:val="clear" w:color="auto" w:fill="auto"/>
            <w:vAlign w:val="bottom"/>
          </w:tcPr>
          <w:p w:rsidR="007023B4" w:rsidRPr="00630D32" w:rsidRDefault="007023B4" w:rsidP="007023B4">
            <w:pPr>
              <w:pStyle w:val="SingleTxt"/>
              <w:spacing w:before="40" w:after="80" w:line="240" w:lineRule="exact"/>
              <w:ind w:left="0" w:right="144"/>
              <w:rPr>
                <w:rFonts w:hint="cs"/>
                <w:sz w:val="16"/>
                <w:szCs w:val="24"/>
                <w:rtl/>
              </w:rPr>
            </w:pPr>
            <w:r w:rsidRPr="00630D32">
              <w:rPr>
                <w:rFonts w:hint="cs"/>
                <w:sz w:val="16"/>
                <w:szCs w:val="24"/>
                <w:rtl/>
              </w:rPr>
              <w:t>1.41</w:t>
            </w:r>
            <w:r w:rsidRPr="00630D32">
              <w:rPr>
                <w:rFonts w:cs="Akhbar MT" w:hint="cs"/>
                <w:sz w:val="16"/>
                <w:szCs w:val="24"/>
                <w:rtl/>
              </w:rPr>
              <w:t>%</w:t>
            </w:r>
          </w:p>
        </w:tc>
        <w:tc>
          <w:tcPr>
            <w:tcW w:w="1052" w:type="dxa"/>
            <w:tcBorders>
              <w:bottom w:val="single" w:sz="12" w:space="0" w:color="auto"/>
            </w:tcBorders>
            <w:shd w:val="clear" w:color="auto" w:fill="auto"/>
            <w:vAlign w:val="bottom"/>
          </w:tcPr>
          <w:p w:rsidR="007023B4" w:rsidRPr="00630D32" w:rsidRDefault="007023B4" w:rsidP="007023B4">
            <w:pPr>
              <w:pStyle w:val="SingleTxt"/>
              <w:spacing w:before="40" w:after="80" w:line="240" w:lineRule="exact"/>
              <w:ind w:left="0" w:right="144"/>
              <w:rPr>
                <w:rFonts w:hint="cs"/>
                <w:sz w:val="16"/>
                <w:szCs w:val="24"/>
                <w:rtl/>
              </w:rPr>
            </w:pPr>
            <w:r w:rsidRPr="00630D32">
              <w:rPr>
                <w:rFonts w:hint="cs"/>
                <w:sz w:val="16"/>
                <w:szCs w:val="24"/>
                <w:rtl/>
              </w:rPr>
              <w:t>0.33</w:t>
            </w:r>
            <w:r w:rsidRPr="00630D32">
              <w:rPr>
                <w:rFonts w:cs="Akhbar MT" w:hint="cs"/>
                <w:sz w:val="16"/>
                <w:szCs w:val="24"/>
                <w:rtl/>
              </w:rPr>
              <w:t>%</w:t>
            </w:r>
          </w:p>
        </w:tc>
        <w:tc>
          <w:tcPr>
            <w:tcW w:w="927" w:type="dxa"/>
            <w:tcBorders>
              <w:bottom w:val="single" w:sz="12" w:space="0" w:color="auto"/>
            </w:tcBorders>
            <w:shd w:val="clear" w:color="auto" w:fill="auto"/>
            <w:vAlign w:val="bottom"/>
          </w:tcPr>
          <w:p w:rsidR="007023B4" w:rsidRPr="00630D32" w:rsidRDefault="007023B4" w:rsidP="007023B4">
            <w:pPr>
              <w:pStyle w:val="SingleTxt"/>
              <w:spacing w:before="40" w:after="80" w:line="240" w:lineRule="exact"/>
              <w:ind w:left="0" w:right="144"/>
              <w:rPr>
                <w:rFonts w:hint="cs"/>
                <w:sz w:val="16"/>
                <w:szCs w:val="24"/>
                <w:rtl/>
              </w:rPr>
            </w:pPr>
            <w:r w:rsidRPr="00630D32">
              <w:rPr>
                <w:rFonts w:hint="cs"/>
                <w:sz w:val="16"/>
                <w:szCs w:val="24"/>
                <w:rtl/>
              </w:rPr>
              <w:t>1.02</w:t>
            </w:r>
            <w:r w:rsidRPr="00630D32">
              <w:rPr>
                <w:rFonts w:cs="Akhbar MT" w:hint="cs"/>
                <w:sz w:val="16"/>
                <w:szCs w:val="24"/>
                <w:rtl/>
              </w:rPr>
              <w:t>%</w:t>
            </w:r>
          </w:p>
        </w:tc>
        <w:tc>
          <w:tcPr>
            <w:tcW w:w="1152" w:type="dxa"/>
            <w:tcBorders>
              <w:bottom w:val="single" w:sz="12" w:space="0" w:color="auto"/>
            </w:tcBorders>
            <w:shd w:val="clear" w:color="auto" w:fill="auto"/>
            <w:vAlign w:val="bottom"/>
          </w:tcPr>
          <w:p w:rsidR="007023B4" w:rsidRPr="00630D32" w:rsidRDefault="007023B4" w:rsidP="007023B4">
            <w:pPr>
              <w:pStyle w:val="SingleTxt"/>
              <w:spacing w:before="40" w:after="80" w:line="240" w:lineRule="exact"/>
              <w:ind w:left="0" w:right="144"/>
              <w:rPr>
                <w:rFonts w:hint="cs"/>
                <w:sz w:val="16"/>
                <w:szCs w:val="24"/>
                <w:rtl/>
              </w:rPr>
            </w:pPr>
            <w:r w:rsidRPr="00630D32">
              <w:rPr>
                <w:rFonts w:hint="cs"/>
                <w:sz w:val="16"/>
                <w:szCs w:val="24"/>
                <w:rtl/>
              </w:rPr>
              <w:t>0.98</w:t>
            </w:r>
            <w:r w:rsidRPr="00630D32">
              <w:rPr>
                <w:rFonts w:cs="Akhbar MT" w:hint="cs"/>
                <w:sz w:val="16"/>
                <w:szCs w:val="24"/>
                <w:rtl/>
              </w:rPr>
              <w:t>%</w:t>
            </w:r>
          </w:p>
        </w:tc>
        <w:tc>
          <w:tcPr>
            <w:tcW w:w="1030" w:type="dxa"/>
            <w:tcBorders>
              <w:bottom w:val="single" w:sz="12" w:space="0" w:color="auto"/>
            </w:tcBorders>
            <w:shd w:val="clear" w:color="auto" w:fill="auto"/>
            <w:vAlign w:val="bottom"/>
          </w:tcPr>
          <w:p w:rsidR="007023B4" w:rsidRPr="00630D32" w:rsidRDefault="007023B4" w:rsidP="007023B4">
            <w:pPr>
              <w:pStyle w:val="SingleTxt"/>
              <w:spacing w:before="40" w:after="80" w:line="240" w:lineRule="exact"/>
              <w:ind w:left="0" w:right="144"/>
              <w:rPr>
                <w:rFonts w:hint="cs"/>
                <w:sz w:val="16"/>
                <w:szCs w:val="24"/>
                <w:rtl/>
              </w:rPr>
            </w:pPr>
            <w:r w:rsidRPr="00630D32">
              <w:rPr>
                <w:rFonts w:hint="cs"/>
                <w:sz w:val="16"/>
                <w:szCs w:val="24"/>
                <w:rtl/>
              </w:rPr>
              <w:t>0.48</w:t>
            </w:r>
          </w:p>
        </w:tc>
        <w:tc>
          <w:tcPr>
            <w:tcW w:w="1092" w:type="dxa"/>
            <w:tcBorders>
              <w:bottom w:val="single" w:sz="12" w:space="0" w:color="auto"/>
            </w:tcBorders>
            <w:shd w:val="clear" w:color="auto" w:fill="auto"/>
            <w:vAlign w:val="bottom"/>
          </w:tcPr>
          <w:p w:rsidR="007023B4" w:rsidRPr="00630D32" w:rsidRDefault="007023B4" w:rsidP="007023B4">
            <w:pPr>
              <w:pStyle w:val="SingleTxt"/>
              <w:spacing w:before="40" w:after="80" w:line="240" w:lineRule="exact"/>
              <w:ind w:left="0" w:right="144"/>
              <w:rPr>
                <w:rFonts w:hint="cs"/>
                <w:sz w:val="16"/>
                <w:szCs w:val="24"/>
                <w:rtl/>
              </w:rPr>
            </w:pPr>
            <w:r w:rsidRPr="00630D32">
              <w:rPr>
                <w:rFonts w:hint="cs"/>
                <w:sz w:val="16"/>
                <w:szCs w:val="24"/>
                <w:rtl/>
              </w:rPr>
              <w:t>0.78</w:t>
            </w:r>
          </w:p>
        </w:tc>
      </w:tr>
    </w:tbl>
    <w:p w:rsidR="007023B4" w:rsidRPr="007C4A32" w:rsidRDefault="007023B4" w:rsidP="007023B4">
      <w:pPr>
        <w:pStyle w:val="SingleTxt"/>
        <w:spacing w:after="0" w:line="120" w:lineRule="exact"/>
        <w:rPr>
          <w:rFonts w:hint="cs"/>
          <w:sz w:val="10"/>
          <w:szCs w:val="26"/>
          <w:rtl/>
        </w:rPr>
      </w:pPr>
    </w:p>
    <w:p w:rsidR="007023B4" w:rsidRPr="00E71F07" w:rsidRDefault="007023B4" w:rsidP="007023B4">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sidRPr="007C4A32">
        <w:rPr>
          <w:rFonts w:hint="cs"/>
          <w:i/>
          <w:iCs/>
          <w:rtl/>
        </w:rPr>
        <w:t>المصدر</w:t>
      </w:r>
      <w:r w:rsidRPr="00E71F07">
        <w:rPr>
          <w:rFonts w:hint="cs"/>
          <w:rtl/>
        </w:rPr>
        <w:t>:</w:t>
      </w:r>
      <w:r>
        <w:rPr>
          <w:rFonts w:hint="cs"/>
          <w:rtl/>
        </w:rPr>
        <w:t xml:space="preserve"> مكتب التعيين التابع للسلطة الاتحادية.</w:t>
      </w:r>
    </w:p>
    <w:p w:rsidR="007023B4" w:rsidRPr="007C4A32" w:rsidRDefault="007023B4" w:rsidP="007023B4">
      <w:pPr>
        <w:pStyle w:val="SingleTxt"/>
        <w:spacing w:after="0" w:line="120" w:lineRule="exact"/>
        <w:rPr>
          <w:rFonts w:hint="cs"/>
          <w:sz w:val="10"/>
          <w:rtl/>
        </w:rPr>
      </w:pPr>
    </w:p>
    <w:p w:rsidR="007023B4" w:rsidRPr="007C4A32" w:rsidRDefault="007023B4" w:rsidP="007023B4">
      <w:pPr>
        <w:pStyle w:val="SingleTxt"/>
        <w:spacing w:after="0" w:line="120" w:lineRule="exact"/>
        <w:rPr>
          <w:rFonts w:hint="cs"/>
          <w:sz w:val="10"/>
          <w:rtl/>
        </w:rPr>
      </w:pPr>
    </w:p>
    <w:p w:rsidR="007023B4" w:rsidRDefault="007023B4" w:rsidP="007023B4">
      <w:pPr>
        <w:pStyle w:val="SingleTxt"/>
        <w:rPr>
          <w:rFonts w:hint="cs"/>
          <w:rtl/>
        </w:rPr>
      </w:pPr>
      <w:r>
        <w:rPr>
          <w:rFonts w:hint="cs"/>
          <w:rtl/>
        </w:rPr>
        <w:tab/>
        <w:t>أجريت المسابقة الدبلوماسية فيما بين تشرين الأول/أكتوبر 2005 وتموز/ يوليه</w:t>
      </w:r>
      <w:r>
        <w:rPr>
          <w:rFonts w:hint="eastAsia"/>
          <w:rtl/>
        </w:rPr>
        <w:t> </w:t>
      </w:r>
      <w:r>
        <w:rPr>
          <w:rFonts w:hint="cs"/>
          <w:rtl/>
        </w:rPr>
        <w:t>2006.</w:t>
      </w:r>
    </w:p>
    <w:p w:rsidR="007023B4" w:rsidRPr="007C4A32" w:rsidRDefault="007023B4" w:rsidP="007023B4">
      <w:pPr>
        <w:pStyle w:val="SingleTxt"/>
        <w:spacing w:after="0" w:line="120" w:lineRule="exact"/>
        <w:rPr>
          <w:rFonts w:hint="cs"/>
          <w:i/>
          <w:iCs/>
          <w:sz w:val="10"/>
          <w:rtl/>
        </w:rPr>
      </w:pPr>
    </w:p>
    <w:p w:rsidR="007023B4" w:rsidRDefault="00B105BA" w:rsidP="00B105BA">
      <w:pPr>
        <w:pStyle w:val="SingleTxt"/>
        <w:rPr>
          <w:rFonts w:hint="cs"/>
          <w:i/>
          <w:iCs/>
          <w:rtl/>
        </w:rPr>
      </w:pPr>
      <w:r>
        <w:rPr>
          <w:rFonts w:hint="cs"/>
          <w:rtl/>
        </w:rPr>
        <w:t>2-2-</w:t>
      </w:r>
      <w:r>
        <w:rPr>
          <w:rFonts w:hint="cs"/>
          <w:i/>
          <w:iCs/>
          <w:rtl/>
        </w:rPr>
        <w:t xml:space="preserve">  </w:t>
      </w:r>
      <w:r w:rsidR="007023B4" w:rsidRPr="00E71F07">
        <w:rPr>
          <w:rFonts w:hint="cs"/>
          <w:i/>
          <w:iCs/>
          <w:rtl/>
        </w:rPr>
        <w:t>السلك القنصلي</w:t>
      </w:r>
    </w:p>
    <w:p w:rsidR="007023B4" w:rsidRPr="007C4A32" w:rsidRDefault="007023B4" w:rsidP="007023B4">
      <w:pPr>
        <w:pStyle w:val="SingleTxt"/>
        <w:spacing w:after="0" w:line="120" w:lineRule="exact"/>
        <w:rPr>
          <w:rFonts w:hint="cs"/>
          <w:i/>
          <w:iCs/>
          <w:sz w:val="10"/>
          <w:rtl/>
        </w:rPr>
      </w:pPr>
    </w:p>
    <w:tbl>
      <w:tblPr>
        <w:tblStyle w:val="TableGrid"/>
        <w:bidiVisual/>
        <w:tblW w:w="0" w:type="auto"/>
        <w:tblInd w:w="1203" w:type="dxa"/>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1E0" w:firstRow="1" w:lastRow="1" w:firstColumn="1" w:lastColumn="1" w:noHBand="0" w:noVBand="0"/>
      </w:tblPr>
      <w:tblGrid>
        <w:gridCol w:w="1442"/>
        <w:gridCol w:w="1133"/>
        <w:gridCol w:w="1133"/>
        <w:gridCol w:w="1133"/>
        <w:gridCol w:w="1133"/>
        <w:gridCol w:w="899"/>
        <w:gridCol w:w="824"/>
      </w:tblGrid>
      <w:tr w:rsidR="007023B4">
        <w:tc>
          <w:tcPr>
            <w:tcW w:w="1442" w:type="dxa"/>
            <w:tcBorders>
              <w:bottom w:val="nil"/>
            </w:tcBorders>
          </w:tcPr>
          <w:p w:rsidR="007023B4" w:rsidRPr="00E71F07" w:rsidRDefault="007023B4" w:rsidP="007023B4">
            <w:pPr>
              <w:pStyle w:val="SingleTxt"/>
              <w:spacing w:after="0"/>
              <w:ind w:left="0" w:right="0"/>
              <w:rPr>
                <w:rFonts w:hint="cs"/>
                <w:i/>
                <w:iCs/>
                <w:sz w:val="26"/>
                <w:szCs w:val="26"/>
                <w:rtl/>
              </w:rPr>
            </w:pPr>
            <w:r w:rsidRPr="00E71F07">
              <w:rPr>
                <w:rFonts w:hint="cs"/>
                <w:i/>
                <w:iCs/>
                <w:sz w:val="26"/>
                <w:szCs w:val="26"/>
                <w:rtl/>
              </w:rPr>
              <w:t>بيان اللغة</w:t>
            </w:r>
          </w:p>
        </w:tc>
        <w:tc>
          <w:tcPr>
            <w:tcW w:w="1133" w:type="dxa"/>
            <w:tcBorders>
              <w:top w:val="single" w:sz="12" w:space="0" w:color="auto"/>
              <w:bottom w:val="single" w:sz="2" w:space="0" w:color="auto"/>
            </w:tcBorders>
          </w:tcPr>
          <w:p w:rsidR="007023B4" w:rsidRPr="00E71F07" w:rsidRDefault="007023B4" w:rsidP="007023B4">
            <w:pPr>
              <w:pStyle w:val="SingleTxt"/>
              <w:spacing w:after="0"/>
              <w:ind w:left="0" w:right="0"/>
              <w:rPr>
                <w:rFonts w:hint="cs"/>
                <w:i/>
                <w:iCs/>
                <w:sz w:val="26"/>
                <w:szCs w:val="26"/>
                <w:rtl/>
              </w:rPr>
            </w:pPr>
            <w:r w:rsidRPr="00E71F07">
              <w:rPr>
                <w:rFonts w:hint="cs"/>
                <w:i/>
                <w:iCs/>
                <w:sz w:val="26"/>
                <w:szCs w:val="26"/>
                <w:rtl/>
              </w:rPr>
              <w:t>الهولندية</w:t>
            </w:r>
          </w:p>
        </w:tc>
        <w:tc>
          <w:tcPr>
            <w:tcW w:w="1133" w:type="dxa"/>
            <w:tcBorders>
              <w:top w:val="single" w:sz="12" w:space="0" w:color="auto"/>
              <w:bottom w:val="single" w:sz="2" w:space="0" w:color="auto"/>
            </w:tcBorders>
          </w:tcPr>
          <w:p w:rsidR="007023B4" w:rsidRPr="00E71F07" w:rsidRDefault="007023B4" w:rsidP="007023B4">
            <w:pPr>
              <w:pStyle w:val="SingleTxt"/>
              <w:spacing w:after="0"/>
              <w:ind w:left="0" w:right="0"/>
              <w:rPr>
                <w:rFonts w:hint="cs"/>
                <w:i/>
                <w:iCs/>
                <w:sz w:val="26"/>
                <w:szCs w:val="26"/>
                <w:rtl/>
              </w:rPr>
            </w:pPr>
            <w:r w:rsidRPr="00E71F07">
              <w:rPr>
                <w:rFonts w:hint="cs"/>
                <w:i/>
                <w:iCs/>
                <w:sz w:val="26"/>
                <w:szCs w:val="26"/>
                <w:rtl/>
              </w:rPr>
              <w:t>الهولندية</w:t>
            </w:r>
          </w:p>
        </w:tc>
        <w:tc>
          <w:tcPr>
            <w:tcW w:w="1133" w:type="dxa"/>
            <w:tcBorders>
              <w:top w:val="single" w:sz="12" w:space="0" w:color="auto"/>
              <w:bottom w:val="single" w:sz="2" w:space="0" w:color="auto"/>
            </w:tcBorders>
          </w:tcPr>
          <w:p w:rsidR="007023B4" w:rsidRPr="00E71F07" w:rsidRDefault="007023B4" w:rsidP="007023B4">
            <w:pPr>
              <w:pStyle w:val="SingleTxt"/>
              <w:spacing w:after="0"/>
              <w:ind w:left="0" w:right="0"/>
              <w:rPr>
                <w:rFonts w:hint="cs"/>
                <w:i/>
                <w:iCs/>
                <w:sz w:val="26"/>
                <w:szCs w:val="26"/>
                <w:rtl/>
              </w:rPr>
            </w:pPr>
            <w:r w:rsidRPr="00E71F07">
              <w:rPr>
                <w:rFonts w:hint="cs"/>
                <w:i/>
                <w:iCs/>
                <w:sz w:val="26"/>
                <w:szCs w:val="26"/>
                <w:rtl/>
              </w:rPr>
              <w:t>الهولندية</w:t>
            </w:r>
          </w:p>
        </w:tc>
        <w:tc>
          <w:tcPr>
            <w:tcW w:w="1133" w:type="dxa"/>
            <w:tcBorders>
              <w:top w:val="single" w:sz="12" w:space="0" w:color="auto"/>
              <w:bottom w:val="single" w:sz="2" w:space="0" w:color="auto"/>
            </w:tcBorders>
          </w:tcPr>
          <w:p w:rsidR="007023B4" w:rsidRPr="00E71F07" w:rsidRDefault="007023B4" w:rsidP="007023B4">
            <w:pPr>
              <w:pStyle w:val="SingleTxt"/>
              <w:spacing w:after="0"/>
              <w:ind w:left="0" w:right="0"/>
              <w:rPr>
                <w:rFonts w:hint="cs"/>
                <w:i/>
                <w:iCs/>
                <w:sz w:val="26"/>
                <w:szCs w:val="26"/>
                <w:rtl/>
              </w:rPr>
            </w:pPr>
            <w:r w:rsidRPr="00E71F07">
              <w:rPr>
                <w:rFonts w:hint="cs"/>
                <w:i/>
                <w:iCs/>
                <w:sz w:val="26"/>
                <w:szCs w:val="26"/>
                <w:rtl/>
              </w:rPr>
              <w:t>الفرنسية</w:t>
            </w:r>
          </w:p>
        </w:tc>
        <w:tc>
          <w:tcPr>
            <w:tcW w:w="824" w:type="dxa"/>
            <w:tcBorders>
              <w:top w:val="single" w:sz="12" w:space="0" w:color="auto"/>
              <w:bottom w:val="single" w:sz="2" w:space="0" w:color="auto"/>
            </w:tcBorders>
          </w:tcPr>
          <w:p w:rsidR="007023B4" w:rsidRPr="00E71F07" w:rsidRDefault="007023B4" w:rsidP="007023B4">
            <w:pPr>
              <w:pStyle w:val="SingleTxt"/>
              <w:spacing w:after="0"/>
              <w:ind w:left="0" w:right="0"/>
              <w:rPr>
                <w:rFonts w:hint="cs"/>
                <w:i/>
                <w:iCs/>
                <w:sz w:val="26"/>
                <w:szCs w:val="26"/>
                <w:rtl/>
              </w:rPr>
            </w:pPr>
            <w:r w:rsidRPr="00E71F07">
              <w:rPr>
                <w:rFonts w:hint="cs"/>
                <w:i/>
                <w:iCs/>
                <w:sz w:val="26"/>
                <w:szCs w:val="26"/>
                <w:rtl/>
              </w:rPr>
              <w:t>الفرنسية</w:t>
            </w:r>
          </w:p>
        </w:tc>
        <w:tc>
          <w:tcPr>
            <w:tcW w:w="824" w:type="dxa"/>
            <w:tcBorders>
              <w:top w:val="single" w:sz="12" w:space="0" w:color="auto"/>
              <w:bottom w:val="single" w:sz="2" w:space="0" w:color="auto"/>
            </w:tcBorders>
          </w:tcPr>
          <w:p w:rsidR="007023B4" w:rsidRPr="00E71F07" w:rsidRDefault="007023B4" w:rsidP="007023B4">
            <w:pPr>
              <w:pStyle w:val="SingleTxt"/>
              <w:spacing w:after="0"/>
              <w:ind w:left="0" w:right="0"/>
              <w:rPr>
                <w:rFonts w:hint="cs"/>
                <w:i/>
                <w:iCs/>
                <w:sz w:val="26"/>
                <w:szCs w:val="26"/>
                <w:rtl/>
              </w:rPr>
            </w:pPr>
            <w:r w:rsidRPr="00E71F07">
              <w:rPr>
                <w:rFonts w:hint="cs"/>
                <w:i/>
                <w:iCs/>
                <w:sz w:val="26"/>
                <w:szCs w:val="26"/>
                <w:rtl/>
              </w:rPr>
              <w:t>الفرنسية</w:t>
            </w:r>
          </w:p>
        </w:tc>
      </w:tr>
      <w:tr w:rsidR="007023B4">
        <w:tc>
          <w:tcPr>
            <w:tcW w:w="1442" w:type="dxa"/>
            <w:tcBorders>
              <w:top w:val="nil"/>
              <w:bottom w:val="single" w:sz="12" w:space="0" w:color="auto"/>
            </w:tcBorders>
          </w:tcPr>
          <w:p w:rsidR="007023B4" w:rsidRPr="00E71F07" w:rsidRDefault="007023B4" w:rsidP="007023B4">
            <w:pPr>
              <w:pStyle w:val="SingleTxt"/>
              <w:spacing w:after="0"/>
              <w:ind w:left="0" w:right="0"/>
              <w:rPr>
                <w:rFonts w:hint="cs"/>
                <w:sz w:val="26"/>
                <w:szCs w:val="26"/>
                <w:rtl/>
              </w:rPr>
            </w:pPr>
          </w:p>
        </w:tc>
        <w:tc>
          <w:tcPr>
            <w:tcW w:w="1133" w:type="dxa"/>
            <w:tcBorders>
              <w:top w:val="single" w:sz="2" w:space="0" w:color="auto"/>
              <w:bottom w:val="single" w:sz="12" w:space="0" w:color="auto"/>
            </w:tcBorders>
          </w:tcPr>
          <w:p w:rsidR="007023B4" w:rsidRPr="00E71F07" w:rsidRDefault="007023B4" w:rsidP="007023B4">
            <w:pPr>
              <w:pStyle w:val="SingleTxt"/>
              <w:spacing w:after="0"/>
              <w:ind w:left="0" w:right="0"/>
              <w:rPr>
                <w:rFonts w:hint="cs"/>
                <w:sz w:val="26"/>
                <w:szCs w:val="26"/>
                <w:rtl/>
              </w:rPr>
            </w:pPr>
            <w:r>
              <w:rPr>
                <w:rFonts w:hint="cs"/>
                <w:sz w:val="26"/>
                <w:szCs w:val="26"/>
                <w:rtl/>
              </w:rPr>
              <w:t>ال</w:t>
            </w:r>
            <w:r w:rsidRPr="00E71F07">
              <w:rPr>
                <w:rFonts w:hint="cs"/>
                <w:sz w:val="26"/>
                <w:szCs w:val="26"/>
                <w:rtl/>
              </w:rPr>
              <w:t>رج</w:t>
            </w:r>
            <w:r>
              <w:rPr>
                <w:rFonts w:hint="cs"/>
                <w:sz w:val="26"/>
                <w:szCs w:val="26"/>
                <w:rtl/>
              </w:rPr>
              <w:t>ا</w:t>
            </w:r>
            <w:r w:rsidRPr="00E71F07">
              <w:rPr>
                <w:rFonts w:hint="cs"/>
                <w:sz w:val="26"/>
                <w:szCs w:val="26"/>
                <w:rtl/>
              </w:rPr>
              <w:t>ل</w:t>
            </w:r>
          </w:p>
        </w:tc>
        <w:tc>
          <w:tcPr>
            <w:tcW w:w="1133" w:type="dxa"/>
            <w:tcBorders>
              <w:top w:val="single" w:sz="2" w:space="0" w:color="auto"/>
              <w:bottom w:val="single" w:sz="12" w:space="0" w:color="auto"/>
            </w:tcBorders>
          </w:tcPr>
          <w:p w:rsidR="007023B4" w:rsidRPr="00E71F07" w:rsidRDefault="007023B4" w:rsidP="007023B4">
            <w:pPr>
              <w:pStyle w:val="SingleTxt"/>
              <w:spacing w:after="0"/>
              <w:ind w:left="0" w:right="0"/>
              <w:rPr>
                <w:rFonts w:hint="cs"/>
                <w:sz w:val="26"/>
                <w:szCs w:val="26"/>
                <w:rtl/>
              </w:rPr>
            </w:pPr>
            <w:r w:rsidRPr="00E71F07">
              <w:rPr>
                <w:rFonts w:hint="cs"/>
                <w:sz w:val="26"/>
                <w:szCs w:val="26"/>
                <w:rtl/>
              </w:rPr>
              <w:t>ا</w:t>
            </w:r>
            <w:r>
              <w:rPr>
                <w:rFonts w:hint="cs"/>
                <w:sz w:val="26"/>
                <w:szCs w:val="26"/>
                <w:rtl/>
              </w:rPr>
              <w:t>لنساء</w:t>
            </w:r>
          </w:p>
        </w:tc>
        <w:tc>
          <w:tcPr>
            <w:tcW w:w="1133" w:type="dxa"/>
            <w:tcBorders>
              <w:top w:val="single" w:sz="2" w:space="0" w:color="auto"/>
              <w:bottom w:val="single" w:sz="12" w:space="0" w:color="auto"/>
            </w:tcBorders>
          </w:tcPr>
          <w:p w:rsidR="007023B4" w:rsidRPr="00E71F07" w:rsidRDefault="007023B4" w:rsidP="007023B4">
            <w:pPr>
              <w:pStyle w:val="SingleTxt"/>
              <w:spacing w:after="0"/>
              <w:ind w:left="0" w:right="0"/>
              <w:rPr>
                <w:rFonts w:hint="cs"/>
                <w:sz w:val="26"/>
                <w:szCs w:val="26"/>
                <w:rtl/>
              </w:rPr>
            </w:pPr>
            <w:r w:rsidRPr="00E71F07">
              <w:rPr>
                <w:rFonts w:hint="cs"/>
                <w:sz w:val="26"/>
                <w:szCs w:val="26"/>
                <w:rtl/>
              </w:rPr>
              <w:t>المجموع</w:t>
            </w:r>
          </w:p>
        </w:tc>
        <w:tc>
          <w:tcPr>
            <w:tcW w:w="1133" w:type="dxa"/>
            <w:tcBorders>
              <w:top w:val="single" w:sz="2" w:space="0" w:color="auto"/>
              <w:bottom w:val="single" w:sz="12" w:space="0" w:color="auto"/>
            </w:tcBorders>
          </w:tcPr>
          <w:p w:rsidR="007023B4" w:rsidRPr="00E71F07" w:rsidRDefault="007023B4" w:rsidP="007023B4">
            <w:pPr>
              <w:pStyle w:val="SingleTxt"/>
              <w:spacing w:after="0"/>
              <w:ind w:left="0" w:right="0"/>
              <w:rPr>
                <w:rFonts w:hint="cs"/>
                <w:sz w:val="26"/>
                <w:szCs w:val="26"/>
                <w:rtl/>
              </w:rPr>
            </w:pPr>
            <w:r>
              <w:rPr>
                <w:rFonts w:hint="cs"/>
                <w:sz w:val="26"/>
                <w:szCs w:val="26"/>
                <w:rtl/>
              </w:rPr>
              <w:t>ال</w:t>
            </w:r>
            <w:r w:rsidRPr="00E71F07">
              <w:rPr>
                <w:rFonts w:hint="cs"/>
                <w:sz w:val="26"/>
                <w:szCs w:val="26"/>
                <w:rtl/>
              </w:rPr>
              <w:t>رج</w:t>
            </w:r>
            <w:r>
              <w:rPr>
                <w:rFonts w:hint="cs"/>
                <w:sz w:val="26"/>
                <w:szCs w:val="26"/>
                <w:rtl/>
              </w:rPr>
              <w:t>ال</w:t>
            </w:r>
          </w:p>
        </w:tc>
        <w:tc>
          <w:tcPr>
            <w:tcW w:w="824" w:type="dxa"/>
            <w:tcBorders>
              <w:top w:val="single" w:sz="2" w:space="0" w:color="auto"/>
              <w:bottom w:val="single" w:sz="12" w:space="0" w:color="auto"/>
            </w:tcBorders>
          </w:tcPr>
          <w:p w:rsidR="007023B4" w:rsidRPr="00E71F07" w:rsidRDefault="007023B4" w:rsidP="007023B4">
            <w:pPr>
              <w:pStyle w:val="SingleTxt"/>
              <w:spacing w:after="0"/>
              <w:ind w:left="0" w:right="0"/>
              <w:rPr>
                <w:rFonts w:hint="cs"/>
                <w:sz w:val="26"/>
                <w:szCs w:val="26"/>
                <w:rtl/>
              </w:rPr>
            </w:pPr>
            <w:r w:rsidRPr="00E71F07">
              <w:rPr>
                <w:rFonts w:hint="cs"/>
                <w:sz w:val="26"/>
                <w:szCs w:val="26"/>
                <w:rtl/>
              </w:rPr>
              <w:t>ا</w:t>
            </w:r>
            <w:r>
              <w:rPr>
                <w:rFonts w:hint="cs"/>
                <w:sz w:val="26"/>
                <w:szCs w:val="26"/>
                <w:rtl/>
              </w:rPr>
              <w:t>لنساء</w:t>
            </w:r>
          </w:p>
        </w:tc>
        <w:tc>
          <w:tcPr>
            <w:tcW w:w="824" w:type="dxa"/>
            <w:tcBorders>
              <w:top w:val="single" w:sz="2" w:space="0" w:color="auto"/>
              <w:bottom w:val="single" w:sz="12" w:space="0" w:color="auto"/>
            </w:tcBorders>
          </w:tcPr>
          <w:p w:rsidR="007023B4" w:rsidRPr="00E71F07" w:rsidRDefault="007023B4" w:rsidP="007023B4">
            <w:pPr>
              <w:pStyle w:val="SingleTxt"/>
              <w:spacing w:after="0"/>
              <w:ind w:left="0" w:right="0"/>
              <w:rPr>
                <w:rFonts w:hint="cs"/>
                <w:sz w:val="26"/>
                <w:szCs w:val="26"/>
                <w:rtl/>
              </w:rPr>
            </w:pPr>
            <w:r w:rsidRPr="00E71F07">
              <w:rPr>
                <w:rFonts w:hint="cs"/>
                <w:sz w:val="26"/>
                <w:szCs w:val="26"/>
                <w:rtl/>
              </w:rPr>
              <w:t>المجموع</w:t>
            </w:r>
          </w:p>
        </w:tc>
      </w:tr>
      <w:tr w:rsidR="007023B4">
        <w:tc>
          <w:tcPr>
            <w:tcW w:w="1442" w:type="dxa"/>
            <w:tcBorders>
              <w:top w:val="single" w:sz="12" w:space="0" w:color="auto"/>
            </w:tcBorders>
          </w:tcPr>
          <w:p w:rsidR="007023B4" w:rsidRPr="00E71F07" w:rsidRDefault="007023B4" w:rsidP="007023B4">
            <w:pPr>
              <w:pStyle w:val="SingleTxt"/>
              <w:spacing w:after="0"/>
              <w:ind w:left="0" w:right="0"/>
              <w:rPr>
                <w:rFonts w:hint="cs"/>
                <w:sz w:val="26"/>
                <w:szCs w:val="26"/>
                <w:rtl/>
              </w:rPr>
            </w:pPr>
            <w:r w:rsidRPr="00E71F07">
              <w:rPr>
                <w:rFonts w:hint="cs"/>
                <w:sz w:val="26"/>
                <w:szCs w:val="26"/>
                <w:rtl/>
              </w:rPr>
              <w:t>التسجيل</w:t>
            </w:r>
          </w:p>
        </w:tc>
        <w:tc>
          <w:tcPr>
            <w:tcW w:w="1133" w:type="dxa"/>
            <w:tcBorders>
              <w:top w:val="single" w:sz="12" w:space="0" w:color="auto"/>
            </w:tcBorders>
          </w:tcPr>
          <w:p w:rsidR="007023B4" w:rsidRPr="00E71F07" w:rsidRDefault="007023B4" w:rsidP="007023B4">
            <w:pPr>
              <w:pStyle w:val="SingleTxt"/>
              <w:spacing w:after="0"/>
              <w:ind w:left="0" w:right="0"/>
              <w:rPr>
                <w:rFonts w:hint="cs"/>
                <w:sz w:val="26"/>
                <w:szCs w:val="26"/>
                <w:rtl/>
              </w:rPr>
            </w:pPr>
            <w:r w:rsidRPr="00E71F07">
              <w:rPr>
                <w:rFonts w:hint="cs"/>
                <w:sz w:val="26"/>
                <w:szCs w:val="26"/>
                <w:rtl/>
              </w:rPr>
              <w:t>708</w:t>
            </w:r>
          </w:p>
        </w:tc>
        <w:tc>
          <w:tcPr>
            <w:tcW w:w="1133" w:type="dxa"/>
            <w:tcBorders>
              <w:top w:val="single" w:sz="12" w:space="0" w:color="auto"/>
            </w:tcBorders>
          </w:tcPr>
          <w:p w:rsidR="007023B4" w:rsidRPr="00E71F07" w:rsidRDefault="007023B4" w:rsidP="007023B4">
            <w:pPr>
              <w:pStyle w:val="SingleTxt"/>
              <w:spacing w:after="0"/>
              <w:ind w:left="0" w:right="0"/>
              <w:rPr>
                <w:rFonts w:hint="cs"/>
                <w:sz w:val="26"/>
                <w:szCs w:val="26"/>
                <w:rtl/>
              </w:rPr>
            </w:pPr>
            <w:r w:rsidRPr="00E71F07">
              <w:rPr>
                <w:rFonts w:hint="cs"/>
                <w:sz w:val="26"/>
                <w:szCs w:val="26"/>
                <w:rtl/>
              </w:rPr>
              <w:t>558</w:t>
            </w:r>
          </w:p>
        </w:tc>
        <w:tc>
          <w:tcPr>
            <w:tcW w:w="1133" w:type="dxa"/>
            <w:tcBorders>
              <w:top w:val="single" w:sz="12" w:space="0" w:color="auto"/>
            </w:tcBorders>
          </w:tcPr>
          <w:p w:rsidR="007023B4" w:rsidRPr="00E71F07" w:rsidRDefault="007023B4" w:rsidP="007023B4">
            <w:pPr>
              <w:pStyle w:val="SingleTxt"/>
              <w:spacing w:after="0"/>
              <w:ind w:left="0" w:right="0"/>
              <w:rPr>
                <w:rFonts w:hint="cs"/>
                <w:sz w:val="26"/>
                <w:szCs w:val="26"/>
                <w:rtl/>
              </w:rPr>
            </w:pPr>
            <w:r w:rsidRPr="00E71F07">
              <w:rPr>
                <w:rFonts w:hint="cs"/>
                <w:sz w:val="26"/>
                <w:szCs w:val="26"/>
                <w:rtl/>
              </w:rPr>
              <w:t>266 1</w:t>
            </w:r>
          </w:p>
        </w:tc>
        <w:tc>
          <w:tcPr>
            <w:tcW w:w="1133" w:type="dxa"/>
            <w:tcBorders>
              <w:top w:val="single" w:sz="12" w:space="0" w:color="auto"/>
            </w:tcBorders>
          </w:tcPr>
          <w:p w:rsidR="007023B4" w:rsidRPr="00E71F07" w:rsidRDefault="007023B4" w:rsidP="007023B4">
            <w:pPr>
              <w:pStyle w:val="SingleTxt"/>
              <w:spacing w:after="0"/>
              <w:ind w:left="0" w:right="0"/>
              <w:rPr>
                <w:rFonts w:hint="cs"/>
                <w:sz w:val="26"/>
                <w:szCs w:val="26"/>
                <w:rtl/>
              </w:rPr>
            </w:pPr>
            <w:r w:rsidRPr="00E71F07">
              <w:rPr>
                <w:rFonts w:hint="cs"/>
                <w:sz w:val="26"/>
                <w:szCs w:val="26"/>
                <w:rtl/>
              </w:rPr>
              <w:t>003 2</w:t>
            </w:r>
          </w:p>
        </w:tc>
        <w:tc>
          <w:tcPr>
            <w:tcW w:w="824" w:type="dxa"/>
            <w:tcBorders>
              <w:top w:val="single" w:sz="12" w:space="0" w:color="auto"/>
            </w:tcBorders>
          </w:tcPr>
          <w:p w:rsidR="007023B4" w:rsidRPr="00E71F07" w:rsidRDefault="007023B4" w:rsidP="007023B4">
            <w:pPr>
              <w:pStyle w:val="SingleTxt"/>
              <w:spacing w:after="0"/>
              <w:ind w:left="0" w:right="0"/>
              <w:rPr>
                <w:rFonts w:hint="cs"/>
                <w:sz w:val="26"/>
                <w:szCs w:val="26"/>
                <w:rtl/>
              </w:rPr>
            </w:pPr>
            <w:r w:rsidRPr="00E71F07">
              <w:rPr>
                <w:rFonts w:hint="cs"/>
                <w:sz w:val="26"/>
                <w:szCs w:val="26"/>
                <w:rtl/>
              </w:rPr>
              <w:t>396 1</w:t>
            </w:r>
          </w:p>
        </w:tc>
        <w:tc>
          <w:tcPr>
            <w:tcW w:w="824" w:type="dxa"/>
            <w:tcBorders>
              <w:top w:val="single" w:sz="12" w:space="0" w:color="auto"/>
            </w:tcBorders>
          </w:tcPr>
          <w:p w:rsidR="007023B4" w:rsidRPr="00E71F07" w:rsidRDefault="007023B4" w:rsidP="007023B4">
            <w:pPr>
              <w:pStyle w:val="SingleTxt"/>
              <w:spacing w:after="0"/>
              <w:ind w:left="0" w:right="0"/>
              <w:rPr>
                <w:rFonts w:hint="cs"/>
                <w:sz w:val="26"/>
                <w:szCs w:val="26"/>
                <w:rtl/>
              </w:rPr>
            </w:pPr>
            <w:r w:rsidRPr="00E71F07">
              <w:rPr>
                <w:rFonts w:hint="cs"/>
                <w:sz w:val="26"/>
                <w:szCs w:val="26"/>
                <w:rtl/>
              </w:rPr>
              <w:t>399 3</w:t>
            </w:r>
          </w:p>
        </w:tc>
      </w:tr>
      <w:tr w:rsidR="007023B4">
        <w:tc>
          <w:tcPr>
            <w:tcW w:w="1442" w:type="dxa"/>
          </w:tcPr>
          <w:p w:rsidR="007023B4" w:rsidRPr="00E71F07" w:rsidRDefault="007023B4" w:rsidP="007023B4">
            <w:pPr>
              <w:pStyle w:val="SingleTxt"/>
              <w:spacing w:after="0"/>
              <w:ind w:left="0" w:right="0"/>
              <w:rPr>
                <w:rFonts w:cs="Akhbar MT" w:hint="cs"/>
                <w:sz w:val="26"/>
                <w:szCs w:val="26"/>
                <w:rtl/>
              </w:rPr>
            </w:pPr>
            <w:r w:rsidRPr="00E71F07">
              <w:rPr>
                <w:rFonts w:cs="Akhbar MT" w:hint="cs"/>
                <w:sz w:val="26"/>
                <w:szCs w:val="26"/>
                <w:rtl/>
              </w:rPr>
              <w:t>%</w:t>
            </w:r>
          </w:p>
        </w:tc>
        <w:tc>
          <w:tcPr>
            <w:tcW w:w="1133" w:type="dxa"/>
          </w:tcPr>
          <w:p w:rsidR="007023B4" w:rsidRPr="00E71F07" w:rsidRDefault="007023B4" w:rsidP="007023B4">
            <w:pPr>
              <w:pStyle w:val="SingleTxt"/>
              <w:spacing w:after="0"/>
              <w:ind w:left="0" w:right="0"/>
              <w:rPr>
                <w:rFonts w:hint="cs"/>
                <w:sz w:val="26"/>
                <w:szCs w:val="26"/>
                <w:rtl/>
              </w:rPr>
            </w:pPr>
            <w:r w:rsidRPr="00E71F07">
              <w:rPr>
                <w:rFonts w:hint="cs"/>
                <w:sz w:val="26"/>
                <w:szCs w:val="26"/>
                <w:rtl/>
              </w:rPr>
              <w:t>55.92</w:t>
            </w:r>
            <w:r w:rsidRPr="00E71F07">
              <w:rPr>
                <w:rFonts w:cs="Akhbar MT" w:hint="cs"/>
                <w:sz w:val="26"/>
                <w:szCs w:val="26"/>
                <w:rtl/>
              </w:rPr>
              <w:t>%</w:t>
            </w:r>
          </w:p>
        </w:tc>
        <w:tc>
          <w:tcPr>
            <w:tcW w:w="1133" w:type="dxa"/>
          </w:tcPr>
          <w:p w:rsidR="007023B4" w:rsidRPr="00E71F07" w:rsidRDefault="007023B4" w:rsidP="007023B4">
            <w:pPr>
              <w:pStyle w:val="SingleTxt"/>
              <w:spacing w:after="0"/>
              <w:ind w:left="0" w:right="0"/>
              <w:rPr>
                <w:rFonts w:hint="cs"/>
                <w:sz w:val="26"/>
                <w:szCs w:val="26"/>
                <w:rtl/>
              </w:rPr>
            </w:pPr>
            <w:r w:rsidRPr="00E71F07">
              <w:rPr>
                <w:rFonts w:hint="cs"/>
                <w:sz w:val="26"/>
                <w:szCs w:val="26"/>
                <w:rtl/>
              </w:rPr>
              <w:t>44.08</w:t>
            </w:r>
            <w:r w:rsidRPr="00E71F07">
              <w:rPr>
                <w:rFonts w:cs="Akhbar MT" w:hint="cs"/>
                <w:sz w:val="26"/>
                <w:szCs w:val="26"/>
                <w:rtl/>
              </w:rPr>
              <w:t>%</w:t>
            </w:r>
          </w:p>
        </w:tc>
        <w:tc>
          <w:tcPr>
            <w:tcW w:w="1133" w:type="dxa"/>
          </w:tcPr>
          <w:p w:rsidR="007023B4" w:rsidRPr="00E71F07" w:rsidRDefault="007023B4" w:rsidP="007023B4">
            <w:pPr>
              <w:pStyle w:val="SingleTxt"/>
              <w:spacing w:after="0"/>
              <w:ind w:left="0" w:right="0"/>
              <w:rPr>
                <w:rFonts w:hint="cs"/>
                <w:sz w:val="26"/>
                <w:szCs w:val="26"/>
                <w:rtl/>
              </w:rPr>
            </w:pPr>
            <w:r w:rsidRPr="00E71F07">
              <w:rPr>
                <w:rFonts w:hint="cs"/>
                <w:sz w:val="26"/>
                <w:szCs w:val="26"/>
                <w:rtl/>
              </w:rPr>
              <w:t>100</w:t>
            </w:r>
            <w:r w:rsidRPr="00E71F07">
              <w:rPr>
                <w:rFonts w:cs="Akhbar MT" w:hint="cs"/>
                <w:sz w:val="26"/>
                <w:szCs w:val="26"/>
                <w:rtl/>
              </w:rPr>
              <w:t>%</w:t>
            </w:r>
          </w:p>
        </w:tc>
        <w:tc>
          <w:tcPr>
            <w:tcW w:w="1133" w:type="dxa"/>
          </w:tcPr>
          <w:p w:rsidR="007023B4" w:rsidRPr="00E71F07" w:rsidRDefault="007023B4" w:rsidP="007023B4">
            <w:pPr>
              <w:pStyle w:val="SingleTxt"/>
              <w:spacing w:after="0"/>
              <w:ind w:left="0" w:right="0"/>
              <w:rPr>
                <w:rFonts w:hint="cs"/>
                <w:sz w:val="26"/>
                <w:szCs w:val="26"/>
                <w:rtl/>
              </w:rPr>
            </w:pPr>
            <w:r w:rsidRPr="00E71F07">
              <w:rPr>
                <w:rFonts w:hint="cs"/>
                <w:sz w:val="26"/>
                <w:szCs w:val="26"/>
                <w:rtl/>
              </w:rPr>
              <w:t>58.93</w:t>
            </w:r>
            <w:r w:rsidRPr="00E71F07">
              <w:rPr>
                <w:rFonts w:cs="Akhbar MT" w:hint="cs"/>
                <w:sz w:val="26"/>
                <w:szCs w:val="26"/>
                <w:rtl/>
              </w:rPr>
              <w:t>%</w:t>
            </w:r>
          </w:p>
        </w:tc>
        <w:tc>
          <w:tcPr>
            <w:tcW w:w="824" w:type="dxa"/>
          </w:tcPr>
          <w:p w:rsidR="007023B4" w:rsidRPr="00E71F07" w:rsidRDefault="007023B4" w:rsidP="007023B4">
            <w:pPr>
              <w:pStyle w:val="SingleTxt"/>
              <w:spacing w:after="0"/>
              <w:ind w:left="0" w:right="0"/>
              <w:rPr>
                <w:rFonts w:hint="cs"/>
                <w:sz w:val="26"/>
                <w:szCs w:val="26"/>
                <w:rtl/>
              </w:rPr>
            </w:pPr>
            <w:r w:rsidRPr="00E71F07">
              <w:rPr>
                <w:rFonts w:hint="cs"/>
                <w:sz w:val="26"/>
                <w:szCs w:val="26"/>
                <w:rtl/>
              </w:rPr>
              <w:t>41.07</w:t>
            </w:r>
            <w:r w:rsidRPr="00E71F07">
              <w:rPr>
                <w:rFonts w:cs="Akhbar MT" w:hint="cs"/>
                <w:sz w:val="26"/>
                <w:szCs w:val="26"/>
                <w:rtl/>
              </w:rPr>
              <w:t>%</w:t>
            </w:r>
          </w:p>
        </w:tc>
        <w:tc>
          <w:tcPr>
            <w:tcW w:w="824" w:type="dxa"/>
          </w:tcPr>
          <w:p w:rsidR="007023B4" w:rsidRPr="00E71F07" w:rsidRDefault="007023B4" w:rsidP="007023B4">
            <w:pPr>
              <w:pStyle w:val="SingleTxt"/>
              <w:spacing w:after="0"/>
              <w:ind w:left="0" w:right="0"/>
              <w:rPr>
                <w:rFonts w:hint="cs"/>
                <w:sz w:val="26"/>
                <w:szCs w:val="26"/>
                <w:rtl/>
              </w:rPr>
            </w:pPr>
            <w:r w:rsidRPr="00E71F07">
              <w:rPr>
                <w:rFonts w:hint="cs"/>
                <w:sz w:val="26"/>
                <w:szCs w:val="26"/>
                <w:rtl/>
              </w:rPr>
              <w:t>100</w:t>
            </w:r>
            <w:r w:rsidRPr="00E71F07">
              <w:rPr>
                <w:rFonts w:cs="Akhbar MT" w:hint="cs"/>
                <w:sz w:val="26"/>
                <w:szCs w:val="26"/>
                <w:rtl/>
              </w:rPr>
              <w:t>%</w:t>
            </w:r>
          </w:p>
        </w:tc>
      </w:tr>
      <w:tr w:rsidR="007023B4">
        <w:tc>
          <w:tcPr>
            <w:tcW w:w="1442" w:type="dxa"/>
          </w:tcPr>
          <w:p w:rsidR="007023B4" w:rsidRPr="00E71F07" w:rsidRDefault="007023B4" w:rsidP="007023B4">
            <w:pPr>
              <w:pStyle w:val="SingleTxt"/>
              <w:spacing w:after="0"/>
              <w:ind w:left="0" w:right="0"/>
              <w:rPr>
                <w:rFonts w:hint="cs"/>
                <w:sz w:val="26"/>
                <w:szCs w:val="26"/>
                <w:rtl/>
              </w:rPr>
            </w:pPr>
            <w:r w:rsidRPr="00E71F07">
              <w:rPr>
                <w:rFonts w:hint="cs"/>
                <w:sz w:val="26"/>
                <w:szCs w:val="26"/>
                <w:rtl/>
              </w:rPr>
              <w:t>الفائزون</w:t>
            </w:r>
          </w:p>
        </w:tc>
        <w:tc>
          <w:tcPr>
            <w:tcW w:w="1133" w:type="dxa"/>
          </w:tcPr>
          <w:p w:rsidR="007023B4" w:rsidRPr="00E71F07" w:rsidRDefault="007023B4" w:rsidP="007023B4">
            <w:pPr>
              <w:pStyle w:val="SingleTxt"/>
              <w:spacing w:after="0"/>
              <w:ind w:left="0" w:right="0"/>
              <w:rPr>
                <w:rFonts w:hint="cs"/>
                <w:sz w:val="26"/>
                <w:szCs w:val="26"/>
                <w:rtl/>
              </w:rPr>
            </w:pPr>
            <w:r w:rsidRPr="00E71F07">
              <w:rPr>
                <w:rFonts w:hint="cs"/>
                <w:sz w:val="26"/>
                <w:szCs w:val="26"/>
                <w:rtl/>
              </w:rPr>
              <w:t>5</w:t>
            </w:r>
          </w:p>
        </w:tc>
        <w:tc>
          <w:tcPr>
            <w:tcW w:w="1133" w:type="dxa"/>
          </w:tcPr>
          <w:p w:rsidR="007023B4" w:rsidRPr="00E71F07" w:rsidRDefault="007023B4" w:rsidP="007023B4">
            <w:pPr>
              <w:pStyle w:val="SingleTxt"/>
              <w:spacing w:after="0"/>
              <w:ind w:left="0" w:right="0"/>
              <w:rPr>
                <w:rFonts w:hint="cs"/>
                <w:sz w:val="26"/>
                <w:szCs w:val="26"/>
                <w:rtl/>
              </w:rPr>
            </w:pPr>
            <w:r w:rsidRPr="00E71F07">
              <w:rPr>
                <w:rFonts w:hint="cs"/>
                <w:sz w:val="26"/>
                <w:szCs w:val="26"/>
                <w:rtl/>
              </w:rPr>
              <w:t>5</w:t>
            </w:r>
          </w:p>
        </w:tc>
        <w:tc>
          <w:tcPr>
            <w:tcW w:w="1133" w:type="dxa"/>
          </w:tcPr>
          <w:p w:rsidR="007023B4" w:rsidRPr="00E71F07" w:rsidRDefault="007023B4" w:rsidP="007023B4">
            <w:pPr>
              <w:pStyle w:val="SingleTxt"/>
              <w:spacing w:after="0"/>
              <w:ind w:left="0" w:right="0"/>
              <w:rPr>
                <w:rFonts w:hint="cs"/>
                <w:sz w:val="26"/>
                <w:szCs w:val="26"/>
                <w:rtl/>
              </w:rPr>
            </w:pPr>
            <w:r w:rsidRPr="00E71F07">
              <w:rPr>
                <w:rFonts w:hint="cs"/>
                <w:sz w:val="26"/>
                <w:szCs w:val="26"/>
                <w:rtl/>
              </w:rPr>
              <w:t>10</w:t>
            </w:r>
          </w:p>
        </w:tc>
        <w:tc>
          <w:tcPr>
            <w:tcW w:w="1133" w:type="dxa"/>
          </w:tcPr>
          <w:p w:rsidR="007023B4" w:rsidRPr="00E71F07" w:rsidRDefault="007023B4" w:rsidP="007023B4">
            <w:pPr>
              <w:pStyle w:val="SingleTxt"/>
              <w:spacing w:after="0"/>
              <w:ind w:left="0" w:right="0"/>
              <w:rPr>
                <w:rFonts w:hint="cs"/>
                <w:sz w:val="26"/>
                <w:szCs w:val="26"/>
                <w:rtl/>
              </w:rPr>
            </w:pPr>
            <w:r w:rsidRPr="00E71F07">
              <w:rPr>
                <w:rFonts w:hint="cs"/>
                <w:sz w:val="26"/>
                <w:szCs w:val="26"/>
                <w:rtl/>
              </w:rPr>
              <w:t>3</w:t>
            </w:r>
          </w:p>
        </w:tc>
        <w:tc>
          <w:tcPr>
            <w:tcW w:w="824" w:type="dxa"/>
          </w:tcPr>
          <w:p w:rsidR="007023B4" w:rsidRPr="00E71F07" w:rsidRDefault="007023B4" w:rsidP="007023B4">
            <w:pPr>
              <w:pStyle w:val="SingleTxt"/>
              <w:spacing w:after="0"/>
              <w:ind w:left="0" w:right="0"/>
              <w:rPr>
                <w:rFonts w:hint="cs"/>
                <w:sz w:val="26"/>
                <w:szCs w:val="26"/>
                <w:rtl/>
              </w:rPr>
            </w:pPr>
            <w:r w:rsidRPr="00E71F07">
              <w:rPr>
                <w:rFonts w:hint="cs"/>
                <w:sz w:val="26"/>
                <w:szCs w:val="26"/>
                <w:rtl/>
              </w:rPr>
              <w:t>5</w:t>
            </w:r>
          </w:p>
        </w:tc>
        <w:tc>
          <w:tcPr>
            <w:tcW w:w="824" w:type="dxa"/>
          </w:tcPr>
          <w:p w:rsidR="007023B4" w:rsidRPr="00E71F07" w:rsidRDefault="007023B4" w:rsidP="007023B4">
            <w:pPr>
              <w:pStyle w:val="SingleTxt"/>
              <w:spacing w:after="0"/>
              <w:ind w:left="0" w:right="0"/>
              <w:rPr>
                <w:rFonts w:hint="cs"/>
                <w:sz w:val="26"/>
                <w:szCs w:val="26"/>
                <w:rtl/>
              </w:rPr>
            </w:pPr>
            <w:r w:rsidRPr="00E71F07">
              <w:rPr>
                <w:rFonts w:hint="cs"/>
                <w:sz w:val="26"/>
                <w:szCs w:val="26"/>
                <w:rtl/>
              </w:rPr>
              <w:t>8</w:t>
            </w:r>
          </w:p>
        </w:tc>
      </w:tr>
      <w:tr w:rsidR="007023B4">
        <w:tc>
          <w:tcPr>
            <w:tcW w:w="1442" w:type="dxa"/>
          </w:tcPr>
          <w:p w:rsidR="007023B4" w:rsidRPr="00E71F07" w:rsidRDefault="007023B4" w:rsidP="007023B4">
            <w:pPr>
              <w:pStyle w:val="SingleTxt"/>
              <w:spacing w:after="0"/>
              <w:ind w:left="0" w:right="0"/>
              <w:rPr>
                <w:rFonts w:hint="cs"/>
                <w:sz w:val="26"/>
                <w:szCs w:val="26"/>
                <w:rtl/>
              </w:rPr>
            </w:pPr>
            <w:r w:rsidRPr="00E71F07">
              <w:rPr>
                <w:rFonts w:cs="Akhbar MT" w:hint="cs"/>
                <w:sz w:val="26"/>
                <w:szCs w:val="26"/>
                <w:rtl/>
              </w:rPr>
              <w:t>%</w:t>
            </w:r>
          </w:p>
        </w:tc>
        <w:tc>
          <w:tcPr>
            <w:tcW w:w="1133" w:type="dxa"/>
          </w:tcPr>
          <w:p w:rsidR="007023B4" w:rsidRPr="00E71F07" w:rsidRDefault="007023B4" w:rsidP="007023B4">
            <w:pPr>
              <w:pStyle w:val="SingleTxt"/>
              <w:spacing w:after="0"/>
              <w:ind w:left="0" w:right="0"/>
              <w:rPr>
                <w:rFonts w:hint="cs"/>
                <w:sz w:val="26"/>
                <w:szCs w:val="26"/>
                <w:rtl/>
              </w:rPr>
            </w:pPr>
            <w:r w:rsidRPr="00E71F07">
              <w:rPr>
                <w:rFonts w:hint="cs"/>
                <w:sz w:val="26"/>
                <w:szCs w:val="26"/>
                <w:rtl/>
              </w:rPr>
              <w:t>50</w:t>
            </w:r>
            <w:r w:rsidRPr="00E71F07">
              <w:rPr>
                <w:rFonts w:cs="Akhbar MT" w:hint="cs"/>
                <w:sz w:val="26"/>
                <w:szCs w:val="26"/>
                <w:rtl/>
              </w:rPr>
              <w:t>%</w:t>
            </w:r>
          </w:p>
        </w:tc>
        <w:tc>
          <w:tcPr>
            <w:tcW w:w="1133" w:type="dxa"/>
          </w:tcPr>
          <w:p w:rsidR="007023B4" w:rsidRPr="00E71F07" w:rsidRDefault="007023B4" w:rsidP="007023B4">
            <w:pPr>
              <w:pStyle w:val="SingleTxt"/>
              <w:spacing w:after="0"/>
              <w:ind w:left="0" w:right="0"/>
              <w:rPr>
                <w:rFonts w:hint="cs"/>
                <w:sz w:val="26"/>
                <w:szCs w:val="26"/>
                <w:rtl/>
              </w:rPr>
            </w:pPr>
            <w:r w:rsidRPr="00E71F07">
              <w:rPr>
                <w:rFonts w:hint="cs"/>
                <w:sz w:val="26"/>
                <w:szCs w:val="26"/>
                <w:rtl/>
              </w:rPr>
              <w:t>50</w:t>
            </w:r>
            <w:r w:rsidRPr="00E71F07">
              <w:rPr>
                <w:rFonts w:cs="Akhbar MT" w:hint="cs"/>
                <w:sz w:val="26"/>
                <w:szCs w:val="26"/>
                <w:rtl/>
              </w:rPr>
              <w:t>%</w:t>
            </w:r>
          </w:p>
        </w:tc>
        <w:tc>
          <w:tcPr>
            <w:tcW w:w="1133" w:type="dxa"/>
          </w:tcPr>
          <w:p w:rsidR="007023B4" w:rsidRPr="00E71F07" w:rsidRDefault="007023B4" w:rsidP="007023B4">
            <w:pPr>
              <w:pStyle w:val="SingleTxt"/>
              <w:spacing w:after="0"/>
              <w:ind w:left="0" w:right="0"/>
              <w:rPr>
                <w:rFonts w:hint="cs"/>
                <w:sz w:val="26"/>
                <w:szCs w:val="26"/>
                <w:rtl/>
              </w:rPr>
            </w:pPr>
            <w:r w:rsidRPr="00E71F07">
              <w:rPr>
                <w:rFonts w:hint="cs"/>
                <w:sz w:val="26"/>
                <w:szCs w:val="26"/>
                <w:rtl/>
              </w:rPr>
              <w:t>100</w:t>
            </w:r>
            <w:r w:rsidRPr="00E71F07">
              <w:rPr>
                <w:rFonts w:cs="Akhbar MT" w:hint="cs"/>
                <w:sz w:val="26"/>
                <w:szCs w:val="26"/>
                <w:rtl/>
              </w:rPr>
              <w:t>%</w:t>
            </w:r>
          </w:p>
        </w:tc>
        <w:tc>
          <w:tcPr>
            <w:tcW w:w="1133" w:type="dxa"/>
          </w:tcPr>
          <w:p w:rsidR="007023B4" w:rsidRPr="00E71F07" w:rsidRDefault="007023B4" w:rsidP="007023B4">
            <w:pPr>
              <w:pStyle w:val="SingleTxt"/>
              <w:spacing w:after="0"/>
              <w:ind w:left="0" w:right="0"/>
              <w:rPr>
                <w:rFonts w:hint="cs"/>
                <w:sz w:val="26"/>
                <w:szCs w:val="26"/>
                <w:rtl/>
              </w:rPr>
            </w:pPr>
            <w:r w:rsidRPr="00E71F07">
              <w:rPr>
                <w:rFonts w:hint="cs"/>
                <w:sz w:val="26"/>
                <w:szCs w:val="26"/>
                <w:rtl/>
              </w:rPr>
              <w:t>37.5</w:t>
            </w:r>
            <w:r w:rsidRPr="00E71F07">
              <w:rPr>
                <w:rFonts w:cs="Akhbar MT" w:hint="cs"/>
                <w:sz w:val="26"/>
                <w:szCs w:val="26"/>
                <w:rtl/>
              </w:rPr>
              <w:t>%</w:t>
            </w:r>
          </w:p>
        </w:tc>
        <w:tc>
          <w:tcPr>
            <w:tcW w:w="824" w:type="dxa"/>
          </w:tcPr>
          <w:p w:rsidR="007023B4" w:rsidRPr="00E71F07" w:rsidRDefault="007023B4" w:rsidP="007023B4">
            <w:pPr>
              <w:pStyle w:val="SingleTxt"/>
              <w:spacing w:after="0"/>
              <w:ind w:left="0" w:right="0"/>
              <w:rPr>
                <w:rFonts w:hint="cs"/>
                <w:sz w:val="26"/>
                <w:szCs w:val="26"/>
                <w:rtl/>
              </w:rPr>
            </w:pPr>
            <w:r w:rsidRPr="00E71F07">
              <w:rPr>
                <w:rFonts w:hint="cs"/>
                <w:sz w:val="26"/>
                <w:szCs w:val="26"/>
                <w:rtl/>
              </w:rPr>
              <w:t>62.5</w:t>
            </w:r>
            <w:r w:rsidRPr="00E71F07">
              <w:rPr>
                <w:rFonts w:cs="Akhbar MT" w:hint="cs"/>
                <w:sz w:val="26"/>
                <w:szCs w:val="26"/>
                <w:rtl/>
              </w:rPr>
              <w:t>%</w:t>
            </w:r>
          </w:p>
        </w:tc>
        <w:tc>
          <w:tcPr>
            <w:tcW w:w="824" w:type="dxa"/>
          </w:tcPr>
          <w:p w:rsidR="007023B4" w:rsidRPr="00E71F07" w:rsidRDefault="007023B4" w:rsidP="007023B4">
            <w:pPr>
              <w:pStyle w:val="SingleTxt"/>
              <w:spacing w:after="0"/>
              <w:ind w:left="0" w:right="0"/>
              <w:rPr>
                <w:rFonts w:hint="cs"/>
                <w:sz w:val="26"/>
                <w:szCs w:val="26"/>
                <w:rtl/>
              </w:rPr>
            </w:pPr>
            <w:r w:rsidRPr="00E71F07">
              <w:rPr>
                <w:rFonts w:hint="cs"/>
                <w:sz w:val="26"/>
                <w:szCs w:val="26"/>
                <w:rtl/>
              </w:rPr>
              <w:t>100</w:t>
            </w:r>
            <w:r w:rsidRPr="00E71F07">
              <w:rPr>
                <w:rFonts w:cs="Akhbar MT" w:hint="cs"/>
                <w:sz w:val="26"/>
                <w:szCs w:val="26"/>
                <w:rtl/>
              </w:rPr>
              <w:t>%</w:t>
            </w:r>
          </w:p>
        </w:tc>
      </w:tr>
      <w:tr w:rsidR="007023B4">
        <w:tc>
          <w:tcPr>
            <w:tcW w:w="1442" w:type="dxa"/>
          </w:tcPr>
          <w:p w:rsidR="007023B4" w:rsidRPr="00E71F07" w:rsidRDefault="007023B4" w:rsidP="007023B4">
            <w:pPr>
              <w:pStyle w:val="SingleTxt"/>
              <w:spacing w:after="0"/>
              <w:ind w:left="0" w:right="0"/>
              <w:rPr>
                <w:rFonts w:hint="cs"/>
                <w:sz w:val="26"/>
                <w:szCs w:val="26"/>
                <w:rtl/>
              </w:rPr>
            </w:pPr>
            <w:r w:rsidRPr="00E71F07">
              <w:rPr>
                <w:rFonts w:cs="Akhbar MT" w:hint="cs"/>
                <w:sz w:val="26"/>
                <w:szCs w:val="26"/>
                <w:rtl/>
              </w:rPr>
              <w:t>%</w:t>
            </w:r>
          </w:p>
          <w:p w:rsidR="007023B4" w:rsidRPr="00E71F07" w:rsidRDefault="007023B4" w:rsidP="007023B4">
            <w:pPr>
              <w:pStyle w:val="SingleTxt"/>
              <w:spacing w:after="0"/>
              <w:ind w:left="0" w:right="0"/>
              <w:rPr>
                <w:rFonts w:hint="cs"/>
                <w:sz w:val="26"/>
                <w:szCs w:val="26"/>
                <w:rtl/>
              </w:rPr>
            </w:pPr>
            <w:r w:rsidRPr="00E71F07">
              <w:rPr>
                <w:rFonts w:hint="cs"/>
                <w:sz w:val="26"/>
                <w:szCs w:val="26"/>
                <w:rtl/>
              </w:rPr>
              <w:t>الفائزون/التسجيل</w:t>
            </w:r>
          </w:p>
        </w:tc>
        <w:tc>
          <w:tcPr>
            <w:tcW w:w="1133" w:type="dxa"/>
            <w:vAlign w:val="bottom"/>
          </w:tcPr>
          <w:p w:rsidR="007023B4" w:rsidRPr="00E71F07" w:rsidRDefault="007023B4" w:rsidP="007023B4">
            <w:pPr>
              <w:pStyle w:val="SingleTxt"/>
              <w:spacing w:after="0"/>
              <w:ind w:left="0" w:right="0"/>
              <w:jc w:val="left"/>
              <w:rPr>
                <w:rFonts w:hint="cs"/>
                <w:sz w:val="26"/>
                <w:szCs w:val="26"/>
                <w:rtl/>
              </w:rPr>
            </w:pPr>
            <w:r w:rsidRPr="00E71F07">
              <w:rPr>
                <w:rFonts w:hint="cs"/>
                <w:sz w:val="26"/>
                <w:szCs w:val="26"/>
                <w:rtl/>
              </w:rPr>
              <w:t>0.71</w:t>
            </w:r>
            <w:r w:rsidRPr="00E71F07">
              <w:rPr>
                <w:rFonts w:cs="Akhbar MT" w:hint="cs"/>
                <w:sz w:val="26"/>
                <w:szCs w:val="26"/>
                <w:rtl/>
              </w:rPr>
              <w:t>%</w:t>
            </w:r>
          </w:p>
        </w:tc>
        <w:tc>
          <w:tcPr>
            <w:tcW w:w="1133" w:type="dxa"/>
            <w:vAlign w:val="bottom"/>
          </w:tcPr>
          <w:p w:rsidR="007023B4" w:rsidRPr="00E71F07" w:rsidRDefault="007023B4" w:rsidP="007023B4">
            <w:pPr>
              <w:pStyle w:val="SingleTxt"/>
              <w:spacing w:after="0"/>
              <w:ind w:left="0" w:right="0"/>
              <w:jc w:val="left"/>
              <w:rPr>
                <w:rFonts w:hint="cs"/>
                <w:sz w:val="26"/>
                <w:szCs w:val="26"/>
                <w:rtl/>
              </w:rPr>
            </w:pPr>
            <w:r w:rsidRPr="00E71F07">
              <w:rPr>
                <w:rFonts w:hint="cs"/>
                <w:sz w:val="26"/>
                <w:szCs w:val="26"/>
                <w:rtl/>
              </w:rPr>
              <w:t>0.89</w:t>
            </w:r>
            <w:r w:rsidRPr="00E71F07">
              <w:rPr>
                <w:rFonts w:cs="Akhbar MT" w:hint="cs"/>
                <w:sz w:val="26"/>
                <w:szCs w:val="26"/>
                <w:rtl/>
              </w:rPr>
              <w:t>%</w:t>
            </w:r>
          </w:p>
        </w:tc>
        <w:tc>
          <w:tcPr>
            <w:tcW w:w="1133" w:type="dxa"/>
            <w:vAlign w:val="bottom"/>
          </w:tcPr>
          <w:p w:rsidR="007023B4" w:rsidRPr="00E71F07" w:rsidRDefault="007023B4" w:rsidP="007023B4">
            <w:pPr>
              <w:pStyle w:val="SingleTxt"/>
              <w:spacing w:after="0"/>
              <w:ind w:left="0" w:right="0"/>
              <w:jc w:val="left"/>
              <w:rPr>
                <w:rFonts w:hint="cs"/>
                <w:sz w:val="26"/>
                <w:szCs w:val="26"/>
                <w:rtl/>
              </w:rPr>
            </w:pPr>
            <w:r w:rsidRPr="00E71F07">
              <w:rPr>
                <w:rFonts w:hint="cs"/>
                <w:sz w:val="26"/>
                <w:szCs w:val="26"/>
                <w:rtl/>
              </w:rPr>
              <w:t>0.79</w:t>
            </w:r>
            <w:r w:rsidRPr="00E71F07">
              <w:rPr>
                <w:rFonts w:cs="Akhbar MT" w:hint="cs"/>
                <w:sz w:val="26"/>
                <w:szCs w:val="26"/>
                <w:rtl/>
              </w:rPr>
              <w:t>%</w:t>
            </w:r>
          </w:p>
        </w:tc>
        <w:tc>
          <w:tcPr>
            <w:tcW w:w="1133" w:type="dxa"/>
            <w:vAlign w:val="bottom"/>
          </w:tcPr>
          <w:p w:rsidR="007023B4" w:rsidRPr="00E71F07" w:rsidRDefault="007023B4" w:rsidP="007023B4">
            <w:pPr>
              <w:pStyle w:val="SingleTxt"/>
              <w:spacing w:after="0"/>
              <w:ind w:left="0" w:right="0"/>
              <w:jc w:val="left"/>
              <w:rPr>
                <w:rFonts w:hint="cs"/>
                <w:sz w:val="26"/>
                <w:szCs w:val="26"/>
                <w:rtl/>
              </w:rPr>
            </w:pPr>
            <w:r w:rsidRPr="00E71F07">
              <w:rPr>
                <w:rFonts w:hint="cs"/>
                <w:sz w:val="26"/>
                <w:szCs w:val="26"/>
                <w:rtl/>
              </w:rPr>
              <w:t>0.15</w:t>
            </w:r>
            <w:r w:rsidRPr="00E71F07">
              <w:rPr>
                <w:rFonts w:cs="Akhbar MT" w:hint="cs"/>
                <w:sz w:val="26"/>
                <w:szCs w:val="26"/>
                <w:rtl/>
              </w:rPr>
              <w:t>%</w:t>
            </w:r>
          </w:p>
        </w:tc>
        <w:tc>
          <w:tcPr>
            <w:tcW w:w="824" w:type="dxa"/>
            <w:vAlign w:val="bottom"/>
          </w:tcPr>
          <w:p w:rsidR="007023B4" w:rsidRPr="00E71F07" w:rsidRDefault="007023B4" w:rsidP="007023B4">
            <w:pPr>
              <w:pStyle w:val="SingleTxt"/>
              <w:spacing w:after="0"/>
              <w:ind w:left="0" w:right="0"/>
              <w:jc w:val="left"/>
              <w:rPr>
                <w:rFonts w:hint="cs"/>
                <w:sz w:val="26"/>
                <w:szCs w:val="26"/>
                <w:rtl/>
              </w:rPr>
            </w:pPr>
            <w:r w:rsidRPr="00E71F07">
              <w:rPr>
                <w:rFonts w:hint="cs"/>
                <w:sz w:val="26"/>
                <w:szCs w:val="26"/>
                <w:rtl/>
              </w:rPr>
              <w:t>0.36</w:t>
            </w:r>
            <w:r w:rsidRPr="00E71F07">
              <w:rPr>
                <w:rFonts w:cs="Akhbar MT" w:hint="cs"/>
                <w:sz w:val="26"/>
                <w:szCs w:val="26"/>
                <w:rtl/>
              </w:rPr>
              <w:t>%</w:t>
            </w:r>
          </w:p>
        </w:tc>
        <w:tc>
          <w:tcPr>
            <w:tcW w:w="824" w:type="dxa"/>
            <w:vAlign w:val="bottom"/>
          </w:tcPr>
          <w:p w:rsidR="007023B4" w:rsidRPr="00E71F07" w:rsidRDefault="007023B4" w:rsidP="007023B4">
            <w:pPr>
              <w:pStyle w:val="SingleTxt"/>
              <w:spacing w:after="0"/>
              <w:ind w:left="0" w:right="0"/>
              <w:jc w:val="left"/>
              <w:rPr>
                <w:rFonts w:hint="cs"/>
                <w:sz w:val="26"/>
                <w:szCs w:val="26"/>
                <w:rtl/>
              </w:rPr>
            </w:pPr>
            <w:r w:rsidRPr="00E71F07">
              <w:rPr>
                <w:rFonts w:hint="cs"/>
                <w:sz w:val="26"/>
                <w:szCs w:val="26"/>
                <w:rtl/>
              </w:rPr>
              <w:t>0.24</w:t>
            </w:r>
            <w:r w:rsidRPr="00E71F07">
              <w:rPr>
                <w:rFonts w:cs="Akhbar MT" w:hint="cs"/>
                <w:sz w:val="26"/>
                <w:szCs w:val="26"/>
                <w:rtl/>
              </w:rPr>
              <w:t>%</w:t>
            </w:r>
          </w:p>
        </w:tc>
      </w:tr>
    </w:tbl>
    <w:p w:rsidR="007023B4" w:rsidRPr="007C4A32" w:rsidRDefault="007023B4" w:rsidP="007023B4">
      <w:pPr>
        <w:pStyle w:val="SingleTxt"/>
        <w:spacing w:after="0" w:line="120" w:lineRule="exact"/>
        <w:rPr>
          <w:rFonts w:hint="cs"/>
          <w:sz w:val="10"/>
          <w:szCs w:val="26"/>
          <w:rtl/>
        </w:rPr>
      </w:pPr>
    </w:p>
    <w:p w:rsidR="007023B4" w:rsidRPr="00E71F07" w:rsidRDefault="007023B4" w:rsidP="007023B4">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sz w:val="26"/>
          <w:rtl/>
        </w:rPr>
      </w:pPr>
      <w:r w:rsidRPr="007C4A32">
        <w:rPr>
          <w:rFonts w:hint="cs"/>
          <w:i/>
          <w:iCs/>
          <w:sz w:val="26"/>
          <w:rtl/>
        </w:rPr>
        <w:t>المصدر</w:t>
      </w:r>
      <w:r w:rsidRPr="00E71F07">
        <w:rPr>
          <w:rFonts w:hint="cs"/>
          <w:sz w:val="26"/>
          <w:rtl/>
        </w:rPr>
        <w:t>:</w:t>
      </w:r>
      <w:r>
        <w:rPr>
          <w:rFonts w:hint="cs"/>
          <w:sz w:val="26"/>
          <w:rtl/>
        </w:rPr>
        <w:t xml:space="preserve"> </w:t>
      </w:r>
      <w:r w:rsidRPr="00E71F07">
        <w:rPr>
          <w:rFonts w:hint="cs"/>
          <w:sz w:val="26"/>
          <w:rtl/>
        </w:rPr>
        <w:t xml:space="preserve">مكتب </w:t>
      </w:r>
      <w:r>
        <w:rPr>
          <w:rFonts w:hint="cs"/>
          <w:rtl/>
        </w:rPr>
        <w:t>التعيين التابع للسلطة الاتحادية</w:t>
      </w:r>
      <w:r w:rsidRPr="00E71F07">
        <w:rPr>
          <w:rFonts w:hint="cs"/>
          <w:sz w:val="26"/>
          <w:rtl/>
        </w:rPr>
        <w:t>.</w:t>
      </w:r>
    </w:p>
    <w:p w:rsidR="007023B4" w:rsidRPr="007C4A32" w:rsidRDefault="007023B4" w:rsidP="007023B4">
      <w:pPr>
        <w:pStyle w:val="SingleTxt"/>
        <w:spacing w:after="0" w:line="120" w:lineRule="exact"/>
        <w:rPr>
          <w:rFonts w:hint="cs"/>
          <w:sz w:val="10"/>
          <w:rtl/>
        </w:rPr>
      </w:pPr>
    </w:p>
    <w:p w:rsidR="007023B4" w:rsidRPr="007C4A32" w:rsidRDefault="007023B4" w:rsidP="007023B4">
      <w:pPr>
        <w:pStyle w:val="SingleTxt"/>
        <w:spacing w:after="0" w:line="120" w:lineRule="exact"/>
        <w:rPr>
          <w:rFonts w:hint="cs"/>
          <w:sz w:val="10"/>
          <w:rtl/>
        </w:rPr>
      </w:pPr>
    </w:p>
    <w:p w:rsidR="007023B4" w:rsidRDefault="007023B4" w:rsidP="007023B4">
      <w:pPr>
        <w:pStyle w:val="SingleTxt"/>
        <w:rPr>
          <w:rFonts w:hint="cs"/>
          <w:rtl/>
        </w:rPr>
      </w:pPr>
      <w:r>
        <w:rPr>
          <w:rFonts w:hint="cs"/>
          <w:rtl/>
        </w:rPr>
        <w:tab/>
        <w:t>أجريت المسابقة فيما يتعلق بالسلك القنصلي فيما بين آذار/مارس 2006 وتشرين الأول/أكتوبر 2006.</w:t>
      </w:r>
    </w:p>
    <w:p w:rsidR="007023B4" w:rsidRPr="007C4A32" w:rsidRDefault="007023B4" w:rsidP="007023B4">
      <w:pPr>
        <w:pStyle w:val="SingleTxt"/>
        <w:spacing w:after="0" w:line="120" w:lineRule="exact"/>
        <w:rPr>
          <w:rFonts w:hint="cs"/>
          <w:i/>
          <w:iCs/>
          <w:sz w:val="10"/>
          <w:rtl/>
        </w:rPr>
      </w:pPr>
    </w:p>
    <w:p w:rsidR="007023B4" w:rsidRDefault="00B105BA" w:rsidP="00B105BA">
      <w:pPr>
        <w:pStyle w:val="SingleTxt"/>
        <w:rPr>
          <w:rFonts w:hint="cs"/>
          <w:i/>
          <w:iCs/>
          <w:rtl/>
        </w:rPr>
      </w:pPr>
      <w:r>
        <w:rPr>
          <w:rFonts w:hint="cs"/>
          <w:rtl/>
        </w:rPr>
        <w:t xml:space="preserve">2-3-  </w:t>
      </w:r>
      <w:r w:rsidR="007023B4" w:rsidRPr="00E71F07">
        <w:rPr>
          <w:rFonts w:hint="cs"/>
          <w:i/>
          <w:iCs/>
          <w:rtl/>
        </w:rPr>
        <w:t xml:space="preserve">الملحق </w:t>
      </w:r>
      <w:r w:rsidR="007023B4">
        <w:rPr>
          <w:rFonts w:hint="cs"/>
          <w:i/>
          <w:iCs/>
          <w:rtl/>
        </w:rPr>
        <w:t>في مجال</w:t>
      </w:r>
      <w:r w:rsidR="007023B4" w:rsidRPr="00E71F07">
        <w:rPr>
          <w:rFonts w:hint="cs"/>
          <w:i/>
          <w:iCs/>
          <w:rtl/>
        </w:rPr>
        <w:t xml:space="preserve"> بالتعاون من أجل التنمية</w:t>
      </w:r>
    </w:p>
    <w:p w:rsidR="007023B4" w:rsidRPr="007C4A32" w:rsidRDefault="007023B4" w:rsidP="007023B4">
      <w:pPr>
        <w:pStyle w:val="SingleTxt"/>
        <w:spacing w:after="0" w:line="120" w:lineRule="exact"/>
        <w:rPr>
          <w:rFonts w:hint="cs"/>
          <w:i/>
          <w:iCs/>
          <w:sz w:val="10"/>
          <w:rtl/>
        </w:rPr>
      </w:pPr>
    </w:p>
    <w:tbl>
      <w:tblPr>
        <w:tblStyle w:val="TableGrid"/>
        <w:bidiVisual/>
        <w:tblW w:w="0" w:type="auto"/>
        <w:tblInd w:w="482" w:type="dxa"/>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1E0" w:firstRow="1" w:lastRow="1" w:firstColumn="1" w:lastColumn="1" w:noHBand="0" w:noVBand="0"/>
      </w:tblPr>
      <w:tblGrid>
        <w:gridCol w:w="2163"/>
        <w:gridCol w:w="1133"/>
        <w:gridCol w:w="1133"/>
        <w:gridCol w:w="1133"/>
        <w:gridCol w:w="1133"/>
        <w:gridCol w:w="1133"/>
        <w:gridCol w:w="1133"/>
      </w:tblGrid>
      <w:tr w:rsidR="007023B4">
        <w:tc>
          <w:tcPr>
            <w:tcW w:w="2163" w:type="dxa"/>
            <w:tcBorders>
              <w:bottom w:val="nil"/>
            </w:tcBorders>
          </w:tcPr>
          <w:p w:rsidR="007023B4" w:rsidRPr="00E71F07" w:rsidRDefault="007023B4" w:rsidP="007023B4">
            <w:pPr>
              <w:pStyle w:val="SingleTxt"/>
              <w:spacing w:after="0"/>
              <w:ind w:left="0" w:right="0"/>
              <w:rPr>
                <w:rFonts w:hint="cs"/>
                <w:i/>
                <w:iCs/>
                <w:sz w:val="26"/>
                <w:szCs w:val="26"/>
                <w:rtl/>
              </w:rPr>
            </w:pPr>
            <w:r w:rsidRPr="00E71F07">
              <w:rPr>
                <w:rFonts w:hint="cs"/>
                <w:i/>
                <w:iCs/>
                <w:sz w:val="26"/>
                <w:szCs w:val="26"/>
                <w:rtl/>
              </w:rPr>
              <w:t>بيان اللغة</w:t>
            </w:r>
          </w:p>
        </w:tc>
        <w:tc>
          <w:tcPr>
            <w:tcW w:w="1133" w:type="dxa"/>
            <w:tcBorders>
              <w:top w:val="single" w:sz="12" w:space="0" w:color="auto"/>
              <w:bottom w:val="single" w:sz="2" w:space="0" w:color="auto"/>
            </w:tcBorders>
          </w:tcPr>
          <w:p w:rsidR="007023B4" w:rsidRPr="00E71F07" w:rsidRDefault="007023B4" w:rsidP="007023B4">
            <w:pPr>
              <w:pStyle w:val="SingleTxt"/>
              <w:spacing w:after="0"/>
              <w:ind w:left="0" w:right="0"/>
              <w:rPr>
                <w:rFonts w:hint="cs"/>
                <w:i/>
                <w:iCs/>
                <w:sz w:val="26"/>
                <w:szCs w:val="26"/>
                <w:rtl/>
              </w:rPr>
            </w:pPr>
            <w:r w:rsidRPr="00E71F07">
              <w:rPr>
                <w:rFonts w:hint="cs"/>
                <w:i/>
                <w:iCs/>
                <w:sz w:val="26"/>
                <w:szCs w:val="26"/>
                <w:rtl/>
              </w:rPr>
              <w:t>الهولندية</w:t>
            </w:r>
          </w:p>
        </w:tc>
        <w:tc>
          <w:tcPr>
            <w:tcW w:w="1133" w:type="dxa"/>
            <w:tcBorders>
              <w:top w:val="single" w:sz="12" w:space="0" w:color="auto"/>
              <w:bottom w:val="single" w:sz="2" w:space="0" w:color="auto"/>
            </w:tcBorders>
          </w:tcPr>
          <w:p w:rsidR="007023B4" w:rsidRPr="00E71F07" w:rsidRDefault="007023B4" w:rsidP="007023B4">
            <w:pPr>
              <w:pStyle w:val="SingleTxt"/>
              <w:spacing w:after="0"/>
              <w:ind w:left="0" w:right="0"/>
              <w:rPr>
                <w:rFonts w:hint="cs"/>
                <w:i/>
                <w:iCs/>
                <w:sz w:val="26"/>
                <w:szCs w:val="26"/>
                <w:rtl/>
              </w:rPr>
            </w:pPr>
            <w:r w:rsidRPr="00E71F07">
              <w:rPr>
                <w:rFonts w:hint="cs"/>
                <w:i/>
                <w:iCs/>
                <w:sz w:val="26"/>
                <w:szCs w:val="26"/>
                <w:rtl/>
              </w:rPr>
              <w:t>الهولندية</w:t>
            </w:r>
          </w:p>
        </w:tc>
        <w:tc>
          <w:tcPr>
            <w:tcW w:w="1133" w:type="dxa"/>
            <w:tcBorders>
              <w:top w:val="single" w:sz="12" w:space="0" w:color="auto"/>
              <w:bottom w:val="single" w:sz="2" w:space="0" w:color="auto"/>
            </w:tcBorders>
          </w:tcPr>
          <w:p w:rsidR="007023B4" w:rsidRPr="00E71F07" w:rsidRDefault="007023B4" w:rsidP="007023B4">
            <w:pPr>
              <w:pStyle w:val="SingleTxt"/>
              <w:spacing w:after="0"/>
              <w:ind w:left="0" w:right="0"/>
              <w:rPr>
                <w:rFonts w:hint="cs"/>
                <w:i/>
                <w:iCs/>
                <w:sz w:val="26"/>
                <w:szCs w:val="26"/>
                <w:rtl/>
              </w:rPr>
            </w:pPr>
            <w:r w:rsidRPr="00E71F07">
              <w:rPr>
                <w:rFonts w:hint="cs"/>
                <w:i/>
                <w:iCs/>
                <w:sz w:val="26"/>
                <w:szCs w:val="26"/>
                <w:rtl/>
              </w:rPr>
              <w:t>الهولندية</w:t>
            </w:r>
          </w:p>
        </w:tc>
        <w:tc>
          <w:tcPr>
            <w:tcW w:w="1133" w:type="dxa"/>
            <w:tcBorders>
              <w:top w:val="single" w:sz="12" w:space="0" w:color="auto"/>
              <w:bottom w:val="single" w:sz="2" w:space="0" w:color="auto"/>
            </w:tcBorders>
          </w:tcPr>
          <w:p w:rsidR="007023B4" w:rsidRPr="00E71F07" w:rsidRDefault="007023B4" w:rsidP="007023B4">
            <w:pPr>
              <w:pStyle w:val="SingleTxt"/>
              <w:spacing w:after="0"/>
              <w:ind w:left="0" w:right="0"/>
              <w:rPr>
                <w:rFonts w:hint="cs"/>
                <w:i/>
                <w:iCs/>
                <w:sz w:val="26"/>
                <w:szCs w:val="26"/>
                <w:rtl/>
              </w:rPr>
            </w:pPr>
            <w:r w:rsidRPr="00E71F07">
              <w:rPr>
                <w:rFonts w:hint="cs"/>
                <w:i/>
                <w:iCs/>
                <w:sz w:val="26"/>
                <w:szCs w:val="26"/>
                <w:rtl/>
              </w:rPr>
              <w:t>الفرنسية</w:t>
            </w:r>
          </w:p>
        </w:tc>
        <w:tc>
          <w:tcPr>
            <w:tcW w:w="1133" w:type="dxa"/>
            <w:tcBorders>
              <w:top w:val="single" w:sz="12" w:space="0" w:color="auto"/>
              <w:bottom w:val="single" w:sz="2" w:space="0" w:color="auto"/>
            </w:tcBorders>
          </w:tcPr>
          <w:p w:rsidR="007023B4" w:rsidRPr="00E71F07" w:rsidRDefault="007023B4" w:rsidP="007023B4">
            <w:pPr>
              <w:pStyle w:val="SingleTxt"/>
              <w:spacing w:after="0"/>
              <w:ind w:left="0" w:right="0"/>
              <w:rPr>
                <w:rFonts w:hint="cs"/>
                <w:i/>
                <w:iCs/>
                <w:sz w:val="26"/>
                <w:szCs w:val="26"/>
                <w:rtl/>
              </w:rPr>
            </w:pPr>
            <w:r w:rsidRPr="00E71F07">
              <w:rPr>
                <w:rFonts w:hint="cs"/>
                <w:i/>
                <w:iCs/>
                <w:sz w:val="26"/>
                <w:szCs w:val="26"/>
                <w:rtl/>
              </w:rPr>
              <w:t>الفرنسية</w:t>
            </w:r>
          </w:p>
        </w:tc>
        <w:tc>
          <w:tcPr>
            <w:tcW w:w="1133" w:type="dxa"/>
            <w:tcBorders>
              <w:top w:val="single" w:sz="12" w:space="0" w:color="auto"/>
              <w:bottom w:val="single" w:sz="2" w:space="0" w:color="auto"/>
            </w:tcBorders>
          </w:tcPr>
          <w:p w:rsidR="007023B4" w:rsidRPr="00E71F07" w:rsidRDefault="007023B4" w:rsidP="007023B4">
            <w:pPr>
              <w:pStyle w:val="SingleTxt"/>
              <w:spacing w:after="0"/>
              <w:ind w:left="0" w:right="0"/>
              <w:rPr>
                <w:rFonts w:hint="cs"/>
                <w:i/>
                <w:iCs/>
                <w:sz w:val="26"/>
                <w:szCs w:val="26"/>
                <w:rtl/>
              </w:rPr>
            </w:pPr>
            <w:r w:rsidRPr="00E71F07">
              <w:rPr>
                <w:rFonts w:hint="cs"/>
                <w:i/>
                <w:iCs/>
                <w:sz w:val="26"/>
                <w:szCs w:val="26"/>
                <w:rtl/>
              </w:rPr>
              <w:t>الفرنسية</w:t>
            </w:r>
          </w:p>
        </w:tc>
      </w:tr>
      <w:tr w:rsidR="007023B4">
        <w:tc>
          <w:tcPr>
            <w:tcW w:w="2163" w:type="dxa"/>
            <w:tcBorders>
              <w:top w:val="nil"/>
              <w:bottom w:val="single" w:sz="12" w:space="0" w:color="auto"/>
            </w:tcBorders>
          </w:tcPr>
          <w:p w:rsidR="007023B4" w:rsidRPr="00E71F07" w:rsidRDefault="007023B4" w:rsidP="007023B4">
            <w:pPr>
              <w:pStyle w:val="SingleTxt"/>
              <w:spacing w:after="0"/>
              <w:ind w:left="0" w:right="0"/>
              <w:rPr>
                <w:rFonts w:hint="cs"/>
                <w:i/>
                <w:iCs/>
                <w:sz w:val="26"/>
                <w:szCs w:val="26"/>
                <w:rtl/>
              </w:rPr>
            </w:pPr>
          </w:p>
        </w:tc>
        <w:tc>
          <w:tcPr>
            <w:tcW w:w="1133" w:type="dxa"/>
            <w:tcBorders>
              <w:top w:val="single" w:sz="2" w:space="0" w:color="auto"/>
              <w:bottom w:val="single" w:sz="12" w:space="0" w:color="auto"/>
            </w:tcBorders>
          </w:tcPr>
          <w:p w:rsidR="007023B4" w:rsidRPr="00E71F07" w:rsidRDefault="007023B4" w:rsidP="007023B4">
            <w:pPr>
              <w:pStyle w:val="SingleTxt"/>
              <w:spacing w:after="0"/>
              <w:ind w:left="0" w:right="0"/>
              <w:rPr>
                <w:rFonts w:hint="cs"/>
                <w:i/>
                <w:iCs/>
                <w:sz w:val="26"/>
                <w:szCs w:val="26"/>
                <w:rtl/>
              </w:rPr>
            </w:pPr>
            <w:r>
              <w:rPr>
                <w:rFonts w:hint="cs"/>
                <w:i/>
                <w:iCs/>
                <w:sz w:val="26"/>
                <w:szCs w:val="26"/>
                <w:rtl/>
              </w:rPr>
              <w:t>ال</w:t>
            </w:r>
            <w:r w:rsidRPr="00E71F07">
              <w:rPr>
                <w:rFonts w:hint="cs"/>
                <w:i/>
                <w:iCs/>
                <w:sz w:val="26"/>
                <w:szCs w:val="26"/>
                <w:rtl/>
              </w:rPr>
              <w:t>رج</w:t>
            </w:r>
            <w:r>
              <w:rPr>
                <w:rFonts w:hint="cs"/>
                <w:i/>
                <w:iCs/>
                <w:sz w:val="26"/>
                <w:szCs w:val="26"/>
                <w:rtl/>
              </w:rPr>
              <w:t>ال</w:t>
            </w:r>
          </w:p>
        </w:tc>
        <w:tc>
          <w:tcPr>
            <w:tcW w:w="1133" w:type="dxa"/>
            <w:tcBorders>
              <w:top w:val="single" w:sz="2" w:space="0" w:color="auto"/>
              <w:bottom w:val="single" w:sz="12" w:space="0" w:color="auto"/>
            </w:tcBorders>
          </w:tcPr>
          <w:p w:rsidR="007023B4" w:rsidRPr="00E71F07" w:rsidRDefault="007023B4" w:rsidP="007023B4">
            <w:pPr>
              <w:pStyle w:val="SingleTxt"/>
              <w:spacing w:after="0"/>
              <w:ind w:left="0" w:right="0"/>
              <w:rPr>
                <w:rFonts w:hint="cs"/>
                <w:i/>
                <w:iCs/>
                <w:sz w:val="26"/>
                <w:szCs w:val="26"/>
                <w:rtl/>
              </w:rPr>
            </w:pPr>
            <w:r w:rsidRPr="00E71F07">
              <w:rPr>
                <w:rFonts w:hint="cs"/>
                <w:i/>
                <w:iCs/>
                <w:sz w:val="26"/>
                <w:szCs w:val="26"/>
                <w:rtl/>
              </w:rPr>
              <w:t>ا</w:t>
            </w:r>
            <w:r>
              <w:rPr>
                <w:rFonts w:hint="cs"/>
                <w:i/>
                <w:iCs/>
                <w:sz w:val="26"/>
                <w:szCs w:val="26"/>
                <w:rtl/>
              </w:rPr>
              <w:t>لنساء</w:t>
            </w:r>
          </w:p>
        </w:tc>
        <w:tc>
          <w:tcPr>
            <w:tcW w:w="1133" w:type="dxa"/>
            <w:tcBorders>
              <w:top w:val="single" w:sz="2" w:space="0" w:color="auto"/>
              <w:bottom w:val="single" w:sz="12" w:space="0" w:color="auto"/>
            </w:tcBorders>
          </w:tcPr>
          <w:p w:rsidR="007023B4" w:rsidRPr="00E71F07" w:rsidRDefault="007023B4" w:rsidP="007023B4">
            <w:pPr>
              <w:pStyle w:val="SingleTxt"/>
              <w:spacing w:after="0"/>
              <w:ind w:left="0" w:right="0"/>
              <w:rPr>
                <w:rFonts w:hint="cs"/>
                <w:i/>
                <w:iCs/>
                <w:sz w:val="26"/>
                <w:szCs w:val="26"/>
                <w:rtl/>
              </w:rPr>
            </w:pPr>
            <w:r w:rsidRPr="00E71F07">
              <w:rPr>
                <w:rFonts w:hint="cs"/>
                <w:i/>
                <w:iCs/>
                <w:sz w:val="26"/>
                <w:szCs w:val="26"/>
                <w:rtl/>
              </w:rPr>
              <w:t>المجموع</w:t>
            </w:r>
          </w:p>
        </w:tc>
        <w:tc>
          <w:tcPr>
            <w:tcW w:w="1133" w:type="dxa"/>
            <w:tcBorders>
              <w:top w:val="single" w:sz="2" w:space="0" w:color="auto"/>
              <w:bottom w:val="single" w:sz="12" w:space="0" w:color="auto"/>
            </w:tcBorders>
          </w:tcPr>
          <w:p w:rsidR="007023B4" w:rsidRPr="00E71F07" w:rsidRDefault="007023B4" w:rsidP="007023B4">
            <w:pPr>
              <w:pStyle w:val="SingleTxt"/>
              <w:spacing w:after="0"/>
              <w:ind w:left="0" w:right="0"/>
              <w:rPr>
                <w:rFonts w:hint="cs"/>
                <w:i/>
                <w:iCs/>
                <w:sz w:val="26"/>
                <w:szCs w:val="26"/>
                <w:rtl/>
              </w:rPr>
            </w:pPr>
            <w:r>
              <w:rPr>
                <w:rFonts w:hint="cs"/>
                <w:i/>
                <w:iCs/>
                <w:sz w:val="26"/>
                <w:szCs w:val="26"/>
                <w:rtl/>
              </w:rPr>
              <w:t>ال</w:t>
            </w:r>
            <w:r w:rsidRPr="00E71F07">
              <w:rPr>
                <w:rFonts w:hint="cs"/>
                <w:i/>
                <w:iCs/>
                <w:sz w:val="26"/>
                <w:szCs w:val="26"/>
                <w:rtl/>
              </w:rPr>
              <w:t>رج</w:t>
            </w:r>
            <w:r>
              <w:rPr>
                <w:rFonts w:hint="cs"/>
                <w:i/>
                <w:iCs/>
                <w:sz w:val="26"/>
                <w:szCs w:val="26"/>
                <w:rtl/>
              </w:rPr>
              <w:t>ال</w:t>
            </w:r>
          </w:p>
        </w:tc>
        <w:tc>
          <w:tcPr>
            <w:tcW w:w="1133" w:type="dxa"/>
            <w:tcBorders>
              <w:top w:val="single" w:sz="2" w:space="0" w:color="auto"/>
              <w:bottom w:val="single" w:sz="12" w:space="0" w:color="auto"/>
            </w:tcBorders>
          </w:tcPr>
          <w:p w:rsidR="007023B4" w:rsidRPr="00E71F07" w:rsidRDefault="007023B4" w:rsidP="007023B4">
            <w:pPr>
              <w:pStyle w:val="SingleTxt"/>
              <w:spacing w:after="0"/>
              <w:ind w:left="0" w:right="0"/>
              <w:rPr>
                <w:rFonts w:hint="cs"/>
                <w:i/>
                <w:iCs/>
                <w:sz w:val="26"/>
                <w:szCs w:val="26"/>
                <w:rtl/>
              </w:rPr>
            </w:pPr>
            <w:r w:rsidRPr="00E71F07">
              <w:rPr>
                <w:rFonts w:hint="cs"/>
                <w:i/>
                <w:iCs/>
                <w:sz w:val="26"/>
                <w:szCs w:val="26"/>
                <w:rtl/>
              </w:rPr>
              <w:t>ا</w:t>
            </w:r>
            <w:r>
              <w:rPr>
                <w:rFonts w:hint="cs"/>
                <w:i/>
                <w:iCs/>
                <w:sz w:val="26"/>
                <w:szCs w:val="26"/>
                <w:rtl/>
              </w:rPr>
              <w:t>لنساء</w:t>
            </w:r>
          </w:p>
        </w:tc>
        <w:tc>
          <w:tcPr>
            <w:tcW w:w="1133" w:type="dxa"/>
            <w:tcBorders>
              <w:top w:val="single" w:sz="2" w:space="0" w:color="auto"/>
              <w:bottom w:val="single" w:sz="12" w:space="0" w:color="auto"/>
            </w:tcBorders>
          </w:tcPr>
          <w:p w:rsidR="007023B4" w:rsidRPr="00E71F07" w:rsidRDefault="007023B4" w:rsidP="007023B4">
            <w:pPr>
              <w:pStyle w:val="SingleTxt"/>
              <w:spacing w:after="0"/>
              <w:ind w:left="0" w:right="0"/>
              <w:rPr>
                <w:rFonts w:hint="cs"/>
                <w:i/>
                <w:iCs/>
                <w:sz w:val="26"/>
                <w:szCs w:val="26"/>
                <w:rtl/>
              </w:rPr>
            </w:pPr>
            <w:r w:rsidRPr="00E71F07">
              <w:rPr>
                <w:rFonts w:hint="cs"/>
                <w:i/>
                <w:iCs/>
                <w:sz w:val="26"/>
                <w:szCs w:val="26"/>
                <w:rtl/>
              </w:rPr>
              <w:t>المجموع</w:t>
            </w:r>
          </w:p>
        </w:tc>
      </w:tr>
      <w:tr w:rsidR="007023B4">
        <w:tc>
          <w:tcPr>
            <w:tcW w:w="2163" w:type="dxa"/>
            <w:tcBorders>
              <w:top w:val="single" w:sz="12" w:space="0" w:color="auto"/>
            </w:tcBorders>
          </w:tcPr>
          <w:p w:rsidR="007023B4" w:rsidRPr="00E71F07" w:rsidRDefault="007023B4" w:rsidP="007023B4">
            <w:pPr>
              <w:pStyle w:val="SingleTxt"/>
              <w:spacing w:after="0"/>
              <w:ind w:left="0" w:right="0"/>
              <w:rPr>
                <w:rFonts w:hint="cs"/>
                <w:sz w:val="26"/>
                <w:szCs w:val="26"/>
                <w:rtl/>
              </w:rPr>
            </w:pPr>
            <w:r w:rsidRPr="00E71F07">
              <w:rPr>
                <w:rFonts w:hint="cs"/>
                <w:sz w:val="26"/>
                <w:szCs w:val="26"/>
                <w:rtl/>
              </w:rPr>
              <w:t>التسجيل</w:t>
            </w:r>
          </w:p>
        </w:tc>
        <w:tc>
          <w:tcPr>
            <w:tcW w:w="1133" w:type="dxa"/>
            <w:tcBorders>
              <w:top w:val="single" w:sz="12" w:space="0" w:color="auto"/>
            </w:tcBorders>
          </w:tcPr>
          <w:p w:rsidR="007023B4" w:rsidRPr="00E71F07" w:rsidRDefault="007023B4" w:rsidP="007023B4">
            <w:pPr>
              <w:pStyle w:val="SingleTxt"/>
              <w:spacing w:after="0"/>
              <w:ind w:left="0" w:right="0"/>
              <w:rPr>
                <w:rFonts w:hint="cs"/>
                <w:sz w:val="26"/>
                <w:szCs w:val="26"/>
                <w:rtl/>
              </w:rPr>
            </w:pPr>
            <w:r w:rsidRPr="00E71F07">
              <w:rPr>
                <w:rFonts w:hint="cs"/>
                <w:sz w:val="26"/>
                <w:szCs w:val="26"/>
                <w:rtl/>
              </w:rPr>
              <w:t>203</w:t>
            </w:r>
          </w:p>
        </w:tc>
        <w:tc>
          <w:tcPr>
            <w:tcW w:w="1133" w:type="dxa"/>
            <w:tcBorders>
              <w:top w:val="single" w:sz="12" w:space="0" w:color="auto"/>
            </w:tcBorders>
          </w:tcPr>
          <w:p w:rsidR="007023B4" w:rsidRPr="00E71F07" w:rsidRDefault="007023B4" w:rsidP="007023B4">
            <w:pPr>
              <w:pStyle w:val="SingleTxt"/>
              <w:spacing w:after="0"/>
              <w:ind w:left="0" w:right="0"/>
              <w:rPr>
                <w:rFonts w:hint="cs"/>
                <w:sz w:val="26"/>
                <w:szCs w:val="26"/>
                <w:rtl/>
              </w:rPr>
            </w:pPr>
            <w:r w:rsidRPr="00E71F07">
              <w:rPr>
                <w:rFonts w:hint="cs"/>
                <w:sz w:val="26"/>
                <w:szCs w:val="26"/>
                <w:rtl/>
              </w:rPr>
              <w:t>135</w:t>
            </w:r>
          </w:p>
        </w:tc>
        <w:tc>
          <w:tcPr>
            <w:tcW w:w="1133" w:type="dxa"/>
            <w:tcBorders>
              <w:top w:val="single" w:sz="12" w:space="0" w:color="auto"/>
            </w:tcBorders>
          </w:tcPr>
          <w:p w:rsidR="007023B4" w:rsidRPr="00E71F07" w:rsidRDefault="007023B4" w:rsidP="007023B4">
            <w:pPr>
              <w:pStyle w:val="SingleTxt"/>
              <w:spacing w:after="0"/>
              <w:ind w:left="0" w:right="0"/>
              <w:rPr>
                <w:rFonts w:hint="cs"/>
                <w:sz w:val="26"/>
                <w:szCs w:val="26"/>
                <w:rtl/>
              </w:rPr>
            </w:pPr>
            <w:r w:rsidRPr="00E71F07">
              <w:rPr>
                <w:rFonts w:hint="cs"/>
                <w:sz w:val="26"/>
                <w:szCs w:val="26"/>
                <w:rtl/>
              </w:rPr>
              <w:t>338</w:t>
            </w:r>
          </w:p>
        </w:tc>
        <w:tc>
          <w:tcPr>
            <w:tcW w:w="1133" w:type="dxa"/>
            <w:tcBorders>
              <w:top w:val="single" w:sz="12" w:space="0" w:color="auto"/>
            </w:tcBorders>
          </w:tcPr>
          <w:p w:rsidR="007023B4" w:rsidRPr="00E71F07" w:rsidRDefault="007023B4" w:rsidP="007023B4">
            <w:pPr>
              <w:pStyle w:val="SingleTxt"/>
              <w:spacing w:after="0"/>
              <w:ind w:left="0" w:right="0"/>
              <w:rPr>
                <w:rFonts w:hint="cs"/>
                <w:sz w:val="26"/>
                <w:szCs w:val="26"/>
                <w:rtl/>
              </w:rPr>
            </w:pPr>
            <w:r w:rsidRPr="00E71F07">
              <w:rPr>
                <w:rFonts w:hint="cs"/>
                <w:sz w:val="26"/>
                <w:szCs w:val="26"/>
                <w:rtl/>
              </w:rPr>
              <w:t>527</w:t>
            </w:r>
          </w:p>
        </w:tc>
        <w:tc>
          <w:tcPr>
            <w:tcW w:w="1133" w:type="dxa"/>
            <w:tcBorders>
              <w:top w:val="single" w:sz="12" w:space="0" w:color="auto"/>
            </w:tcBorders>
          </w:tcPr>
          <w:p w:rsidR="007023B4" w:rsidRPr="00E71F07" w:rsidRDefault="007023B4" w:rsidP="007023B4">
            <w:pPr>
              <w:pStyle w:val="SingleTxt"/>
              <w:spacing w:after="0"/>
              <w:ind w:left="0" w:right="0"/>
              <w:rPr>
                <w:rFonts w:hint="cs"/>
                <w:sz w:val="26"/>
                <w:szCs w:val="26"/>
                <w:rtl/>
              </w:rPr>
            </w:pPr>
            <w:r w:rsidRPr="00E71F07">
              <w:rPr>
                <w:rFonts w:hint="cs"/>
                <w:sz w:val="26"/>
                <w:szCs w:val="26"/>
                <w:rtl/>
              </w:rPr>
              <w:t>360</w:t>
            </w:r>
          </w:p>
        </w:tc>
        <w:tc>
          <w:tcPr>
            <w:tcW w:w="1133" w:type="dxa"/>
            <w:tcBorders>
              <w:top w:val="single" w:sz="12" w:space="0" w:color="auto"/>
            </w:tcBorders>
          </w:tcPr>
          <w:p w:rsidR="007023B4" w:rsidRPr="00E71F07" w:rsidRDefault="007023B4" w:rsidP="007023B4">
            <w:pPr>
              <w:pStyle w:val="SingleTxt"/>
              <w:spacing w:after="0"/>
              <w:ind w:left="0" w:right="0"/>
              <w:rPr>
                <w:rFonts w:hint="cs"/>
                <w:sz w:val="26"/>
                <w:szCs w:val="26"/>
                <w:rtl/>
              </w:rPr>
            </w:pPr>
            <w:r w:rsidRPr="00E71F07">
              <w:rPr>
                <w:rFonts w:hint="cs"/>
                <w:sz w:val="26"/>
                <w:szCs w:val="26"/>
                <w:rtl/>
              </w:rPr>
              <w:t>887</w:t>
            </w:r>
          </w:p>
        </w:tc>
      </w:tr>
      <w:tr w:rsidR="007023B4">
        <w:tc>
          <w:tcPr>
            <w:tcW w:w="2163" w:type="dxa"/>
          </w:tcPr>
          <w:p w:rsidR="007023B4" w:rsidRPr="00E71F07" w:rsidRDefault="007023B4" w:rsidP="007023B4">
            <w:pPr>
              <w:pStyle w:val="SingleTxt"/>
              <w:spacing w:after="0"/>
              <w:ind w:left="0" w:right="0"/>
              <w:rPr>
                <w:rFonts w:cs="Akhbar MT" w:hint="cs"/>
                <w:sz w:val="26"/>
                <w:szCs w:val="26"/>
                <w:rtl/>
              </w:rPr>
            </w:pPr>
            <w:r w:rsidRPr="00E71F07">
              <w:rPr>
                <w:rFonts w:cs="Akhbar MT" w:hint="cs"/>
                <w:sz w:val="26"/>
                <w:szCs w:val="26"/>
                <w:rtl/>
              </w:rPr>
              <w:t>%</w:t>
            </w:r>
          </w:p>
        </w:tc>
        <w:tc>
          <w:tcPr>
            <w:tcW w:w="1133" w:type="dxa"/>
          </w:tcPr>
          <w:p w:rsidR="007023B4" w:rsidRPr="00E71F07" w:rsidRDefault="007023B4" w:rsidP="007023B4">
            <w:pPr>
              <w:pStyle w:val="SingleTxt"/>
              <w:spacing w:after="0"/>
              <w:ind w:left="0" w:right="0"/>
              <w:rPr>
                <w:rFonts w:hint="cs"/>
                <w:sz w:val="26"/>
                <w:szCs w:val="26"/>
                <w:rtl/>
              </w:rPr>
            </w:pPr>
            <w:r w:rsidRPr="00E71F07">
              <w:rPr>
                <w:rFonts w:hint="cs"/>
                <w:sz w:val="26"/>
                <w:szCs w:val="26"/>
                <w:rtl/>
              </w:rPr>
              <w:t>60</w:t>
            </w:r>
            <w:r w:rsidRPr="00E71F07">
              <w:rPr>
                <w:rFonts w:cs="Akhbar MT" w:hint="cs"/>
                <w:sz w:val="26"/>
                <w:szCs w:val="26"/>
                <w:rtl/>
              </w:rPr>
              <w:t>%</w:t>
            </w:r>
          </w:p>
        </w:tc>
        <w:tc>
          <w:tcPr>
            <w:tcW w:w="1133" w:type="dxa"/>
          </w:tcPr>
          <w:p w:rsidR="007023B4" w:rsidRPr="00E71F07" w:rsidRDefault="007023B4" w:rsidP="007023B4">
            <w:pPr>
              <w:pStyle w:val="SingleTxt"/>
              <w:spacing w:after="0"/>
              <w:ind w:left="0" w:right="0"/>
              <w:rPr>
                <w:rFonts w:hint="cs"/>
                <w:sz w:val="26"/>
                <w:szCs w:val="26"/>
                <w:rtl/>
              </w:rPr>
            </w:pPr>
            <w:r w:rsidRPr="00E71F07">
              <w:rPr>
                <w:rFonts w:hint="cs"/>
                <w:sz w:val="26"/>
                <w:szCs w:val="26"/>
                <w:rtl/>
              </w:rPr>
              <w:t>40</w:t>
            </w:r>
            <w:r w:rsidRPr="00E71F07">
              <w:rPr>
                <w:rFonts w:cs="Akhbar MT" w:hint="cs"/>
                <w:sz w:val="26"/>
                <w:szCs w:val="26"/>
                <w:rtl/>
              </w:rPr>
              <w:t>%</w:t>
            </w:r>
          </w:p>
        </w:tc>
        <w:tc>
          <w:tcPr>
            <w:tcW w:w="1133" w:type="dxa"/>
          </w:tcPr>
          <w:p w:rsidR="007023B4" w:rsidRPr="00E71F07" w:rsidRDefault="007023B4" w:rsidP="007023B4">
            <w:pPr>
              <w:pStyle w:val="SingleTxt"/>
              <w:spacing w:after="0"/>
              <w:ind w:left="0" w:right="0"/>
              <w:rPr>
                <w:rFonts w:hint="cs"/>
                <w:sz w:val="26"/>
                <w:szCs w:val="26"/>
                <w:rtl/>
              </w:rPr>
            </w:pPr>
            <w:r w:rsidRPr="00E71F07">
              <w:rPr>
                <w:rFonts w:hint="cs"/>
                <w:sz w:val="26"/>
                <w:szCs w:val="26"/>
                <w:rtl/>
              </w:rPr>
              <w:t>100</w:t>
            </w:r>
            <w:r w:rsidRPr="00E71F07">
              <w:rPr>
                <w:rFonts w:cs="Akhbar MT" w:hint="cs"/>
                <w:sz w:val="26"/>
                <w:szCs w:val="26"/>
                <w:rtl/>
              </w:rPr>
              <w:t>%</w:t>
            </w:r>
          </w:p>
        </w:tc>
        <w:tc>
          <w:tcPr>
            <w:tcW w:w="1133" w:type="dxa"/>
          </w:tcPr>
          <w:p w:rsidR="007023B4" w:rsidRPr="00E71F07" w:rsidRDefault="007023B4" w:rsidP="007023B4">
            <w:pPr>
              <w:pStyle w:val="SingleTxt"/>
              <w:spacing w:after="0"/>
              <w:ind w:left="0" w:right="0"/>
              <w:rPr>
                <w:rFonts w:hint="cs"/>
                <w:sz w:val="26"/>
                <w:szCs w:val="26"/>
                <w:rtl/>
              </w:rPr>
            </w:pPr>
            <w:r w:rsidRPr="00E71F07">
              <w:rPr>
                <w:rFonts w:hint="cs"/>
                <w:sz w:val="26"/>
                <w:szCs w:val="26"/>
                <w:rtl/>
              </w:rPr>
              <w:t>59.40</w:t>
            </w:r>
            <w:r w:rsidRPr="00E71F07">
              <w:rPr>
                <w:rFonts w:cs="Akhbar MT" w:hint="cs"/>
                <w:sz w:val="26"/>
                <w:szCs w:val="26"/>
                <w:rtl/>
              </w:rPr>
              <w:t>%</w:t>
            </w:r>
          </w:p>
        </w:tc>
        <w:tc>
          <w:tcPr>
            <w:tcW w:w="1133" w:type="dxa"/>
          </w:tcPr>
          <w:p w:rsidR="007023B4" w:rsidRPr="00E71F07" w:rsidRDefault="007023B4" w:rsidP="007023B4">
            <w:pPr>
              <w:pStyle w:val="SingleTxt"/>
              <w:spacing w:after="0"/>
              <w:ind w:left="0" w:right="0"/>
              <w:rPr>
                <w:rFonts w:hint="cs"/>
                <w:sz w:val="26"/>
                <w:szCs w:val="26"/>
                <w:rtl/>
              </w:rPr>
            </w:pPr>
            <w:r w:rsidRPr="00E71F07">
              <w:rPr>
                <w:rFonts w:hint="cs"/>
                <w:sz w:val="26"/>
                <w:szCs w:val="26"/>
                <w:rtl/>
              </w:rPr>
              <w:t>40.60</w:t>
            </w:r>
            <w:r w:rsidRPr="00E71F07">
              <w:rPr>
                <w:rFonts w:cs="Akhbar MT" w:hint="cs"/>
                <w:sz w:val="26"/>
                <w:szCs w:val="26"/>
                <w:rtl/>
              </w:rPr>
              <w:t>%</w:t>
            </w:r>
          </w:p>
        </w:tc>
        <w:tc>
          <w:tcPr>
            <w:tcW w:w="1133" w:type="dxa"/>
          </w:tcPr>
          <w:p w:rsidR="007023B4" w:rsidRPr="00E71F07" w:rsidRDefault="007023B4" w:rsidP="007023B4">
            <w:pPr>
              <w:pStyle w:val="SingleTxt"/>
              <w:spacing w:after="0"/>
              <w:ind w:left="0" w:right="0"/>
              <w:rPr>
                <w:rFonts w:hint="cs"/>
                <w:sz w:val="26"/>
                <w:szCs w:val="26"/>
                <w:rtl/>
              </w:rPr>
            </w:pPr>
            <w:r w:rsidRPr="00E71F07">
              <w:rPr>
                <w:rFonts w:hint="cs"/>
                <w:sz w:val="26"/>
                <w:szCs w:val="26"/>
                <w:rtl/>
              </w:rPr>
              <w:t>100</w:t>
            </w:r>
            <w:r w:rsidRPr="00E71F07">
              <w:rPr>
                <w:rFonts w:cs="Akhbar MT" w:hint="cs"/>
                <w:sz w:val="26"/>
                <w:szCs w:val="26"/>
                <w:rtl/>
              </w:rPr>
              <w:t>%</w:t>
            </w:r>
          </w:p>
        </w:tc>
      </w:tr>
      <w:tr w:rsidR="007023B4">
        <w:tc>
          <w:tcPr>
            <w:tcW w:w="2163" w:type="dxa"/>
          </w:tcPr>
          <w:p w:rsidR="007023B4" w:rsidRPr="00E71F07" w:rsidRDefault="007023B4" w:rsidP="007023B4">
            <w:pPr>
              <w:pStyle w:val="SingleTxt"/>
              <w:spacing w:after="0"/>
              <w:ind w:left="0" w:right="0"/>
              <w:rPr>
                <w:rFonts w:hint="cs"/>
                <w:sz w:val="26"/>
                <w:szCs w:val="26"/>
                <w:rtl/>
              </w:rPr>
            </w:pPr>
            <w:r w:rsidRPr="00E71F07">
              <w:rPr>
                <w:rFonts w:hint="cs"/>
                <w:sz w:val="26"/>
                <w:szCs w:val="26"/>
                <w:rtl/>
              </w:rPr>
              <w:t>قبول الطلب</w:t>
            </w:r>
          </w:p>
        </w:tc>
        <w:tc>
          <w:tcPr>
            <w:tcW w:w="1133" w:type="dxa"/>
          </w:tcPr>
          <w:p w:rsidR="007023B4" w:rsidRPr="00E71F07" w:rsidRDefault="007023B4" w:rsidP="007023B4">
            <w:pPr>
              <w:pStyle w:val="SingleTxt"/>
              <w:spacing w:after="0"/>
              <w:ind w:left="0" w:right="0"/>
              <w:rPr>
                <w:rFonts w:hint="cs"/>
                <w:sz w:val="26"/>
                <w:szCs w:val="26"/>
                <w:rtl/>
              </w:rPr>
            </w:pPr>
            <w:r w:rsidRPr="00E71F07">
              <w:rPr>
                <w:rFonts w:hint="cs"/>
                <w:sz w:val="26"/>
                <w:szCs w:val="26"/>
                <w:rtl/>
              </w:rPr>
              <w:t>36</w:t>
            </w:r>
          </w:p>
        </w:tc>
        <w:tc>
          <w:tcPr>
            <w:tcW w:w="1133" w:type="dxa"/>
          </w:tcPr>
          <w:p w:rsidR="007023B4" w:rsidRPr="00E71F07" w:rsidRDefault="007023B4" w:rsidP="007023B4">
            <w:pPr>
              <w:pStyle w:val="SingleTxt"/>
              <w:spacing w:after="0"/>
              <w:ind w:left="0" w:right="0"/>
              <w:rPr>
                <w:rFonts w:hint="cs"/>
                <w:sz w:val="26"/>
                <w:szCs w:val="26"/>
                <w:rtl/>
              </w:rPr>
            </w:pPr>
            <w:r w:rsidRPr="00E71F07">
              <w:rPr>
                <w:rFonts w:hint="cs"/>
                <w:sz w:val="26"/>
                <w:szCs w:val="26"/>
                <w:rtl/>
              </w:rPr>
              <w:t>9</w:t>
            </w:r>
          </w:p>
        </w:tc>
        <w:tc>
          <w:tcPr>
            <w:tcW w:w="1133" w:type="dxa"/>
          </w:tcPr>
          <w:p w:rsidR="007023B4" w:rsidRPr="00E71F07" w:rsidRDefault="007023B4" w:rsidP="007023B4">
            <w:pPr>
              <w:pStyle w:val="SingleTxt"/>
              <w:spacing w:after="0"/>
              <w:ind w:left="0" w:right="0"/>
              <w:rPr>
                <w:rFonts w:hint="cs"/>
                <w:sz w:val="26"/>
                <w:szCs w:val="26"/>
                <w:rtl/>
              </w:rPr>
            </w:pPr>
            <w:r w:rsidRPr="00E71F07">
              <w:rPr>
                <w:rFonts w:hint="cs"/>
                <w:sz w:val="26"/>
                <w:szCs w:val="26"/>
                <w:rtl/>
              </w:rPr>
              <w:t>45</w:t>
            </w:r>
          </w:p>
        </w:tc>
        <w:tc>
          <w:tcPr>
            <w:tcW w:w="1133" w:type="dxa"/>
          </w:tcPr>
          <w:p w:rsidR="007023B4" w:rsidRPr="00E71F07" w:rsidRDefault="007023B4" w:rsidP="007023B4">
            <w:pPr>
              <w:pStyle w:val="SingleTxt"/>
              <w:spacing w:after="0"/>
              <w:ind w:left="0" w:right="0"/>
              <w:rPr>
                <w:rFonts w:hint="cs"/>
                <w:sz w:val="26"/>
                <w:szCs w:val="26"/>
                <w:rtl/>
              </w:rPr>
            </w:pPr>
            <w:r w:rsidRPr="00E71F07">
              <w:rPr>
                <w:rFonts w:hint="cs"/>
                <w:sz w:val="26"/>
                <w:szCs w:val="26"/>
                <w:rtl/>
              </w:rPr>
              <w:t>45</w:t>
            </w:r>
          </w:p>
        </w:tc>
        <w:tc>
          <w:tcPr>
            <w:tcW w:w="1133" w:type="dxa"/>
          </w:tcPr>
          <w:p w:rsidR="007023B4" w:rsidRPr="00E71F07" w:rsidRDefault="007023B4" w:rsidP="007023B4">
            <w:pPr>
              <w:pStyle w:val="SingleTxt"/>
              <w:spacing w:after="0"/>
              <w:ind w:left="0" w:right="0"/>
              <w:rPr>
                <w:rFonts w:hint="cs"/>
                <w:sz w:val="26"/>
                <w:szCs w:val="26"/>
                <w:rtl/>
              </w:rPr>
            </w:pPr>
            <w:r w:rsidRPr="00E71F07">
              <w:rPr>
                <w:rFonts w:hint="cs"/>
                <w:sz w:val="26"/>
                <w:szCs w:val="26"/>
                <w:rtl/>
              </w:rPr>
              <w:t>21</w:t>
            </w:r>
          </w:p>
        </w:tc>
        <w:tc>
          <w:tcPr>
            <w:tcW w:w="1133" w:type="dxa"/>
          </w:tcPr>
          <w:p w:rsidR="007023B4" w:rsidRPr="00E71F07" w:rsidRDefault="007023B4" w:rsidP="007023B4">
            <w:pPr>
              <w:pStyle w:val="SingleTxt"/>
              <w:spacing w:after="0"/>
              <w:ind w:left="0" w:right="0"/>
              <w:rPr>
                <w:rFonts w:hint="cs"/>
                <w:sz w:val="26"/>
                <w:szCs w:val="26"/>
                <w:rtl/>
              </w:rPr>
            </w:pPr>
            <w:r w:rsidRPr="00E71F07">
              <w:rPr>
                <w:rFonts w:hint="cs"/>
                <w:sz w:val="26"/>
                <w:szCs w:val="26"/>
                <w:rtl/>
              </w:rPr>
              <w:t>66</w:t>
            </w:r>
          </w:p>
        </w:tc>
      </w:tr>
      <w:tr w:rsidR="007023B4">
        <w:tc>
          <w:tcPr>
            <w:tcW w:w="2163" w:type="dxa"/>
          </w:tcPr>
          <w:p w:rsidR="007023B4" w:rsidRPr="00E71F07" w:rsidRDefault="007023B4" w:rsidP="007023B4">
            <w:pPr>
              <w:pStyle w:val="SingleTxt"/>
              <w:spacing w:after="0"/>
              <w:ind w:left="0" w:right="0"/>
              <w:rPr>
                <w:rFonts w:hint="cs"/>
                <w:sz w:val="26"/>
                <w:szCs w:val="26"/>
                <w:rtl/>
              </w:rPr>
            </w:pPr>
            <w:r w:rsidRPr="00E71F07">
              <w:rPr>
                <w:rFonts w:hint="cs"/>
                <w:sz w:val="26"/>
                <w:szCs w:val="26"/>
                <w:rtl/>
              </w:rPr>
              <w:t>الفائزون</w:t>
            </w:r>
          </w:p>
        </w:tc>
        <w:tc>
          <w:tcPr>
            <w:tcW w:w="1133" w:type="dxa"/>
          </w:tcPr>
          <w:p w:rsidR="007023B4" w:rsidRPr="00E71F07" w:rsidRDefault="007023B4" w:rsidP="007023B4">
            <w:pPr>
              <w:pStyle w:val="SingleTxt"/>
              <w:spacing w:after="0"/>
              <w:ind w:left="0" w:right="0"/>
              <w:rPr>
                <w:rFonts w:hint="cs"/>
                <w:sz w:val="26"/>
                <w:szCs w:val="26"/>
                <w:rtl/>
              </w:rPr>
            </w:pPr>
            <w:r w:rsidRPr="00E71F07">
              <w:rPr>
                <w:rFonts w:hint="cs"/>
                <w:sz w:val="26"/>
                <w:szCs w:val="26"/>
                <w:rtl/>
              </w:rPr>
              <w:t>8</w:t>
            </w:r>
          </w:p>
        </w:tc>
        <w:tc>
          <w:tcPr>
            <w:tcW w:w="1133" w:type="dxa"/>
          </w:tcPr>
          <w:p w:rsidR="007023B4" w:rsidRPr="00E71F07" w:rsidRDefault="007023B4" w:rsidP="007023B4">
            <w:pPr>
              <w:pStyle w:val="SingleTxt"/>
              <w:spacing w:after="0"/>
              <w:ind w:left="0" w:right="0"/>
              <w:rPr>
                <w:rFonts w:hint="cs"/>
                <w:sz w:val="26"/>
                <w:szCs w:val="26"/>
                <w:rtl/>
              </w:rPr>
            </w:pPr>
            <w:r w:rsidRPr="00E71F07">
              <w:rPr>
                <w:rFonts w:hint="cs"/>
                <w:sz w:val="26"/>
                <w:szCs w:val="26"/>
                <w:rtl/>
              </w:rPr>
              <w:t>1</w:t>
            </w:r>
          </w:p>
        </w:tc>
        <w:tc>
          <w:tcPr>
            <w:tcW w:w="1133" w:type="dxa"/>
          </w:tcPr>
          <w:p w:rsidR="007023B4" w:rsidRPr="00E71F07" w:rsidRDefault="007023B4" w:rsidP="007023B4">
            <w:pPr>
              <w:pStyle w:val="SingleTxt"/>
              <w:spacing w:after="0"/>
              <w:ind w:left="0" w:right="0"/>
              <w:rPr>
                <w:rFonts w:hint="cs"/>
                <w:sz w:val="26"/>
                <w:szCs w:val="26"/>
                <w:rtl/>
              </w:rPr>
            </w:pPr>
            <w:r w:rsidRPr="00E71F07">
              <w:rPr>
                <w:rFonts w:hint="cs"/>
                <w:sz w:val="26"/>
                <w:szCs w:val="26"/>
                <w:rtl/>
              </w:rPr>
              <w:t>9</w:t>
            </w:r>
          </w:p>
        </w:tc>
        <w:tc>
          <w:tcPr>
            <w:tcW w:w="1133" w:type="dxa"/>
          </w:tcPr>
          <w:p w:rsidR="007023B4" w:rsidRPr="00E71F07" w:rsidRDefault="007023B4" w:rsidP="007023B4">
            <w:pPr>
              <w:pStyle w:val="SingleTxt"/>
              <w:spacing w:after="0"/>
              <w:ind w:left="0" w:right="0"/>
              <w:rPr>
                <w:rFonts w:hint="cs"/>
                <w:sz w:val="26"/>
                <w:szCs w:val="26"/>
                <w:rtl/>
              </w:rPr>
            </w:pPr>
            <w:r w:rsidRPr="00E71F07">
              <w:rPr>
                <w:rFonts w:hint="cs"/>
                <w:sz w:val="26"/>
                <w:szCs w:val="26"/>
                <w:rtl/>
              </w:rPr>
              <w:t>5</w:t>
            </w:r>
          </w:p>
        </w:tc>
        <w:tc>
          <w:tcPr>
            <w:tcW w:w="1133" w:type="dxa"/>
          </w:tcPr>
          <w:p w:rsidR="007023B4" w:rsidRPr="00E71F07" w:rsidRDefault="007023B4" w:rsidP="007023B4">
            <w:pPr>
              <w:pStyle w:val="SingleTxt"/>
              <w:spacing w:after="0"/>
              <w:ind w:left="0" w:right="0"/>
              <w:rPr>
                <w:rFonts w:hint="cs"/>
                <w:sz w:val="26"/>
                <w:szCs w:val="26"/>
                <w:rtl/>
              </w:rPr>
            </w:pPr>
            <w:r w:rsidRPr="00E71F07">
              <w:rPr>
                <w:rFonts w:hint="cs"/>
                <w:sz w:val="26"/>
                <w:szCs w:val="26"/>
                <w:rtl/>
              </w:rPr>
              <w:t>1</w:t>
            </w:r>
          </w:p>
        </w:tc>
        <w:tc>
          <w:tcPr>
            <w:tcW w:w="1133" w:type="dxa"/>
          </w:tcPr>
          <w:p w:rsidR="007023B4" w:rsidRPr="00E71F07" w:rsidRDefault="007023B4" w:rsidP="007023B4">
            <w:pPr>
              <w:pStyle w:val="SingleTxt"/>
              <w:spacing w:after="0"/>
              <w:ind w:left="0" w:right="0"/>
              <w:rPr>
                <w:rFonts w:hint="cs"/>
                <w:sz w:val="26"/>
                <w:szCs w:val="26"/>
                <w:rtl/>
              </w:rPr>
            </w:pPr>
            <w:r w:rsidRPr="00E71F07">
              <w:rPr>
                <w:rFonts w:hint="cs"/>
                <w:sz w:val="26"/>
                <w:szCs w:val="26"/>
                <w:rtl/>
              </w:rPr>
              <w:t>6</w:t>
            </w:r>
          </w:p>
        </w:tc>
      </w:tr>
      <w:tr w:rsidR="007023B4">
        <w:tc>
          <w:tcPr>
            <w:tcW w:w="2163" w:type="dxa"/>
          </w:tcPr>
          <w:p w:rsidR="007023B4" w:rsidRPr="00E71F07" w:rsidRDefault="007023B4" w:rsidP="007023B4">
            <w:pPr>
              <w:pStyle w:val="SingleTxt"/>
              <w:spacing w:after="0"/>
              <w:ind w:left="0" w:right="0"/>
              <w:rPr>
                <w:rFonts w:hint="cs"/>
                <w:sz w:val="26"/>
                <w:szCs w:val="26"/>
                <w:rtl/>
              </w:rPr>
            </w:pPr>
            <w:r w:rsidRPr="00E71F07">
              <w:rPr>
                <w:rFonts w:cs="Akhbar MT" w:hint="cs"/>
                <w:sz w:val="26"/>
                <w:szCs w:val="26"/>
                <w:rtl/>
              </w:rPr>
              <w:t>%</w:t>
            </w:r>
          </w:p>
        </w:tc>
        <w:tc>
          <w:tcPr>
            <w:tcW w:w="1133" w:type="dxa"/>
          </w:tcPr>
          <w:p w:rsidR="007023B4" w:rsidRPr="00E71F07" w:rsidRDefault="007023B4" w:rsidP="007023B4">
            <w:pPr>
              <w:pStyle w:val="SingleTxt"/>
              <w:spacing w:after="0"/>
              <w:ind w:left="0" w:right="0"/>
              <w:rPr>
                <w:rFonts w:hint="cs"/>
                <w:sz w:val="26"/>
                <w:szCs w:val="26"/>
                <w:rtl/>
              </w:rPr>
            </w:pPr>
            <w:r w:rsidRPr="00E71F07">
              <w:rPr>
                <w:rFonts w:hint="cs"/>
                <w:sz w:val="26"/>
                <w:szCs w:val="26"/>
                <w:rtl/>
              </w:rPr>
              <w:t>88.9</w:t>
            </w:r>
            <w:r w:rsidRPr="00E71F07">
              <w:rPr>
                <w:rFonts w:cs="Akhbar MT" w:hint="cs"/>
                <w:sz w:val="26"/>
                <w:szCs w:val="26"/>
                <w:rtl/>
              </w:rPr>
              <w:t>%</w:t>
            </w:r>
          </w:p>
        </w:tc>
        <w:tc>
          <w:tcPr>
            <w:tcW w:w="1133" w:type="dxa"/>
          </w:tcPr>
          <w:p w:rsidR="007023B4" w:rsidRPr="00E71F07" w:rsidRDefault="007023B4" w:rsidP="007023B4">
            <w:pPr>
              <w:pStyle w:val="SingleTxt"/>
              <w:spacing w:after="0"/>
              <w:ind w:left="0" w:right="0"/>
              <w:rPr>
                <w:rFonts w:hint="cs"/>
                <w:sz w:val="26"/>
                <w:szCs w:val="26"/>
                <w:rtl/>
              </w:rPr>
            </w:pPr>
            <w:r w:rsidRPr="00E71F07">
              <w:rPr>
                <w:rFonts w:hint="cs"/>
                <w:sz w:val="26"/>
                <w:szCs w:val="26"/>
                <w:rtl/>
              </w:rPr>
              <w:t>11.1</w:t>
            </w:r>
            <w:r w:rsidRPr="00E71F07">
              <w:rPr>
                <w:rFonts w:cs="Akhbar MT" w:hint="cs"/>
                <w:sz w:val="26"/>
                <w:szCs w:val="26"/>
                <w:rtl/>
              </w:rPr>
              <w:t>%</w:t>
            </w:r>
          </w:p>
        </w:tc>
        <w:tc>
          <w:tcPr>
            <w:tcW w:w="1133" w:type="dxa"/>
          </w:tcPr>
          <w:p w:rsidR="007023B4" w:rsidRPr="00E71F07" w:rsidRDefault="007023B4" w:rsidP="007023B4">
            <w:pPr>
              <w:pStyle w:val="SingleTxt"/>
              <w:spacing w:after="0"/>
              <w:ind w:left="0" w:right="0"/>
              <w:rPr>
                <w:rFonts w:hint="cs"/>
                <w:sz w:val="26"/>
                <w:szCs w:val="26"/>
                <w:rtl/>
              </w:rPr>
            </w:pPr>
            <w:r w:rsidRPr="00E71F07">
              <w:rPr>
                <w:rFonts w:hint="cs"/>
                <w:sz w:val="26"/>
                <w:szCs w:val="26"/>
                <w:rtl/>
              </w:rPr>
              <w:t>100</w:t>
            </w:r>
            <w:r w:rsidRPr="00E71F07">
              <w:rPr>
                <w:rFonts w:cs="Akhbar MT" w:hint="cs"/>
                <w:sz w:val="26"/>
                <w:szCs w:val="26"/>
                <w:rtl/>
              </w:rPr>
              <w:t>%</w:t>
            </w:r>
          </w:p>
        </w:tc>
        <w:tc>
          <w:tcPr>
            <w:tcW w:w="1133" w:type="dxa"/>
          </w:tcPr>
          <w:p w:rsidR="007023B4" w:rsidRPr="00E71F07" w:rsidRDefault="007023B4" w:rsidP="007023B4">
            <w:pPr>
              <w:pStyle w:val="SingleTxt"/>
              <w:spacing w:after="0"/>
              <w:ind w:left="0" w:right="0"/>
              <w:rPr>
                <w:rFonts w:hint="cs"/>
                <w:sz w:val="26"/>
                <w:szCs w:val="26"/>
                <w:rtl/>
              </w:rPr>
            </w:pPr>
            <w:r w:rsidRPr="00E71F07">
              <w:rPr>
                <w:rFonts w:hint="cs"/>
                <w:sz w:val="26"/>
                <w:szCs w:val="26"/>
                <w:rtl/>
              </w:rPr>
              <w:t>83.3</w:t>
            </w:r>
            <w:r w:rsidRPr="00E71F07">
              <w:rPr>
                <w:rFonts w:cs="Akhbar MT" w:hint="cs"/>
                <w:sz w:val="26"/>
                <w:szCs w:val="26"/>
                <w:rtl/>
              </w:rPr>
              <w:t>%</w:t>
            </w:r>
          </w:p>
        </w:tc>
        <w:tc>
          <w:tcPr>
            <w:tcW w:w="1133" w:type="dxa"/>
          </w:tcPr>
          <w:p w:rsidR="007023B4" w:rsidRPr="00E71F07" w:rsidRDefault="007023B4" w:rsidP="007023B4">
            <w:pPr>
              <w:pStyle w:val="SingleTxt"/>
              <w:spacing w:after="0"/>
              <w:ind w:left="0" w:right="0"/>
              <w:rPr>
                <w:rFonts w:hint="cs"/>
                <w:sz w:val="26"/>
                <w:szCs w:val="26"/>
                <w:rtl/>
              </w:rPr>
            </w:pPr>
            <w:r w:rsidRPr="00E71F07">
              <w:rPr>
                <w:rFonts w:hint="cs"/>
                <w:sz w:val="26"/>
                <w:szCs w:val="26"/>
                <w:rtl/>
              </w:rPr>
              <w:t>16.7</w:t>
            </w:r>
            <w:r w:rsidRPr="00E71F07">
              <w:rPr>
                <w:rFonts w:cs="Akhbar MT" w:hint="cs"/>
                <w:sz w:val="26"/>
                <w:szCs w:val="26"/>
                <w:rtl/>
              </w:rPr>
              <w:t>%</w:t>
            </w:r>
          </w:p>
        </w:tc>
        <w:tc>
          <w:tcPr>
            <w:tcW w:w="1133" w:type="dxa"/>
          </w:tcPr>
          <w:p w:rsidR="007023B4" w:rsidRPr="00E71F07" w:rsidRDefault="007023B4" w:rsidP="007023B4">
            <w:pPr>
              <w:pStyle w:val="SingleTxt"/>
              <w:spacing w:after="0"/>
              <w:ind w:left="0" w:right="0"/>
              <w:rPr>
                <w:rFonts w:hint="cs"/>
                <w:sz w:val="26"/>
                <w:szCs w:val="26"/>
                <w:rtl/>
              </w:rPr>
            </w:pPr>
            <w:r w:rsidRPr="00E71F07">
              <w:rPr>
                <w:rFonts w:hint="cs"/>
                <w:sz w:val="26"/>
                <w:szCs w:val="26"/>
                <w:rtl/>
              </w:rPr>
              <w:t>100</w:t>
            </w:r>
            <w:r w:rsidRPr="00E71F07">
              <w:rPr>
                <w:rFonts w:cs="Akhbar MT" w:hint="cs"/>
                <w:sz w:val="26"/>
                <w:szCs w:val="26"/>
                <w:rtl/>
              </w:rPr>
              <w:t>%</w:t>
            </w:r>
          </w:p>
        </w:tc>
      </w:tr>
      <w:tr w:rsidR="007023B4">
        <w:tc>
          <w:tcPr>
            <w:tcW w:w="2163" w:type="dxa"/>
          </w:tcPr>
          <w:p w:rsidR="007023B4" w:rsidRPr="00E71F07" w:rsidRDefault="007023B4" w:rsidP="007023B4">
            <w:pPr>
              <w:pStyle w:val="SingleTxt"/>
              <w:spacing w:after="0"/>
              <w:ind w:left="0" w:right="0"/>
              <w:rPr>
                <w:rFonts w:hint="cs"/>
                <w:sz w:val="26"/>
                <w:szCs w:val="26"/>
                <w:rtl/>
              </w:rPr>
            </w:pPr>
            <w:r w:rsidRPr="00E71F07">
              <w:rPr>
                <w:rFonts w:cs="Akhbar MT" w:hint="cs"/>
                <w:sz w:val="26"/>
                <w:szCs w:val="26"/>
                <w:rtl/>
              </w:rPr>
              <w:t>%</w:t>
            </w:r>
          </w:p>
          <w:p w:rsidR="007023B4" w:rsidRPr="00E71F07" w:rsidRDefault="007023B4" w:rsidP="007023B4">
            <w:pPr>
              <w:pStyle w:val="SingleTxt"/>
              <w:spacing w:after="0"/>
              <w:ind w:left="0" w:right="0"/>
              <w:rPr>
                <w:rFonts w:hint="cs"/>
                <w:sz w:val="26"/>
                <w:szCs w:val="26"/>
                <w:rtl/>
              </w:rPr>
            </w:pPr>
            <w:r w:rsidRPr="00E71F07">
              <w:rPr>
                <w:rFonts w:hint="cs"/>
                <w:sz w:val="26"/>
                <w:szCs w:val="26"/>
                <w:rtl/>
              </w:rPr>
              <w:t>الفائزون/التسجيل</w:t>
            </w:r>
          </w:p>
        </w:tc>
        <w:tc>
          <w:tcPr>
            <w:tcW w:w="1133" w:type="dxa"/>
            <w:vAlign w:val="bottom"/>
          </w:tcPr>
          <w:p w:rsidR="007023B4" w:rsidRPr="00E71F07" w:rsidRDefault="007023B4" w:rsidP="007023B4">
            <w:pPr>
              <w:pStyle w:val="SingleTxt"/>
              <w:spacing w:after="0"/>
              <w:ind w:left="0" w:right="0"/>
              <w:jc w:val="left"/>
              <w:rPr>
                <w:rFonts w:hint="cs"/>
                <w:sz w:val="26"/>
                <w:szCs w:val="26"/>
                <w:rtl/>
              </w:rPr>
            </w:pPr>
            <w:r w:rsidRPr="00E71F07">
              <w:rPr>
                <w:rFonts w:hint="cs"/>
                <w:sz w:val="26"/>
                <w:szCs w:val="26"/>
                <w:rtl/>
              </w:rPr>
              <w:t>3.94</w:t>
            </w:r>
            <w:r>
              <w:rPr>
                <w:rFonts w:cs="Akhbar MT" w:hint="cs"/>
                <w:sz w:val="26"/>
                <w:szCs w:val="26"/>
                <w:rtl/>
              </w:rPr>
              <w:t xml:space="preserve"> %</w:t>
            </w:r>
          </w:p>
        </w:tc>
        <w:tc>
          <w:tcPr>
            <w:tcW w:w="1133" w:type="dxa"/>
            <w:vAlign w:val="bottom"/>
          </w:tcPr>
          <w:p w:rsidR="007023B4" w:rsidRPr="00E71F07" w:rsidRDefault="007023B4" w:rsidP="007023B4">
            <w:pPr>
              <w:pStyle w:val="SingleTxt"/>
              <w:spacing w:after="0"/>
              <w:ind w:left="0" w:right="0"/>
              <w:jc w:val="left"/>
              <w:rPr>
                <w:rFonts w:hint="cs"/>
                <w:sz w:val="26"/>
                <w:szCs w:val="26"/>
                <w:rtl/>
              </w:rPr>
            </w:pPr>
            <w:r w:rsidRPr="00E71F07">
              <w:rPr>
                <w:rFonts w:hint="cs"/>
                <w:sz w:val="26"/>
                <w:szCs w:val="26"/>
                <w:rtl/>
              </w:rPr>
              <w:t>0.74</w:t>
            </w:r>
            <w:r w:rsidRPr="00E71F07">
              <w:rPr>
                <w:rFonts w:cs="Akhbar MT" w:hint="cs"/>
                <w:sz w:val="26"/>
                <w:szCs w:val="26"/>
                <w:rtl/>
              </w:rPr>
              <w:t>%</w:t>
            </w:r>
          </w:p>
        </w:tc>
        <w:tc>
          <w:tcPr>
            <w:tcW w:w="1133" w:type="dxa"/>
            <w:vAlign w:val="bottom"/>
          </w:tcPr>
          <w:p w:rsidR="007023B4" w:rsidRPr="00E71F07" w:rsidRDefault="007023B4" w:rsidP="007023B4">
            <w:pPr>
              <w:pStyle w:val="SingleTxt"/>
              <w:spacing w:after="0"/>
              <w:ind w:left="0" w:right="0"/>
              <w:jc w:val="left"/>
              <w:rPr>
                <w:rFonts w:hint="cs"/>
                <w:sz w:val="26"/>
                <w:szCs w:val="26"/>
                <w:rtl/>
              </w:rPr>
            </w:pPr>
            <w:r w:rsidRPr="00E71F07">
              <w:rPr>
                <w:rFonts w:hint="cs"/>
                <w:sz w:val="26"/>
                <w:szCs w:val="26"/>
                <w:rtl/>
              </w:rPr>
              <w:t>2.66</w:t>
            </w:r>
            <w:r w:rsidRPr="00E71F07">
              <w:rPr>
                <w:rFonts w:cs="Akhbar MT" w:hint="cs"/>
                <w:sz w:val="26"/>
                <w:szCs w:val="26"/>
                <w:rtl/>
              </w:rPr>
              <w:t>%</w:t>
            </w:r>
          </w:p>
        </w:tc>
        <w:tc>
          <w:tcPr>
            <w:tcW w:w="1133" w:type="dxa"/>
            <w:vAlign w:val="bottom"/>
          </w:tcPr>
          <w:p w:rsidR="007023B4" w:rsidRPr="00E71F07" w:rsidRDefault="007023B4" w:rsidP="007023B4">
            <w:pPr>
              <w:pStyle w:val="SingleTxt"/>
              <w:spacing w:after="0"/>
              <w:ind w:left="0" w:right="0"/>
              <w:jc w:val="left"/>
              <w:rPr>
                <w:rFonts w:hint="cs"/>
                <w:sz w:val="26"/>
                <w:szCs w:val="26"/>
                <w:rtl/>
              </w:rPr>
            </w:pPr>
            <w:r w:rsidRPr="00E71F07">
              <w:rPr>
                <w:rFonts w:hint="cs"/>
                <w:sz w:val="26"/>
                <w:szCs w:val="26"/>
                <w:rtl/>
              </w:rPr>
              <w:t>0.95</w:t>
            </w:r>
            <w:r w:rsidRPr="00E71F07">
              <w:rPr>
                <w:rFonts w:cs="Akhbar MT" w:hint="cs"/>
                <w:sz w:val="26"/>
                <w:szCs w:val="26"/>
                <w:rtl/>
              </w:rPr>
              <w:t>%</w:t>
            </w:r>
          </w:p>
        </w:tc>
        <w:tc>
          <w:tcPr>
            <w:tcW w:w="1133" w:type="dxa"/>
            <w:vAlign w:val="bottom"/>
          </w:tcPr>
          <w:p w:rsidR="007023B4" w:rsidRPr="00E71F07" w:rsidRDefault="007023B4" w:rsidP="007023B4">
            <w:pPr>
              <w:pStyle w:val="SingleTxt"/>
              <w:spacing w:after="0"/>
              <w:ind w:left="0" w:right="0"/>
              <w:jc w:val="left"/>
              <w:rPr>
                <w:rFonts w:hint="cs"/>
                <w:sz w:val="26"/>
                <w:szCs w:val="26"/>
                <w:rtl/>
              </w:rPr>
            </w:pPr>
            <w:r w:rsidRPr="00E71F07">
              <w:rPr>
                <w:rFonts w:hint="cs"/>
                <w:sz w:val="26"/>
                <w:szCs w:val="26"/>
                <w:rtl/>
              </w:rPr>
              <w:t>0.28</w:t>
            </w:r>
            <w:r w:rsidRPr="00E71F07">
              <w:rPr>
                <w:rFonts w:cs="Akhbar MT" w:hint="cs"/>
                <w:sz w:val="26"/>
                <w:szCs w:val="26"/>
                <w:rtl/>
              </w:rPr>
              <w:t>%</w:t>
            </w:r>
          </w:p>
        </w:tc>
        <w:tc>
          <w:tcPr>
            <w:tcW w:w="1133" w:type="dxa"/>
            <w:vAlign w:val="bottom"/>
          </w:tcPr>
          <w:p w:rsidR="007023B4" w:rsidRPr="00E71F07" w:rsidRDefault="007023B4" w:rsidP="007023B4">
            <w:pPr>
              <w:pStyle w:val="SingleTxt"/>
              <w:spacing w:after="0"/>
              <w:ind w:left="0" w:right="0"/>
              <w:jc w:val="left"/>
              <w:rPr>
                <w:rFonts w:hint="cs"/>
                <w:sz w:val="26"/>
                <w:szCs w:val="26"/>
                <w:rtl/>
              </w:rPr>
            </w:pPr>
            <w:r w:rsidRPr="00E71F07">
              <w:rPr>
                <w:rFonts w:hint="cs"/>
                <w:sz w:val="26"/>
                <w:szCs w:val="26"/>
                <w:rtl/>
              </w:rPr>
              <w:t>0.68</w:t>
            </w:r>
            <w:r w:rsidRPr="00E71F07">
              <w:rPr>
                <w:rFonts w:cs="Akhbar MT" w:hint="cs"/>
                <w:sz w:val="26"/>
                <w:szCs w:val="26"/>
                <w:rtl/>
              </w:rPr>
              <w:t>%</w:t>
            </w:r>
          </w:p>
        </w:tc>
      </w:tr>
    </w:tbl>
    <w:p w:rsidR="007023B4" w:rsidRPr="007C4A32" w:rsidRDefault="007023B4" w:rsidP="007023B4">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sz w:val="10"/>
          <w:rtl/>
        </w:rPr>
      </w:pPr>
    </w:p>
    <w:p w:rsidR="007023B4" w:rsidRPr="00E71F07" w:rsidRDefault="007023B4" w:rsidP="007023B4">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sz w:val="26"/>
          <w:rtl/>
        </w:rPr>
      </w:pPr>
      <w:r w:rsidRPr="007C4A32">
        <w:rPr>
          <w:rFonts w:hint="cs"/>
          <w:i/>
          <w:iCs/>
          <w:sz w:val="26"/>
          <w:rtl/>
        </w:rPr>
        <w:t>المصدر</w:t>
      </w:r>
      <w:r w:rsidRPr="00E71F07">
        <w:rPr>
          <w:rFonts w:hint="cs"/>
          <w:sz w:val="26"/>
          <w:rtl/>
        </w:rPr>
        <w:t>:</w:t>
      </w:r>
      <w:r>
        <w:rPr>
          <w:rFonts w:hint="cs"/>
          <w:sz w:val="26"/>
          <w:rtl/>
        </w:rPr>
        <w:t xml:space="preserve"> </w:t>
      </w:r>
      <w:r>
        <w:rPr>
          <w:rFonts w:hint="cs"/>
          <w:sz w:val="26"/>
          <w:rtl/>
        </w:rPr>
        <w:tab/>
      </w:r>
      <w:r>
        <w:rPr>
          <w:rFonts w:hint="cs"/>
          <w:rtl/>
        </w:rPr>
        <w:t>مكتب التعيين التابع للسلطة الاتحادية</w:t>
      </w:r>
      <w:r w:rsidRPr="00E71F07">
        <w:rPr>
          <w:rFonts w:hint="cs"/>
          <w:sz w:val="26"/>
          <w:rtl/>
        </w:rPr>
        <w:t>.</w:t>
      </w:r>
    </w:p>
    <w:p w:rsidR="007023B4" w:rsidRPr="007C4A32" w:rsidRDefault="007023B4" w:rsidP="007023B4">
      <w:pPr>
        <w:pStyle w:val="SingleTxt"/>
        <w:spacing w:after="0" w:line="120" w:lineRule="exact"/>
        <w:rPr>
          <w:rFonts w:hint="cs"/>
          <w:sz w:val="10"/>
          <w:rtl/>
        </w:rPr>
      </w:pPr>
    </w:p>
    <w:p w:rsidR="007023B4" w:rsidRPr="007C4A32" w:rsidRDefault="007023B4" w:rsidP="007023B4">
      <w:pPr>
        <w:pStyle w:val="SingleTxt"/>
        <w:spacing w:after="0" w:line="120" w:lineRule="exact"/>
        <w:rPr>
          <w:rFonts w:hint="cs"/>
          <w:sz w:val="10"/>
          <w:rtl/>
        </w:rPr>
      </w:pPr>
    </w:p>
    <w:p w:rsidR="007023B4" w:rsidRDefault="007023B4" w:rsidP="007023B4">
      <w:pPr>
        <w:pStyle w:val="SingleTxt"/>
        <w:rPr>
          <w:rFonts w:hint="cs"/>
          <w:rtl/>
        </w:rPr>
      </w:pPr>
      <w:r>
        <w:rPr>
          <w:rFonts w:hint="cs"/>
          <w:rtl/>
        </w:rPr>
        <w:tab/>
        <w:t>أجريت المسابقة فيما يتعلق بالملحقين في مجال التعاون من أجل التنمية في الفترة بين تشرين الأول/أكتوبر 2005 ونيسان/أبريل 2006.</w:t>
      </w:r>
    </w:p>
    <w:p w:rsidR="007023B4" w:rsidRPr="007C4A32" w:rsidRDefault="007023B4" w:rsidP="007023B4">
      <w:pPr>
        <w:pStyle w:val="SingleTxt"/>
        <w:spacing w:after="0" w:line="120" w:lineRule="exact"/>
        <w:rPr>
          <w:rFonts w:hint="cs"/>
          <w:b/>
          <w:bCs/>
          <w:sz w:val="10"/>
          <w:rtl/>
        </w:rPr>
      </w:pPr>
    </w:p>
    <w:p w:rsidR="007023B4" w:rsidRDefault="007023B4" w:rsidP="007023B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3 -</w:t>
      </w:r>
      <w:r>
        <w:rPr>
          <w:rFonts w:hint="cs"/>
          <w:rtl/>
        </w:rPr>
        <w:tab/>
        <w:t>وجود المرأة (البلجيكية) في المنظمات الدولية</w:t>
      </w:r>
    </w:p>
    <w:p w:rsidR="007023B4" w:rsidRPr="00632AF8" w:rsidRDefault="00B105BA" w:rsidP="00B105BA">
      <w:pPr>
        <w:pStyle w:val="SingleTxt"/>
        <w:rPr>
          <w:rFonts w:hint="cs"/>
          <w:i/>
          <w:iCs/>
          <w:rtl/>
        </w:rPr>
      </w:pPr>
      <w:r>
        <w:rPr>
          <w:rFonts w:hint="cs"/>
          <w:rtl/>
        </w:rPr>
        <w:t>3-1-</w:t>
      </w:r>
      <w:r>
        <w:rPr>
          <w:rFonts w:hint="cs"/>
          <w:i/>
          <w:iCs/>
          <w:rtl/>
        </w:rPr>
        <w:t xml:space="preserve">  </w:t>
      </w:r>
      <w:r w:rsidR="007023B4" w:rsidRPr="00632AF8">
        <w:rPr>
          <w:rFonts w:hint="cs"/>
          <w:i/>
          <w:iCs/>
          <w:rtl/>
        </w:rPr>
        <w:t>الأمم المتحدة</w:t>
      </w:r>
    </w:p>
    <w:p w:rsidR="007023B4" w:rsidRDefault="007023B4" w:rsidP="007023B4">
      <w:pPr>
        <w:pStyle w:val="SingleTxt"/>
        <w:rPr>
          <w:rFonts w:hint="cs"/>
          <w:b/>
          <w:bCs/>
          <w:rtl/>
        </w:rPr>
      </w:pPr>
      <w:r w:rsidRPr="006060F9">
        <w:rPr>
          <w:rFonts w:hint="cs"/>
          <w:b/>
          <w:bCs/>
          <w:rtl/>
        </w:rPr>
        <w:tab/>
        <w:t>وفقا للمعلومات التي أرسلتها الأمانة العامة للأمم المتحدة، ارتفع عدد الموظفين البلجيكيين في عام 2005 إلى 231 بلجيكيا، من بينهم 114 امرأة (49 في المائة) و</w:t>
      </w:r>
      <w:r>
        <w:rPr>
          <w:rFonts w:hint="eastAsia"/>
          <w:b/>
          <w:bCs/>
          <w:rtl/>
        </w:rPr>
        <w:t> </w:t>
      </w:r>
      <w:r w:rsidRPr="006060F9">
        <w:rPr>
          <w:rFonts w:hint="cs"/>
          <w:b/>
          <w:bCs/>
          <w:rtl/>
        </w:rPr>
        <w:t>117 رجلا (51 في المائة).</w:t>
      </w:r>
    </w:p>
    <w:p w:rsidR="006D5CDD" w:rsidRPr="006D5CDD" w:rsidRDefault="006D5CDD" w:rsidP="006D5CDD">
      <w:pPr>
        <w:pStyle w:val="SingleTxt"/>
        <w:spacing w:after="0" w:line="120" w:lineRule="exact"/>
        <w:rPr>
          <w:rFonts w:hint="cs"/>
          <w:b/>
          <w:bCs/>
          <w:sz w:val="10"/>
          <w:rtl/>
        </w:rPr>
      </w:pPr>
    </w:p>
    <w:p w:rsidR="007023B4" w:rsidRPr="009C150C" w:rsidRDefault="007023B4" w:rsidP="007023B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يتم توزيع الرجال والنساء، حسب المستوى، يتم على النحو التالي:</w:t>
      </w:r>
    </w:p>
    <w:tbl>
      <w:tblPr>
        <w:tblStyle w:val="TableGrid"/>
        <w:bidiVisual/>
        <w:tblW w:w="0" w:type="auto"/>
        <w:tblInd w:w="1306" w:type="dxa"/>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1E0" w:firstRow="1" w:lastRow="1" w:firstColumn="1" w:lastColumn="1" w:noHBand="0" w:noVBand="0"/>
      </w:tblPr>
      <w:tblGrid>
        <w:gridCol w:w="3193"/>
        <w:gridCol w:w="1510"/>
        <w:gridCol w:w="1511"/>
        <w:gridCol w:w="1202"/>
      </w:tblGrid>
      <w:tr w:rsidR="007023B4">
        <w:trPr>
          <w:tblHeader/>
        </w:trPr>
        <w:tc>
          <w:tcPr>
            <w:tcW w:w="3193" w:type="dxa"/>
            <w:tcBorders>
              <w:top w:val="single" w:sz="12" w:space="0" w:color="auto"/>
              <w:bottom w:val="single" w:sz="12" w:space="0" w:color="auto"/>
            </w:tcBorders>
          </w:tcPr>
          <w:p w:rsidR="007023B4" w:rsidRPr="00632AF8" w:rsidRDefault="007023B4" w:rsidP="007023B4">
            <w:pPr>
              <w:pStyle w:val="SingleTxt"/>
              <w:spacing w:after="0"/>
              <w:ind w:left="0" w:right="0"/>
              <w:rPr>
                <w:rFonts w:hint="cs"/>
                <w:i/>
                <w:iCs/>
                <w:sz w:val="26"/>
                <w:szCs w:val="26"/>
                <w:rtl/>
              </w:rPr>
            </w:pPr>
            <w:r w:rsidRPr="00632AF8">
              <w:rPr>
                <w:rFonts w:hint="cs"/>
                <w:i/>
                <w:iCs/>
                <w:sz w:val="26"/>
                <w:szCs w:val="26"/>
                <w:rtl/>
              </w:rPr>
              <w:t>المستوى</w:t>
            </w:r>
          </w:p>
        </w:tc>
        <w:tc>
          <w:tcPr>
            <w:tcW w:w="1510" w:type="dxa"/>
            <w:tcBorders>
              <w:top w:val="single" w:sz="12" w:space="0" w:color="auto"/>
              <w:bottom w:val="single" w:sz="12" w:space="0" w:color="auto"/>
            </w:tcBorders>
          </w:tcPr>
          <w:p w:rsidR="007023B4" w:rsidRPr="00632AF8" w:rsidRDefault="007023B4" w:rsidP="007023B4">
            <w:pPr>
              <w:pStyle w:val="SingleTxt"/>
              <w:spacing w:after="0"/>
              <w:ind w:left="0" w:right="0"/>
              <w:rPr>
                <w:rFonts w:hint="cs"/>
                <w:i/>
                <w:iCs/>
                <w:sz w:val="26"/>
                <w:szCs w:val="26"/>
                <w:rtl/>
              </w:rPr>
            </w:pPr>
            <w:r>
              <w:rPr>
                <w:rFonts w:hint="cs"/>
                <w:i/>
                <w:iCs/>
                <w:sz w:val="26"/>
                <w:szCs w:val="26"/>
                <w:rtl/>
              </w:rPr>
              <w:t>النساء</w:t>
            </w:r>
          </w:p>
        </w:tc>
        <w:tc>
          <w:tcPr>
            <w:tcW w:w="1511" w:type="dxa"/>
            <w:tcBorders>
              <w:top w:val="single" w:sz="12" w:space="0" w:color="auto"/>
              <w:bottom w:val="single" w:sz="12" w:space="0" w:color="auto"/>
            </w:tcBorders>
          </w:tcPr>
          <w:p w:rsidR="007023B4" w:rsidRPr="00632AF8" w:rsidRDefault="007023B4" w:rsidP="007023B4">
            <w:pPr>
              <w:pStyle w:val="SingleTxt"/>
              <w:spacing w:after="0"/>
              <w:ind w:left="0" w:right="0"/>
              <w:rPr>
                <w:rFonts w:hint="cs"/>
                <w:i/>
                <w:iCs/>
                <w:sz w:val="26"/>
                <w:szCs w:val="26"/>
                <w:rtl/>
              </w:rPr>
            </w:pPr>
            <w:r w:rsidRPr="00632AF8">
              <w:rPr>
                <w:rFonts w:hint="cs"/>
                <w:i/>
                <w:iCs/>
                <w:sz w:val="26"/>
                <w:szCs w:val="26"/>
                <w:rtl/>
              </w:rPr>
              <w:t>الرج</w:t>
            </w:r>
            <w:r>
              <w:rPr>
                <w:rFonts w:hint="cs"/>
                <w:i/>
                <w:iCs/>
                <w:sz w:val="26"/>
                <w:szCs w:val="26"/>
                <w:rtl/>
              </w:rPr>
              <w:t>ا</w:t>
            </w:r>
            <w:r w:rsidRPr="00632AF8">
              <w:rPr>
                <w:rFonts w:hint="cs"/>
                <w:i/>
                <w:iCs/>
                <w:sz w:val="26"/>
                <w:szCs w:val="26"/>
                <w:rtl/>
              </w:rPr>
              <w:t>ل</w:t>
            </w:r>
          </w:p>
        </w:tc>
        <w:tc>
          <w:tcPr>
            <w:tcW w:w="1202" w:type="dxa"/>
            <w:tcBorders>
              <w:top w:val="single" w:sz="12" w:space="0" w:color="auto"/>
              <w:bottom w:val="single" w:sz="12" w:space="0" w:color="auto"/>
            </w:tcBorders>
          </w:tcPr>
          <w:p w:rsidR="007023B4" w:rsidRPr="00632AF8" w:rsidRDefault="007023B4" w:rsidP="007023B4">
            <w:pPr>
              <w:pStyle w:val="SingleTxt"/>
              <w:spacing w:after="0"/>
              <w:ind w:left="0" w:right="0"/>
              <w:rPr>
                <w:rFonts w:hint="cs"/>
                <w:i/>
                <w:iCs/>
                <w:sz w:val="26"/>
                <w:szCs w:val="26"/>
                <w:rtl/>
              </w:rPr>
            </w:pPr>
            <w:r w:rsidRPr="00632AF8">
              <w:rPr>
                <w:rFonts w:hint="cs"/>
                <w:i/>
                <w:iCs/>
                <w:sz w:val="26"/>
                <w:szCs w:val="26"/>
                <w:rtl/>
              </w:rPr>
              <w:t>المجموع</w:t>
            </w:r>
          </w:p>
        </w:tc>
      </w:tr>
      <w:tr w:rsidR="007023B4">
        <w:tc>
          <w:tcPr>
            <w:tcW w:w="3193" w:type="dxa"/>
            <w:tcBorders>
              <w:top w:val="single" w:sz="12" w:space="0" w:color="auto"/>
            </w:tcBorders>
          </w:tcPr>
          <w:p w:rsidR="007023B4" w:rsidRPr="00632AF8" w:rsidRDefault="007023B4" w:rsidP="007023B4">
            <w:pPr>
              <w:pStyle w:val="SingleTxt"/>
              <w:spacing w:after="0"/>
              <w:ind w:left="0" w:right="0"/>
              <w:rPr>
                <w:rFonts w:hint="cs"/>
                <w:sz w:val="26"/>
                <w:szCs w:val="26"/>
                <w:rtl/>
              </w:rPr>
            </w:pPr>
            <w:r w:rsidRPr="00632AF8">
              <w:rPr>
                <w:rFonts w:hint="cs"/>
                <w:sz w:val="26"/>
                <w:szCs w:val="26"/>
                <w:rtl/>
              </w:rPr>
              <w:t>مستوى المدير (</w:t>
            </w:r>
            <w:r>
              <w:rPr>
                <w:rFonts w:hint="cs"/>
                <w:sz w:val="26"/>
                <w:szCs w:val="26"/>
                <w:rtl/>
              </w:rPr>
              <w:t>م</w:t>
            </w:r>
            <w:r w:rsidRPr="00632AF8">
              <w:rPr>
                <w:rFonts w:hint="cs"/>
                <w:sz w:val="26"/>
                <w:szCs w:val="26"/>
                <w:rtl/>
              </w:rPr>
              <w:t>د-1 و</w:t>
            </w:r>
            <w:r>
              <w:rPr>
                <w:rFonts w:hint="cs"/>
                <w:sz w:val="26"/>
                <w:szCs w:val="26"/>
                <w:rtl/>
              </w:rPr>
              <w:t>م</w:t>
            </w:r>
            <w:r w:rsidRPr="00632AF8">
              <w:rPr>
                <w:rFonts w:hint="cs"/>
                <w:sz w:val="26"/>
                <w:szCs w:val="26"/>
                <w:rtl/>
              </w:rPr>
              <w:t>د-2)</w:t>
            </w:r>
          </w:p>
        </w:tc>
        <w:tc>
          <w:tcPr>
            <w:tcW w:w="1510" w:type="dxa"/>
            <w:tcBorders>
              <w:top w:val="single" w:sz="12" w:space="0" w:color="auto"/>
            </w:tcBorders>
          </w:tcPr>
          <w:p w:rsidR="007023B4" w:rsidRPr="00632AF8" w:rsidRDefault="007023B4" w:rsidP="007023B4">
            <w:pPr>
              <w:pStyle w:val="SingleTxt"/>
              <w:spacing w:after="0"/>
              <w:ind w:left="0" w:right="0"/>
              <w:rPr>
                <w:rFonts w:hint="cs"/>
                <w:sz w:val="26"/>
                <w:szCs w:val="26"/>
                <w:rtl/>
              </w:rPr>
            </w:pPr>
            <w:r w:rsidRPr="00632AF8">
              <w:rPr>
                <w:rFonts w:hint="cs"/>
                <w:sz w:val="26"/>
                <w:szCs w:val="26"/>
                <w:rtl/>
              </w:rPr>
              <w:t>3 (33</w:t>
            </w:r>
            <w:r w:rsidRPr="00632AF8">
              <w:rPr>
                <w:rFonts w:cs="Akhbar MT" w:hint="cs"/>
                <w:sz w:val="26"/>
                <w:szCs w:val="26"/>
                <w:rtl/>
              </w:rPr>
              <w:t>%)</w:t>
            </w:r>
          </w:p>
        </w:tc>
        <w:tc>
          <w:tcPr>
            <w:tcW w:w="1511" w:type="dxa"/>
            <w:tcBorders>
              <w:top w:val="single" w:sz="12" w:space="0" w:color="auto"/>
            </w:tcBorders>
          </w:tcPr>
          <w:p w:rsidR="007023B4" w:rsidRPr="00632AF8" w:rsidRDefault="007023B4" w:rsidP="007023B4">
            <w:pPr>
              <w:pStyle w:val="SingleTxt"/>
              <w:spacing w:after="0"/>
              <w:ind w:left="0" w:right="0"/>
              <w:rPr>
                <w:rFonts w:hint="cs"/>
                <w:sz w:val="26"/>
                <w:szCs w:val="26"/>
                <w:rtl/>
              </w:rPr>
            </w:pPr>
            <w:r w:rsidRPr="00632AF8">
              <w:rPr>
                <w:rFonts w:hint="cs"/>
                <w:sz w:val="26"/>
                <w:szCs w:val="26"/>
                <w:rtl/>
              </w:rPr>
              <w:t>6 (66</w:t>
            </w:r>
            <w:r w:rsidRPr="00632AF8">
              <w:rPr>
                <w:rFonts w:cs="Akhbar MT" w:hint="cs"/>
                <w:sz w:val="26"/>
                <w:szCs w:val="26"/>
                <w:rtl/>
              </w:rPr>
              <w:t>%)</w:t>
            </w:r>
          </w:p>
        </w:tc>
        <w:tc>
          <w:tcPr>
            <w:tcW w:w="1202" w:type="dxa"/>
            <w:tcBorders>
              <w:top w:val="single" w:sz="12" w:space="0" w:color="auto"/>
            </w:tcBorders>
          </w:tcPr>
          <w:p w:rsidR="007023B4" w:rsidRPr="00632AF8" w:rsidRDefault="007023B4" w:rsidP="007023B4">
            <w:pPr>
              <w:pStyle w:val="SingleTxt"/>
              <w:spacing w:after="0"/>
              <w:ind w:left="0" w:right="0"/>
              <w:rPr>
                <w:rFonts w:hint="cs"/>
                <w:sz w:val="26"/>
                <w:szCs w:val="26"/>
                <w:rtl/>
              </w:rPr>
            </w:pPr>
            <w:r w:rsidRPr="00632AF8">
              <w:rPr>
                <w:rFonts w:hint="cs"/>
                <w:sz w:val="26"/>
                <w:szCs w:val="26"/>
                <w:rtl/>
              </w:rPr>
              <w:t>9</w:t>
            </w:r>
          </w:p>
        </w:tc>
      </w:tr>
      <w:tr w:rsidR="007023B4">
        <w:tc>
          <w:tcPr>
            <w:tcW w:w="3193" w:type="dxa"/>
          </w:tcPr>
          <w:p w:rsidR="007023B4" w:rsidRPr="00632AF8" w:rsidRDefault="007023B4" w:rsidP="007023B4">
            <w:pPr>
              <w:pStyle w:val="SingleTxt"/>
              <w:spacing w:after="0"/>
              <w:ind w:left="0" w:right="0"/>
              <w:rPr>
                <w:rFonts w:hint="cs"/>
                <w:sz w:val="26"/>
                <w:szCs w:val="26"/>
                <w:rtl/>
              </w:rPr>
            </w:pPr>
            <w:r w:rsidRPr="00632AF8">
              <w:rPr>
                <w:rFonts w:hint="cs"/>
                <w:sz w:val="26"/>
                <w:szCs w:val="26"/>
                <w:rtl/>
              </w:rPr>
              <w:t xml:space="preserve">مستوى الفنيين </w:t>
            </w:r>
            <w:r>
              <w:rPr>
                <w:rFonts w:hint="cs"/>
                <w:sz w:val="26"/>
                <w:szCs w:val="26"/>
                <w:rtl/>
              </w:rPr>
              <w:t>(من ف-</w:t>
            </w:r>
            <w:r w:rsidRPr="00632AF8">
              <w:rPr>
                <w:rFonts w:hint="cs"/>
                <w:sz w:val="26"/>
                <w:szCs w:val="26"/>
                <w:rtl/>
              </w:rPr>
              <w:t xml:space="preserve">1 </w:t>
            </w:r>
            <w:r>
              <w:rPr>
                <w:rFonts w:hint="cs"/>
                <w:sz w:val="26"/>
                <w:szCs w:val="26"/>
                <w:rtl/>
              </w:rPr>
              <w:t>إلى</w:t>
            </w:r>
            <w:r w:rsidRPr="00632AF8">
              <w:rPr>
                <w:rFonts w:hint="cs"/>
                <w:sz w:val="26"/>
                <w:szCs w:val="26"/>
                <w:rtl/>
              </w:rPr>
              <w:t xml:space="preserve"> </w:t>
            </w:r>
            <w:r>
              <w:rPr>
                <w:rFonts w:hint="cs"/>
                <w:sz w:val="26"/>
                <w:szCs w:val="26"/>
                <w:rtl/>
              </w:rPr>
              <w:t>ف-</w:t>
            </w:r>
            <w:r w:rsidRPr="00632AF8">
              <w:rPr>
                <w:rFonts w:hint="cs"/>
                <w:sz w:val="26"/>
                <w:szCs w:val="26"/>
                <w:rtl/>
              </w:rPr>
              <w:t>5)</w:t>
            </w:r>
          </w:p>
        </w:tc>
        <w:tc>
          <w:tcPr>
            <w:tcW w:w="1510" w:type="dxa"/>
          </w:tcPr>
          <w:p w:rsidR="007023B4" w:rsidRPr="00632AF8" w:rsidRDefault="007023B4" w:rsidP="007023B4">
            <w:pPr>
              <w:pStyle w:val="SingleTxt"/>
              <w:spacing w:after="0"/>
              <w:ind w:left="0" w:right="0"/>
              <w:rPr>
                <w:rFonts w:hint="cs"/>
                <w:sz w:val="26"/>
                <w:szCs w:val="26"/>
                <w:rtl/>
              </w:rPr>
            </w:pPr>
            <w:r w:rsidRPr="00632AF8">
              <w:rPr>
                <w:rFonts w:hint="cs"/>
                <w:sz w:val="26"/>
                <w:szCs w:val="26"/>
                <w:rtl/>
              </w:rPr>
              <w:t>30 (42</w:t>
            </w:r>
            <w:r w:rsidRPr="00632AF8">
              <w:rPr>
                <w:rFonts w:cs="Akhbar MT" w:hint="cs"/>
                <w:sz w:val="26"/>
                <w:szCs w:val="26"/>
                <w:rtl/>
              </w:rPr>
              <w:t>%)</w:t>
            </w:r>
          </w:p>
        </w:tc>
        <w:tc>
          <w:tcPr>
            <w:tcW w:w="1511" w:type="dxa"/>
          </w:tcPr>
          <w:p w:rsidR="007023B4" w:rsidRPr="00632AF8" w:rsidRDefault="007023B4" w:rsidP="007023B4">
            <w:pPr>
              <w:pStyle w:val="SingleTxt"/>
              <w:spacing w:after="0"/>
              <w:ind w:left="0" w:right="0"/>
              <w:rPr>
                <w:rFonts w:hint="cs"/>
                <w:sz w:val="26"/>
                <w:szCs w:val="26"/>
                <w:rtl/>
              </w:rPr>
            </w:pPr>
            <w:r w:rsidRPr="00632AF8">
              <w:rPr>
                <w:rFonts w:hint="cs"/>
                <w:sz w:val="26"/>
                <w:szCs w:val="26"/>
                <w:rtl/>
              </w:rPr>
              <w:t>42 (58</w:t>
            </w:r>
            <w:r w:rsidRPr="00632AF8">
              <w:rPr>
                <w:rFonts w:cs="Akhbar MT" w:hint="cs"/>
                <w:sz w:val="26"/>
                <w:szCs w:val="26"/>
                <w:rtl/>
              </w:rPr>
              <w:t>%)</w:t>
            </w:r>
          </w:p>
        </w:tc>
        <w:tc>
          <w:tcPr>
            <w:tcW w:w="1202" w:type="dxa"/>
          </w:tcPr>
          <w:p w:rsidR="007023B4" w:rsidRPr="00632AF8" w:rsidRDefault="007023B4" w:rsidP="007023B4">
            <w:pPr>
              <w:pStyle w:val="SingleTxt"/>
              <w:spacing w:after="0"/>
              <w:ind w:left="0" w:right="0"/>
              <w:rPr>
                <w:rFonts w:hint="cs"/>
                <w:sz w:val="26"/>
                <w:szCs w:val="26"/>
                <w:rtl/>
              </w:rPr>
            </w:pPr>
            <w:r w:rsidRPr="00632AF8">
              <w:rPr>
                <w:rFonts w:hint="cs"/>
                <w:sz w:val="26"/>
                <w:szCs w:val="26"/>
                <w:rtl/>
              </w:rPr>
              <w:t>72</w:t>
            </w:r>
          </w:p>
        </w:tc>
      </w:tr>
      <w:tr w:rsidR="007023B4">
        <w:tc>
          <w:tcPr>
            <w:tcW w:w="3193" w:type="dxa"/>
          </w:tcPr>
          <w:p w:rsidR="007023B4" w:rsidRPr="00632AF8" w:rsidRDefault="007023B4" w:rsidP="007023B4">
            <w:pPr>
              <w:pStyle w:val="SingleTxt"/>
              <w:spacing w:after="0"/>
              <w:ind w:left="0" w:right="0"/>
              <w:rPr>
                <w:rFonts w:hint="cs"/>
                <w:sz w:val="26"/>
                <w:szCs w:val="26"/>
                <w:rtl/>
              </w:rPr>
            </w:pPr>
            <w:r>
              <w:rPr>
                <w:rFonts w:hint="cs"/>
                <w:sz w:val="26"/>
                <w:szCs w:val="26"/>
                <w:rtl/>
              </w:rPr>
              <w:t>مستوى الخدمات العامة</w:t>
            </w:r>
          </w:p>
        </w:tc>
        <w:tc>
          <w:tcPr>
            <w:tcW w:w="1510" w:type="dxa"/>
          </w:tcPr>
          <w:p w:rsidR="007023B4" w:rsidRPr="00632AF8" w:rsidRDefault="007023B4" w:rsidP="007023B4">
            <w:pPr>
              <w:pStyle w:val="SingleTxt"/>
              <w:spacing w:after="0"/>
              <w:ind w:left="0" w:right="0"/>
              <w:rPr>
                <w:rFonts w:hint="cs"/>
                <w:sz w:val="26"/>
                <w:szCs w:val="26"/>
                <w:rtl/>
              </w:rPr>
            </w:pPr>
            <w:r w:rsidRPr="00632AF8">
              <w:rPr>
                <w:rFonts w:hint="cs"/>
                <w:sz w:val="26"/>
                <w:szCs w:val="26"/>
                <w:rtl/>
              </w:rPr>
              <w:t>18 (82</w:t>
            </w:r>
            <w:r w:rsidRPr="00632AF8">
              <w:rPr>
                <w:rFonts w:cs="Akhbar MT" w:hint="cs"/>
                <w:sz w:val="26"/>
                <w:szCs w:val="26"/>
                <w:rtl/>
              </w:rPr>
              <w:t>%)</w:t>
            </w:r>
          </w:p>
        </w:tc>
        <w:tc>
          <w:tcPr>
            <w:tcW w:w="1511" w:type="dxa"/>
          </w:tcPr>
          <w:p w:rsidR="007023B4" w:rsidRPr="00632AF8" w:rsidRDefault="007023B4" w:rsidP="007023B4">
            <w:pPr>
              <w:pStyle w:val="SingleTxt"/>
              <w:spacing w:after="0"/>
              <w:ind w:left="0" w:right="0"/>
              <w:rPr>
                <w:rFonts w:hint="cs"/>
                <w:sz w:val="26"/>
                <w:szCs w:val="26"/>
                <w:rtl/>
              </w:rPr>
            </w:pPr>
            <w:r w:rsidRPr="00632AF8">
              <w:rPr>
                <w:rFonts w:hint="cs"/>
                <w:sz w:val="26"/>
                <w:szCs w:val="26"/>
                <w:rtl/>
              </w:rPr>
              <w:t>4 (18</w:t>
            </w:r>
            <w:r w:rsidRPr="00632AF8">
              <w:rPr>
                <w:rFonts w:cs="Akhbar MT" w:hint="cs"/>
                <w:sz w:val="26"/>
                <w:szCs w:val="26"/>
                <w:rtl/>
              </w:rPr>
              <w:t>%)</w:t>
            </w:r>
          </w:p>
        </w:tc>
        <w:tc>
          <w:tcPr>
            <w:tcW w:w="1202" w:type="dxa"/>
          </w:tcPr>
          <w:p w:rsidR="007023B4" w:rsidRPr="00632AF8" w:rsidRDefault="007023B4" w:rsidP="007023B4">
            <w:pPr>
              <w:pStyle w:val="SingleTxt"/>
              <w:spacing w:after="0"/>
              <w:ind w:left="0" w:right="0"/>
              <w:rPr>
                <w:rFonts w:hint="cs"/>
                <w:sz w:val="26"/>
                <w:szCs w:val="26"/>
                <w:rtl/>
              </w:rPr>
            </w:pPr>
            <w:r w:rsidRPr="00632AF8">
              <w:rPr>
                <w:rFonts w:hint="cs"/>
                <w:sz w:val="26"/>
                <w:szCs w:val="26"/>
                <w:rtl/>
              </w:rPr>
              <w:t>22</w:t>
            </w:r>
          </w:p>
        </w:tc>
      </w:tr>
      <w:tr w:rsidR="007023B4">
        <w:tc>
          <w:tcPr>
            <w:tcW w:w="3193" w:type="dxa"/>
          </w:tcPr>
          <w:p w:rsidR="007023B4" w:rsidRPr="00632AF8" w:rsidRDefault="007023B4" w:rsidP="007023B4">
            <w:pPr>
              <w:pStyle w:val="SingleTxt"/>
              <w:spacing w:after="0"/>
              <w:ind w:left="0" w:right="0"/>
              <w:rPr>
                <w:rFonts w:hint="cs"/>
                <w:sz w:val="26"/>
                <w:szCs w:val="26"/>
                <w:rtl/>
              </w:rPr>
            </w:pPr>
            <w:r w:rsidRPr="00632AF8">
              <w:rPr>
                <w:rFonts w:hint="cs"/>
                <w:sz w:val="26"/>
                <w:szCs w:val="26"/>
                <w:rtl/>
              </w:rPr>
              <w:t>الخدمة الميدانية</w:t>
            </w:r>
          </w:p>
        </w:tc>
        <w:tc>
          <w:tcPr>
            <w:tcW w:w="1510" w:type="dxa"/>
          </w:tcPr>
          <w:p w:rsidR="007023B4" w:rsidRPr="00632AF8" w:rsidRDefault="007023B4" w:rsidP="007023B4">
            <w:pPr>
              <w:pStyle w:val="SingleTxt"/>
              <w:spacing w:after="0"/>
              <w:ind w:left="0" w:right="0"/>
              <w:rPr>
                <w:rFonts w:hint="cs"/>
                <w:sz w:val="26"/>
                <w:szCs w:val="26"/>
                <w:rtl/>
              </w:rPr>
            </w:pPr>
            <w:r w:rsidRPr="00632AF8">
              <w:rPr>
                <w:rFonts w:hint="cs"/>
                <w:sz w:val="26"/>
                <w:szCs w:val="26"/>
                <w:rtl/>
              </w:rPr>
              <w:t>1 (20</w:t>
            </w:r>
            <w:r w:rsidRPr="00632AF8">
              <w:rPr>
                <w:rFonts w:cs="Akhbar MT" w:hint="cs"/>
                <w:sz w:val="26"/>
                <w:szCs w:val="26"/>
                <w:rtl/>
              </w:rPr>
              <w:t>%)</w:t>
            </w:r>
          </w:p>
        </w:tc>
        <w:tc>
          <w:tcPr>
            <w:tcW w:w="1511" w:type="dxa"/>
          </w:tcPr>
          <w:p w:rsidR="007023B4" w:rsidRPr="00632AF8" w:rsidRDefault="007023B4" w:rsidP="007023B4">
            <w:pPr>
              <w:pStyle w:val="SingleTxt"/>
              <w:spacing w:after="0"/>
              <w:ind w:left="0" w:right="0"/>
              <w:rPr>
                <w:rFonts w:hint="cs"/>
                <w:sz w:val="26"/>
                <w:szCs w:val="26"/>
                <w:rtl/>
              </w:rPr>
            </w:pPr>
            <w:r w:rsidRPr="00632AF8">
              <w:rPr>
                <w:rFonts w:hint="cs"/>
                <w:sz w:val="26"/>
                <w:szCs w:val="26"/>
                <w:rtl/>
              </w:rPr>
              <w:t>4 (80</w:t>
            </w:r>
            <w:r w:rsidRPr="00632AF8">
              <w:rPr>
                <w:rFonts w:cs="Akhbar MT" w:hint="cs"/>
                <w:sz w:val="26"/>
                <w:szCs w:val="26"/>
                <w:rtl/>
              </w:rPr>
              <w:t>%</w:t>
            </w:r>
            <w:r w:rsidRPr="00632AF8">
              <w:rPr>
                <w:rFonts w:hint="cs"/>
                <w:sz w:val="26"/>
                <w:szCs w:val="26"/>
                <w:rtl/>
              </w:rPr>
              <w:t>)</w:t>
            </w:r>
          </w:p>
        </w:tc>
        <w:tc>
          <w:tcPr>
            <w:tcW w:w="1202" w:type="dxa"/>
          </w:tcPr>
          <w:p w:rsidR="007023B4" w:rsidRPr="00632AF8" w:rsidRDefault="007023B4" w:rsidP="007023B4">
            <w:pPr>
              <w:pStyle w:val="SingleTxt"/>
              <w:spacing w:after="0"/>
              <w:ind w:left="0" w:right="0"/>
              <w:rPr>
                <w:rFonts w:hint="cs"/>
                <w:sz w:val="26"/>
                <w:szCs w:val="26"/>
                <w:rtl/>
              </w:rPr>
            </w:pPr>
            <w:r w:rsidRPr="00632AF8">
              <w:rPr>
                <w:rFonts w:hint="cs"/>
                <w:sz w:val="26"/>
                <w:szCs w:val="26"/>
                <w:rtl/>
              </w:rPr>
              <w:t>5</w:t>
            </w:r>
          </w:p>
        </w:tc>
      </w:tr>
      <w:tr w:rsidR="007023B4">
        <w:tc>
          <w:tcPr>
            <w:tcW w:w="3193" w:type="dxa"/>
          </w:tcPr>
          <w:p w:rsidR="007023B4" w:rsidRPr="00632AF8" w:rsidRDefault="007023B4" w:rsidP="007023B4">
            <w:pPr>
              <w:pStyle w:val="SingleTxt"/>
              <w:spacing w:after="0"/>
              <w:ind w:left="0" w:right="0"/>
              <w:rPr>
                <w:rFonts w:hint="cs"/>
                <w:sz w:val="26"/>
                <w:szCs w:val="26"/>
                <w:rtl/>
              </w:rPr>
            </w:pPr>
            <w:r>
              <w:rPr>
                <w:rFonts w:hint="cs"/>
                <w:sz w:val="26"/>
                <w:szCs w:val="26"/>
                <w:rtl/>
              </w:rPr>
              <w:t>الموظفون الفنيو</w:t>
            </w:r>
            <w:r w:rsidRPr="00632AF8">
              <w:rPr>
                <w:rFonts w:hint="cs"/>
                <w:sz w:val="26"/>
                <w:szCs w:val="26"/>
                <w:rtl/>
              </w:rPr>
              <w:t>ن</w:t>
            </w:r>
            <w:r>
              <w:rPr>
                <w:rFonts w:hint="cs"/>
                <w:sz w:val="26"/>
                <w:szCs w:val="26"/>
                <w:rtl/>
              </w:rPr>
              <w:t xml:space="preserve"> المبتدئون</w:t>
            </w:r>
          </w:p>
        </w:tc>
        <w:tc>
          <w:tcPr>
            <w:tcW w:w="1510" w:type="dxa"/>
          </w:tcPr>
          <w:p w:rsidR="007023B4" w:rsidRPr="00632AF8" w:rsidRDefault="007023B4" w:rsidP="007023B4">
            <w:pPr>
              <w:pStyle w:val="SingleTxt"/>
              <w:spacing w:after="0"/>
              <w:ind w:left="0" w:right="0"/>
              <w:rPr>
                <w:rFonts w:hint="cs"/>
                <w:sz w:val="26"/>
                <w:szCs w:val="26"/>
                <w:rtl/>
              </w:rPr>
            </w:pPr>
            <w:r w:rsidRPr="00632AF8">
              <w:rPr>
                <w:rFonts w:hint="cs"/>
                <w:sz w:val="26"/>
                <w:szCs w:val="26"/>
                <w:rtl/>
              </w:rPr>
              <w:t>29 (64</w:t>
            </w:r>
            <w:r w:rsidRPr="00632AF8">
              <w:rPr>
                <w:rFonts w:cs="Akhbar MT" w:hint="cs"/>
                <w:sz w:val="26"/>
                <w:szCs w:val="26"/>
                <w:rtl/>
              </w:rPr>
              <w:t>%)</w:t>
            </w:r>
          </w:p>
        </w:tc>
        <w:tc>
          <w:tcPr>
            <w:tcW w:w="1511" w:type="dxa"/>
          </w:tcPr>
          <w:p w:rsidR="007023B4" w:rsidRPr="00632AF8" w:rsidRDefault="007023B4" w:rsidP="007023B4">
            <w:pPr>
              <w:pStyle w:val="SingleTxt"/>
              <w:spacing w:after="0"/>
              <w:ind w:left="0" w:right="0"/>
              <w:rPr>
                <w:rFonts w:hint="cs"/>
                <w:sz w:val="26"/>
                <w:szCs w:val="26"/>
                <w:rtl/>
              </w:rPr>
            </w:pPr>
            <w:r w:rsidRPr="00632AF8">
              <w:rPr>
                <w:rFonts w:hint="cs"/>
                <w:sz w:val="26"/>
                <w:szCs w:val="26"/>
                <w:rtl/>
              </w:rPr>
              <w:t>16 (36</w:t>
            </w:r>
            <w:r w:rsidRPr="00632AF8">
              <w:rPr>
                <w:rFonts w:cs="Akhbar MT" w:hint="cs"/>
                <w:sz w:val="26"/>
                <w:szCs w:val="26"/>
                <w:rtl/>
              </w:rPr>
              <w:t>%)</w:t>
            </w:r>
          </w:p>
        </w:tc>
        <w:tc>
          <w:tcPr>
            <w:tcW w:w="1202" w:type="dxa"/>
          </w:tcPr>
          <w:p w:rsidR="007023B4" w:rsidRPr="00632AF8" w:rsidRDefault="007023B4" w:rsidP="007023B4">
            <w:pPr>
              <w:pStyle w:val="SingleTxt"/>
              <w:spacing w:after="0"/>
              <w:ind w:left="0" w:right="0"/>
              <w:rPr>
                <w:rFonts w:hint="cs"/>
                <w:sz w:val="26"/>
                <w:szCs w:val="26"/>
                <w:rtl/>
              </w:rPr>
            </w:pPr>
            <w:r w:rsidRPr="00632AF8">
              <w:rPr>
                <w:rFonts w:hint="cs"/>
                <w:sz w:val="26"/>
                <w:szCs w:val="26"/>
                <w:rtl/>
              </w:rPr>
              <w:t>45</w:t>
            </w:r>
          </w:p>
        </w:tc>
      </w:tr>
      <w:tr w:rsidR="007023B4">
        <w:tc>
          <w:tcPr>
            <w:tcW w:w="3193" w:type="dxa"/>
          </w:tcPr>
          <w:p w:rsidR="007023B4" w:rsidRPr="00632AF8" w:rsidRDefault="007023B4" w:rsidP="007023B4">
            <w:pPr>
              <w:pStyle w:val="SingleTxt"/>
              <w:spacing w:after="0"/>
              <w:ind w:left="0" w:right="0"/>
              <w:rPr>
                <w:rFonts w:hint="cs"/>
                <w:sz w:val="26"/>
                <w:szCs w:val="26"/>
                <w:rtl/>
              </w:rPr>
            </w:pPr>
            <w:r w:rsidRPr="00632AF8">
              <w:rPr>
                <w:rFonts w:hint="cs"/>
                <w:sz w:val="26"/>
                <w:szCs w:val="26"/>
                <w:rtl/>
              </w:rPr>
              <w:t>مساعدون ل</w:t>
            </w:r>
            <w:r>
              <w:rPr>
                <w:rFonts w:hint="cs"/>
                <w:sz w:val="26"/>
                <w:szCs w:val="26"/>
                <w:rtl/>
              </w:rPr>
              <w:t>شؤون ا</w:t>
            </w:r>
            <w:r w:rsidRPr="00632AF8">
              <w:rPr>
                <w:rFonts w:hint="cs"/>
                <w:sz w:val="26"/>
                <w:szCs w:val="26"/>
                <w:rtl/>
              </w:rPr>
              <w:t>لإعلام</w:t>
            </w:r>
          </w:p>
        </w:tc>
        <w:tc>
          <w:tcPr>
            <w:tcW w:w="1510" w:type="dxa"/>
          </w:tcPr>
          <w:p w:rsidR="007023B4" w:rsidRPr="00632AF8" w:rsidRDefault="007023B4" w:rsidP="007023B4">
            <w:pPr>
              <w:pStyle w:val="SingleTxt"/>
              <w:spacing w:after="0"/>
              <w:ind w:left="0" w:right="0"/>
              <w:rPr>
                <w:rFonts w:hint="cs"/>
                <w:sz w:val="26"/>
                <w:szCs w:val="26"/>
                <w:rtl/>
              </w:rPr>
            </w:pPr>
            <w:r w:rsidRPr="00632AF8">
              <w:rPr>
                <w:rFonts w:hint="cs"/>
                <w:sz w:val="26"/>
                <w:szCs w:val="26"/>
                <w:rtl/>
              </w:rPr>
              <w:t>1 (100</w:t>
            </w:r>
            <w:r w:rsidRPr="00632AF8">
              <w:rPr>
                <w:rFonts w:cs="Akhbar MT" w:hint="cs"/>
                <w:sz w:val="26"/>
                <w:szCs w:val="26"/>
                <w:rtl/>
              </w:rPr>
              <w:t>%)</w:t>
            </w:r>
          </w:p>
        </w:tc>
        <w:tc>
          <w:tcPr>
            <w:tcW w:w="1511" w:type="dxa"/>
          </w:tcPr>
          <w:p w:rsidR="007023B4" w:rsidRPr="00632AF8" w:rsidRDefault="007023B4" w:rsidP="007023B4">
            <w:pPr>
              <w:pStyle w:val="SingleTxt"/>
              <w:spacing w:after="0"/>
              <w:ind w:left="0" w:right="0"/>
              <w:rPr>
                <w:rFonts w:hint="cs"/>
                <w:sz w:val="26"/>
                <w:szCs w:val="26"/>
                <w:rtl/>
              </w:rPr>
            </w:pPr>
            <w:r w:rsidRPr="00632AF8">
              <w:rPr>
                <w:rFonts w:hint="cs"/>
                <w:sz w:val="26"/>
                <w:szCs w:val="26"/>
                <w:rtl/>
              </w:rPr>
              <w:t>صفر</w:t>
            </w:r>
          </w:p>
        </w:tc>
        <w:tc>
          <w:tcPr>
            <w:tcW w:w="1202" w:type="dxa"/>
          </w:tcPr>
          <w:p w:rsidR="007023B4" w:rsidRPr="00632AF8" w:rsidRDefault="007023B4" w:rsidP="007023B4">
            <w:pPr>
              <w:pStyle w:val="SingleTxt"/>
              <w:spacing w:after="0"/>
              <w:ind w:left="0" w:right="0"/>
              <w:rPr>
                <w:rFonts w:hint="cs"/>
                <w:sz w:val="26"/>
                <w:szCs w:val="26"/>
                <w:rtl/>
              </w:rPr>
            </w:pPr>
            <w:r w:rsidRPr="00632AF8">
              <w:rPr>
                <w:rFonts w:hint="cs"/>
                <w:sz w:val="26"/>
                <w:szCs w:val="26"/>
                <w:rtl/>
              </w:rPr>
              <w:t>1</w:t>
            </w:r>
          </w:p>
        </w:tc>
      </w:tr>
      <w:tr w:rsidR="007023B4">
        <w:tc>
          <w:tcPr>
            <w:tcW w:w="3193" w:type="dxa"/>
          </w:tcPr>
          <w:p w:rsidR="007023B4" w:rsidRPr="00632AF8" w:rsidRDefault="007023B4" w:rsidP="007023B4">
            <w:pPr>
              <w:pStyle w:val="SingleTxt"/>
              <w:spacing w:after="0"/>
              <w:ind w:left="0" w:right="0"/>
              <w:rPr>
                <w:rFonts w:hint="cs"/>
                <w:sz w:val="26"/>
                <w:szCs w:val="26"/>
                <w:rtl/>
              </w:rPr>
            </w:pPr>
            <w:r w:rsidRPr="00632AF8">
              <w:rPr>
                <w:rFonts w:hint="cs"/>
                <w:sz w:val="26"/>
                <w:szCs w:val="26"/>
                <w:rtl/>
              </w:rPr>
              <w:t>متطوعو الأمم المتحدة</w:t>
            </w:r>
          </w:p>
        </w:tc>
        <w:tc>
          <w:tcPr>
            <w:tcW w:w="1510" w:type="dxa"/>
          </w:tcPr>
          <w:p w:rsidR="007023B4" w:rsidRPr="00632AF8" w:rsidRDefault="007023B4" w:rsidP="007023B4">
            <w:pPr>
              <w:pStyle w:val="SingleTxt"/>
              <w:spacing w:after="0"/>
              <w:ind w:left="0" w:right="0"/>
              <w:rPr>
                <w:rFonts w:hint="cs"/>
                <w:sz w:val="26"/>
                <w:szCs w:val="26"/>
                <w:rtl/>
              </w:rPr>
            </w:pPr>
            <w:r w:rsidRPr="00632AF8">
              <w:rPr>
                <w:rFonts w:hint="cs"/>
                <w:sz w:val="26"/>
                <w:szCs w:val="26"/>
                <w:rtl/>
              </w:rPr>
              <w:t>27 (46</w:t>
            </w:r>
            <w:r w:rsidRPr="00632AF8">
              <w:rPr>
                <w:rFonts w:cs="Akhbar MT" w:hint="cs"/>
                <w:sz w:val="26"/>
                <w:szCs w:val="26"/>
                <w:rtl/>
              </w:rPr>
              <w:t>%)</w:t>
            </w:r>
          </w:p>
        </w:tc>
        <w:tc>
          <w:tcPr>
            <w:tcW w:w="1511" w:type="dxa"/>
          </w:tcPr>
          <w:p w:rsidR="007023B4" w:rsidRPr="00632AF8" w:rsidRDefault="007023B4" w:rsidP="007023B4">
            <w:pPr>
              <w:pStyle w:val="SingleTxt"/>
              <w:spacing w:after="0"/>
              <w:ind w:left="0" w:right="0"/>
              <w:rPr>
                <w:rFonts w:hint="cs"/>
                <w:sz w:val="26"/>
                <w:szCs w:val="26"/>
                <w:rtl/>
              </w:rPr>
            </w:pPr>
            <w:r w:rsidRPr="00632AF8">
              <w:rPr>
                <w:rFonts w:hint="cs"/>
                <w:sz w:val="26"/>
                <w:szCs w:val="26"/>
                <w:rtl/>
              </w:rPr>
              <w:t>32 (54</w:t>
            </w:r>
            <w:r w:rsidRPr="00632AF8">
              <w:rPr>
                <w:rFonts w:cs="Akhbar MT" w:hint="cs"/>
                <w:sz w:val="26"/>
                <w:szCs w:val="26"/>
                <w:rtl/>
              </w:rPr>
              <w:t>%)</w:t>
            </w:r>
          </w:p>
        </w:tc>
        <w:tc>
          <w:tcPr>
            <w:tcW w:w="1202" w:type="dxa"/>
          </w:tcPr>
          <w:p w:rsidR="007023B4" w:rsidRPr="00632AF8" w:rsidRDefault="007023B4" w:rsidP="007023B4">
            <w:pPr>
              <w:pStyle w:val="SingleTxt"/>
              <w:spacing w:after="0"/>
              <w:ind w:left="0" w:right="0"/>
              <w:rPr>
                <w:rFonts w:hint="cs"/>
                <w:sz w:val="26"/>
                <w:szCs w:val="26"/>
                <w:rtl/>
              </w:rPr>
            </w:pPr>
            <w:r w:rsidRPr="00632AF8">
              <w:rPr>
                <w:rFonts w:hint="cs"/>
                <w:sz w:val="26"/>
                <w:szCs w:val="26"/>
                <w:rtl/>
              </w:rPr>
              <w:t>59</w:t>
            </w:r>
          </w:p>
        </w:tc>
      </w:tr>
      <w:tr w:rsidR="007023B4">
        <w:tc>
          <w:tcPr>
            <w:tcW w:w="3193" w:type="dxa"/>
          </w:tcPr>
          <w:p w:rsidR="007023B4" w:rsidRPr="00632AF8" w:rsidRDefault="007023B4" w:rsidP="007023B4">
            <w:pPr>
              <w:pStyle w:val="SingleTxt"/>
              <w:spacing w:after="0"/>
              <w:ind w:left="0" w:right="0"/>
              <w:rPr>
                <w:rFonts w:hint="cs"/>
                <w:sz w:val="26"/>
                <w:szCs w:val="26"/>
                <w:rtl/>
              </w:rPr>
            </w:pPr>
            <w:r w:rsidRPr="00632AF8">
              <w:rPr>
                <w:rFonts w:hint="cs"/>
                <w:sz w:val="26"/>
                <w:szCs w:val="26"/>
                <w:rtl/>
              </w:rPr>
              <w:t>المستوى ل (خبير)</w:t>
            </w:r>
          </w:p>
        </w:tc>
        <w:tc>
          <w:tcPr>
            <w:tcW w:w="1510" w:type="dxa"/>
          </w:tcPr>
          <w:p w:rsidR="007023B4" w:rsidRPr="00632AF8" w:rsidRDefault="007023B4" w:rsidP="007023B4">
            <w:pPr>
              <w:pStyle w:val="SingleTxt"/>
              <w:spacing w:after="0"/>
              <w:ind w:left="0" w:right="0"/>
              <w:rPr>
                <w:rFonts w:hint="cs"/>
                <w:sz w:val="26"/>
                <w:szCs w:val="26"/>
                <w:rtl/>
              </w:rPr>
            </w:pPr>
            <w:r w:rsidRPr="00632AF8">
              <w:rPr>
                <w:rFonts w:hint="cs"/>
                <w:sz w:val="26"/>
                <w:szCs w:val="26"/>
                <w:rtl/>
              </w:rPr>
              <w:t>4 (24</w:t>
            </w:r>
            <w:r w:rsidRPr="00632AF8">
              <w:rPr>
                <w:rFonts w:cs="Akhbar MT" w:hint="cs"/>
                <w:sz w:val="26"/>
                <w:szCs w:val="26"/>
                <w:rtl/>
              </w:rPr>
              <w:t>%)</w:t>
            </w:r>
          </w:p>
        </w:tc>
        <w:tc>
          <w:tcPr>
            <w:tcW w:w="1511" w:type="dxa"/>
          </w:tcPr>
          <w:p w:rsidR="007023B4" w:rsidRPr="00632AF8" w:rsidRDefault="007023B4" w:rsidP="007023B4">
            <w:pPr>
              <w:pStyle w:val="SingleTxt"/>
              <w:spacing w:after="0"/>
              <w:ind w:left="0" w:right="0"/>
              <w:rPr>
                <w:rFonts w:hint="cs"/>
                <w:sz w:val="26"/>
                <w:szCs w:val="26"/>
                <w:rtl/>
              </w:rPr>
            </w:pPr>
            <w:r w:rsidRPr="00632AF8">
              <w:rPr>
                <w:rFonts w:hint="cs"/>
                <w:sz w:val="26"/>
                <w:szCs w:val="26"/>
                <w:rtl/>
              </w:rPr>
              <w:t>13 (76</w:t>
            </w:r>
            <w:r w:rsidRPr="00632AF8">
              <w:rPr>
                <w:rFonts w:cs="Akhbar MT" w:hint="cs"/>
                <w:sz w:val="26"/>
                <w:szCs w:val="26"/>
                <w:rtl/>
              </w:rPr>
              <w:t>%)</w:t>
            </w:r>
          </w:p>
        </w:tc>
        <w:tc>
          <w:tcPr>
            <w:tcW w:w="1202" w:type="dxa"/>
          </w:tcPr>
          <w:p w:rsidR="007023B4" w:rsidRPr="00632AF8" w:rsidRDefault="007023B4" w:rsidP="007023B4">
            <w:pPr>
              <w:pStyle w:val="SingleTxt"/>
              <w:spacing w:after="0"/>
              <w:ind w:left="0" w:right="0"/>
              <w:rPr>
                <w:rFonts w:hint="cs"/>
                <w:sz w:val="26"/>
                <w:szCs w:val="26"/>
                <w:rtl/>
              </w:rPr>
            </w:pPr>
            <w:r w:rsidRPr="00632AF8">
              <w:rPr>
                <w:rFonts w:hint="cs"/>
                <w:sz w:val="26"/>
                <w:szCs w:val="26"/>
                <w:rtl/>
              </w:rPr>
              <w:t>17</w:t>
            </w:r>
          </w:p>
        </w:tc>
      </w:tr>
      <w:tr w:rsidR="007023B4">
        <w:tc>
          <w:tcPr>
            <w:tcW w:w="3193" w:type="dxa"/>
          </w:tcPr>
          <w:p w:rsidR="007023B4" w:rsidRPr="00632AF8" w:rsidRDefault="007023B4" w:rsidP="007023B4">
            <w:pPr>
              <w:pStyle w:val="SingleTxt"/>
              <w:spacing w:after="0"/>
              <w:ind w:left="0" w:right="0"/>
              <w:rPr>
                <w:rFonts w:hint="cs"/>
                <w:sz w:val="26"/>
                <w:szCs w:val="26"/>
                <w:rtl/>
              </w:rPr>
            </w:pPr>
            <w:r w:rsidRPr="00632AF8">
              <w:rPr>
                <w:rFonts w:hint="cs"/>
                <w:sz w:val="26"/>
                <w:szCs w:val="26"/>
                <w:rtl/>
              </w:rPr>
              <w:t>المستوى ل ت (مدرس لغات)</w:t>
            </w:r>
          </w:p>
        </w:tc>
        <w:tc>
          <w:tcPr>
            <w:tcW w:w="1510" w:type="dxa"/>
          </w:tcPr>
          <w:p w:rsidR="007023B4" w:rsidRPr="00632AF8" w:rsidRDefault="007023B4" w:rsidP="007023B4">
            <w:pPr>
              <w:pStyle w:val="SingleTxt"/>
              <w:spacing w:after="0"/>
              <w:ind w:left="0" w:right="0"/>
              <w:rPr>
                <w:rFonts w:hint="cs"/>
                <w:sz w:val="26"/>
                <w:szCs w:val="26"/>
                <w:rtl/>
              </w:rPr>
            </w:pPr>
            <w:r w:rsidRPr="00632AF8">
              <w:rPr>
                <w:rFonts w:hint="cs"/>
                <w:sz w:val="26"/>
                <w:szCs w:val="26"/>
                <w:rtl/>
              </w:rPr>
              <w:t>1 (100</w:t>
            </w:r>
            <w:r w:rsidRPr="00632AF8">
              <w:rPr>
                <w:rFonts w:cs="Akhbar MT" w:hint="cs"/>
                <w:sz w:val="26"/>
                <w:szCs w:val="26"/>
                <w:rtl/>
              </w:rPr>
              <w:t>%)</w:t>
            </w:r>
          </w:p>
        </w:tc>
        <w:tc>
          <w:tcPr>
            <w:tcW w:w="1511" w:type="dxa"/>
          </w:tcPr>
          <w:p w:rsidR="007023B4" w:rsidRPr="00632AF8" w:rsidRDefault="007023B4" w:rsidP="007023B4">
            <w:pPr>
              <w:pStyle w:val="SingleTxt"/>
              <w:spacing w:after="0"/>
              <w:ind w:left="0" w:right="0"/>
              <w:rPr>
                <w:rFonts w:hint="cs"/>
                <w:sz w:val="26"/>
                <w:szCs w:val="26"/>
                <w:rtl/>
              </w:rPr>
            </w:pPr>
            <w:r w:rsidRPr="00632AF8">
              <w:rPr>
                <w:rFonts w:hint="cs"/>
                <w:sz w:val="26"/>
                <w:szCs w:val="26"/>
                <w:rtl/>
              </w:rPr>
              <w:t>صفر</w:t>
            </w:r>
          </w:p>
        </w:tc>
        <w:tc>
          <w:tcPr>
            <w:tcW w:w="1202" w:type="dxa"/>
          </w:tcPr>
          <w:p w:rsidR="007023B4" w:rsidRPr="00632AF8" w:rsidRDefault="007023B4" w:rsidP="007023B4">
            <w:pPr>
              <w:pStyle w:val="SingleTxt"/>
              <w:spacing w:after="0"/>
              <w:ind w:left="0" w:right="0"/>
              <w:rPr>
                <w:rFonts w:hint="cs"/>
                <w:sz w:val="26"/>
                <w:szCs w:val="26"/>
                <w:rtl/>
              </w:rPr>
            </w:pPr>
            <w:r w:rsidRPr="00632AF8">
              <w:rPr>
                <w:rFonts w:hint="cs"/>
                <w:sz w:val="26"/>
                <w:szCs w:val="26"/>
                <w:rtl/>
              </w:rPr>
              <w:t>1</w:t>
            </w:r>
          </w:p>
        </w:tc>
      </w:tr>
      <w:tr w:rsidR="007023B4">
        <w:tc>
          <w:tcPr>
            <w:tcW w:w="3193" w:type="dxa"/>
          </w:tcPr>
          <w:p w:rsidR="007023B4" w:rsidRPr="00632AF8" w:rsidRDefault="007023B4" w:rsidP="007023B4">
            <w:pPr>
              <w:pStyle w:val="SingleTxt"/>
              <w:spacing w:after="0"/>
              <w:ind w:left="0" w:right="0"/>
              <w:rPr>
                <w:rFonts w:hint="cs"/>
                <w:sz w:val="26"/>
                <w:szCs w:val="26"/>
                <w:rtl/>
              </w:rPr>
            </w:pPr>
            <w:r w:rsidRPr="00632AF8">
              <w:rPr>
                <w:rFonts w:hint="cs"/>
                <w:sz w:val="26"/>
                <w:szCs w:val="26"/>
                <w:rtl/>
              </w:rPr>
              <w:t>خبراء مساعدة تقنية</w:t>
            </w:r>
          </w:p>
        </w:tc>
        <w:tc>
          <w:tcPr>
            <w:tcW w:w="4223" w:type="dxa"/>
            <w:gridSpan w:val="3"/>
            <w:vMerge w:val="restart"/>
          </w:tcPr>
          <w:p w:rsidR="007023B4" w:rsidRPr="00632AF8" w:rsidRDefault="007023B4" w:rsidP="007023B4">
            <w:pPr>
              <w:pStyle w:val="SingleTxt"/>
              <w:spacing w:after="0"/>
              <w:ind w:left="0" w:right="0"/>
              <w:rPr>
                <w:rFonts w:hint="cs"/>
                <w:sz w:val="26"/>
                <w:szCs w:val="26"/>
                <w:rtl/>
              </w:rPr>
            </w:pPr>
            <w:r>
              <w:rPr>
                <w:rFonts w:hint="cs"/>
                <w:sz w:val="26"/>
                <w:szCs w:val="26"/>
                <w:rtl/>
              </w:rPr>
              <w:t>ليست هناك بيانات متاحة لهذه الفئات الثلاث</w:t>
            </w:r>
          </w:p>
        </w:tc>
      </w:tr>
      <w:tr w:rsidR="007023B4">
        <w:tc>
          <w:tcPr>
            <w:tcW w:w="3193" w:type="dxa"/>
          </w:tcPr>
          <w:p w:rsidR="007023B4" w:rsidRPr="00632AF8" w:rsidRDefault="007023B4" w:rsidP="007023B4">
            <w:pPr>
              <w:pStyle w:val="SingleTxt"/>
              <w:spacing w:after="0"/>
              <w:ind w:left="0" w:right="0"/>
              <w:rPr>
                <w:rFonts w:hint="cs"/>
                <w:sz w:val="26"/>
                <w:szCs w:val="26"/>
                <w:rtl/>
              </w:rPr>
            </w:pPr>
            <w:r w:rsidRPr="00632AF8">
              <w:rPr>
                <w:rFonts w:hint="cs"/>
                <w:sz w:val="26"/>
                <w:szCs w:val="26"/>
                <w:rtl/>
              </w:rPr>
              <w:t>موظفو أمن</w:t>
            </w:r>
          </w:p>
        </w:tc>
        <w:tc>
          <w:tcPr>
            <w:tcW w:w="4223" w:type="dxa"/>
            <w:gridSpan w:val="3"/>
            <w:vMerge/>
          </w:tcPr>
          <w:p w:rsidR="007023B4" w:rsidRPr="00632AF8" w:rsidRDefault="007023B4" w:rsidP="007023B4">
            <w:pPr>
              <w:pStyle w:val="SingleTxt"/>
              <w:spacing w:after="0"/>
              <w:ind w:left="0" w:right="0"/>
              <w:rPr>
                <w:rFonts w:hint="cs"/>
                <w:sz w:val="26"/>
                <w:szCs w:val="26"/>
                <w:rtl/>
              </w:rPr>
            </w:pPr>
          </w:p>
        </w:tc>
      </w:tr>
      <w:tr w:rsidR="007023B4">
        <w:tc>
          <w:tcPr>
            <w:tcW w:w="3193" w:type="dxa"/>
          </w:tcPr>
          <w:p w:rsidR="007023B4" w:rsidRPr="00632AF8" w:rsidRDefault="007023B4" w:rsidP="007023B4">
            <w:pPr>
              <w:pStyle w:val="SingleTxt"/>
              <w:spacing w:after="0"/>
              <w:ind w:left="0" w:right="0"/>
              <w:rPr>
                <w:rFonts w:hint="cs"/>
                <w:sz w:val="26"/>
                <w:szCs w:val="26"/>
                <w:rtl/>
              </w:rPr>
            </w:pPr>
            <w:r w:rsidRPr="00632AF8">
              <w:rPr>
                <w:rFonts w:hint="cs"/>
                <w:sz w:val="26"/>
                <w:szCs w:val="26"/>
                <w:rtl/>
              </w:rPr>
              <w:t>موظفو صيانة</w:t>
            </w:r>
          </w:p>
        </w:tc>
        <w:tc>
          <w:tcPr>
            <w:tcW w:w="4223" w:type="dxa"/>
            <w:gridSpan w:val="3"/>
            <w:vMerge/>
          </w:tcPr>
          <w:p w:rsidR="007023B4" w:rsidRPr="00632AF8" w:rsidRDefault="007023B4" w:rsidP="007023B4">
            <w:pPr>
              <w:pStyle w:val="SingleTxt"/>
              <w:spacing w:after="0"/>
              <w:ind w:left="0" w:right="0"/>
              <w:rPr>
                <w:rFonts w:hint="cs"/>
                <w:sz w:val="26"/>
                <w:szCs w:val="26"/>
                <w:rtl/>
              </w:rPr>
            </w:pPr>
          </w:p>
        </w:tc>
      </w:tr>
    </w:tbl>
    <w:p w:rsidR="007023B4" w:rsidRPr="006060F9" w:rsidRDefault="007023B4" w:rsidP="007023B4">
      <w:pPr>
        <w:pStyle w:val="SingleTxt"/>
        <w:spacing w:after="0" w:line="120" w:lineRule="exact"/>
        <w:rPr>
          <w:rFonts w:hint="cs"/>
          <w:b/>
          <w:bCs/>
          <w:sz w:val="10"/>
          <w:rtl/>
        </w:rPr>
      </w:pPr>
    </w:p>
    <w:p w:rsidR="007023B4" w:rsidRPr="006060F9" w:rsidRDefault="007023B4" w:rsidP="007023B4">
      <w:pPr>
        <w:pStyle w:val="SingleTxt"/>
        <w:spacing w:after="0" w:line="120" w:lineRule="exact"/>
        <w:rPr>
          <w:rFonts w:hint="cs"/>
          <w:b/>
          <w:bCs/>
          <w:sz w:val="10"/>
          <w:rtl/>
        </w:rPr>
      </w:pPr>
    </w:p>
    <w:p w:rsidR="007023B4" w:rsidRPr="00632AF8" w:rsidRDefault="00B105BA" w:rsidP="00B105BA">
      <w:pPr>
        <w:pStyle w:val="SingleTxt"/>
        <w:rPr>
          <w:rFonts w:hint="cs"/>
          <w:i/>
          <w:iCs/>
          <w:rtl/>
        </w:rPr>
      </w:pPr>
      <w:r>
        <w:rPr>
          <w:rFonts w:hint="cs"/>
          <w:rtl/>
        </w:rPr>
        <w:t>3-2-</w:t>
      </w:r>
      <w:r>
        <w:rPr>
          <w:rFonts w:hint="cs"/>
          <w:i/>
          <w:iCs/>
          <w:rtl/>
        </w:rPr>
        <w:t xml:space="preserve">  </w:t>
      </w:r>
      <w:r w:rsidR="007023B4">
        <w:rPr>
          <w:rFonts w:hint="cs"/>
          <w:i/>
          <w:iCs/>
          <w:rtl/>
        </w:rPr>
        <w:t>المفوضي</w:t>
      </w:r>
      <w:r w:rsidR="007023B4" w:rsidRPr="00632AF8">
        <w:rPr>
          <w:rFonts w:hint="cs"/>
          <w:i/>
          <w:iCs/>
          <w:rtl/>
        </w:rPr>
        <w:t>ة الأور</w:t>
      </w:r>
      <w:r w:rsidR="007023B4">
        <w:rPr>
          <w:rFonts w:hint="cs"/>
          <w:i/>
          <w:iCs/>
          <w:rtl/>
        </w:rPr>
        <w:t>و</w:t>
      </w:r>
      <w:r w:rsidR="007023B4" w:rsidRPr="00632AF8">
        <w:rPr>
          <w:rFonts w:hint="cs"/>
          <w:i/>
          <w:iCs/>
          <w:rtl/>
        </w:rPr>
        <w:t>بية</w:t>
      </w:r>
    </w:p>
    <w:p w:rsidR="007023B4" w:rsidRDefault="007023B4" w:rsidP="007023B4">
      <w:pPr>
        <w:pStyle w:val="SingleTxt"/>
        <w:rPr>
          <w:rFonts w:hint="cs"/>
          <w:rtl/>
        </w:rPr>
      </w:pPr>
      <w:r>
        <w:rPr>
          <w:rFonts w:hint="cs"/>
          <w:rtl/>
        </w:rPr>
        <w:tab/>
        <w:t>وفقا لإحصاءات المفوضية الأوروبية، فإن الموظفين والوكلاء المؤقتين البلجيكيين كانوا كالآتي في تشرين الأول/أكتوبر 2006:</w:t>
      </w:r>
    </w:p>
    <w:p w:rsidR="007023B4" w:rsidRPr="006060F9" w:rsidRDefault="006D5CDD" w:rsidP="007023B4">
      <w:pPr>
        <w:pStyle w:val="SingleTxt"/>
        <w:spacing w:after="0" w:line="120" w:lineRule="exact"/>
        <w:rPr>
          <w:rFonts w:hint="cs"/>
          <w:sz w:val="10"/>
          <w:rtl/>
        </w:rPr>
      </w:pPr>
      <w:r>
        <w:rPr>
          <w:sz w:val="10"/>
          <w:rtl/>
        </w:rPr>
        <w:br w:type="page"/>
      </w:r>
    </w:p>
    <w:tbl>
      <w:tblPr>
        <w:tblStyle w:val="TableGrid"/>
        <w:bidiVisual/>
        <w:tblW w:w="0" w:type="auto"/>
        <w:tblInd w:w="1203" w:type="dxa"/>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1E0" w:firstRow="1" w:lastRow="1" w:firstColumn="1" w:lastColumn="1" w:noHBand="0" w:noVBand="0"/>
      </w:tblPr>
      <w:tblGrid>
        <w:gridCol w:w="3811"/>
        <w:gridCol w:w="1236"/>
        <w:gridCol w:w="1236"/>
        <w:gridCol w:w="1236"/>
      </w:tblGrid>
      <w:tr w:rsidR="007023B4">
        <w:tc>
          <w:tcPr>
            <w:tcW w:w="3811" w:type="dxa"/>
            <w:tcBorders>
              <w:top w:val="single" w:sz="12" w:space="0" w:color="auto"/>
              <w:bottom w:val="single" w:sz="12" w:space="0" w:color="auto"/>
            </w:tcBorders>
          </w:tcPr>
          <w:p w:rsidR="007023B4" w:rsidRPr="00632AF8" w:rsidRDefault="007023B4" w:rsidP="007023B4">
            <w:pPr>
              <w:pStyle w:val="SingleTxt"/>
              <w:tabs>
                <w:tab w:val="clear" w:pos="1267"/>
                <w:tab w:val="clear" w:pos="1930"/>
                <w:tab w:val="clear" w:pos="2592"/>
                <w:tab w:val="clear" w:pos="3254"/>
                <w:tab w:val="clear" w:pos="3917"/>
                <w:tab w:val="clear" w:pos="4579"/>
                <w:tab w:val="clear" w:pos="5242"/>
                <w:tab w:val="clear" w:pos="5904"/>
                <w:tab w:val="clear" w:pos="6566"/>
                <w:tab w:val="center" w:pos="1797"/>
              </w:tabs>
              <w:spacing w:after="0"/>
              <w:ind w:left="0" w:right="0"/>
              <w:rPr>
                <w:rFonts w:hint="cs"/>
                <w:i/>
                <w:iCs/>
                <w:sz w:val="26"/>
                <w:szCs w:val="26"/>
                <w:rtl/>
              </w:rPr>
            </w:pPr>
            <w:r w:rsidRPr="00632AF8">
              <w:rPr>
                <w:rFonts w:hint="cs"/>
                <w:i/>
                <w:iCs/>
                <w:sz w:val="26"/>
                <w:szCs w:val="26"/>
                <w:rtl/>
              </w:rPr>
              <w:t>الرتبة</w:t>
            </w:r>
          </w:p>
        </w:tc>
        <w:tc>
          <w:tcPr>
            <w:tcW w:w="1236" w:type="dxa"/>
            <w:tcBorders>
              <w:top w:val="single" w:sz="12" w:space="0" w:color="auto"/>
              <w:bottom w:val="single" w:sz="12" w:space="0" w:color="auto"/>
            </w:tcBorders>
          </w:tcPr>
          <w:p w:rsidR="007023B4" w:rsidRPr="00632AF8" w:rsidRDefault="007023B4" w:rsidP="007023B4">
            <w:pPr>
              <w:pStyle w:val="SingleTxt"/>
              <w:spacing w:after="0"/>
              <w:ind w:left="0" w:right="0"/>
              <w:rPr>
                <w:rFonts w:hint="cs"/>
                <w:i/>
                <w:iCs/>
                <w:sz w:val="26"/>
                <w:szCs w:val="26"/>
                <w:rtl/>
              </w:rPr>
            </w:pPr>
            <w:r w:rsidRPr="00632AF8">
              <w:rPr>
                <w:rFonts w:hint="cs"/>
                <w:i/>
                <w:iCs/>
                <w:sz w:val="26"/>
                <w:szCs w:val="26"/>
                <w:rtl/>
              </w:rPr>
              <w:t>ا</w:t>
            </w:r>
            <w:r>
              <w:rPr>
                <w:rFonts w:hint="cs"/>
                <w:i/>
                <w:iCs/>
                <w:sz w:val="26"/>
                <w:szCs w:val="26"/>
                <w:rtl/>
              </w:rPr>
              <w:t>لنساء</w:t>
            </w:r>
          </w:p>
        </w:tc>
        <w:tc>
          <w:tcPr>
            <w:tcW w:w="1236" w:type="dxa"/>
            <w:tcBorders>
              <w:top w:val="single" w:sz="12" w:space="0" w:color="auto"/>
              <w:bottom w:val="single" w:sz="12" w:space="0" w:color="auto"/>
            </w:tcBorders>
          </w:tcPr>
          <w:p w:rsidR="007023B4" w:rsidRPr="00632AF8" w:rsidRDefault="007023B4" w:rsidP="007023B4">
            <w:pPr>
              <w:pStyle w:val="SingleTxt"/>
              <w:spacing w:after="0"/>
              <w:ind w:left="0" w:right="0"/>
              <w:rPr>
                <w:rFonts w:hint="cs"/>
                <w:i/>
                <w:iCs/>
                <w:sz w:val="26"/>
                <w:szCs w:val="26"/>
                <w:rtl/>
              </w:rPr>
            </w:pPr>
            <w:r>
              <w:rPr>
                <w:rFonts w:hint="cs"/>
                <w:i/>
                <w:iCs/>
                <w:sz w:val="26"/>
                <w:szCs w:val="26"/>
                <w:rtl/>
              </w:rPr>
              <w:t>ال</w:t>
            </w:r>
            <w:r w:rsidRPr="00632AF8">
              <w:rPr>
                <w:rFonts w:hint="cs"/>
                <w:i/>
                <w:iCs/>
                <w:sz w:val="26"/>
                <w:szCs w:val="26"/>
                <w:rtl/>
              </w:rPr>
              <w:t>رج</w:t>
            </w:r>
            <w:r>
              <w:rPr>
                <w:rFonts w:hint="cs"/>
                <w:i/>
                <w:iCs/>
                <w:sz w:val="26"/>
                <w:szCs w:val="26"/>
                <w:rtl/>
              </w:rPr>
              <w:t>ا</w:t>
            </w:r>
            <w:r w:rsidRPr="00632AF8">
              <w:rPr>
                <w:rFonts w:hint="cs"/>
                <w:i/>
                <w:iCs/>
                <w:sz w:val="26"/>
                <w:szCs w:val="26"/>
                <w:rtl/>
              </w:rPr>
              <w:t>ل</w:t>
            </w:r>
          </w:p>
        </w:tc>
        <w:tc>
          <w:tcPr>
            <w:tcW w:w="1236" w:type="dxa"/>
            <w:tcBorders>
              <w:top w:val="single" w:sz="12" w:space="0" w:color="auto"/>
              <w:bottom w:val="single" w:sz="12" w:space="0" w:color="auto"/>
            </w:tcBorders>
          </w:tcPr>
          <w:p w:rsidR="007023B4" w:rsidRPr="00632AF8" w:rsidRDefault="007023B4" w:rsidP="007023B4">
            <w:pPr>
              <w:pStyle w:val="SingleTxt"/>
              <w:spacing w:after="0"/>
              <w:ind w:left="0" w:right="0"/>
              <w:rPr>
                <w:rFonts w:hint="cs"/>
                <w:i/>
                <w:iCs/>
                <w:sz w:val="26"/>
                <w:szCs w:val="26"/>
                <w:rtl/>
              </w:rPr>
            </w:pPr>
            <w:r w:rsidRPr="00632AF8">
              <w:rPr>
                <w:rFonts w:hint="cs"/>
                <w:i/>
                <w:iCs/>
                <w:sz w:val="26"/>
                <w:szCs w:val="26"/>
                <w:rtl/>
              </w:rPr>
              <w:t>المجموع</w:t>
            </w:r>
          </w:p>
        </w:tc>
      </w:tr>
      <w:tr w:rsidR="007023B4">
        <w:tc>
          <w:tcPr>
            <w:tcW w:w="3811" w:type="dxa"/>
            <w:tcBorders>
              <w:top w:val="single" w:sz="12" w:space="0" w:color="auto"/>
            </w:tcBorders>
          </w:tcPr>
          <w:p w:rsidR="007023B4" w:rsidRPr="00632AF8" w:rsidRDefault="007023B4" w:rsidP="007023B4">
            <w:pPr>
              <w:pStyle w:val="SingleTxt"/>
              <w:spacing w:after="0"/>
              <w:ind w:left="0" w:right="0"/>
              <w:rPr>
                <w:rFonts w:hint="cs"/>
                <w:sz w:val="26"/>
                <w:szCs w:val="26"/>
                <w:rtl/>
              </w:rPr>
            </w:pPr>
            <w:r w:rsidRPr="00632AF8">
              <w:rPr>
                <w:rFonts w:hint="cs"/>
                <w:sz w:val="26"/>
                <w:szCs w:val="26"/>
                <w:rtl/>
              </w:rPr>
              <w:t>إداري 16 (مدير عام)</w:t>
            </w:r>
          </w:p>
        </w:tc>
        <w:tc>
          <w:tcPr>
            <w:tcW w:w="1236" w:type="dxa"/>
            <w:tcBorders>
              <w:top w:val="single" w:sz="12" w:space="0" w:color="auto"/>
            </w:tcBorders>
          </w:tcPr>
          <w:p w:rsidR="007023B4" w:rsidRPr="00632AF8" w:rsidRDefault="007023B4" w:rsidP="007023B4">
            <w:pPr>
              <w:pStyle w:val="SingleTxt"/>
              <w:spacing w:after="0"/>
              <w:ind w:left="0" w:right="0"/>
              <w:rPr>
                <w:rFonts w:hint="cs"/>
                <w:sz w:val="26"/>
                <w:szCs w:val="26"/>
                <w:rtl/>
              </w:rPr>
            </w:pPr>
            <w:r w:rsidRPr="00632AF8">
              <w:rPr>
                <w:rFonts w:hint="cs"/>
                <w:sz w:val="26"/>
                <w:szCs w:val="26"/>
                <w:rtl/>
              </w:rPr>
              <w:t>-</w:t>
            </w:r>
          </w:p>
        </w:tc>
        <w:tc>
          <w:tcPr>
            <w:tcW w:w="1236" w:type="dxa"/>
            <w:tcBorders>
              <w:top w:val="single" w:sz="12" w:space="0" w:color="auto"/>
            </w:tcBorders>
          </w:tcPr>
          <w:p w:rsidR="007023B4" w:rsidRPr="00632AF8" w:rsidRDefault="007023B4" w:rsidP="007023B4">
            <w:pPr>
              <w:pStyle w:val="SingleTxt"/>
              <w:spacing w:after="0"/>
              <w:ind w:left="0" w:right="0"/>
              <w:rPr>
                <w:rFonts w:hint="cs"/>
                <w:sz w:val="26"/>
                <w:szCs w:val="26"/>
                <w:rtl/>
              </w:rPr>
            </w:pPr>
            <w:r w:rsidRPr="00632AF8">
              <w:rPr>
                <w:rFonts w:hint="cs"/>
                <w:sz w:val="26"/>
                <w:szCs w:val="26"/>
                <w:rtl/>
              </w:rPr>
              <w:t>2</w:t>
            </w:r>
          </w:p>
        </w:tc>
        <w:tc>
          <w:tcPr>
            <w:tcW w:w="1236" w:type="dxa"/>
            <w:tcBorders>
              <w:top w:val="single" w:sz="12" w:space="0" w:color="auto"/>
            </w:tcBorders>
          </w:tcPr>
          <w:p w:rsidR="007023B4" w:rsidRPr="00632AF8" w:rsidRDefault="007023B4" w:rsidP="007023B4">
            <w:pPr>
              <w:pStyle w:val="SingleTxt"/>
              <w:spacing w:after="0"/>
              <w:ind w:left="0" w:right="0"/>
              <w:rPr>
                <w:rFonts w:hint="cs"/>
                <w:sz w:val="26"/>
                <w:szCs w:val="26"/>
                <w:rtl/>
              </w:rPr>
            </w:pPr>
            <w:r w:rsidRPr="00632AF8">
              <w:rPr>
                <w:rFonts w:hint="cs"/>
                <w:sz w:val="26"/>
                <w:szCs w:val="26"/>
                <w:rtl/>
              </w:rPr>
              <w:t>2</w:t>
            </w:r>
          </w:p>
        </w:tc>
      </w:tr>
      <w:tr w:rsidR="007023B4">
        <w:tc>
          <w:tcPr>
            <w:tcW w:w="3811" w:type="dxa"/>
          </w:tcPr>
          <w:p w:rsidR="007023B4" w:rsidRPr="00632AF8" w:rsidRDefault="007023B4" w:rsidP="007023B4">
            <w:pPr>
              <w:pStyle w:val="SingleTxt"/>
              <w:spacing w:after="0"/>
              <w:ind w:left="0" w:right="0"/>
              <w:rPr>
                <w:rFonts w:hint="cs"/>
                <w:sz w:val="26"/>
                <w:szCs w:val="26"/>
                <w:rtl/>
              </w:rPr>
            </w:pPr>
            <w:r w:rsidRPr="00632AF8">
              <w:rPr>
                <w:rFonts w:hint="cs"/>
                <w:sz w:val="26"/>
                <w:szCs w:val="26"/>
                <w:rtl/>
              </w:rPr>
              <w:t>إداري 15 (مدير؛ مدير عام)</w:t>
            </w:r>
          </w:p>
        </w:tc>
        <w:tc>
          <w:tcPr>
            <w:tcW w:w="1236" w:type="dxa"/>
          </w:tcPr>
          <w:p w:rsidR="007023B4" w:rsidRPr="00632AF8" w:rsidRDefault="007023B4" w:rsidP="007023B4">
            <w:pPr>
              <w:pStyle w:val="SingleTxt"/>
              <w:spacing w:after="0"/>
              <w:ind w:left="0" w:right="0"/>
              <w:rPr>
                <w:rFonts w:hint="cs"/>
                <w:sz w:val="26"/>
                <w:szCs w:val="26"/>
                <w:rtl/>
              </w:rPr>
            </w:pPr>
            <w:r w:rsidRPr="00632AF8">
              <w:rPr>
                <w:rFonts w:hint="cs"/>
                <w:sz w:val="26"/>
                <w:szCs w:val="26"/>
                <w:rtl/>
              </w:rPr>
              <w:t>3</w:t>
            </w:r>
          </w:p>
        </w:tc>
        <w:tc>
          <w:tcPr>
            <w:tcW w:w="1236" w:type="dxa"/>
          </w:tcPr>
          <w:p w:rsidR="007023B4" w:rsidRPr="00632AF8" w:rsidRDefault="007023B4" w:rsidP="007023B4">
            <w:pPr>
              <w:pStyle w:val="SingleTxt"/>
              <w:spacing w:after="0"/>
              <w:ind w:left="0" w:right="0"/>
              <w:rPr>
                <w:rFonts w:hint="cs"/>
                <w:sz w:val="26"/>
                <w:szCs w:val="26"/>
                <w:rtl/>
              </w:rPr>
            </w:pPr>
            <w:r w:rsidRPr="00632AF8">
              <w:rPr>
                <w:rFonts w:hint="cs"/>
                <w:sz w:val="26"/>
                <w:szCs w:val="26"/>
                <w:rtl/>
              </w:rPr>
              <w:t>18</w:t>
            </w:r>
          </w:p>
        </w:tc>
        <w:tc>
          <w:tcPr>
            <w:tcW w:w="1236" w:type="dxa"/>
          </w:tcPr>
          <w:p w:rsidR="007023B4" w:rsidRPr="00632AF8" w:rsidRDefault="007023B4" w:rsidP="007023B4">
            <w:pPr>
              <w:pStyle w:val="SingleTxt"/>
              <w:spacing w:after="0"/>
              <w:ind w:left="0" w:right="0"/>
              <w:rPr>
                <w:rFonts w:hint="cs"/>
                <w:sz w:val="26"/>
                <w:szCs w:val="26"/>
                <w:rtl/>
              </w:rPr>
            </w:pPr>
            <w:r w:rsidRPr="00632AF8">
              <w:rPr>
                <w:rFonts w:hint="cs"/>
                <w:sz w:val="26"/>
                <w:szCs w:val="26"/>
                <w:rtl/>
              </w:rPr>
              <w:t>21</w:t>
            </w:r>
          </w:p>
        </w:tc>
      </w:tr>
      <w:tr w:rsidR="007023B4">
        <w:tc>
          <w:tcPr>
            <w:tcW w:w="3811" w:type="dxa"/>
          </w:tcPr>
          <w:p w:rsidR="007023B4" w:rsidRPr="00632AF8" w:rsidRDefault="007023B4" w:rsidP="007023B4">
            <w:pPr>
              <w:pStyle w:val="SingleTxt"/>
              <w:spacing w:after="0"/>
              <w:ind w:left="0" w:right="0"/>
              <w:rPr>
                <w:rFonts w:hint="cs"/>
                <w:sz w:val="26"/>
                <w:szCs w:val="26"/>
                <w:rtl/>
              </w:rPr>
            </w:pPr>
            <w:r w:rsidRPr="00632AF8">
              <w:rPr>
                <w:rFonts w:hint="cs"/>
                <w:sz w:val="26"/>
                <w:szCs w:val="26"/>
                <w:rtl/>
              </w:rPr>
              <w:t>إداري 14 (إداري؛ رئيس وحدة؛ مدير)</w:t>
            </w:r>
          </w:p>
        </w:tc>
        <w:tc>
          <w:tcPr>
            <w:tcW w:w="1236" w:type="dxa"/>
          </w:tcPr>
          <w:p w:rsidR="007023B4" w:rsidRPr="00632AF8" w:rsidRDefault="007023B4" w:rsidP="007023B4">
            <w:pPr>
              <w:pStyle w:val="SingleTxt"/>
              <w:spacing w:after="0"/>
              <w:ind w:left="0" w:right="0"/>
              <w:rPr>
                <w:rFonts w:hint="cs"/>
                <w:sz w:val="26"/>
                <w:szCs w:val="26"/>
                <w:rtl/>
              </w:rPr>
            </w:pPr>
            <w:r w:rsidRPr="00632AF8">
              <w:rPr>
                <w:rFonts w:hint="cs"/>
                <w:sz w:val="26"/>
                <w:szCs w:val="26"/>
                <w:rtl/>
              </w:rPr>
              <w:t>7</w:t>
            </w:r>
          </w:p>
        </w:tc>
        <w:tc>
          <w:tcPr>
            <w:tcW w:w="1236" w:type="dxa"/>
          </w:tcPr>
          <w:p w:rsidR="007023B4" w:rsidRPr="00632AF8" w:rsidRDefault="007023B4" w:rsidP="007023B4">
            <w:pPr>
              <w:pStyle w:val="SingleTxt"/>
              <w:spacing w:after="0"/>
              <w:ind w:left="0" w:right="0"/>
              <w:rPr>
                <w:rFonts w:hint="cs"/>
                <w:sz w:val="26"/>
                <w:szCs w:val="26"/>
                <w:rtl/>
              </w:rPr>
            </w:pPr>
            <w:r w:rsidRPr="00632AF8">
              <w:rPr>
                <w:rFonts w:hint="cs"/>
                <w:sz w:val="26"/>
                <w:szCs w:val="26"/>
                <w:rtl/>
              </w:rPr>
              <w:t>59</w:t>
            </w:r>
          </w:p>
        </w:tc>
        <w:tc>
          <w:tcPr>
            <w:tcW w:w="1236" w:type="dxa"/>
          </w:tcPr>
          <w:p w:rsidR="007023B4" w:rsidRPr="00632AF8" w:rsidRDefault="007023B4" w:rsidP="007023B4">
            <w:pPr>
              <w:pStyle w:val="SingleTxt"/>
              <w:spacing w:after="0"/>
              <w:ind w:left="0" w:right="0"/>
              <w:rPr>
                <w:rFonts w:hint="cs"/>
                <w:sz w:val="26"/>
                <w:szCs w:val="26"/>
                <w:rtl/>
              </w:rPr>
            </w:pPr>
            <w:r w:rsidRPr="00632AF8">
              <w:rPr>
                <w:rFonts w:hint="cs"/>
                <w:sz w:val="26"/>
                <w:szCs w:val="26"/>
                <w:rtl/>
              </w:rPr>
              <w:t>66</w:t>
            </w:r>
          </w:p>
        </w:tc>
      </w:tr>
      <w:tr w:rsidR="007023B4">
        <w:tc>
          <w:tcPr>
            <w:tcW w:w="3811" w:type="dxa"/>
          </w:tcPr>
          <w:p w:rsidR="007023B4" w:rsidRPr="00632AF8" w:rsidRDefault="007023B4" w:rsidP="007023B4">
            <w:pPr>
              <w:pStyle w:val="SingleTxt"/>
              <w:spacing w:after="0"/>
              <w:ind w:left="0" w:right="0"/>
              <w:rPr>
                <w:rFonts w:hint="cs"/>
                <w:sz w:val="26"/>
                <w:szCs w:val="26"/>
                <w:rtl/>
              </w:rPr>
            </w:pPr>
            <w:r w:rsidRPr="00632AF8">
              <w:rPr>
                <w:rFonts w:hint="cs"/>
                <w:sz w:val="26"/>
                <w:szCs w:val="26"/>
                <w:rtl/>
              </w:rPr>
              <w:t xml:space="preserve">إداري 9 </w:t>
            </w:r>
            <w:r>
              <w:rPr>
                <w:sz w:val="26"/>
                <w:szCs w:val="26"/>
                <w:rtl/>
              </w:rPr>
              <w:t>-</w:t>
            </w:r>
            <w:r w:rsidRPr="00632AF8">
              <w:rPr>
                <w:rFonts w:hint="cs"/>
                <w:sz w:val="26"/>
                <w:szCs w:val="26"/>
                <w:rtl/>
              </w:rPr>
              <w:t xml:space="preserve"> إداري 13 (رئيس وحدة؛ إداري)</w:t>
            </w:r>
          </w:p>
        </w:tc>
        <w:tc>
          <w:tcPr>
            <w:tcW w:w="1236" w:type="dxa"/>
          </w:tcPr>
          <w:p w:rsidR="007023B4" w:rsidRPr="00632AF8" w:rsidRDefault="007023B4" w:rsidP="007023B4">
            <w:pPr>
              <w:pStyle w:val="SingleTxt"/>
              <w:spacing w:after="0"/>
              <w:ind w:left="0" w:right="0"/>
              <w:rPr>
                <w:rFonts w:hint="cs"/>
                <w:sz w:val="26"/>
                <w:szCs w:val="26"/>
                <w:rtl/>
              </w:rPr>
            </w:pPr>
            <w:r w:rsidRPr="00632AF8">
              <w:rPr>
                <w:rFonts w:hint="cs"/>
                <w:sz w:val="26"/>
                <w:szCs w:val="26"/>
                <w:rtl/>
              </w:rPr>
              <w:t>164</w:t>
            </w:r>
          </w:p>
        </w:tc>
        <w:tc>
          <w:tcPr>
            <w:tcW w:w="1236" w:type="dxa"/>
          </w:tcPr>
          <w:p w:rsidR="007023B4" w:rsidRPr="00632AF8" w:rsidRDefault="007023B4" w:rsidP="007023B4">
            <w:pPr>
              <w:pStyle w:val="SingleTxt"/>
              <w:spacing w:after="0"/>
              <w:ind w:left="0" w:right="0"/>
              <w:rPr>
                <w:rFonts w:hint="cs"/>
                <w:sz w:val="26"/>
                <w:szCs w:val="26"/>
                <w:rtl/>
              </w:rPr>
            </w:pPr>
            <w:r w:rsidRPr="00632AF8">
              <w:rPr>
                <w:rFonts w:hint="cs"/>
                <w:sz w:val="26"/>
                <w:szCs w:val="26"/>
                <w:rtl/>
              </w:rPr>
              <w:t>587</w:t>
            </w:r>
          </w:p>
        </w:tc>
        <w:tc>
          <w:tcPr>
            <w:tcW w:w="1236" w:type="dxa"/>
          </w:tcPr>
          <w:p w:rsidR="007023B4" w:rsidRPr="00632AF8" w:rsidRDefault="007023B4" w:rsidP="007023B4">
            <w:pPr>
              <w:pStyle w:val="SingleTxt"/>
              <w:spacing w:after="0"/>
              <w:ind w:left="0" w:right="0"/>
              <w:rPr>
                <w:rFonts w:hint="cs"/>
                <w:sz w:val="26"/>
                <w:szCs w:val="26"/>
                <w:rtl/>
              </w:rPr>
            </w:pPr>
            <w:r w:rsidRPr="00632AF8">
              <w:rPr>
                <w:rFonts w:hint="cs"/>
                <w:sz w:val="26"/>
                <w:szCs w:val="26"/>
                <w:rtl/>
              </w:rPr>
              <w:t>751</w:t>
            </w:r>
          </w:p>
        </w:tc>
      </w:tr>
      <w:tr w:rsidR="007023B4">
        <w:tc>
          <w:tcPr>
            <w:tcW w:w="3811" w:type="dxa"/>
          </w:tcPr>
          <w:p w:rsidR="007023B4" w:rsidRPr="00632AF8" w:rsidRDefault="007023B4" w:rsidP="007023B4">
            <w:pPr>
              <w:pStyle w:val="SingleTxt"/>
              <w:spacing w:after="0"/>
              <w:ind w:left="0" w:right="0"/>
              <w:rPr>
                <w:rFonts w:hint="cs"/>
                <w:sz w:val="26"/>
                <w:szCs w:val="26"/>
                <w:rtl/>
              </w:rPr>
            </w:pPr>
            <w:r w:rsidRPr="00632AF8">
              <w:rPr>
                <w:rFonts w:hint="cs"/>
                <w:sz w:val="26"/>
                <w:szCs w:val="26"/>
                <w:rtl/>
              </w:rPr>
              <w:t xml:space="preserve">إداري 5 </w:t>
            </w:r>
            <w:r>
              <w:rPr>
                <w:sz w:val="26"/>
                <w:szCs w:val="26"/>
                <w:rtl/>
              </w:rPr>
              <w:t>-</w:t>
            </w:r>
            <w:r w:rsidRPr="00632AF8">
              <w:rPr>
                <w:rFonts w:hint="cs"/>
                <w:sz w:val="26"/>
                <w:szCs w:val="26"/>
                <w:rtl/>
              </w:rPr>
              <w:t xml:space="preserve"> إداري 8 (إداري)</w:t>
            </w:r>
          </w:p>
        </w:tc>
        <w:tc>
          <w:tcPr>
            <w:tcW w:w="1236" w:type="dxa"/>
          </w:tcPr>
          <w:p w:rsidR="007023B4" w:rsidRPr="00632AF8" w:rsidRDefault="007023B4" w:rsidP="007023B4">
            <w:pPr>
              <w:pStyle w:val="SingleTxt"/>
              <w:spacing w:after="0"/>
              <w:ind w:left="0" w:right="0"/>
              <w:rPr>
                <w:rFonts w:hint="cs"/>
                <w:sz w:val="26"/>
                <w:szCs w:val="26"/>
                <w:rtl/>
              </w:rPr>
            </w:pPr>
            <w:r w:rsidRPr="00632AF8">
              <w:rPr>
                <w:rFonts w:hint="cs"/>
                <w:sz w:val="26"/>
                <w:szCs w:val="26"/>
                <w:rtl/>
              </w:rPr>
              <w:t>107</w:t>
            </w:r>
          </w:p>
        </w:tc>
        <w:tc>
          <w:tcPr>
            <w:tcW w:w="1236" w:type="dxa"/>
          </w:tcPr>
          <w:p w:rsidR="007023B4" w:rsidRPr="00632AF8" w:rsidRDefault="007023B4" w:rsidP="007023B4">
            <w:pPr>
              <w:pStyle w:val="SingleTxt"/>
              <w:spacing w:after="0"/>
              <w:ind w:left="0" w:right="0"/>
              <w:rPr>
                <w:rFonts w:hint="cs"/>
                <w:sz w:val="26"/>
                <w:szCs w:val="26"/>
                <w:rtl/>
              </w:rPr>
            </w:pPr>
            <w:r w:rsidRPr="00632AF8">
              <w:rPr>
                <w:rFonts w:hint="cs"/>
                <w:sz w:val="26"/>
                <w:szCs w:val="26"/>
                <w:rtl/>
              </w:rPr>
              <w:t>241</w:t>
            </w:r>
          </w:p>
        </w:tc>
        <w:tc>
          <w:tcPr>
            <w:tcW w:w="1236" w:type="dxa"/>
          </w:tcPr>
          <w:p w:rsidR="007023B4" w:rsidRPr="00632AF8" w:rsidRDefault="007023B4" w:rsidP="007023B4">
            <w:pPr>
              <w:pStyle w:val="SingleTxt"/>
              <w:spacing w:after="0"/>
              <w:ind w:left="0" w:right="0"/>
              <w:rPr>
                <w:rFonts w:hint="cs"/>
                <w:sz w:val="26"/>
                <w:szCs w:val="26"/>
                <w:rtl/>
              </w:rPr>
            </w:pPr>
            <w:r w:rsidRPr="00632AF8">
              <w:rPr>
                <w:rFonts w:hint="cs"/>
                <w:sz w:val="26"/>
                <w:szCs w:val="26"/>
                <w:rtl/>
              </w:rPr>
              <w:t>348</w:t>
            </w:r>
          </w:p>
        </w:tc>
      </w:tr>
      <w:tr w:rsidR="007023B4">
        <w:tc>
          <w:tcPr>
            <w:tcW w:w="3811" w:type="dxa"/>
          </w:tcPr>
          <w:p w:rsidR="007023B4" w:rsidRPr="00632AF8" w:rsidRDefault="007023B4" w:rsidP="007023B4">
            <w:pPr>
              <w:pStyle w:val="SingleTxt"/>
              <w:spacing w:after="0"/>
              <w:ind w:left="0" w:right="0"/>
              <w:rPr>
                <w:rFonts w:hint="cs"/>
                <w:sz w:val="26"/>
                <w:szCs w:val="26"/>
                <w:rtl/>
              </w:rPr>
            </w:pPr>
            <w:r w:rsidRPr="00632AF8">
              <w:rPr>
                <w:rFonts w:hint="cs"/>
                <w:sz w:val="26"/>
                <w:szCs w:val="26"/>
                <w:rtl/>
              </w:rPr>
              <w:t>المجموع</w:t>
            </w:r>
          </w:p>
        </w:tc>
        <w:tc>
          <w:tcPr>
            <w:tcW w:w="1236" w:type="dxa"/>
          </w:tcPr>
          <w:p w:rsidR="007023B4" w:rsidRPr="00632AF8" w:rsidRDefault="007023B4" w:rsidP="007023B4">
            <w:pPr>
              <w:pStyle w:val="SingleTxt"/>
              <w:spacing w:after="0"/>
              <w:ind w:left="0" w:right="0"/>
              <w:rPr>
                <w:rFonts w:hint="cs"/>
                <w:sz w:val="26"/>
                <w:szCs w:val="26"/>
                <w:rtl/>
              </w:rPr>
            </w:pPr>
            <w:r w:rsidRPr="00632AF8">
              <w:rPr>
                <w:rFonts w:hint="cs"/>
                <w:sz w:val="26"/>
                <w:szCs w:val="26"/>
                <w:rtl/>
              </w:rPr>
              <w:t>281</w:t>
            </w:r>
          </w:p>
        </w:tc>
        <w:tc>
          <w:tcPr>
            <w:tcW w:w="1236" w:type="dxa"/>
          </w:tcPr>
          <w:p w:rsidR="007023B4" w:rsidRPr="00632AF8" w:rsidRDefault="007023B4" w:rsidP="007023B4">
            <w:pPr>
              <w:pStyle w:val="SingleTxt"/>
              <w:spacing w:after="0"/>
              <w:ind w:left="0" w:right="0"/>
              <w:rPr>
                <w:rFonts w:hint="cs"/>
                <w:sz w:val="26"/>
                <w:szCs w:val="26"/>
                <w:rtl/>
              </w:rPr>
            </w:pPr>
            <w:r w:rsidRPr="00632AF8">
              <w:rPr>
                <w:rFonts w:hint="cs"/>
                <w:sz w:val="26"/>
                <w:szCs w:val="26"/>
                <w:rtl/>
              </w:rPr>
              <w:t>907</w:t>
            </w:r>
          </w:p>
        </w:tc>
        <w:tc>
          <w:tcPr>
            <w:tcW w:w="1236" w:type="dxa"/>
          </w:tcPr>
          <w:p w:rsidR="007023B4" w:rsidRPr="00632AF8" w:rsidRDefault="007023B4" w:rsidP="007023B4">
            <w:pPr>
              <w:pStyle w:val="SingleTxt"/>
              <w:spacing w:after="0"/>
              <w:ind w:left="0" w:right="0"/>
              <w:rPr>
                <w:rFonts w:hint="cs"/>
                <w:sz w:val="26"/>
                <w:szCs w:val="26"/>
                <w:rtl/>
              </w:rPr>
            </w:pPr>
            <w:r w:rsidRPr="00632AF8">
              <w:rPr>
                <w:rFonts w:hint="cs"/>
                <w:sz w:val="26"/>
                <w:szCs w:val="26"/>
                <w:rtl/>
              </w:rPr>
              <w:t>188 1</w:t>
            </w:r>
          </w:p>
        </w:tc>
      </w:tr>
      <w:tr w:rsidR="007023B4">
        <w:tc>
          <w:tcPr>
            <w:tcW w:w="3811" w:type="dxa"/>
          </w:tcPr>
          <w:p w:rsidR="007023B4" w:rsidRPr="00632AF8" w:rsidRDefault="007023B4" w:rsidP="007023B4">
            <w:pPr>
              <w:pStyle w:val="SingleTxt"/>
              <w:spacing w:after="0"/>
              <w:ind w:left="0" w:right="0"/>
              <w:rPr>
                <w:rFonts w:hint="cs"/>
                <w:sz w:val="26"/>
                <w:szCs w:val="26"/>
                <w:rtl/>
              </w:rPr>
            </w:pPr>
            <w:r w:rsidRPr="00632AF8">
              <w:rPr>
                <w:rFonts w:hint="cs"/>
                <w:sz w:val="26"/>
                <w:szCs w:val="26"/>
                <w:rtl/>
              </w:rPr>
              <w:t>نسبة الإداريين البلجيكيين</w:t>
            </w:r>
          </w:p>
        </w:tc>
        <w:tc>
          <w:tcPr>
            <w:tcW w:w="1236" w:type="dxa"/>
          </w:tcPr>
          <w:p w:rsidR="007023B4" w:rsidRPr="00632AF8" w:rsidRDefault="007023B4" w:rsidP="007023B4">
            <w:pPr>
              <w:pStyle w:val="SingleTxt"/>
              <w:spacing w:after="0"/>
              <w:ind w:left="0" w:right="0"/>
              <w:rPr>
                <w:rFonts w:hint="cs"/>
                <w:sz w:val="26"/>
                <w:szCs w:val="26"/>
                <w:rtl/>
              </w:rPr>
            </w:pPr>
            <w:r w:rsidRPr="00632AF8">
              <w:rPr>
                <w:rFonts w:hint="cs"/>
                <w:sz w:val="26"/>
                <w:szCs w:val="26"/>
                <w:rtl/>
              </w:rPr>
              <w:t>23.65</w:t>
            </w:r>
          </w:p>
        </w:tc>
        <w:tc>
          <w:tcPr>
            <w:tcW w:w="1236" w:type="dxa"/>
          </w:tcPr>
          <w:p w:rsidR="007023B4" w:rsidRPr="00632AF8" w:rsidRDefault="007023B4" w:rsidP="007023B4">
            <w:pPr>
              <w:pStyle w:val="SingleTxt"/>
              <w:spacing w:after="0"/>
              <w:ind w:left="0" w:right="0"/>
              <w:rPr>
                <w:rFonts w:hint="cs"/>
                <w:sz w:val="26"/>
                <w:szCs w:val="26"/>
                <w:rtl/>
              </w:rPr>
            </w:pPr>
            <w:r w:rsidRPr="00632AF8">
              <w:rPr>
                <w:rFonts w:hint="cs"/>
                <w:sz w:val="26"/>
                <w:szCs w:val="26"/>
                <w:rtl/>
              </w:rPr>
              <w:t>67.35</w:t>
            </w:r>
          </w:p>
        </w:tc>
        <w:tc>
          <w:tcPr>
            <w:tcW w:w="1236" w:type="dxa"/>
          </w:tcPr>
          <w:p w:rsidR="007023B4" w:rsidRPr="00632AF8" w:rsidRDefault="007023B4" w:rsidP="007023B4">
            <w:pPr>
              <w:pStyle w:val="SingleTxt"/>
              <w:spacing w:after="0"/>
              <w:ind w:left="0" w:right="0"/>
              <w:rPr>
                <w:rFonts w:hint="cs"/>
                <w:sz w:val="26"/>
                <w:szCs w:val="26"/>
                <w:rtl/>
              </w:rPr>
            </w:pPr>
            <w:r w:rsidRPr="00632AF8">
              <w:rPr>
                <w:rFonts w:hint="cs"/>
                <w:sz w:val="26"/>
                <w:szCs w:val="26"/>
                <w:rtl/>
              </w:rPr>
              <w:t>100</w:t>
            </w:r>
          </w:p>
        </w:tc>
      </w:tr>
      <w:tr w:rsidR="007023B4">
        <w:tc>
          <w:tcPr>
            <w:tcW w:w="3811" w:type="dxa"/>
            <w:tcBorders>
              <w:bottom w:val="nil"/>
            </w:tcBorders>
          </w:tcPr>
          <w:p w:rsidR="007023B4" w:rsidRPr="00632AF8" w:rsidRDefault="007023B4" w:rsidP="007023B4">
            <w:pPr>
              <w:pStyle w:val="SingleTxt"/>
              <w:spacing w:after="0"/>
              <w:ind w:left="0" w:right="0"/>
              <w:rPr>
                <w:rFonts w:hint="cs"/>
                <w:sz w:val="26"/>
                <w:szCs w:val="26"/>
                <w:rtl/>
              </w:rPr>
            </w:pPr>
            <w:r w:rsidRPr="00632AF8">
              <w:rPr>
                <w:rFonts w:hint="cs"/>
                <w:sz w:val="26"/>
                <w:szCs w:val="26"/>
                <w:rtl/>
              </w:rPr>
              <w:t>نسبة الإداريين بال</w:t>
            </w:r>
            <w:r>
              <w:rPr>
                <w:rFonts w:hint="cs"/>
                <w:sz w:val="26"/>
                <w:szCs w:val="26"/>
                <w:rtl/>
              </w:rPr>
              <w:t>مفوضية</w:t>
            </w:r>
            <w:r w:rsidRPr="00632AF8">
              <w:rPr>
                <w:rFonts w:hint="cs"/>
                <w:sz w:val="26"/>
                <w:szCs w:val="26"/>
                <w:rtl/>
              </w:rPr>
              <w:t xml:space="preserve"> الأوروبية</w:t>
            </w:r>
          </w:p>
        </w:tc>
        <w:tc>
          <w:tcPr>
            <w:tcW w:w="1236" w:type="dxa"/>
            <w:tcBorders>
              <w:bottom w:val="nil"/>
            </w:tcBorders>
          </w:tcPr>
          <w:p w:rsidR="007023B4" w:rsidRPr="00632AF8" w:rsidRDefault="007023B4" w:rsidP="007023B4">
            <w:pPr>
              <w:pStyle w:val="SingleTxt"/>
              <w:spacing w:after="0"/>
              <w:ind w:left="0" w:right="0"/>
              <w:rPr>
                <w:rFonts w:hint="cs"/>
                <w:sz w:val="26"/>
                <w:szCs w:val="26"/>
                <w:rtl/>
              </w:rPr>
            </w:pPr>
            <w:r w:rsidRPr="00632AF8">
              <w:rPr>
                <w:rFonts w:hint="cs"/>
                <w:sz w:val="26"/>
                <w:szCs w:val="26"/>
                <w:rtl/>
              </w:rPr>
              <w:t>34.25</w:t>
            </w:r>
          </w:p>
        </w:tc>
        <w:tc>
          <w:tcPr>
            <w:tcW w:w="1236" w:type="dxa"/>
            <w:tcBorders>
              <w:bottom w:val="nil"/>
            </w:tcBorders>
          </w:tcPr>
          <w:p w:rsidR="007023B4" w:rsidRPr="00632AF8" w:rsidRDefault="007023B4" w:rsidP="007023B4">
            <w:pPr>
              <w:pStyle w:val="SingleTxt"/>
              <w:spacing w:after="0"/>
              <w:ind w:left="0" w:right="0"/>
              <w:rPr>
                <w:rFonts w:hint="cs"/>
                <w:sz w:val="26"/>
                <w:szCs w:val="26"/>
                <w:rtl/>
              </w:rPr>
            </w:pPr>
            <w:r w:rsidRPr="00632AF8">
              <w:rPr>
                <w:rFonts w:hint="cs"/>
                <w:sz w:val="26"/>
                <w:szCs w:val="26"/>
                <w:rtl/>
              </w:rPr>
              <w:t>65.75</w:t>
            </w:r>
          </w:p>
        </w:tc>
        <w:tc>
          <w:tcPr>
            <w:tcW w:w="1236" w:type="dxa"/>
            <w:tcBorders>
              <w:bottom w:val="nil"/>
            </w:tcBorders>
          </w:tcPr>
          <w:p w:rsidR="007023B4" w:rsidRPr="00632AF8" w:rsidRDefault="007023B4" w:rsidP="007023B4">
            <w:pPr>
              <w:pStyle w:val="SingleTxt"/>
              <w:spacing w:after="0"/>
              <w:ind w:left="0" w:right="0"/>
              <w:rPr>
                <w:rFonts w:hint="cs"/>
                <w:sz w:val="26"/>
                <w:szCs w:val="26"/>
                <w:rtl/>
              </w:rPr>
            </w:pPr>
            <w:r w:rsidRPr="00632AF8">
              <w:rPr>
                <w:rFonts w:hint="cs"/>
                <w:sz w:val="26"/>
                <w:szCs w:val="26"/>
                <w:rtl/>
              </w:rPr>
              <w:t>100</w:t>
            </w:r>
          </w:p>
        </w:tc>
      </w:tr>
      <w:tr w:rsidR="007023B4">
        <w:tc>
          <w:tcPr>
            <w:tcW w:w="3811" w:type="dxa"/>
            <w:tcBorders>
              <w:top w:val="nil"/>
              <w:bottom w:val="nil"/>
            </w:tcBorders>
          </w:tcPr>
          <w:p w:rsidR="007023B4" w:rsidRPr="00632AF8" w:rsidRDefault="007023B4" w:rsidP="007023B4">
            <w:pPr>
              <w:pStyle w:val="SingleTxt"/>
              <w:spacing w:after="0"/>
              <w:ind w:left="0" w:right="0"/>
              <w:rPr>
                <w:rFonts w:hint="cs"/>
                <w:sz w:val="26"/>
                <w:szCs w:val="26"/>
                <w:rtl/>
              </w:rPr>
            </w:pPr>
            <w:r w:rsidRPr="00632AF8">
              <w:rPr>
                <w:rFonts w:hint="cs"/>
                <w:sz w:val="26"/>
                <w:szCs w:val="26"/>
                <w:rtl/>
              </w:rPr>
              <w:t xml:space="preserve">مساعد 1 </w:t>
            </w:r>
            <w:r>
              <w:rPr>
                <w:rFonts w:hint="cs"/>
                <w:sz w:val="26"/>
                <w:szCs w:val="26"/>
                <w:rtl/>
              </w:rPr>
              <w:t>-</w:t>
            </w:r>
            <w:r w:rsidRPr="00632AF8">
              <w:rPr>
                <w:rFonts w:hint="cs"/>
                <w:sz w:val="26"/>
                <w:szCs w:val="26"/>
                <w:rtl/>
              </w:rPr>
              <w:t xml:space="preserve"> مساعد 11</w:t>
            </w:r>
          </w:p>
        </w:tc>
        <w:tc>
          <w:tcPr>
            <w:tcW w:w="1236" w:type="dxa"/>
            <w:tcBorders>
              <w:top w:val="nil"/>
              <w:bottom w:val="nil"/>
            </w:tcBorders>
          </w:tcPr>
          <w:p w:rsidR="007023B4" w:rsidRPr="00632AF8" w:rsidRDefault="007023B4" w:rsidP="007023B4">
            <w:pPr>
              <w:pStyle w:val="SingleTxt"/>
              <w:spacing w:after="0"/>
              <w:ind w:left="0" w:right="0"/>
              <w:rPr>
                <w:rFonts w:hint="cs"/>
                <w:sz w:val="26"/>
                <w:szCs w:val="26"/>
                <w:rtl/>
              </w:rPr>
            </w:pPr>
            <w:r w:rsidRPr="00632AF8">
              <w:rPr>
                <w:rFonts w:hint="cs"/>
                <w:sz w:val="26"/>
                <w:szCs w:val="26"/>
                <w:rtl/>
              </w:rPr>
              <w:t>123</w:t>
            </w:r>
          </w:p>
        </w:tc>
        <w:tc>
          <w:tcPr>
            <w:tcW w:w="1236" w:type="dxa"/>
            <w:tcBorders>
              <w:top w:val="nil"/>
              <w:bottom w:val="nil"/>
            </w:tcBorders>
          </w:tcPr>
          <w:p w:rsidR="007023B4" w:rsidRPr="00632AF8" w:rsidRDefault="007023B4" w:rsidP="007023B4">
            <w:pPr>
              <w:pStyle w:val="SingleTxt"/>
              <w:spacing w:after="0"/>
              <w:ind w:left="0" w:right="0"/>
              <w:rPr>
                <w:rFonts w:hint="cs"/>
                <w:sz w:val="26"/>
                <w:szCs w:val="26"/>
                <w:rtl/>
              </w:rPr>
            </w:pPr>
            <w:r w:rsidRPr="00632AF8">
              <w:rPr>
                <w:rFonts w:hint="cs"/>
                <w:sz w:val="26"/>
                <w:szCs w:val="26"/>
                <w:rtl/>
              </w:rPr>
              <w:t>343</w:t>
            </w:r>
          </w:p>
        </w:tc>
        <w:tc>
          <w:tcPr>
            <w:tcW w:w="1236" w:type="dxa"/>
            <w:tcBorders>
              <w:top w:val="nil"/>
              <w:bottom w:val="nil"/>
            </w:tcBorders>
          </w:tcPr>
          <w:p w:rsidR="007023B4" w:rsidRPr="00632AF8" w:rsidRDefault="007023B4" w:rsidP="007023B4">
            <w:pPr>
              <w:pStyle w:val="SingleTxt"/>
              <w:spacing w:after="0"/>
              <w:ind w:left="0" w:right="0"/>
              <w:rPr>
                <w:rFonts w:hint="cs"/>
                <w:sz w:val="26"/>
                <w:szCs w:val="26"/>
                <w:rtl/>
              </w:rPr>
            </w:pPr>
            <w:r w:rsidRPr="00632AF8">
              <w:rPr>
                <w:rFonts w:hint="cs"/>
                <w:sz w:val="26"/>
                <w:szCs w:val="26"/>
                <w:rtl/>
              </w:rPr>
              <w:t>466</w:t>
            </w:r>
          </w:p>
        </w:tc>
      </w:tr>
      <w:tr w:rsidR="007023B4">
        <w:tc>
          <w:tcPr>
            <w:tcW w:w="3811" w:type="dxa"/>
            <w:tcBorders>
              <w:top w:val="nil"/>
            </w:tcBorders>
          </w:tcPr>
          <w:p w:rsidR="007023B4" w:rsidRPr="00632AF8" w:rsidRDefault="007023B4" w:rsidP="007023B4">
            <w:pPr>
              <w:pStyle w:val="SingleTxt"/>
              <w:spacing w:after="0"/>
              <w:ind w:left="0" w:right="0"/>
              <w:rPr>
                <w:rFonts w:hint="cs"/>
                <w:sz w:val="26"/>
                <w:szCs w:val="26"/>
                <w:rtl/>
              </w:rPr>
            </w:pPr>
            <w:r>
              <w:rPr>
                <w:rFonts w:hint="cs"/>
                <w:sz w:val="26"/>
                <w:szCs w:val="26"/>
                <w:rtl/>
              </w:rPr>
              <w:t>مساعد 1</w:t>
            </w:r>
            <w:r w:rsidRPr="00632AF8">
              <w:rPr>
                <w:rFonts w:hint="cs"/>
                <w:sz w:val="26"/>
                <w:szCs w:val="26"/>
                <w:rtl/>
              </w:rPr>
              <w:t xml:space="preserve"> </w:t>
            </w:r>
            <w:r>
              <w:rPr>
                <w:rFonts w:hint="cs"/>
                <w:sz w:val="26"/>
                <w:szCs w:val="26"/>
                <w:rtl/>
              </w:rPr>
              <w:t>-</w:t>
            </w:r>
            <w:r w:rsidRPr="00632AF8">
              <w:rPr>
                <w:rFonts w:hint="cs"/>
                <w:sz w:val="26"/>
                <w:szCs w:val="26"/>
                <w:rtl/>
              </w:rPr>
              <w:t xml:space="preserve"> مساعد 7 </w:t>
            </w:r>
            <w:r>
              <w:rPr>
                <w:rFonts w:hint="cs"/>
                <w:sz w:val="26"/>
                <w:szCs w:val="26"/>
                <w:rtl/>
              </w:rPr>
              <w:t>(</w:t>
            </w:r>
            <w:r w:rsidRPr="00632AF8">
              <w:rPr>
                <w:rFonts w:hint="cs"/>
                <w:sz w:val="26"/>
                <w:szCs w:val="26"/>
                <w:rtl/>
              </w:rPr>
              <w:t>أمين، كاتب</w:t>
            </w:r>
            <w:r>
              <w:rPr>
                <w:rFonts w:hint="cs"/>
                <w:sz w:val="26"/>
                <w:szCs w:val="26"/>
                <w:rtl/>
              </w:rPr>
              <w:t>)</w:t>
            </w:r>
          </w:p>
        </w:tc>
        <w:tc>
          <w:tcPr>
            <w:tcW w:w="1236" w:type="dxa"/>
            <w:tcBorders>
              <w:top w:val="nil"/>
            </w:tcBorders>
          </w:tcPr>
          <w:p w:rsidR="007023B4" w:rsidRPr="00632AF8" w:rsidRDefault="007023B4" w:rsidP="007023B4">
            <w:pPr>
              <w:pStyle w:val="SingleTxt"/>
              <w:spacing w:after="0"/>
              <w:ind w:left="0" w:right="0"/>
              <w:rPr>
                <w:rFonts w:hint="cs"/>
                <w:sz w:val="26"/>
                <w:szCs w:val="26"/>
                <w:rtl/>
              </w:rPr>
            </w:pPr>
            <w:r w:rsidRPr="00632AF8">
              <w:rPr>
                <w:rFonts w:hint="cs"/>
                <w:sz w:val="26"/>
                <w:szCs w:val="26"/>
                <w:rtl/>
              </w:rPr>
              <w:t>232 2</w:t>
            </w:r>
          </w:p>
        </w:tc>
        <w:tc>
          <w:tcPr>
            <w:tcW w:w="1236" w:type="dxa"/>
            <w:tcBorders>
              <w:top w:val="nil"/>
            </w:tcBorders>
          </w:tcPr>
          <w:p w:rsidR="007023B4" w:rsidRPr="00632AF8" w:rsidRDefault="007023B4" w:rsidP="007023B4">
            <w:pPr>
              <w:pStyle w:val="SingleTxt"/>
              <w:spacing w:after="0"/>
              <w:ind w:left="0" w:right="0"/>
              <w:rPr>
                <w:rFonts w:hint="cs"/>
                <w:sz w:val="26"/>
                <w:szCs w:val="26"/>
                <w:rtl/>
              </w:rPr>
            </w:pPr>
            <w:r w:rsidRPr="00632AF8">
              <w:rPr>
                <w:rFonts w:hint="cs"/>
                <w:sz w:val="26"/>
                <w:szCs w:val="26"/>
                <w:rtl/>
              </w:rPr>
              <w:t>056 1</w:t>
            </w:r>
          </w:p>
        </w:tc>
        <w:tc>
          <w:tcPr>
            <w:tcW w:w="1236" w:type="dxa"/>
            <w:tcBorders>
              <w:top w:val="nil"/>
            </w:tcBorders>
          </w:tcPr>
          <w:p w:rsidR="007023B4" w:rsidRPr="00632AF8" w:rsidRDefault="007023B4" w:rsidP="007023B4">
            <w:pPr>
              <w:pStyle w:val="SingleTxt"/>
              <w:spacing w:after="0"/>
              <w:ind w:left="0" w:right="0"/>
              <w:rPr>
                <w:rFonts w:hint="cs"/>
                <w:sz w:val="26"/>
                <w:szCs w:val="26"/>
                <w:rtl/>
              </w:rPr>
            </w:pPr>
            <w:r w:rsidRPr="00632AF8">
              <w:rPr>
                <w:rFonts w:hint="cs"/>
                <w:sz w:val="26"/>
                <w:szCs w:val="26"/>
                <w:rtl/>
              </w:rPr>
              <w:t>288 3</w:t>
            </w:r>
          </w:p>
        </w:tc>
      </w:tr>
      <w:tr w:rsidR="007023B4">
        <w:tc>
          <w:tcPr>
            <w:tcW w:w="3811" w:type="dxa"/>
          </w:tcPr>
          <w:p w:rsidR="007023B4" w:rsidRPr="00632AF8" w:rsidRDefault="007023B4" w:rsidP="007023B4">
            <w:pPr>
              <w:pStyle w:val="SingleTxt"/>
              <w:spacing w:after="0"/>
              <w:ind w:left="0" w:right="0"/>
              <w:rPr>
                <w:rFonts w:hint="cs"/>
                <w:sz w:val="26"/>
                <w:szCs w:val="26"/>
                <w:rtl/>
              </w:rPr>
            </w:pPr>
            <w:r w:rsidRPr="00632AF8">
              <w:rPr>
                <w:rFonts w:hint="cs"/>
                <w:sz w:val="26"/>
                <w:szCs w:val="26"/>
                <w:rtl/>
              </w:rPr>
              <w:t>المجموع</w:t>
            </w:r>
          </w:p>
        </w:tc>
        <w:tc>
          <w:tcPr>
            <w:tcW w:w="1236" w:type="dxa"/>
          </w:tcPr>
          <w:p w:rsidR="007023B4" w:rsidRPr="00632AF8" w:rsidRDefault="007023B4" w:rsidP="007023B4">
            <w:pPr>
              <w:pStyle w:val="SingleTxt"/>
              <w:spacing w:after="0"/>
              <w:ind w:left="0" w:right="0"/>
              <w:rPr>
                <w:rFonts w:hint="cs"/>
                <w:sz w:val="26"/>
                <w:szCs w:val="26"/>
                <w:rtl/>
              </w:rPr>
            </w:pPr>
            <w:r w:rsidRPr="00632AF8">
              <w:rPr>
                <w:rFonts w:hint="cs"/>
                <w:sz w:val="26"/>
                <w:szCs w:val="26"/>
                <w:rtl/>
              </w:rPr>
              <w:t>355 2</w:t>
            </w:r>
          </w:p>
        </w:tc>
        <w:tc>
          <w:tcPr>
            <w:tcW w:w="1236" w:type="dxa"/>
          </w:tcPr>
          <w:p w:rsidR="007023B4" w:rsidRPr="00632AF8" w:rsidRDefault="007023B4" w:rsidP="007023B4">
            <w:pPr>
              <w:pStyle w:val="SingleTxt"/>
              <w:spacing w:after="0"/>
              <w:ind w:left="0" w:right="0"/>
              <w:rPr>
                <w:rFonts w:hint="cs"/>
                <w:sz w:val="26"/>
                <w:szCs w:val="26"/>
                <w:rtl/>
              </w:rPr>
            </w:pPr>
            <w:r w:rsidRPr="00632AF8">
              <w:rPr>
                <w:rFonts w:hint="cs"/>
                <w:sz w:val="26"/>
                <w:szCs w:val="26"/>
                <w:rtl/>
              </w:rPr>
              <w:t>399 1</w:t>
            </w:r>
          </w:p>
        </w:tc>
        <w:tc>
          <w:tcPr>
            <w:tcW w:w="1236" w:type="dxa"/>
          </w:tcPr>
          <w:p w:rsidR="007023B4" w:rsidRPr="00632AF8" w:rsidRDefault="007023B4" w:rsidP="007023B4">
            <w:pPr>
              <w:pStyle w:val="SingleTxt"/>
              <w:spacing w:after="0"/>
              <w:ind w:left="0" w:right="0"/>
              <w:rPr>
                <w:rFonts w:hint="cs"/>
                <w:sz w:val="26"/>
                <w:szCs w:val="26"/>
                <w:rtl/>
              </w:rPr>
            </w:pPr>
            <w:r w:rsidRPr="00632AF8">
              <w:rPr>
                <w:rFonts w:hint="cs"/>
                <w:sz w:val="26"/>
                <w:szCs w:val="26"/>
                <w:rtl/>
              </w:rPr>
              <w:t>754 3</w:t>
            </w:r>
          </w:p>
        </w:tc>
      </w:tr>
      <w:tr w:rsidR="007023B4">
        <w:tc>
          <w:tcPr>
            <w:tcW w:w="3811" w:type="dxa"/>
          </w:tcPr>
          <w:p w:rsidR="007023B4" w:rsidRPr="00632AF8" w:rsidRDefault="007023B4" w:rsidP="007023B4">
            <w:pPr>
              <w:pStyle w:val="SingleTxt"/>
              <w:spacing w:after="0"/>
              <w:ind w:left="0" w:right="0"/>
              <w:rPr>
                <w:rFonts w:hint="cs"/>
                <w:sz w:val="26"/>
                <w:szCs w:val="26"/>
                <w:rtl/>
              </w:rPr>
            </w:pPr>
            <w:r w:rsidRPr="00632AF8">
              <w:rPr>
                <w:rFonts w:cs="Akhbar MT" w:hint="cs"/>
                <w:sz w:val="26"/>
                <w:szCs w:val="26"/>
                <w:rtl/>
              </w:rPr>
              <w:t>%</w:t>
            </w:r>
            <w:r>
              <w:rPr>
                <w:rFonts w:hint="cs"/>
                <w:sz w:val="26"/>
                <w:szCs w:val="26"/>
                <w:rtl/>
              </w:rPr>
              <w:t xml:space="preserve"> للمساعد</w:t>
            </w:r>
            <w:r w:rsidRPr="00632AF8">
              <w:rPr>
                <w:rFonts w:hint="cs"/>
                <w:sz w:val="26"/>
                <w:szCs w:val="26"/>
                <w:rtl/>
              </w:rPr>
              <w:t>ين البلجيك</w:t>
            </w:r>
            <w:r>
              <w:rPr>
                <w:rFonts w:hint="cs"/>
                <w:sz w:val="26"/>
                <w:szCs w:val="26"/>
                <w:rtl/>
              </w:rPr>
              <w:t>ي</w:t>
            </w:r>
            <w:r w:rsidRPr="00632AF8">
              <w:rPr>
                <w:rFonts w:hint="cs"/>
                <w:sz w:val="26"/>
                <w:szCs w:val="26"/>
                <w:rtl/>
              </w:rPr>
              <w:t>ين</w:t>
            </w:r>
          </w:p>
        </w:tc>
        <w:tc>
          <w:tcPr>
            <w:tcW w:w="1236" w:type="dxa"/>
          </w:tcPr>
          <w:p w:rsidR="007023B4" w:rsidRPr="00632AF8" w:rsidRDefault="007023B4" w:rsidP="007023B4">
            <w:pPr>
              <w:pStyle w:val="SingleTxt"/>
              <w:spacing w:after="0"/>
              <w:ind w:left="0" w:right="0"/>
              <w:rPr>
                <w:rFonts w:hint="cs"/>
                <w:sz w:val="26"/>
                <w:szCs w:val="26"/>
                <w:rtl/>
              </w:rPr>
            </w:pPr>
            <w:r w:rsidRPr="00632AF8">
              <w:rPr>
                <w:rFonts w:hint="cs"/>
                <w:sz w:val="26"/>
                <w:szCs w:val="26"/>
                <w:rtl/>
              </w:rPr>
              <w:t>62.73</w:t>
            </w:r>
          </w:p>
        </w:tc>
        <w:tc>
          <w:tcPr>
            <w:tcW w:w="1236" w:type="dxa"/>
          </w:tcPr>
          <w:p w:rsidR="007023B4" w:rsidRPr="00632AF8" w:rsidRDefault="007023B4" w:rsidP="007023B4">
            <w:pPr>
              <w:pStyle w:val="SingleTxt"/>
              <w:spacing w:after="0"/>
              <w:ind w:left="0" w:right="0"/>
              <w:rPr>
                <w:rFonts w:hint="cs"/>
                <w:sz w:val="26"/>
                <w:szCs w:val="26"/>
                <w:rtl/>
              </w:rPr>
            </w:pPr>
            <w:r w:rsidRPr="00632AF8">
              <w:rPr>
                <w:rFonts w:hint="cs"/>
                <w:sz w:val="26"/>
                <w:szCs w:val="26"/>
                <w:rtl/>
              </w:rPr>
              <w:t>37.27</w:t>
            </w:r>
          </w:p>
        </w:tc>
        <w:tc>
          <w:tcPr>
            <w:tcW w:w="1236" w:type="dxa"/>
          </w:tcPr>
          <w:p w:rsidR="007023B4" w:rsidRPr="00632AF8" w:rsidRDefault="007023B4" w:rsidP="007023B4">
            <w:pPr>
              <w:pStyle w:val="SingleTxt"/>
              <w:spacing w:after="0"/>
              <w:ind w:left="0" w:right="0"/>
              <w:rPr>
                <w:rFonts w:hint="cs"/>
                <w:sz w:val="26"/>
                <w:szCs w:val="26"/>
                <w:rtl/>
              </w:rPr>
            </w:pPr>
            <w:r w:rsidRPr="00632AF8">
              <w:rPr>
                <w:rFonts w:hint="cs"/>
                <w:sz w:val="26"/>
                <w:szCs w:val="26"/>
                <w:rtl/>
              </w:rPr>
              <w:t>100</w:t>
            </w:r>
          </w:p>
        </w:tc>
      </w:tr>
      <w:tr w:rsidR="007023B4">
        <w:tc>
          <w:tcPr>
            <w:tcW w:w="3811" w:type="dxa"/>
          </w:tcPr>
          <w:p w:rsidR="007023B4" w:rsidRPr="00632AF8" w:rsidRDefault="007023B4" w:rsidP="007023B4">
            <w:pPr>
              <w:pStyle w:val="SingleTxt"/>
              <w:spacing w:after="0"/>
              <w:ind w:left="0" w:right="0"/>
              <w:rPr>
                <w:rFonts w:hint="cs"/>
                <w:sz w:val="26"/>
                <w:szCs w:val="26"/>
                <w:rtl/>
              </w:rPr>
            </w:pPr>
            <w:r w:rsidRPr="00632AF8">
              <w:rPr>
                <w:rFonts w:cs="Akhbar MT" w:hint="cs"/>
                <w:sz w:val="26"/>
                <w:szCs w:val="26"/>
                <w:rtl/>
              </w:rPr>
              <w:t>%</w:t>
            </w:r>
            <w:r>
              <w:rPr>
                <w:rFonts w:hint="cs"/>
                <w:sz w:val="26"/>
                <w:szCs w:val="26"/>
                <w:rtl/>
              </w:rPr>
              <w:t xml:space="preserve"> لمساعدي</w:t>
            </w:r>
            <w:r w:rsidRPr="00632AF8">
              <w:rPr>
                <w:rFonts w:hint="cs"/>
                <w:sz w:val="26"/>
                <w:szCs w:val="26"/>
                <w:rtl/>
              </w:rPr>
              <w:t xml:space="preserve"> ال</w:t>
            </w:r>
            <w:r>
              <w:rPr>
                <w:rFonts w:hint="cs"/>
                <w:sz w:val="26"/>
                <w:szCs w:val="26"/>
                <w:rtl/>
              </w:rPr>
              <w:t>مفوضية</w:t>
            </w:r>
            <w:r w:rsidRPr="00632AF8">
              <w:rPr>
                <w:rFonts w:hint="cs"/>
                <w:sz w:val="26"/>
                <w:szCs w:val="26"/>
                <w:rtl/>
              </w:rPr>
              <w:t xml:space="preserve"> الأوروبية</w:t>
            </w:r>
          </w:p>
        </w:tc>
        <w:tc>
          <w:tcPr>
            <w:tcW w:w="1236" w:type="dxa"/>
          </w:tcPr>
          <w:p w:rsidR="007023B4" w:rsidRPr="00632AF8" w:rsidRDefault="007023B4" w:rsidP="007023B4">
            <w:pPr>
              <w:pStyle w:val="SingleTxt"/>
              <w:spacing w:after="0"/>
              <w:ind w:left="0" w:right="0"/>
              <w:rPr>
                <w:rFonts w:hint="cs"/>
                <w:sz w:val="26"/>
                <w:szCs w:val="26"/>
                <w:rtl/>
              </w:rPr>
            </w:pPr>
            <w:r w:rsidRPr="00632AF8">
              <w:rPr>
                <w:rFonts w:hint="cs"/>
                <w:sz w:val="26"/>
                <w:szCs w:val="26"/>
                <w:rtl/>
              </w:rPr>
              <w:t>62.30</w:t>
            </w:r>
          </w:p>
        </w:tc>
        <w:tc>
          <w:tcPr>
            <w:tcW w:w="1236" w:type="dxa"/>
          </w:tcPr>
          <w:p w:rsidR="007023B4" w:rsidRPr="00632AF8" w:rsidRDefault="007023B4" w:rsidP="007023B4">
            <w:pPr>
              <w:pStyle w:val="SingleTxt"/>
              <w:spacing w:after="0"/>
              <w:ind w:left="0" w:right="0"/>
              <w:rPr>
                <w:rFonts w:hint="cs"/>
                <w:sz w:val="26"/>
                <w:szCs w:val="26"/>
                <w:rtl/>
              </w:rPr>
            </w:pPr>
            <w:r w:rsidRPr="00632AF8">
              <w:rPr>
                <w:rFonts w:hint="cs"/>
                <w:sz w:val="26"/>
                <w:szCs w:val="26"/>
                <w:rtl/>
              </w:rPr>
              <w:t>37.70</w:t>
            </w:r>
          </w:p>
        </w:tc>
        <w:tc>
          <w:tcPr>
            <w:tcW w:w="1236" w:type="dxa"/>
          </w:tcPr>
          <w:p w:rsidR="007023B4" w:rsidRPr="00632AF8" w:rsidRDefault="007023B4" w:rsidP="007023B4">
            <w:pPr>
              <w:pStyle w:val="SingleTxt"/>
              <w:spacing w:after="0"/>
              <w:ind w:left="0" w:right="0"/>
              <w:rPr>
                <w:rFonts w:hint="cs"/>
                <w:sz w:val="26"/>
                <w:szCs w:val="26"/>
                <w:rtl/>
              </w:rPr>
            </w:pPr>
            <w:r w:rsidRPr="00632AF8">
              <w:rPr>
                <w:rFonts w:hint="cs"/>
                <w:sz w:val="26"/>
                <w:szCs w:val="26"/>
                <w:rtl/>
              </w:rPr>
              <w:t>100</w:t>
            </w:r>
          </w:p>
        </w:tc>
      </w:tr>
      <w:tr w:rsidR="007023B4">
        <w:tc>
          <w:tcPr>
            <w:tcW w:w="3811" w:type="dxa"/>
          </w:tcPr>
          <w:p w:rsidR="007023B4" w:rsidRPr="00632AF8" w:rsidRDefault="007023B4" w:rsidP="007023B4">
            <w:pPr>
              <w:pStyle w:val="SingleTxt"/>
              <w:spacing w:after="0"/>
              <w:ind w:left="0" w:right="0"/>
              <w:rPr>
                <w:rFonts w:cs="Akhbar MT" w:hint="cs"/>
                <w:sz w:val="26"/>
                <w:szCs w:val="26"/>
                <w:rtl/>
              </w:rPr>
            </w:pPr>
          </w:p>
        </w:tc>
        <w:tc>
          <w:tcPr>
            <w:tcW w:w="1236" w:type="dxa"/>
          </w:tcPr>
          <w:p w:rsidR="007023B4" w:rsidRPr="00632AF8" w:rsidRDefault="007023B4" w:rsidP="007023B4">
            <w:pPr>
              <w:pStyle w:val="SingleTxt"/>
              <w:spacing w:after="0"/>
              <w:ind w:left="0" w:right="0"/>
              <w:rPr>
                <w:rFonts w:hint="cs"/>
                <w:sz w:val="26"/>
                <w:szCs w:val="26"/>
                <w:rtl/>
              </w:rPr>
            </w:pPr>
          </w:p>
        </w:tc>
        <w:tc>
          <w:tcPr>
            <w:tcW w:w="1236" w:type="dxa"/>
          </w:tcPr>
          <w:p w:rsidR="007023B4" w:rsidRPr="00632AF8" w:rsidRDefault="007023B4" w:rsidP="007023B4">
            <w:pPr>
              <w:pStyle w:val="SingleTxt"/>
              <w:spacing w:after="0"/>
              <w:ind w:left="0" w:right="0"/>
              <w:rPr>
                <w:rFonts w:hint="cs"/>
                <w:sz w:val="26"/>
                <w:szCs w:val="26"/>
                <w:rtl/>
              </w:rPr>
            </w:pPr>
          </w:p>
        </w:tc>
        <w:tc>
          <w:tcPr>
            <w:tcW w:w="1236" w:type="dxa"/>
          </w:tcPr>
          <w:p w:rsidR="007023B4" w:rsidRPr="00632AF8" w:rsidRDefault="007023B4" w:rsidP="007023B4">
            <w:pPr>
              <w:pStyle w:val="SingleTxt"/>
              <w:spacing w:after="0"/>
              <w:ind w:left="0" w:right="0"/>
              <w:rPr>
                <w:rFonts w:hint="cs"/>
                <w:sz w:val="26"/>
                <w:szCs w:val="26"/>
                <w:rtl/>
              </w:rPr>
            </w:pPr>
          </w:p>
        </w:tc>
      </w:tr>
    </w:tbl>
    <w:p w:rsidR="007023B4" w:rsidRPr="006060F9" w:rsidRDefault="007023B4" w:rsidP="007023B4">
      <w:pPr>
        <w:pStyle w:val="SingleTxt"/>
        <w:spacing w:after="0" w:line="120" w:lineRule="exact"/>
        <w:rPr>
          <w:rFonts w:hint="cs"/>
          <w:sz w:val="10"/>
          <w:szCs w:val="26"/>
          <w:rtl/>
        </w:rPr>
      </w:pPr>
    </w:p>
    <w:p w:rsidR="007023B4" w:rsidRPr="00632AF8" w:rsidRDefault="007023B4" w:rsidP="007023B4">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EG"/>
        </w:rPr>
      </w:pPr>
      <w:r w:rsidRPr="006060F9">
        <w:rPr>
          <w:rFonts w:hint="cs"/>
          <w:i/>
          <w:iCs/>
          <w:rtl/>
        </w:rPr>
        <w:t>المصدر</w:t>
      </w:r>
      <w:r w:rsidRPr="00632AF8">
        <w:rPr>
          <w:rFonts w:hint="cs"/>
          <w:rtl/>
        </w:rPr>
        <w:t>:</w:t>
      </w:r>
      <w:r>
        <w:rPr>
          <w:rFonts w:hint="cs"/>
          <w:rtl/>
        </w:rPr>
        <w:t xml:space="preserve"> </w:t>
      </w:r>
      <w:r>
        <w:rPr>
          <w:rFonts w:hint="cs"/>
          <w:rtl/>
        </w:rPr>
        <w:tab/>
      </w:r>
      <w:r w:rsidRPr="00632AF8">
        <w:rPr>
          <w:rFonts w:hint="cs"/>
          <w:rtl/>
        </w:rPr>
        <w:t xml:space="preserve">نشرة </w:t>
      </w:r>
      <w:r w:rsidRPr="00632AF8">
        <w:t>COMREF</w:t>
      </w:r>
      <w:r w:rsidRPr="00632AF8">
        <w:rPr>
          <w:rFonts w:hint="cs"/>
          <w:rtl/>
          <w:lang w:bidi="ar-EG"/>
        </w:rPr>
        <w:t xml:space="preserve"> الإحصائية</w:t>
      </w:r>
      <w:r>
        <w:rPr>
          <w:rFonts w:hint="cs"/>
          <w:rtl/>
          <w:lang w:bidi="ar-EG"/>
        </w:rPr>
        <w:t>،</w:t>
      </w:r>
      <w:r w:rsidRPr="00632AF8">
        <w:rPr>
          <w:rFonts w:hint="cs"/>
          <w:rtl/>
          <w:lang w:bidi="ar-EG"/>
        </w:rPr>
        <w:t xml:space="preserve"> 10/2006.</w:t>
      </w:r>
    </w:p>
    <w:p w:rsidR="007023B4" w:rsidRPr="006060F9" w:rsidRDefault="007023B4" w:rsidP="007023B4">
      <w:pPr>
        <w:pStyle w:val="SingleTxt"/>
        <w:spacing w:after="0" w:line="120" w:lineRule="exact"/>
        <w:rPr>
          <w:rFonts w:hint="cs"/>
          <w:sz w:val="10"/>
          <w:rtl/>
          <w:lang w:bidi="ar-EG"/>
        </w:rPr>
      </w:pPr>
    </w:p>
    <w:p w:rsidR="007023B4" w:rsidRPr="006060F9" w:rsidRDefault="007023B4" w:rsidP="007023B4">
      <w:pPr>
        <w:pStyle w:val="SingleTxt"/>
        <w:spacing w:after="0" w:line="120" w:lineRule="exact"/>
        <w:rPr>
          <w:rFonts w:hint="cs"/>
          <w:sz w:val="10"/>
          <w:rtl/>
          <w:lang w:bidi="ar-EG"/>
        </w:rPr>
      </w:pPr>
    </w:p>
    <w:p w:rsidR="007023B4" w:rsidRDefault="007023B4" w:rsidP="007023B4">
      <w:pPr>
        <w:pStyle w:val="SingleTxt"/>
        <w:rPr>
          <w:rFonts w:hint="cs"/>
          <w:rtl/>
          <w:lang w:bidi="ar-EG"/>
        </w:rPr>
      </w:pPr>
      <w:r>
        <w:rPr>
          <w:rFonts w:hint="cs"/>
          <w:rtl/>
          <w:lang w:bidi="ar-EG"/>
        </w:rPr>
        <w:tab/>
        <w:t>وفي عام 2005، عينت نساء أيضا في وظائف هامة في مجال الدفاع:</w:t>
      </w:r>
    </w:p>
    <w:p w:rsidR="007023B4" w:rsidRDefault="007023B4" w:rsidP="00B105B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rFonts w:hint="cs"/>
          <w:rtl/>
          <w:lang w:bidi="ar-EG"/>
        </w:rPr>
        <w:tab/>
        <w:t>عينت امرأة لأول مرة في وظيفة ملحق عسكري في الصين؛</w:t>
      </w:r>
    </w:p>
    <w:p w:rsidR="007023B4" w:rsidRDefault="007023B4" w:rsidP="00B105B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rFonts w:hint="cs"/>
          <w:rtl/>
          <w:lang w:bidi="ar-EG"/>
        </w:rPr>
        <w:tab/>
        <w:t>عينت امرأة في وظيفة قائد للعنصر الطبي برتبة جنرال؛</w:t>
      </w:r>
    </w:p>
    <w:p w:rsidR="007023B4" w:rsidRDefault="007023B4" w:rsidP="00B105B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rFonts w:hint="cs"/>
          <w:rtl/>
          <w:lang w:bidi="ar-EG"/>
        </w:rPr>
        <w:tab/>
        <w:t>عينت امرأة قائدا لمقر الرعاية.</w:t>
      </w:r>
    </w:p>
    <w:p w:rsidR="007023B4" w:rsidRPr="006060F9" w:rsidRDefault="007023B4" w:rsidP="007023B4">
      <w:pPr>
        <w:pStyle w:val="H1"/>
        <w:spacing w:line="120" w:lineRule="exact"/>
        <w:rPr>
          <w:rFonts w:hint="cs"/>
          <w:sz w:val="10"/>
          <w:rtl/>
          <w:lang w:bidi="ar-EG"/>
        </w:rPr>
      </w:pPr>
    </w:p>
    <w:p w:rsidR="007023B4" w:rsidRPr="00E13D02" w:rsidRDefault="007023B4" w:rsidP="007023B4">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t>ثانيا -</w:t>
      </w:r>
      <w:r>
        <w:rPr>
          <w:rFonts w:hint="cs"/>
          <w:rtl/>
          <w:lang w:bidi="ar-EG"/>
        </w:rPr>
        <w:tab/>
        <w:t>الكيانات الاتحادية</w:t>
      </w:r>
    </w:p>
    <w:p w:rsidR="007023B4" w:rsidRDefault="007023B4" w:rsidP="007023B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ألف -</w:t>
      </w:r>
      <w:r>
        <w:rPr>
          <w:rFonts w:hint="cs"/>
          <w:rtl/>
        </w:rPr>
        <w:tab/>
        <w:t>المجتمع الفلمندي</w:t>
      </w:r>
    </w:p>
    <w:p w:rsidR="007023B4" w:rsidRDefault="007023B4" w:rsidP="007023B4">
      <w:pPr>
        <w:pStyle w:val="SingleTxt"/>
        <w:rPr>
          <w:rFonts w:hint="cs"/>
          <w:rtl/>
        </w:rPr>
      </w:pPr>
      <w:r>
        <w:rPr>
          <w:rFonts w:hint="cs"/>
          <w:rtl/>
        </w:rPr>
        <w:tab/>
        <w:t>يحتوي مجال السياسة الفلمندية للشؤون الخارجية على أربعة ميادين: الشؤون الخارجية؛ التعاون الدولي؛ السياحة؛ الاستثمارات والتجارة الدولية.</w:t>
      </w:r>
    </w:p>
    <w:p w:rsidR="007023B4" w:rsidRDefault="007023B4" w:rsidP="007023B4">
      <w:pPr>
        <w:pStyle w:val="SingleTxt"/>
        <w:rPr>
          <w:rFonts w:hint="cs"/>
          <w:rtl/>
        </w:rPr>
      </w:pPr>
      <w:r>
        <w:rPr>
          <w:rFonts w:hint="cs"/>
          <w:rtl/>
        </w:rPr>
        <w:tab/>
        <w:t>ومعظم المبادرات المتعلقة بالقضاء على التمييز ضد المرأة في الشؤون الخارجية تقع في مجالات السياسة العامة للسياسة الخارجية والتعاون الدولي.</w:t>
      </w:r>
    </w:p>
    <w:p w:rsidR="007023B4" w:rsidRPr="006060F9" w:rsidRDefault="007023B4" w:rsidP="007023B4">
      <w:pPr>
        <w:pStyle w:val="SingleTxt"/>
        <w:spacing w:after="0" w:line="120" w:lineRule="exact"/>
        <w:rPr>
          <w:rFonts w:hint="cs"/>
          <w:b/>
          <w:bCs/>
          <w:sz w:val="10"/>
          <w:rtl/>
        </w:rPr>
      </w:pPr>
    </w:p>
    <w:p w:rsidR="007023B4" w:rsidRPr="00E13D02" w:rsidRDefault="007023B4" w:rsidP="007023B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1 -</w:t>
      </w:r>
      <w:r>
        <w:rPr>
          <w:rFonts w:hint="cs"/>
          <w:rtl/>
        </w:rPr>
        <w:tab/>
        <w:t>السياسة الخارجية</w:t>
      </w:r>
    </w:p>
    <w:p w:rsidR="007023B4" w:rsidRPr="00B0105B" w:rsidRDefault="00B105BA" w:rsidP="00B105BA">
      <w:pPr>
        <w:pStyle w:val="SingleTxt"/>
        <w:rPr>
          <w:rFonts w:hint="cs"/>
          <w:i/>
          <w:iCs/>
          <w:rtl/>
        </w:rPr>
      </w:pPr>
      <w:r>
        <w:rPr>
          <w:rFonts w:hint="cs"/>
          <w:rtl/>
        </w:rPr>
        <w:t>1-1-</w:t>
      </w:r>
      <w:r>
        <w:rPr>
          <w:rFonts w:hint="cs"/>
          <w:i/>
          <w:iCs/>
          <w:rtl/>
        </w:rPr>
        <w:t xml:space="preserve">  </w:t>
      </w:r>
      <w:r w:rsidR="007023B4" w:rsidRPr="00B0105B">
        <w:rPr>
          <w:rFonts w:hint="cs"/>
          <w:i/>
          <w:iCs/>
          <w:rtl/>
        </w:rPr>
        <w:t>القضاء على التمييز ضد المرأة في مكان العمل</w:t>
      </w:r>
    </w:p>
    <w:p w:rsidR="007023B4" w:rsidRDefault="007023B4" w:rsidP="007023B4">
      <w:pPr>
        <w:pStyle w:val="SingleTxt"/>
        <w:rPr>
          <w:rFonts w:hint="cs"/>
          <w:rtl/>
        </w:rPr>
      </w:pPr>
      <w:r>
        <w:rPr>
          <w:rFonts w:hint="cs"/>
          <w:rtl/>
        </w:rPr>
        <w:tab/>
        <w:t>يؤيد إقليم الفلمند مشروعا لمنظمة العمل الدولية يتعلق بالتمييز ضد المرأة في مكان العمل في وسط وشرق أوروبا. وتمثل المشاركة التناسبية للمرأة في سوق العمل جانبا هاما في سياسة العمالة. ويباشر إقليم الفلمند أيضا سياسة تتعلق بالمشاركة التناسبية وتستهدف جماعات مختلفة مثل المهاجرين وكبار السن والموظفين ذوي المستوى الدراسي الهزيل، والأشخاص المعوقين، والمرأة. ويمثل الجمع بين العمل والأسرة رابطة هامة لزيادة مشاركة المرأة في مكان العمل، وعلى سبيل المثال عن طريق توفير مرافق كافية لرعاية الطفل والراحة بعد المدرسة. ويقدم الاقتراح المتعلق بالمشروع تحليلا واضحا للمشكلات والجماعة المستهدفة وبرنامجا عمليا للأنشطة. وتضمن مشاركة النقابات الحصول على الخبرة الفلمندية.</w:t>
      </w:r>
    </w:p>
    <w:p w:rsidR="007023B4" w:rsidRPr="00B0105B" w:rsidRDefault="00B105BA" w:rsidP="00B105BA">
      <w:pPr>
        <w:pStyle w:val="SingleTxt"/>
        <w:rPr>
          <w:rFonts w:hint="cs"/>
          <w:i/>
          <w:iCs/>
          <w:rtl/>
        </w:rPr>
      </w:pPr>
      <w:r>
        <w:rPr>
          <w:rFonts w:hint="cs"/>
          <w:rtl/>
        </w:rPr>
        <w:t>1-2-</w:t>
      </w:r>
      <w:r>
        <w:rPr>
          <w:rFonts w:hint="cs"/>
          <w:i/>
          <w:iCs/>
          <w:rtl/>
        </w:rPr>
        <w:t xml:space="preserve">  </w:t>
      </w:r>
      <w:r w:rsidR="007023B4">
        <w:rPr>
          <w:rFonts w:hint="cs"/>
          <w:i/>
          <w:iCs/>
          <w:rtl/>
        </w:rPr>
        <w:t xml:space="preserve">الحصول على الخدمات الصحية </w:t>
      </w:r>
      <w:r w:rsidR="007023B4" w:rsidRPr="00B0105B">
        <w:rPr>
          <w:rFonts w:hint="cs"/>
          <w:i/>
          <w:iCs/>
          <w:rtl/>
        </w:rPr>
        <w:t>والتعليم</w:t>
      </w:r>
      <w:r w:rsidR="007023B4">
        <w:rPr>
          <w:rFonts w:hint="cs"/>
          <w:i/>
          <w:iCs/>
          <w:rtl/>
        </w:rPr>
        <w:t>ية</w:t>
      </w:r>
      <w:r w:rsidR="007023B4" w:rsidRPr="00B0105B">
        <w:rPr>
          <w:rFonts w:hint="cs"/>
          <w:i/>
          <w:iCs/>
          <w:rtl/>
        </w:rPr>
        <w:t xml:space="preserve"> والاجتماعية في الجمهورية التشيكية</w:t>
      </w:r>
    </w:p>
    <w:p w:rsidR="007023B4" w:rsidRDefault="007023B4" w:rsidP="007023B4">
      <w:pPr>
        <w:pStyle w:val="SingleTxt"/>
        <w:rPr>
          <w:rFonts w:hint="cs"/>
          <w:rtl/>
        </w:rPr>
      </w:pPr>
      <w:r>
        <w:rPr>
          <w:rFonts w:hint="cs"/>
          <w:rtl/>
        </w:rPr>
        <w:tab/>
        <w:t>في عام 2003، تم تمويل مشروع يقوم على أساس المثال الفلمندي ويتعلق بتنمية الخدمات الصحية والاجتماعية والتعليمية للعاملين في مجال الجنس في الجمهورية التشيكية. والهدف من المشروع توزيع مبادئ توجيهية عامة فيما بين العاملين في مجال الجنس فيما يتعلق بمكافحة الأمراض التي تنتقل عن طريق الاتصال الجنسي وفيروس نقص المناعة البشرية/الإيدز وغير ذلك من الأمراض ذات الصلة بذلك. وابتدأ المشروع بمرحلة تجريبية في براغ، وتم تقييمه من أجل مواصلته مع دعم محلي.</w:t>
      </w:r>
    </w:p>
    <w:p w:rsidR="007023B4" w:rsidRPr="006060F9" w:rsidRDefault="007023B4" w:rsidP="007023B4">
      <w:pPr>
        <w:pStyle w:val="SingleTxt"/>
        <w:spacing w:after="0" w:line="120" w:lineRule="exact"/>
        <w:rPr>
          <w:rFonts w:hint="cs"/>
          <w:i/>
          <w:iCs/>
          <w:sz w:val="10"/>
          <w:rtl/>
        </w:rPr>
      </w:pPr>
    </w:p>
    <w:p w:rsidR="007023B4" w:rsidRPr="00B0105B" w:rsidRDefault="00B105BA" w:rsidP="00B105BA">
      <w:pPr>
        <w:pStyle w:val="SingleTxt"/>
        <w:rPr>
          <w:rFonts w:hint="cs"/>
          <w:i/>
          <w:iCs/>
          <w:rtl/>
        </w:rPr>
      </w:pPr>
      <w:r>
        <w:rPr>
          <w:rFonts w:hint="cs"/>
          <w:rtl/>
        </w:rPr>
        <w:t>1-3-</w:t>
      </w:r>
      <w:r>
        <w:rPr>
          <w:rFonts w:hint="cs"/>
          <w:i/>
          <w:iCs/>
          <w:rtl/>
        </w:rPr>
        <w:t xml:space="preserve">  </w:t>
      </w:r>
      <w:r w:rsidR="007023B4" w:rsidRPr="00B0105B">
        <w:rPr>
          <w:rFonts w:hint="cs"/>
          <w:i/>
          <w:iCs/>
          <w:rtl/>
        </w:rPr>
        <w:t>تكافؤ الفرص في الخدمة المدنية في جنوب أفريقيا</w:t>
      </w:r>
    </w:p>
    <w:p w:rsidR="007023B4" w:rsidRDefault="007023B4" w:rsidP="007023B4">
      <w:pPr>
        <w:pStyle w:val="SingleTxt"/>
        <w:rPr>
          <w:rFonts w:hint="cs"/>
          <w:rtl/>
        </w:rPr>
      </w:pPr>
      <w:r>
        <w:rPr>
          <w:rFonts w:hint="cs"/>
          <w:rtl/>
        </w:rPr>
        <w:tab/>
        <w:t>وقّعت السيدة فريزر - موليكيتي، وزيرة شؤون الخدمة المدنية، كجزء من إصلاح الخدمة المدنية في جنوب أفريقيا، اتفاقا مع المركز الدولي للتدريب التابع لمنظمة العمل الدولية. وتريد الوزيرة زيادة طاقة وزارتها على عرض فرص متكافئة على الرجل والمرأة في الخدمة المدنية، وزيادة الصلاحيات المتعلقة بتحليل قضايا الجنسانية، وتقديم خدمات مناسبة للرجل والمرأة. وأمكن للإدارة الفلمندية لتطوير الموظفين و/أو خبير أكاديمي في مجال المساواة بين الجنسين العمل كشريك تقني في هذا المشروع.</w:t>
      </w:r>
    </w:p>
    <w:p w:rsidR="007023B4" w:rsidRPr="00D925B8" w:rsidRDefault="007023B4" w:rsidP="007023B4">
      <w:pPr>
        <w:pStyle w:val="SingleTxt"/>
        <w:spacing w:after="0" w:line="120" w:lineRule="exact"/>
        <w:rPr>
          <w:rFonts w:hint="cs"/>
          <w:b/>
          <w:bCs/>
          <w:sz w:val="10"/>
          <w:rtl/>
        </w:rPr>
      </w:pPr>
    </w:p>
    <w:p w:rsidR="007023B4" w:rsidRPr="00D06D25" w:rsidRDefault="006D5CDD" w:rsidP="007023B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tl/>
        </w:rPr>
        <w:br w:type="page"/>
      </w:r>
      <w:r w:rsidR="007023B4">
        <w:rPr>
          <w:rFonts w:hint="cs"/>
          <w:rtl/>
        </w:rPr>
        <w:tab/>
        <w:t>2 -</w:t>
      </w:r>
      <w:r w:rsidR="007023B4">
        <w:rPr>
          <w:rFonts w:hint="cs"/>
          <w:rtl/>
        </w:rPr>
        <w:tab/>
        <w:t>التعاون الدولي</w:t>
      </w:r>
    </w:p>
    <w:p w:rsidR="007023B4" w:rsidRPr="00B0105B" w:rsidRDefault="00B105BA" w:rsidP="00B105BA">
      <w:pPr>
        <w:pStyle w:val="SingleTxt"/>
        <w:rPr>
          <w:rFonts w:hint="cs"/>
          <w:i/>
          <w:iCs/>
          <w:rtl/>
        </w:rPr>
      </w:pPr>
      <w:r>
        <w:rPr>
          <w:rFonts w:hint="cs"/>
          <w:rtl/>
        </w:rPr>
        <w:t>2-1-</w:t>
      </w:r>
      <w:r>
        <w:rPr>
          <w:rFonts w:hint="cs"/>
          <w:i/>
          <w:iCs/>
          <w:rtl/>
        </w:rPr>
        <w:t xml:space="preserve">  </w:t>
      </w:r>
      <w:r w:rsidR="007023B4" w:rsidRPr="00B0105B">
        <w:rPr>
          <w:rFonts w:hint="cs"/>
          <w:i/>
          <w:iCs/>
          <w:rtl/>
        </w:rPr>
        <w:t>الجنس</w:t>
      </w:r>
      <w:r w:rsidR="007023B4">
        <w:rPr>
          <w:rFonts w:hint="cs"/>
          <w:i/>
          <w:iCs/>
          <w:rtl/>
        </w:rPr>
        <w:t>انية</w:t>
      </w:r>
      <w:r w:rsidR="007023B4" w:rsidRPr="00B0105B">
        <w:rPr>
          <w:rFonts w:hint="cs"/>
          <w:i/>
          <w:iCs/>
          <w:rtl/>
        </w:rPr>
        <w:t xml:space="preserve"> بصفته</w:t>
      </w:r>
      <w:r w:rsidR="007023B4">
        <w:rPr>
          <w:rFonts w:hint="cs"/>
          <w:i/>
          <w:iCs/>
          <w:rtl/>
        </w:rPr>
        <w:t>ا</w:t>
      </w:r>
      <w:r w:rsidR="007023B4" w:rsidRPr="00B0105B">
        <w:rPr>
          <w:rFonts w:hint="cs"/>
          <w:i/>
          <w:iCs/>
          <w:rtl/>
        </w:rPr>
        <w:t xml:space="preserve"> مسألة تشمل مختلف القطاعات</w:t>
      </w:r>
    </w:p>
    <w:p w:rsidR="007023B4" w:rsidRDefault="007023B4" w:rsidP="007023B4">
      <w:pPr>
        <w:pStyle w:val="SingleTxt"/>
        <w:rPr>
          <w:rFonts w:hint="cs"/>
          <w:rtl/>
        </w:rPr>
      </w:pPr>
      <w:r>
        <w:rPr>
          <w:rFonts w:hint="cs"/>
          <w:rtl/>
        </w:rPr>
        <w:tab/>
        <w:t>أصبحت الجنسانية، منذ عام 2002، مسألة تشمل مختلف القطاعات في التعاون الإنمائي لإقليم الفلمند مع البلدان الشريكة، والمشاريع المتعلقة بالتعليم الإنمائي. وفي موزامبيق وجنوب أفريقيا وملاوي، يتم تنفيذ مشروعات وبرامج مختلفة تشكل فيها المرأة جماعة مستهدفة هامة. وتتركز الأنشطة حول الوضع الضعيف للمرأة فيما يتعلق بمشكلة فيروس نقص المناعة البشرية/الإيدز وحقوق المرأة في مجال الصحة الإنجابية. وهذه هي الحال بالنسبة لكل من البرامج الثنائية والمتعددة الأطراف. وتعتبر المرأة جماعة مستهدفة محددة أيضا في برامج التعاون في جنوب أفريقيا المتعلقة بالأمن الغذائي وإيجاد فرص عمل عن طريق المؤسسات الصغيرة والصغرى.</w:t>
      </w:r>
    </w:p>
    <w:p w:rsidR="007023B4" w:rsidRDefault="007023B4" w:rsidP="007023B4">
      <w:pPr>
        <w:pStyle w:val="SingleTxt"/>
        <w:rPr>
          <w:rFonts w:hint="cs"/>
          <w:rtl/>
        </w:rPr>
      </w:pPr>
      <w:r>
        <w:rPr>
          <w:rFonts w:hint="cs"/>
          <w:rtl/>
        </w:rPr>
        <w:tab/>
        <w:t>ويقوم إقليم الفلمند أيضا برصد هل يتم تعميم السياسة الجنسانية لجنوب أفريقيا وتنفيذها في المشروعات التي يدعمها الإقليم في جنوب أفريقيا أم لا. ويمكن اعتبار السياسة الجنسانية لجنوب أفريقيا متسمة بقدر من الصراحة أكبر مما يتسم به القانون الفلمندي والبلجيكي المتعلق بالقضايا الجنسانية.</w:t>
      </w:r>
    </w:p>
    <w:p w:rsidR="007023B4" w:rsidRDefault="007023B4" w:rsidP="007023B4">
      <w:pPr>
        <w:pStyle w:val="SingleTxt"/>
        <w:rPr>
          <w:rFonts w:hint="cs"/>
          <w:rtl/>
        </w:rPr>
      </w:pPr>
      <w:r>
        <w:rPr>
          <w:rFonts w:hint="cs"/>
          <w:rtl/>
        </w:rPr>
        <w:tab/>
        <w:t>وفي عام 2004، تمت الموافقة على مشروع لبرنامج الأمم المتحدة المعني بفيروس نقص المناعة البشرية/الإيدز بالنسبة لموزامبيق، حيث تم الاضطلاع بالدعوة من أجل القضاء على أوجه عدم المساواة بين الجنسين في قانون الوراثة في موزامبيق.</w:t>
      </w:r>
    </w:p>
    <w:p w:rsidR="007023B4" w:rsidRDefault="007023B4" w:rsidP="007023B4">
      <w:pPr>
        <w:pStyle w:val="SingleTxt"/>
        <w:rPr>
          <w:rFonts w:hint="cs"/>
          <w:rtl/>
        </w:rPr>
      </w:pPr>
      <w:r>
        <w:rPr>
          <w:rFonts w:hint="cs"/>
          <w:rtl/>
        </w:rPr>
        <w:tab/>
        <w:t>وفي المغرب، تم دعم مشروعات للمنظمات غير الحكومية خلال الفترة</w:t>
      </w:r>
      <w:r>
        <w:rPr>
          <w:rtl/>
        </w:rPr>
        <w:br/>
      </w:r>
      <w:r>
        <w:rPr>
          <w:rFonts w:hint="cs"/>
          <w:rtl/>
        </w:rPr>
        <w:t>2003-2006 تركز على حقوق المرأة ووضع المرأة في المجتمع. وأُعير اهتمام خاص لزيادة استفادة المرأة من التعليم والصحة وإيجاد فرص عمل للمرأة.</w:t>
      </w:r>
    </w:p>
    <w:p w:rsidR="007023B4" w:rsidRDefault="007023B4" w:rsidP="007023B4">
      <w:pPr>
        <w:pStyle w:val="SingleTxt"/>
        <w:rPr>
          <w:rFonts w:hint="cs"/>
          <w:rtl/>
        </w:rPr>
      </w:pPr>
      <w:r>
        <w:rPr>
          <w:rFonts w:hint="cs"/>
          <w:rtl/>
        </w:rPr>
        <w:tab/>
        <w:t>وفي الفترة من 2002 إلى 2003، حظي بالدعم مشروع لمنظمة العمل الدولية يهدف إلى المساهمة في إنماء القدرة النسائية على تنظيم المشاريع في المغرب عن طريق وضع استراتيجية وطنية وتعزيز منظمات العاملات، من خلال التدريب في تورينو.</w:t>
      </w:r>
    </w:p>
    <w:p w:rsidR="007023B4" w:rsidRPr="004763C3" w:rsidRDefault="007023B4" w:rsidP="007023B4">
      <w:pPr>
        <w:pStyle w:val="SingleTxt"/>
        <w:spacing w:after="0" w:line="120" w:lineRule="exact"/>
        <w:rPr>
          <w:rFonts w:hint="cs"/>
          <w:b/>
          <w:bCs/>
          <w:sz w:val="10"/>
          <w:rtl/>
        </w:rPr>
      </w:pPr>
    </w:p>
    <w:p w:rsidR="007023B4" w:rsidRPr="00D952C3" w:rsidRDefault="007023B4" w:rsidP="007023B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3 -</w:t>
      </w:r>
      <w:r>
        <w:rPr>
          <w:rFonts w:hint="cs"/>
          <w:rtl/>
        </w:rPr>
        <w:tab/>
        <w:t>السياحة</w:t>
      </w:r>
    </w:p>
    <w:p w:rsidR="007023B4" w:rsidRDefault="007023B4" w:rsidP="007023B4">
      <w:pPr>
        <w:pStyle w:val="SingleTxt"/>
        <w:rPr>
          <w:rFonts w:hint="cs"/>
          <w:rtl/>
        </w:rPr>
      </w:pPr>
      <w:r>
        <w:rPr>
          <w:rFonts w:hint="cs"/>
          <w:rtl/>
        </w:rPr>
        <w:tab/>
        <w:t>في عام 2004، بدأت عملية فحص تتعلق باستراتيجية الاستدامة للوكالة الفلمندية للسياحة. وفي هذا التقرير، قدمت نتائج تتعلق بتقييم مدى تقدير موظفي الوكالة لأهمية المساواة في المعاملة بين الرجل والمرأة. وأظهرت النتائج أن هذه المسألة تعتبر بالغة الأهمية في نظر الموظفين، وأن الوكالة حصلت على درجة 4 (وأعلى درجة هي 5).</w:t>
      </w:r>
    </w:p>
    <w:p w:rsidR="007023B4" w:rsidRPr="004763C3" w:rsidRDefault="007023B4" w:rsidP="007023B4">
      <w:pPr>
        <w:pStyle w:val="SingleTxt"/>
        <w:spacing w:after="0" w:line="120" w:lineRule="exact"/>
        <w:rPr>
          <w:rFonts w:hint="cs"/>
          <w:b/>
          <w:bCs/>
          <w:sz w:val="10"/>
          <w:rtl/>
        </w:rPr>
      </w:pPr>
    </w:p>
    <w:p w:rsidR="007023B4" w:rsidRPr="00D952C3" w:rsidRDefault="007023B4" w:rsidP="007023B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4 -</w:t>
      </w:r>
      <w:r>
        <w:rPr>
          <w:rFonts w:hint="cs"/>
          <w:rtl/>
        </w:rPr>
        <w:tab/>
        <w:t>التمثيل الدولي لإقليم الفلمند</w:t>
      </w:r>
    </w:p>
    <w:p w:rsidR="007023B4" w:rsidRDefault="007023B4" w:rsidP="007023B4">
      <w:pPr>
        <w:pStyle w:val="SingleTxt"/>
        <w:rPr>
          <w:rFonts w:hint="cs"/>
          <w:rtl/>
        </w:rPr>
      </w:pPr>
      <w:r>
        <w:rPr>
          <w:rFonts w:hint="cs"/>
          <w:rtl/>
        </w:rPr>
        <w:tab/>
        <w:t>يوجد تسعة ممثلين للحكومة الفلمندية في الخارج وجميعهم ذكور.</w:t>
      </w:r>
    </w:p>
    <w:p w:rsidR="007023B4" w:rsidRPr="004763C3" w:rsidRDefault="007023B4" w:rsidP="007023B4">
      <w:pPr>
        <w:pStyle w:val="H1"/>
        <w:spacing w:line="120" w:lineRule="exact"/>
        <w:rPr>
          <w:rFonts w:hint="cs"/>
          <w:sz w:val="10"/>
          <w:rtl/>
        </w:rPr>
      </w:pPr>
    </w:p>
    <w:p w:rsidR="007023B4" w:rsidRPr="00635980" w:rsidRDefault="007023B4" w:rsidP="007023B4">
      <w:pPr>
        <w:pStyle w:val="H1"/>
        <w:spacing w:after="120"/>
        <w:rPr>
          <w:rFonts w:hint="cs"/>
          <w:rtl/>
        </w:rPr>
      </w:pPr>
      <w:r>
        <w:rPr>
          <w:rFonts w:hint="cs"/>
          <w:rtl/>
        </w:rPr>
        <w:tab/>
        <w:t>باء -</w:t>
      </w:r>
      <w:r>
        <w:rPr>
          <w:rFonts w:hint="cs"/>
          <w:rtl/>
        </w:rPr>
        <w:tab/>
        <w:t>المجتمع الفرنسي</w:t>
      </w:r>
    </w:p>
    <w:p w:rsidR="007023B4" w:rsidRDefault="007023B4" w:rsidP="007023B4">
      <w:pPr>
        <w:pStyle w:val="SingleTxt"/>
        <w:rPr>
          <w:rFonts w:hint="cs"/>
          <w:rtl/>
        </w:rPr>
      </w:pPr>
      <w:r>
        <w:rPr>
          <w:rFonts w:hint="cs"/>
          <w:rtl/>
        </w:rPr>
        <w:tab/>
        <w:t xml:space="preserve">التمثيل بين الرجل والمرأة في السلك </w:t>
      </w:r>
      <w:r>
        <w:rPr>
          <w:rFonts w:hint="eastAsia"/>
          <w:rtl/>
        </w:rPr>
        <w:t>”الخارجي</w:t>
      </w:r>
      <w:r>
        <w:rPr>
          <w:rFonts w:hint="cs"/>
          <w:rtl/>
        </w:rPr>
        <w:t>“ للمفوضية العامة للعلاقات الدولية التابعة للمجتمع الفرنسي، ووكالة والون للتصدير والاستثمارات الأجنبية، وشعبة العلاقات الدولية التابعة للإدارة العامة للعلاقات الخارجية بوزارة إقليم والون، وجمعية النهوض بتعليم وتدريب الأجانب، يتوزع كالآتي: 34 امرأة و 97 رجلا.</w:t>
      </w:r>
    </w:p>
    <w:p w:rsidR="007023B4" w:rsidRPr="004763C3" w:rsidRDefault="007023B4" w:rsidP="007023B4">
      <w:pPr>
        <w:pStyle w:val="H1"/>
        <w:spacing w:line="120" w:lineRule="exact"/>
        <w:rPr>
          <w:rFonts w:hint="cs"/>
          <w:sz w:val="10"/>
          <w:rtl/>
        </w:rPr>
      </w:pPr>
    </w:p>
    <w:p w:rsidR="007023B4" w:rsidRPr="00B0105B" w:rsidRDefault="007023B4" w:rsidP="007023B4">
      <w:pPr>
        <w:pStyle w:val="H1"/>
        <w:spacing w:after="120"/>
        <w:rPr>
          <w:rFonts w:hint="cs"/>
          <w:rtl/>
        </w:rPr>
      </w:pPr>
      <w:r>
        <w:rPr>
          <w:rFonts w:hint="cs"/>
          <w:rtl/>
        </w:rPr>
        <w:tab/>
      </w:r>
      <w:r w:rsidRPr="00B0105B">
        <w:rPr>
          <w:rFonts w:hint="cs"/>
          <w:rtl/>
        </w:rPr>
        <w:t>جيم -</w:t>
      </w:r>
      <w:r w:rsidRPr="00B0105B">
        <w:rPr>
          <w:rFonts w:hint="cs"/>
          <w:rtl/>
        </w:rPr>
        <w:tab/>
        <w:t>إقليم بروكسل العاصمة</w:t>
      </w:r>
    </w:p>
    <w:p w:rsidR="007023B4" w:rsidRDefault="007023B4" w:rsidP="007023B4">
      <w:pPr>
        <w:pStyle w:val="SingleTxt"/>
        <w:rPr>
          <w:rFonts w:hint="cs"/>
          <w:rtl/>
        </w:rPr>
      </w:pPr>
      <w:r>
        <w:rPr>
          <w:rFonts w:hint="cs"/>
          <w:rtl/>
        </w:rPr>
        <w:tab/>
        <w:t>عدد الملحقين والممثلين الإقليميين: 65 رجلا و 24 امرأة.</w:t>
      </w:r>
    </w:p>
    <w:p w:rsidR="007023B4" w:rsidRPr="00811A68" w:rsidRDefault="007023B4" w:rsidP="007023B4">
      <w:pPr>
        <w:pStyle w:val="HCh"/>
        <w:spacing w:after="120"/>
        <w:rPr>
          <w:rFonts w:hint="cs"/>
          <w:rtl/>
        </w:rPr>
      </w:pPr>
      <w:r>
        <w:rPr>
          <w:rFonts w:hint="cs"/>
          <w:rtl/>
        </w:rPr>
        <w:tab/>
        <w:t>المادة 9</w:t>
      </w:r>
    </w:p>
    <w:p w:rsidR="007023B4" w:rsidRPr="00811A68" w:rsidRDefault="007023B4" w:rsidP="007023B4">
      <w:pPr>
        <w:pStyle w:val="H1"/>
        <w:spacing w:after="120"/>
        <w:rPr>
          <w:rFonts w:hint="cs"/>
          <w:rtl/>
        </w:rPr>
      </w:pPr>
      <w:r>
        <w:rPr>
          <w:rFonts w:hint="cs"/>
          <w:rtl/>
        </w:rPr>
        <w:tab/>
        <w:t>أولا -</w:t>
      </w:r>
      <w:r>
        <w:rPr>
          <w:rFonts w:hint="cs"/>
          <w:rtl/>
        </w:rPr>
        <w:tab/>
        <w:t>على المستوى الاتحادي</w:t>
      </w:r>
    </w:p>
    <w:p w:rsidR="007023B4" w:rsidRDefault="007023B4" w:rsidP="007023B4">
      <w:pPr>
        <w:pStyle w:val="SingleTxt"/>
        <w:rPr>
          <w:rFonts w:hint="cs"/>
          <w:rtl/>
        </w:rPr>
      </w:pPr>
      <w:r>
        <w:rPr>
          <w:rFonts w:hint="cs"/>
          <w:rtl/>
        </w:rPr>
        <w:tab/>
        <w:t>تجيب بلجيكا على المتطلبات المطروحة في المادة 9 من الاتفاقية فيما يتعلق بالتشريع المتصل بالجنسية. ومنذ الإصلاح الكبير لقانون الجنسية البلجيكية الذي حدث في عام 1984، أقامت بلجيكا في الواقع مساواة متكاملة بين المرأة والرجل في مجال تغيير الجنسية والاحتفاظ بها، وذلك سواء في حالة الزواج مثلما في حالة تغيير القرين الآخر لجنسيته أو</w:t>
      </w:r>
      <w:r>
        <w:rPr>
          <w:rFonts w:hint="eastAsia"/>
          <w:rtl/>
        </w:rPr>
        <w:t> </w:t>
      </w:r>
      <w:r>
        <w:rPr>
          <w:rFonts w:hint="cs"/>
          <w:rtl/>
        </w:rPr>
        <w:t>فقدانها. ويمكن لكل قرين أن يغير جنسيته أو يكتسب جنسية أخرى دون أن يجب عليه الحصول على موافقة القرين الآخر. وإلى جانب ذلك، فإن الأطفال الذين يكونون قصرا عند الاكتساب يستفيدون تلقائيا بالجنسية التي يكتسبها أحد الزوجين، سواء كان ذلك الزوج هو الأب أو الأم.</w:t>
      </w:r>
    </w:p>
    <w:p w:rsidR="007023B4" w:rsidRDefault="007023B4" w:rsidP="007023B4">
      <w:pPr>
        <w:pStyle w:val="SingleTxt"/>
        <w:rPr>
          <w:rFonts w:hint="cs"/>
          <w:rtl/>
        </w:rPr>
      </w:pPr>
      <w:r>
        <w:rPr>
          <w:rFonts w:hint="cs"/>
          <w:rtl/>
        </w:rPr>
        <w:tab/>
        <w:t>والحصول على الجنسية البلجيكية عملية شملها التعديل خمس مرات خلال السنوات العشرين الأخيرة. وكان الشاغل الرئيسي لهذه التعديلات هو دائما التحسين (المزيد من السرعة والسهولة والبساطة والفاعلية) في الحصول على الجنسية البلجيكية. والتعديل الأخير في مجال الحصول على الجنسية البلجيكية أتى به القانون الصادر في أول آذار/مارس 2000 الذي يهدف إلى تشجيع إدماج الأجانب عن طريق اكتساب الجنسية. ويتضمن ذلك القانون ثلاثة مستحدثات رئيسية:</w:t>
      </w:r>
    </w:p>
    <w:p w:rsidR="007023B4" w:rsidRDefault="007023B4" w:rsidP="007023B4">
      <w:pPr>
        <w:pStyle w:val="SingleTxt"/>
        <w:rPr>
          <w:rFonts w:hint="cs"/>
          <w:rtl/>
        </w:rPr>
      </w:pPr>
      <w:r>
        <w:rPr>
          <w:rFonts w:hint="cs"/>
          <w:rtl/>
        </w:rPr>
        <w:tab/>
        <w:t>(1)</w:t>
      </w:r>
      <w:r>
        <w:rPr>
          <w:rFonts w:hint="cs"/>
          <w:rtl/>
        </w:rPr>
        <w:tab/>
        <w:t>أن من شأنه تخفيف شروط الحصول على إعلان بمنح الجنسية والتجنس؛</w:t>
      </w:r>
    </w:p>
    <w:p w:rsidR="007023B4" w:rsidRDefault="007023B4" w:rsidP="007023B4">
      <w:pPr>
        <w:pStyle w:val="SingleTxt"/>
        <w:rPr>
          <w:rFonts w:hint="cs"/>
          <w:rtl/>
        </w:rPr>
      </w:pPr>
      <w:r>
        <w:rPr>
          <w:rFonts w:hint="cs"/>
          <w:rtl/>
        </w:rPr>
        <w:tab/>
        <w:t>(2)</w:t>
      </w:r>
      <w:r>
        <w:rPr>
          <w:rFonts w:hint="cs"/>
          <w:rtl/>
        </w:rPr>
        <w:tab/>
        <w:t>أنه يعمل على تسريع وتسهيل سير جميع إجراءات الحصول على الجنسية البلجيكية بتخفيض فترة فحص الملف بمعرفة المحكمة إلى شهر واحد (وبمعرفة مكتب الأجانب وأمن الدولة في حالة طلب التجنس)، والنص على نظام ثلاثي متسلسل لتبديل شهادة الميلاد؛</w:t>
      </w:r>
    </w:p>
    <w:p w:rsidR="007023B4" w:rsidRDefault="007023B4" w:rsidP="007023B4">
      <w:pPr>
        <w:pStyle w:val="SingleTxt"/>
        <w:rPr>
          <w:rFonts w:hint="cs"/>
          <w:rtl/>
        </w:rPr>
      </w:pPr>
      <w:r>
        <w:rPr>
          <w:rFonts w:hint="cs"/>
          <w:rtl/>
        </w:rPr>
        <w:tab/>
        <w:t>(3)</w:t>
      </w:r>
      <w:r>
        <w:rPr>
          <w:rFonts w:hint="cs"/>
          <w:rtl/>
        </w:rPr>
        <w:tab/>
        <w:t>وأخيرا، فإن القانون يلغي التدقيق في إرادة الاندماج فيما يتعلق بإعلانات الاختيار وطلبات التجنس. ومن شأن الأخذ بهذا الإجراء افتراض وجود هذه الإرادة أصلا: فلم يعد الاستبيان المتعلق بالتجنس يشمل أسئلة عن معرفة الشخص المعني للغات أو عن مهنته، كما أن تحقيق الشرطة في اندماج طالب التجنس أُلغي هو الآخر.</w:t>
      </w:r>
    </w:p>
    <w:p w:rsidR="007023B4" w:rsidRDefault="007023B4" w:rsidP="007023B4">
      <w:pPr>
        <w:pStyle w:val="SingleTxt"/>
        <w:rPr>
          <w:rFonts w:hint="cs"/>
          <w:rtl/>
        </w:rPr>
      </w:pPr>
      <w:r>
        <w:rPr>
          <w:rFonts w:hint="cs"/>
          <w:rtl/>
        </w:rPr>
        <w:tab/>
        <w:t>وفيما يتعلق بالزيجات المختلطة بصفة أخص، لم يعد للزواج منذ عام 1985 أي أثر بقوة القانون على الجنسية. فعلى العكس من ذلك، فإن قرين البلجيكية (أو قرينة البلجيكي) يمكن أن يحصل على الجنسية البلجيكية عن طريق الإجراء المتعلق بالإعلان، وذلك بعد ثلاث سنوات من الإقامة بصفة رئيسية ومشتركة في بلجيكا مع القرين البلجيكي (أو</w:t>
      </w:r>
      <w:r>
        <w:rPr>
          <w:rFonts w:hint="eastAsia"/>
          <w:rtl/>
        </w:rPr>
        <w:t> </w:t>
      </w:r>
      <w:r>
        <w:rPr>
          <w:rFonts w:hint="cs"/>
          <w:rtl/>
        </w:rPr>
        <w:t>ستة أشهر من الحياة المشتركة في بلجيكا، إذا كان القرين الأجنبي، وقت الإعلان، قد أذن له أو رضي هو، منذ ثلاث سنوات على الأقل، بالإقامة لأكثر من ثلاثة أشهر أو</w:t>
      </w:r>
      <w:r>
        <w:rPr>
          <w:rFonts w:hint="eastAsia"/>
          <w:rtl/>
        </w:rPr>
        <w:t> </w:t>
      </w:r>
      <w:r>
        <w:rPr>
          <w:rFonts w:hint="cs"/>
          <w:rtl/>
        </w:rPr>
        <w:t>الاستقرار في بلجيكا).</w:t>
      </w:r>
    </w:p>
    <w:p w:rsidR="007023B4" w:rsidRDefault="007023B4" w:rsidP="007023B4">
      <w:pPr>
        <w:pStyle w:val="SingleTxt"/>
        <w:rPr>
          <w:rFonts w:hint="cs"/>
          <w:rtl/>
        </w:rPr>
      </w:pPr>
      <w:r>
        <w:rPr>
          <w:rFonts w:hint="cs"/>
          <w:rtl/>
        </w:rPr>
        <w:tab/>
        <w:t>وهذه الشروط المتعلقة بالإقامة وكذلك بالحياة المشتركة لفترة دنيا تنحو بصفة خاصة نحو تجنب الزيجات الوهمية التي هدفها الحصري تسهيل اكتساب الجنسية.</w:t>
      </w:r>
    </w:p>
    <w:p w:rsidR="007023B4" w:rsidRPr="005C0A25" w:rsidRDefault="007023B4" w:rsidP="007023B4">
      <w:pPr>
        <w:pStyle w:val="HCh"/>
        <w:spacing w:line="120" w:lineRule="exact"/>
        <w:rPr>
          <w:rFonts w:hint="cs"/>
          <w:sz w:val="10"/>
          <w:rtl/>
        </w:rPr>
      </w:pPr>
    </w:p>
    <w:p w:rsidR="007023B4" w:rsidRPr="008D0A09" w:rsidRDefault="00B105BA" w:rsidP="007023B4">
      <w:pPr>
        <w:pStyle w:val="HCh"/>
        <w:spacing w:after="120"/>
        <w:rPr>
          <w:rFonts w:hint="cs"/>
          <w:rtl/>
        </w:rPr>
      </w:pPr>
      <w:r>
        <w:rPr>
          <w:rtl/>
        </w:rPr>
        <w:br w:type="page"/>
      </w:r>
      <w:r w:rsidR="007023B4">
        <w:rPr>
          <w:rFonts w:hint="cs"/>
          <w:rtl/>
        </w:rPr>
        <w:tab/>
        <w:t>المادة 10</w:t>
      </w:r>
    </w:p>
    <w:p w:rsidR="007023B4" w:rsidRDefault="007023B4" w:rsidP="007023B4">
      <w:pPr>
        <w:pStyle w:val="SingleTxt"/>
        <w:rPr>
          <w:rFonts w:hint="cs"/>
          <w:b/>
          <w:bCs/>
          <w:rtl/>
        </w:rPr>
      </w:pPr>
      <w:r>
        <w:rPr>
          <w:rFonts w:hint="cs"/>
          <w:b/>
          <w:bCs/>
          <w:rtl/>
        </w:rPr>
        <w:tab/>
        <w:t>في بلجيكا، كل ما له علاقة بالتعليم يكون من اختصاص المجتمعات</w:t>
      </w:r>
    </w:p>
    <w:p w:rsidR="007023B4" w:rsidRPr="005C0A25" w:rsidRDefault="007023B4" w:rsidP="007023B4">
      <w:pPr>
        <w:pStyle w:val="SingleTxt"/>
        <w:rPr>
          <w:rFonts w:hint="cs"/>
          <w:i/>
          <w:iCs/>
          <w:rtl/>
        </w:rPr>
      </w:pPr>
      <w:r>
        <w:rPr>
          <w:rFonts w:hint="cs"/>
          <w:b/>
          <w:bCs/>
          <w:rtl/>
        </w:rPr>
        <w:tab/>
      </w:r>
      <w:r w:rsidRPr="005C0A25">
        <w:rPr>
          <w:rFonts w:hint="cs"/>
          <w:i/>
          <w:iCs/>
          <w:rtl/>
        </w:rPr>
        <w:t>السكان البلجيكيون فوق 25 سنة حسب مستوى التدريب</w:t>
      </w:r>
    </w:p>
    <w:p w:rsidR="007023B4" w:rsidRDefault="007023B4" w:rsidP="007023B4">
      <w:pPr>
        <w:pStyle w:val="SingleTxt"/>
        <w:rPr>
          <w:rFonts w:hint="cs"/>
          <w:vertAlign w:val="superscript"/>
          <w:rtl/>
        </w:rPr>
      </w:pPr>
      <w:r w:rsidRPr="005C0A25">
        <w:rPr>
          <w:rFonts w:hint="cs"/>
          <w:i/>
          <w:iCs/>
          <w:rtl/>
        </w:rPr>
        <w:tab/>
        <w:t>والسن والجنس، أرقام مطلقة</w:t>
      </w:r>
      <w:r w:rsidRPr="008D0A09">
        <w:rPr>
          <w:vertAlign w:val="superscript"/>
          <w:rtl/>
        </w:rPr>
        <w:t>(</w:t>
      </w:r>
      <w:r>
        <w:rPr>
          <w:rStyle w:val="FootnoteReference"/>
          <w:rtl/>
        </w:rPr>
        <w:footnoteReference w:id="40"/>
      </w:r>
      <w:r w:rsidRPr="008D0A09">
        <w:rPr>
          <w:vertAlign w:val="superscript"/>
          <w:rtl/>
        </w:rPr>
        <w:t>)</w:t>
      </w:r>
    </w:p>
    <w:p w:rsidR="007023B4" w:rsidRPr="005C0A25" w:rsidRDefault="007023B4" w:rsidP="007023B4">
      <w:pPr>
        <w:pStyle w:val="SingleTxt"/>
        <w:spacing w:after="0" w:line="120" w:lineRule="exact"/>
        <w:rPr>
          <w:rFonts w:hint="cs"/>
          <w:sz w:val="10"/>
          <w:rtl/>
        </w:rPr>
      </w:pPr>
    </w:p>
    <w:tbl>
      <w:tblPr>
        <w:tblStyle w:val="TableGrid"/>
        <w:bidiVisual/>
        <w:tblW w:w="9504" w:type="dxa"/>
        <w:jc w:val="center"/>
        <w:tblLook w:val="01E0" w:firstRow="1" w:lastRow="1" w:firstColumn="1" w:lastColumn="1" w:noHBand="0" w:noVBand="0"/>
      </w:tblPr>
      <w:tblGrid>
        <w:gridCol w:w="1417"/>
        <w:gridCol w:w="999"/>
        <w:gridCol w:w="999"/>
        <w:gridCol w:w="999"/>
        <w:gridCol w:w="999"/>
        <w:gridCol w:w="999"/>
        <w:gridCol w:w="999"/>
        <w:gridCol w:w="1094"/>
        <w:gridCol w:w="999"/>
      </w:tblGrid>
      <w:tr w:rsidR="007023B4" w:rsidRPr="00630D32">
        <w:trPr>
          <w:jc w:val="center"/>
        </w:trPr>
        <w:tc>
          <w:tcPr>
            <w:tcW w:w="1442" w:type="dxa"/>
            <w:tcBorders>
              <w:top w:val="single" w:sz="12" w:space="0" w:color="auto"/>
              <w:left w:val="nil"/>
              <w:bottom w:val="nil"/>
              <w:right w:val="nil"/>
            </w:tcBorders>
          </w:tcPr>
          <w:p w:rsidR="007023B4" w:rsidRPr="00630D32" w:rsidRDefault="007023B4" w:rsidP="007023B4">
            <w:pPr>
              <w:pStyle w:val="SingleTxt"/>
              <w:ind w:left="-57" w:right="-57"/>
              <w:rPr>
                <w:rFonts w:hint="cs"/>
                <w:i/>
                <w:iCs/>
                <w:sz w:val="24"/>
                <w:szCs w:val="24"/>
                <w:rtl/>
              </w:rPr>
            </w:pPr>
            <w:r w:rsidRPr="00630D32">
              <w:rPr>
                <w:rFonts w:hint="cs"/>
                <w:i/>
                <w:iCs/>
                <w:sz w:val="24"/>
                <w:szCs w:val="24"/>
                <w:rtl/>
              </w:rPr>
              <w:t>مستوى التأهيل</w:t>
            </w:r>
          </w:p>
        </w:tc>
        <w:tc>
          <w:tcPr>
            <w:tcW w:w="2060" w:type="dxa"/>
            <w:gridSpan w:val="2"/>
            <w:tcBorders>
              <w:top w:val="single" w:sz="12" w:space="0" w:color="auto"/>
              <w:left w:val="nil"/>
              <w:bottom w:val="single" w:sz="2" w:space="0" w:color="auto"/>
              <w:right w:val="nil"/>
            </w:tcBorders>
          </w:tcPr>
          <w:p w:rsidR="007023B4" w:rsidRPr="00630D32" w:rsidRDefault="007023B4" w:rsidP="007023B4">
            <w:pPr>
              <w:pStyle w:val="SingleTxt"/>
              <w:ind w:left="-57" w:right="-57"/>
              <w:jc w:val="center"/>
              <w:rPr>
                <w:rFonts w:hint="cs"/>
                <w:i/>
                <w:iCs/>
                <w:sz w:val="24"/>
                <w:szCs w:val="24"/>
                <w:rtl/>
              </w:rPr>
            </w:pPr>
            <w:r w:rsidRPr="00630D32">
              <w:rPr>
                <w:rFonts w:hint="cs"/>
                <w:i/>
                <w:iCs/>
                <w:sz w:val="24"/>
                <w:szCs w:val="24"/>
                <w:rtl/>
              </w:rPr>
              <w:t>من 25 إلى 34 سنة</w:t>
            </w:r>
          </w:p>
        </w:tc>
        <w:tc>
          <w:tcPr>
            <w:tcW w:w="2060" w:type="dxa"/>
            <w:gridSpan w:val="2"/>
            <w:tcBorders>
              <w:top w:val="single" w:sz="12" w:space="0" w:color="auto"/>
              <w:left w:val="nil"/>
              <w:bottom w:val="single" w:sz="2" w:space="0" w:color="auto"/>
              <w:right w:val="nil"/>
            </w:tcBorders>
          </w:tcPr>
          <w:p w:rsidR="007023B4" w:rsidRPr="00630D32" w:rsidRDefault="007023B4" w:rsidP="007023B4">
            <w:pPr>
              <w:pStyle w:val="SingleTxt"/>
              <w:ind w:left="-57" w:right="-57"/>
              <w:jc w:val="center"/>
              <w:rPr>
                <w:rFonts w:hint="cs"/>
                <w:i/>
                <w:iCs/>
                <w:sz w:val="24"/>
                <w:szCs w:val="24"/>
                <w:rtl/>
              </w:rPr>
            </w:pPr>
            <w:r w:rsidRPr="00630D32">
              <w:rPr>
                <w:rFonts w:hint="cs"/>
                <w:i/>
                <w:iCs/>
                <w:sz w:val="24"/>
                <w:szCs w:val="24"/>
                <w:rtl/>
              </w:rPr>
              <w:t>من 35 إلى 44 سنة</w:t>
            </w:r>
          </w:p>
        </w:tc>
        <w:tc>
          <w:tcPr>
            <w:tcW w:w="2060" w:type="dxa"/>
            <w:gridSpan w:val="2"/>
            <w:tcBorders>
              <w:top w:val="single" w:sz="12" w:space="0" w:color="auto"/>
              <w:left w:val="nil"/>
              <w:bottom w:val="single" w:sz="2" w:space="0" w:color="auto"/>
              <w:right w:val="nil"/>
            </w:tcBorders>
          </w:tcPr>
          <w:p w:rsidR="007023B4" w:rsidRPr="00630D32" w:rsidRDefault="007023B4" w:rsidP="007023B4">
            <w:pPr>
              <w:pStyle w:val="SingleTxt"/>
              <w:ind w:left="-57" w:right="-57"/>
              <w:jc w:val="center"/>
              <w:rPr>
                <w:rFonts w:hint="cs"/>
                <w:i/>
                <w:iCs/>
                <w:sz w:val="24"/>
                <w:szCs w:val="24"/>
                <w:rtl/>
              </w:rPr>
            </w:pPr>
            <w:r w:rsidRPr="00630D32">
              <w:rPr>
                <w:rFonts w:hint="cs"/>
                <w:i/>
                <w:iCs/>
                <w:sz w:val="24"/>
                <w:szCs w:val="24"/>
                <w:rtl/>
              </w:rPr>
              <w:t>من 45 إلى 54 سنة</w:t>
            </w:r>
          </w:p>
        </w:tc>
        <w:tc>
          <w:tcPr>
            <w:tcW w:w="2163" w:type="dxa"/>
            <w:gridSpan w:val="2"/>
            <w:tcBorders>
              <w:top w:val="single" w:sz="12" w:space="0" w:color="auto"/>
              <w:left w:val="nil"/>
              <w:bottom w:val="single" w:sz="2" w:space="0" w:color="auto"/>
              <w:right w:val="nil"/>
            </w:tcBorders>
          </w:tcPr>
          <w:p w:rsidR="007023B4" w:rsidRPr="00630D32" w:rsidRDefault="007023B4" w:rsidP="007023B4">
            <w:pPr>
              <w:pStyle w:val="SingleTxt"/>
              <w:ind w:left="-57" w:right="-57"/>
              <w:jc w:val="center"/>
              <w:rPr>
                <w:rFonts w:hint="cs"/>
                <w:i/>
                <w:iCs/>
                <w:sz w:val="24"/>
                <w:szCs w:val="24"/>
                <w:rtl/>
              </w:rPr>
            </w:pPr>
            <w:r w:rsidRPr="00630D32">
              <w:rPr>
                <w:rFonts w:hint="cs"/>
                <w:i/>
                <w:iCs/>
                <w:sz w:val="24"/>
                <w:szCs w:val="24"/>
                <w:rtl/>
              </w:rPr>
              <w:t>55 سنة فما فوق</w:t>
            </w:r>
          </w:p>
        </w:tc>
      </w:tr>
      <w:tr w:rsidR="007023B4" w:rsidRPr="00630D32">
        <w:trPr>
          <w:jc w:val="center"/>
        </w:trPr>
        <w:tc>
          <w:tcPr>
            <w:tcW w:w="1442" w:type="dxa"/>
            <w:tcBorders>
              <w:top w:val="nil"/>
              <w:left w:val="nil"/>
              <w:bottom w:val="single" w:sz="12" w:space="0" w:color="auto"/>
              <w:right w:val="nil"/>
            </w:tcBorders>
          </w:tcPr>
          <w:p w:rsidR="007023B4" w:rsidRPr="00630D32" w:rsidRDefault="007023B4" w:rsidP="007023B4">
            <w:pPr>
              <w:pStyle w:val="SingleTxt"/>
              <w:ind w:left="-57" w:right="-57"/>
              <w:rPr>
                <w:rFonts w:hint="cs"/>
                <w:i/>
                <w:iCs/>
                <w:sz w:val="24"/>
                <w:szCs w:val="24"/>
                <w:rtl/>
              </w:rPr>
            </w:pPr>
          </w:p>
        </w:tc>
        <w:tc>
          <w:tcPr>
            <w:tcW w:w="1030" w:type="dxa"/>
            <w:tcBorders>
              <w:top w:val="single" w:sz="2" w:space="0" w:color="auto"/>
              <w:left w:val="nil"/>
              <w:bottom w:val="single" w:sz="12" w:space="0" w:color="auto"/>
              <w:right w:val="nil"/>
            </w:tcBorders>
          </w:tcPr>
          <w:p w:rsidR="007023B4" w:rsidRPr="00630D32" w:rsidRDefault="007023B4" w:rsidP="007023B4">
            <w:pPr>
              <w:pStyle w:val="SingleTxt"/>
              <w:ind w:left="-57" w:right="-57"/>
              <w:jc w:val="center"/>
              <w:rPr>
                <w:rFonts w:hint="cs"/>
                <w:i/>
                <w:iCs/>
                <w:sz w:val="24"/>
                <w:szCs w:val="24"/>
                <w:rtl/>
              </w:rPr>
            </w:pPr>
            <w:r w:rsidRPr="00630D32">
              <w:rPr>
                <w:rFonts w:hint="cs"/>
                <w:i/>
                <w:iCs/>
                <w:sz w:val="24"/>
                <w:szCs w:val="24"/>
                <w:rtl/>
              </w:rPr>
              <w:t>النساء</w:t>
            </w:r>
          </w:p>
        </w:tc>
        <w:tc>
          <w:tcPr>
            <w:tcW w:w="1030" w:type="dxa"/>
            <w:tcBorders>
              <w:top w:val="single" w:sz="2" w:space="0" w:color="auto"/>
              <w:left w:val="nil"/>
              <w:bottom w:val="single" w:sz="12" w:space="0" w:color="auto"/>
              <w:right w:val="nil"/>
            </w:tcBorders>
          </w:tcPr>
          <w:p w:rsidR="007023B4" w:rsidRPr="00630D32" w:rsidRDefault="007023B4" w:rsidP="007023B4">
            <w:pPr>
              <w:pStyle w:val="SingleTxt"/>
              <w:ind w:left="-57" w:right="-57"/>
              <w:jc w:val="center"/>
              <w:rPr>
                <w:rFonts w:hint="cs"/>
                <w:i/>
                <w:iCs/>
                <w:sz w:val="24"/>
                <w:szCs w:val="24"/>
                <w:rtl/>
              </w:rPr>
            </w:pPr>
            <w:r w:rsidRPr="00630D32">
              <w:rPr>
                <w:rFonts w:hint="cs"/>
                <w:i/>
                <w:iCs/>
                <w:sz w:val="24"/>
                <w:szCs w:val="24"/>
                <w:rtl/>
              </w:rPr>
              <w:t>الرجال</w:t>
            </w:r>
          </w:p>
        </w:tc>
        <w:tc>
          <w:tcPr>
            <w:tcW w:w="1030" w:type="dxa"/>
            <w:tcBorders>
              <w:top w:val="single" w:sz="2" w:space="0" w:color="auto"/>
              <w:left w:val="nil"/>
              <w:bottom w:val="single" w:sz="12" w:space="0" w:color="auto"/>
              <w:right w:val="nil"/>
            </w:tcBorders>
          </w:tcPr>
          <w:p w:rsidR="007023B4" w:rsidRPr="00630D32" w:rsidRDefault="007023B4" w:rsidP="007023B4">
            <w:pPr>
              <w:pStyle w:val="SingleTxt"/>
              <w:ind w:left="-57" w:right="-57"/>
              <w:jc w:val="center"/>
              <w:rPr>
                <w:rFonts w:hint="cs"/>
                <w:i/>
                <w:iCs/>
                <w:sz w:val="24"/>
                <w:szCs w:val="24"/>
                <w:rtl/>
              </w:rPr>
            </w:pPr>
            <w:r w:rsidRPr="00630D32">
              <w:rPr>
                <w:rFonts w:hint="cs"/>
                <w:i/>
                <w:iCs/>
                <w:sz w:val="24"/>
                <w:szCs w:val="24"/>
                <w:rtl/>
              </w:rPr>
              <w:t>النساء</w:t>
            </w:r>
          </w:p>
        </w:tc>
        <w:tc>
          <w:tcPr>
            <w:tcW w:w="1030" w:type="dxa"/>
            <w:tcBorders>
              <w:top w:val="single" w:sz="2" w:space="0" w:color="auto"/>
              <w:left w:val="nil"/>
              <w:bottom w:val="single" w:sz="12" w:space="0" w:color="auto"/>
              <w:right w:val="nil"/>
            </w:tcBorders>
          </w:tcPr>
          <w:p w:rsidR="007023B4" w:rsidRPr="00630D32" w:rsidRDefault="007023B4" w:rsidP="007023B4">
            <w:pPr>
              <w:pStyle w:val="SingleTxt"/>
              <w:ind w:left="-57" w:right="-57"/>
              <w:jc w:val="center"/>
              <w:rPr>
                <w:rFonts w:hint="cs"/>
                <w:i/>
                <w:iCs/>
                <w:sz w:val="24"/>
                <w:szCs w:val="24"/>
                <w:rtl/>
              </w:rPr>
            </w:pPr>
            <w:r w:rsidRPr="00630D32">
              <w:rPr>
                <w:rFonts w:hint="cs"/>
                <w:i/>
                <w:iCs/>
                <w:sz w:val="24"/>
                <w:szCs w:val="24"/>
                <w:rtl/>
              </w:rPr>
              <w:t>الرجال</w:t>
            </w:r>
          </w:p>
        </w:tc>
        <w:tc>
          <w:tcPr>
            <w:tcW w:w="1030" w:type="dxa"/>
            <w:tcBorders>
              <w:top w:val="single" w:sz="2" w:space="0" w:color="auto"/>
              <w:left w:val="nil"/>
              <w:bottom w:val="single" w:sz="12" w:space="0" w:color="auto"/>
              <w:right w:val="nil"/>
            </w:tcBorders>
          </w:tcPr>
          <w:p w:rsidR="007023B4" w:rsidRPr="00630D32" w:rsidRDefault="007023B4" w:rsidP="007023B4">
            <w:pPr>
              <w:pStyle w:val="SingleTxt"/>
              <w:ind w:left="-57" w:right="-57"/>
              <w:jc w:val="center"/>
              <w:rPr>
                <w:rFonts w:hint="cs"/>
                <w:i/>
                <w:iCs/>
                <w:sz w:val="24"/>
                <w:szCs w:val="24"/>
                <w:rtl/>
              </w:rPr>
            </w:pPr>
            <w:r w:rsidRPr="00630D32">
              <w:rPr>
                <w:rFonts w:hint="cs"/>
                <w:i/>
                <w:iCs/>
                <w:sz w:val="24"/>
                <w:szCs w:val="24"/>
                <w:rtl/>
              </w:rPr>
              <w:t>النساء</w:t>
            </w:r>
          </w:p>
        </w:tc>
        <w:tc>
          <w:tcPr>
            <w:tcW w:w="1030" w:type="dxa"/>
            <w:tcBorders>
              <w:top w:val="single" w:sz="2" w:space="0" w:color="auto"/>
              <w:left w:val="nil"/>
              <w:bottom w:val="single" w:sz="12" w:space="0" w:color="auto"/>
              <w:right w:val="nil"/>
            </w:tcBorders>
          </w:tcPr>
          <w:p w:rsidR="007023B4" w:rsidRPr="00630D32" w:rsidRDefault="007023B4" w:rsidP="007023B4">
            <w:pPr>
              <w:pStyle w:val="SingleTxt"/>
              <w:ind w:left="-57" w:right="-57"/>
              <w:jc w:val="center"/>
              <w:rPr>
                <w:rFonts w:hint="cs"/>
                <w:i/>
                <w:iCs/>
                <w:sz w:val="24"/>
                <w:szCs w:val="24"/>
                <w:rtl/>
              </w:rPr>
            </w:pPr>
            <w:r w:rsidRPr="00630D32">
              <w:rPr>
                <w:rFonts w:hint="cs"/>
                <w:i/>
                <w:iCs/>
                <w:sz w:val="24"/>
                <w:szCs w:val="24"/>
                <w:rtl/>
              </w:rPr>
              <w:t>الرجال</w:t>
            </w:r>
          </w:p>
        </w:tc>
        <w:tc>
          <w:tcPr>
            <w:tcW w:w="1133" w:type="dxa"/>
            <w:tcBorders>
              <w:top w:val="single" w:sz="2" w:space="0" w:color="auto"/>
              <w:left w:val="nil"/>
              <w:bottom w:val="single" w:sz="12" w:space="0" w:color="auto"/>
              <w:right w:val="nil"/>
            </w:tcBorders>
          </w:tcPr>
          <w:p w:rsidR="007023B4" w:rsidRPr="00630D32" w:rsidRDefault="007023B4" w:rsidP="007023B4">
            <w:pPr>
              <w:pStyle w:val="SingleTxt"/>
              <w:ind w:left="-57" w:right="-57"/>
              <w:jc w:val="center"/>
              <w:rPr>
                <w:rFonts w:hint="cs"/>
                <w:i/>
                <w:iCs/>
                <w:sz w:val="24"/>
                <w:szCs w:val="24"/>
                <w:rtl/>
              </w:rPr>
            </w:pPr>
            <w:r w:rsidRPr="00630D32">
              <w:rPr>
                <w:rFonts w:hint="cs"/>
                <w:i/>
                <w:iCs/>
                <w:sz w:val="24"/>
                <w:szCs w:val="24"/>
                <w:rtl/>
              </w:rPr>
              <w:t>النساء</w:t>
            </w:r>
          </w:p>
        </w:tc>
        <w:tc>
          <w:tcPr>
            <w:tcW w:w="1030" w:type="dxa"/>
            <w:tcBorders>
              <w:top w:val="single" w:sz="2" w:space="0" w:color="auto"/>
              <w:left w:val="nil"/>
              <w:bottom w:val="single" w:sz="12" w:space="0" w:color="auto"/>
              <w:right w:val="nil"/>
            </w:tcBorders>
          </w:tcPr>
          <w:p w:rsidR="007023B4" w:rsidRPr="00630D32" w:rsidRDefault="007023B4" w:rsidP="007023B4">
            <w:pPr>
              <w:pStyle w:val="SingleTxt"/>
              <w:ind w:left="-57" w:right="-57"/>
              <w:jc w:val="center"/>
              <w:rPr>
                <w:rFonts w:hint="cs"/>
                <w:i/>
                <w:iCs/>
                <w:sz w:val="24"/>
                <w:szCs w:val="24"/>
                <w:rtl/>
              </w:rPr>
            </w:pPr>
            <w:r w:rsidRPr="00630D32">
              <w:rPr>
                <w:rFonts w:hint="cs"/>
                <w:i/>
                <w:iCs/>
                <w:sz w:val="24"/>
                <w:szCs w:val="24"/>
                <w:rtl/>
              </w:rPr>
              <w:t>الرجال</w:t>
            </w:r>
          </w:p>
        </w:tc>
      </w:tr>
      <w:tr w:rsidR="007023B4" w:rsidRPr="00630D32">
        <w:trPr>
          <w:jc w:val="center"/>
        </w:trPr>
        <w:tc>
          <w:tcPr>
            <w:tcW w:w="1442" w:type="dxa"/>
            <w:tcBorders>
              <w:top w:val="single" w:sz="12" w:space="0" w:color="auto"/>
              <w:left w:val="nil"/>
              <w:bottom w:val="nil"/>
              <w:right w:val="nil"/>
            </w:tcBorders>
          </w:tcPr>
          <w:p w:rsidR="007023B4" w:rsidRPr="00630D32" w:rsidRDefault="007023B4" w:rsidP="007023B4">
            <w:pPr>
              <w:pStyle w:val="SingleTxt"/>
              <w:ind w:left="-57" w:right="-57"/>
              <w:rPr>
                <w:rFonts w:hint="cs"/>
                <w:sz w:val="24"/>
                <w:szCs w:val="24"/>
                <w:rtl/>
              </w:rPr>
            </w:pPr>
            <w:r w:rsidRPr="00630D32">
              <w:rPr>
                <w:rFonts w:hint="cs"/>
                <w:sz w:val="24"/>
                <w:szCs w:val="24"/>
                <w:rtl/>
              </w:rPr>
              <w:t>قليل التأهيل</w:t>
            </w:r>
          </w:p>
        </w:tc>
        <w:tc>
          <w:tcPr>
            <w:tcW w:w="1030" w:type="dxa"/>
            <w:tcBorders>
              <w:top w:val="single" w:sz="12" w:space="0" w:color="auto"/>
              <w:left w:val="nil"/>
              <w:bottom w:val="nil"/>
              <w:right w:val="nil"/>
            </w:tcBorders>
          </w:tcPr>
          <w:p w:rsidR="007023B4" w:rsidRPr="00630D32" w:rsidRDefault="007023B4" w:rsidP="007023B4">
            <w:pPr>
              <w:pStyle w:val="SingleTxt"/>
              <w:ind w:left="-57" w:right="-57"/>
              <w:rPr>
                <w:rFonts w:hint="cs"/>
                <w:sz w:val="24"/>
                <w:szCs w:val="24"/>
                <w:rtl/>
              </w:rPr>
            </w:pPr>
            <w:r w:rsidRPr="00630D32">
              <w:rPr>
                <w:rFonts w:hint="cs"/>
                <w:sz w:val="24"/>
                <w:szCs w:val="24"/>
                <w:rtl/>
              </w:rPr>
              <w:t>635 127</w:t>
            </w:r>
          </w:p>
        </w:tc>
        <w:tc>
          <w:tcPr>
            <w:tcW w:w="1030" w:type="dxa"/>
            <w:tcBorders>
              <w:top w:val="single" w:sz="12" w:space="0" w:color="auto"/>
              <w:left w:val="nil"/>
              <w:bottom w:val="nil"/>
              <w:right w:val="nil"/>
            </w:tcBorders>
          </w:tcPr>
          <w:p w:rsidR="007023B4" w:rsidRPr="00630D32" w:rsidRDefault="007023B4" w:rsidP="007023B4">
            <w:pPr>
              <w:pStyle w:val="SingleTxt"/>
              <w:ind w:left="-57" w:right="-57"/>
              <w:rPr>
                <w:rFonts w:hint="cs"/>
                <w:sz w:val="24"/>
                <w:szCs w:val="24"/>
                <w:rtl/>
              </w:rPr>
            </w:pPr>
            <w:r w:rsidRPr="00630D32">
              <w:rPr>
                <w:rFonts w:hint="cs"/>
                <w:sz w:val="24"/>
                <w:szCs w:val="24"/>
                <w:rtl/>
              </w:rPr>
              <w:t>153 151</w:t>
            </w:r>
          </w:p>
        </w:tc>
        <w:tc>
          <w:tcPr>
            <w:tcW w:w="1030" w:type="dxa"/>
            <w:tcBorders>
              <w:top w:val="single" w:sz="12" w:space="0" w:color="auto"/>
              <w:left w:val="nil"/>
              <w:bottom w:val="nil"/>
              <w:right w:val="nil"/>
            </w:tcBorders>
          </w:tcPr>
          <w:p w:rsidR="007023B4" w:rsidRPr="00630D32" w:rsidRDefault="007023B4" w:rsidP="007023B4">
            <w:pPr>
              <w:pStyle w:val="SingleTxt"/>
              <w:ind w:left="-57" w:right="-57"/>
              <w:rPr>
                <w:rFonts w:hint="cs"/>
                <w:sz w:val="24"/>
                <w:szCs w:val="24"/>
                <w:rtl/>
              </w:rPr>
            </w:pPr>
            <w:r w:rsidRPr="00630D32">
              <w:rPr>
                <w:rFonts w:hint="cs"/>
                <w:sz w:val="24"/>
                <w:szCs w:val="24"/>
                <w:rtl/>
              </w:rPr>
              <w:t>257 221</w:t>
            </w:r>
          </w:p>
        </w:tc>
        <w:tc>
          <w:tcPr>
            <w:tcW w:w="1030" w:type="dxa"/>
            <w:tcBorders>
              <w:top w:val="single" w:sz="12" w:space="0" w:color="auto"/>
              <w:left w:val="nil"/>
              <w:bottom w:val="nil"/>
              <w:right w:val="nil"/>
            </w:tcBorders>
          </w:tcPr>
          <w:p w:rsidR="007023B4" w:rsidRPr="00630D32" w:rsidRDefault="007023B4" w:rsidP="007023B4">
            <w:pPr>
              <w:pStyle w:val="SingleTxt"/>
              <w:ind w:left="-57" w:right="-57"/>
              <w:rPr>
                <w:rFonts w:hint="cs"/>
                <w:sz w:val="24"/>
                <w:szCs w:val="24"/>
                <w:rtl/>
              </w:rPr>
            </w:pPr>
            <w:r w:rsidRPr="00630D32">
              <w:rPr>
                <w:rFonts w:hint="cs"/>
                <w:sz w:val="24"/>
                <w:szCs w:val="24"/>
                <w:rtl/>
              </w:rPr>
              <w:t>780 253</w:t>
            </w:r>
          </w:p>
        </w:tc>
        <w:tc>
          <w:tcPr>
            <w:tcW w:w="1030" w:type="dxa"/>
            <w:tcBorders>
              <w:top w:val="single" w:sz="12" w:space="0" w:color="auto"/>
              <w:left w:val="nil"/>
              <w:bottom w:val="nil"/>
              <w:right w:val="nil"/>
            </w:tcBorders>
          </w:tcPr>
          <w:p w:rsidR="007023B4" w:rsidRPr="00630D32" w:rsidRDefault="007023B4" w:rsidP="007023B4">
            <w:pPr>
              <w:pStyle w:val="SingleTxt"/>
              <w:ind w:left="-57" w:right="-57"/>
              <w:rPr>
                <w:rFonts w:hint="cs"/>
                <w:sz w:val="24"/>
                <w:szCs w:val="24"/>
                <w:rtl/>
              </w:rPr>
            </w:pPr>
            <w:r w:rsidRPr="00630D32">
              <w:rPr>
                <w:rFonts w:hint="cs"/>
                <w:sz w:val="24"/>
                <w:szCs w:val="24"/>
                <w:rtl/>
              </w:rPr>
              <w:t>415 313</w:t>
            </w:r>
          </w:p>
        </w:tc>
        <w:tc>
          <w:tcPr>
            <w:tcW w:w="1030" w:type="dxa"/>
            <w:tcBorders>
              <w:top w:val="single" w:sz="12" w:space="0" w:color="auto"/>
              <w:left w:val="nil"/>
              <w:bottom w:val="nil"/>
              <w:right w:val="nil"/>
            </w:tcBorders>
          </w:tcPr>
          <w:p w:rsidR="007023B4" w:rsidRPr="00630D32" w:rsidRDefault="007023B4" w:rsidP="007023B4">
            <w:pPr>
              <w:pStyle w:val="SingleTxt"/>
              <w:ind w:left="-57" w:right="-57"/>
              <w:rPr>
                <w:rFonts w:hint="cs"/>
                <w:sz w:val="24"/>
                <w:szCs w:val="24"/>
                <w:rtl/>
              </w:rPr>
            </w:pPr>
            <w:r w:rsidRPr="00630D32">
              <w:rPr>
                <w:rFonts w:hint="cs"/>
                <w:sz w:val="24"/>
                <w:szCs w:val="24"/>
                <w:rtl/>
              </w:rPr>
              <w:t>898 302</w:t>
            </w:r>
          </w:p>
        </w:tc>
        <w:tc>
          <w:tcPr>
            <w:tcW w:w="1133" w:type="dxa"/>
            <w:tcBorders>
              <w:top w:val="single" w:sz="12" w:space="0" w:color="auto"/>
              <w:left w:val="nil"/>
              <w:bottom w:val="nil"/>
              <w:right w:val="nil"/>
            </w:tcBorders>
          </w:tcPr>
          <w:p w:rsidR="007023B4" w:rsidRPr="00630D32" w:rsidRDefault="007023B4" w:rsidP="007023B4">
            <w:pPr>
              <w:pStyle w:val="SingleTxt"/>
              <w:ind w:left="-57" w:right="-57"/>
              <w:rPr>
                <w:rFonts w:hint="cs"/>
                <w:sz w:val="24"/>
                <w:szCs w:val="24"/>
                <w:rtl/>
              </w:rPr>
            </w:pPr>
            <w:r w:rsidRPr="00630D32">
              <w:rPr>
                <w:rFonts w:hint="cs"/>
                <w:sz w:val="24"/>
                <w:szCs w:val="24"/>
                <w:rtl/>
              </w:rPr>
              <w:t>704 177 1</w:t>
            </w:r>
          </w:p>
        </w:tc>
        <w:tc>
          <w:tcPr>
            <w:tcW w:w="1030" w:type="dxa"/>
            <w:tcBorders>
              <w:top w:val="single" w:sz="12" w:space="0" w:color="auto"/>
              <w:left w:val="nil"/>
              <w:bottom w:val="nil"/>
              <w:right w:val="nil"/>
            </w:tcBorders>
          </w:tcPr>
          <w:p w:rsidR="007023B4" w:rsidRPr="00630D32" w:rsidRDefault="007023B4" w:rsidP="007023B4">
            <w:pPr>
              <w:pStyle w:val="SingleTxt"/>
              <w:ind w:left="-57" w:right="-57"/>
              <w:rPr>
                <w:rFonts w:hint="cs"/>
                <w:sz w:val="24"/>
                <w:szCs w:val="24"/>
                <w:rtl/>
              </w:rPr>
            </w:pPr>
            <w:r w:rsidRPr="00630D32">
              <w:rPr>
                <w:rFonts w:hint="cs"/>
                <w:sz w:val="24"/>
                <w:szCs w:val="24"/>
                <w:rtl/>
              </w:rPr>
              <w:t>569 780</w:t>
            </w:r>
          </w:p>
        </w:tc>
      </w:tr>
      <w:tr w:rsidR="007023B4" w:rsidRPr="00630D32">
        <w:trPr>
          <w:jc w:val="center"/>
        </w:trPr>
        <w:tc>
          <w:tcPr>
            <w:tcW w:w="1442" w:type="dxa"/>
            <w:tcBorders>
              <w:top w:val="nil"/>
              <w:left w:val="nil"/>
              <w:bottom w:val="nil"/>
              <w:right w:val="nil"/>
            </w:tcBorders>
          </w:tcPr>
          <w:p w:rsidR="007023B4" w:rsidRPr="00630D32" w:rsidRDefault="007023B4" w:rsidP="007023B4">
            <w:pPr>
              <w:pStyle w:val="SingleTxt"/>
              <w:ind w:left="-57" w:right="-57"/>
              <w:rPr>
                <w:rFonts w:hint="cs"/>
                <w:sz w:val="24"/>
                <w:szCs w:val="24"/>
                <w:rtl/>
              </w:rPr>
            </w:pPr>
            <w:r w:rsidRPr="00630D32">
              <w:rPr>
                <w:rFonts w:hint="cs"/>
                <w:sz w:val="24"/>
                <w:szCs w:val="24"/>
                <w:rtl/>
              </w:rPr>
              <w:t>متوسط التأهيل</w:t>
            </w:r>
          </w:p>
        </w:tc>
        <w:tc>
          <w:tcPr>
            <w:tcW w:w="1030" w:type="dxa"/>
            <w:tcBorders>
              <w:top w:val="nil"/>
              <w:left w:val="nil"/>
              <w:bottom w:val="nil"/>
              <w:right w:val="nil"/>
            </w:tcBorders>
          </w:tcPr>
          <w:p w:rsidR="007023B4" w:rsidRPr="00630D32" w:rsidRDefault="007023B4" w:rsidP="007023B4">
            <w:pPr>
              <w:pStyle w:val="SingleTxt"/>
              <w:ind w:left="-57" w:right="-57"/>
              <w:rPr>
                <w:rFonts w:hint="cs"/>
                <w:sz w:val="24"/>
                <w:szCs w:val="24"/>
                <w:rtl/>
              </w:rPr>
            </w:pPr>
            <w:r w:rsidRPr="00630D32">
              <w:rPr>
                <w:rFonts w:hint="cs"/>
                <w:sz w:val="24"/>
                <w:szCs w:val="24"/>
                <w:rtl/>
              </w:rPr>
              <w:t>179 246</w:t>
            </w:r>
          </w:p>
        </w:tc>
        <w:tc>
          <w:tcPr>
            <w:tcW w:w="1030" w:type="dxa"/>
            <w:tcBorders>
              <w:top w:val="nil"/>
              <w:left w:val="nil"/>
              <w:bottom w:val="nil"/>
              <w:right w:val="nil"/>
            </w:tcBorders>
          </w:tcPr>
          <w:p w:rsidR="007023B4" w:rsidRPr="00630D32" w:rsidRDefault="007023B4" w:rsidP="007023B4">
            <w:pPr>
              <w:pStyle w:val="SingleTxt"/>
              <w:ind w:left="-57" w:right="-57"/>
              <w:rPr>
                <w:rFonts w:hint="cs"/>
                <w:sz w:val="24"/>
                <w:szCs w:val="24"/>
                <w:rtl/>
              </w:rPr>
            </w:pPr>
            <w:r w:rsidRPr="00630D32">
              <w:rPr>
                <w:rFonts w:hint="cs"/>
                <w:sz w:val="24"/>
                <w:szCs w:val="24"/>
                <w:rtl/>
              </w:rPr>
              <w:t>536 295</w:t>
            </w:r>
          </w:p>
        </w:tc>
        <w:tc>
          <w:tcPr>
            <w:tcW w:w="1030" w:type="dxa"/>
            <w:tcBorders>
              <w:top w:val="nil"/>
              <w:left w:val="nil"/>
              <w:bottom w:val="nil"/>
              <w:right w:val="nil"/>
            </w:tcBorders>
          </w:tcPr>
          <w:p w:rsidR="007023B4" w:rsidRPr="00630D32" w:rsidRDefault="007023B4" w:rsidP="007023B4">
            <w:pPr>
              <w:pStyle w:val="SingleTxt"/>
              <w:ind w:left="-57" w:right="-57"/>
              <w:rPr>
                <w:rFonts w:hint="cs"/>
                <w:sz w:val="24"/>
                <w:szCs w:val="24"/>
                <w:rtl/>
              </w:rPr>
            </w:pPr>
            <w:r w:rsidRPr="00630D32">
              <w:rPr>
                <w:rFonts w:hint="cs"/>
                <w:sz w:val="24"/>
                <w:szCs w:val="24"/>
                <w:rtl/>
              </w:rPr>
              <w:t>677 286</w:t>
            </w:r>
          </w:p>
        </w:tc>
        <w:tc>
          <w:tcPr>
            <w:tcW w:w="1030" w:type="dxa"/>
            <w:tcBorders>
              <w:top w:val="nil"/>
              <w:left w:val="nil"/>
              <w:bottom w:val="nil"/>
              <w:right w:val="nil"/>
            </w:tcBorders>
          </w:tcPr>
          <w:p w:rsidR="007023B4" w:rsidRPr="00630D32" w:rsidRDefault="007023B4" w:rsidP="007023B4">
            <w:pPr>
              <w:pStyle w:val="SingleTxt"/>
              <w:ind w:left="-57" w:right="-57"/>
              <w:rPr>
                <w:rFonts w:hint="cs"/>
                <w:sz w:val="24"/>
                <w:szCs w:val="24"/>
                <w:rtl/>
              </w:rPr>
            </w:pPr>
            <w:r w:rsidRPr="00630D32">
              <w:rPr>
                <w:rFonts w:hint="cs"/>
                <w:sz w:val="24"/>
                <w:szCs w:val="24"/>
                <w:rtl/>
              </w:rPr>
              <w:t>902 302</w:t>
            </w:r>
          </w:p>
        </w:tc>
        <w:tc>
          <w:tcPr>
            <w:tcW w:w="1030" w:type="dxa"/>
            <w:tcBorders>
              <w:top w:val="nil"/>
              <w:left w:val="nil"/>
              <w:bottom w:val="nil"/>
              <w:right w:val="nil"/>
            </w:tcBorders>
          </w:tcPr>
          <w:p w:rsidR="007023B4" w:rsidRPr="00630D32" w:rsidRDefault="007023B4" w:rsidP="007023B4">
            <w:pPr>
              <w:pStyle w:val="SingleTxt"/>
              <w:ind w:left="-57" w:right="-57"/>
              <w:rPr>
                <w:rFonts w:hint="cs"/>
                <w:sz w:val="24"/>
                <w:szCs w:val="24"/>
                <w:rtl/>
              </w:rPr>
            </w:pPr>
            <w:r w:rsidRPr="00630D32">
              <w:rPr>
                <w:rFonts w:hint="cs"/>
                <w:sz w:val="24"/>
                <w:szCs w:val="24"/>
                <w:rtl/>
              </w:rPr>
              <w:t>051 229</w:t>
            </w:r>
          </w:p>
        </w:tc>
        <w:tc>
          <w:tcPr>
            <w:tcW w:w="1030" w:type="dxa"/>
            <w:tcBorders>
              <w:top w:val="nil"/>
              <w:left w:val="nil"/>
              <w:bottom w:val="nil"/>
              <w:right w:val="nil"/>
            </w:tcBorders>
          </w:tcPr>
          <w:p w:rsidR="007023B4" w:rsidRPr="00630D32" w:rsidRDefault="007023B4" w:rsidP="007023B4">
            <w:pPr>
              <w:pStyle w:val="SingleTxt"/>
              <w:ind w:left="-57" w:right="-57"/>
              <w:rPr>
                <w:rFonts w:hint="cs"/>
                <w:sz w:val="24"/>
                <w:szCs w:val="24"/>
                <w:rtl/>
              </w:rPr>
            </w:pPr>
            <w:r w:rsidRPr="00630D32">
              <w:rPr>
                <w:rFonts w:hint="cs"/>
                <w:sz w:val="24"/>
                <w:szCs w:val="24"/>
                <w:rtl/>
              </w:rPr>
              <w:t>985 239</w:t>
            </w:r>
          </w:p>
        </w:tc>
        <w:tc>
          <w:tcPr>
            <w:tcW w:w="1133" w:type="dxa"/>
            <w:tcBorders>
              <w:top w:val="nil"/>
              <w:left w:val="nil"/>
              <w:bottom w:val="nil"/>
              <w:right w:val="nil"/>
            </w:tcBorders>
          </w:tcPr>
          <w:p w:rsidR="007023B4" w:rsidRPr="00630D32" w:rsidRDefault="007023B4" w:rsidP="007023B4">
            <w:pPr>
              <w:pStyle w:val="SingleTxt"/>
              <w:ind w:left="-57" w:right="-57"/>
              <w:rPr>
                <w:rFonts w:hint="cs"/>
                <w:sz w:val="24"/>
                <w:szCs w:val="24"/>
                <w:rtl/>
              </w:rPr>
            </w:pPr>
            <w:r w:rsidRPr="00630D32">
              <w:rPr>
                <w:rFonts w:hint="cs"/>
                <w:sz w:val="24"/>
                <w:szCs w:val="24"/>
                <w:rtl/>
              </w:rPr>
              <w:t>513 284</w:t>
            </w:r>
          </w:p>
        </w:tc>
        <w:tc>
          <w:tcPr>
            <w:tcW w:w="1030" w:type="dxa"/>
            <w:tcBorders>
              <w:top w:val="nil"/>
              <w:left w:val="nil"/>
              <w:bottom w:val="nil"/>
              <w:right w:val="nil"/>
            </w:tcBorders>
          </w:tcPr>
          <w:p w:rsidR="007023B4" w:rsidRPr="00630D32" w:rsidRDefault="007023B4" w:rsidP="007023B4">
            <w:pPr>
              <w:pStyle w:val="SingleTxt"/>
              <w:ind w:left="-57" w:right="-57"/>
              <w:rPr>
                <w:rFonts w:hint="cs"/>
                <w:sz w:val="24"/>
                <w:szCs w:val="24"/>
                <w:rtl/>
              </w:rPr>
            </w:pPr>
            <w:r w:rsidRPr="00630D32">
              <w:rPr>
                <w:rFonts w:hint="cs"/>
                <w:sz w:val="24"/>
                <w:szCs w:val="24"/>
                <w:rtl/>
              </w:rPr>
              <w:t>674 280</w:t>
            </w:r>
          </w:p>
        </w:tc>
      </w:tr>
      <w:tr w:rsidR="007023B4" w:rsidRPr="00630D32">
        <w:trPr>
          <w:jc w:val="center"/>
        </w:trPr>
        <w:tc>
          <w:tcPr>
            <w:tcW w:w="1442" w:type="dxa"/>
            <w:tcBorders>
              <w:top w:val="nil"/>
              <w:left w:val="nil"/>
              <w:bottom w:val="single" w:sz="2" w:space="0" w:color="auto"/>
              <w:right w:val="nil"/>
            </w:tcBorders>
          </w:tcPr>
          <w:p w:rsidR="007023B4" w:rsidRPr="00630D32" w:rsidRDefault="007023B4" w:rsidP="007023B4">
            <w:pPr>
              <w:pStyle w:val="SingleTxt"/>
              <w:ind w:left="-57" w:right="-57"/>
              <w:rPr>
                <w:rFonts w:hint="cs"/>
                <w:sz w:val="24"/>
                <w:szCs w:val="24"/>
                <w:rtl/>
              </w:rPr>
            </w:pPr>
            <w:r w:rsidRPr="00630D32">
              <w:rPr>
                <w:rFonts w:hint="cs"/>
                <w:sz w:val="24"/>
                <w:szCs w:val="24"/>
                <w:rtl/>
              </w:rPr>
              <w:t>عالي التأهيل</w:t>
            </w:r>
          </w:p>
        </w:tc>
        <w:tc>
          <w:tcPr>
            <w:tcW w:w="1030" w:type="dxa"/>
            <w:tcBorders>
              <w:top w:val="nil"/>
              <w:left w:val="nil"/>
              <w:bottom w:val="single" w:sz="2" w:space="0" w:color="auto"/>
              <w:right w:val="nil"/>
            </w:tcBorders>
          </w:tcPr>
          <w:p w:rsidR="007023B4" w:rsidRPr="00630D32" w:rsidRDefault="007023B4" w:rsidP="007023B4">
            <w:pPr>
              <w:pStyle w:val="SingleTxt"/>
              <w:ind w:left="-57" w:right="-57"/>
              <w:rPr>
                <w:rFonts w:hint="cs"/>
                <w:sz w:val="24"/>
                <w:szCs w:val="24"/>
                <w:rtl/>
              </w:rPr>
            </w:pPr>
            <w:r w:rsidRPr="00630D32">
              <w:rPr>
                <w:rFonts w:hint="cs"/>
                <w:sz w:val="24"/>
                <w:szCs w:val="24"/>
                <w:rtl/>
              </w:rPr>
              <w:t>393 309</w:t>
            </w:r>
          </w:p>
        </w:tc>
        <w:tc>
          <w:tcPr>
            <w:tcW w:w="1030" w:type="dxa"/>
            <w:tcBorders>
              <w:top w:val="nil"/>
              <w:left w:val="nil"/>
              <w:bottom w:val="single" w:sz="2" w:space="0" w:color="auto"/>
              <w:right w:val="nil"/>
            </w:tcBorders>
          </w:tcPr>
          <w:p w:rsidR="007023B4" w:rsidRPr="00630D32" w:rsidRDefault="007023B4" w:rsidP="007023B4">
            <w:pPr>
              <w:pStyle w:val="SingleTxt"/>
              <w:ind w:left="-57" w:right="-57"/>
              <w:rPr>
                <w:rFonts w:hint="cs"/>
                <w:sz w:val="24"/>
                <w:szCs w:val="24"/>
                <w:rtl/>
              </w:rPr>
            </w:pPr>
            <w:r w:rsidRPr="00630D32">
              <w:rPr>
                <w:rFonts w:hint="cs"/>
                <w:sz w:val="24"/>
                <w:szCs w:val="24"/>
                <w:rtl/>
              </w:rPr>
              <w:t>458 254</w:t>
            </w:r>
          </w:p>
        </w:tc>
        <w:tc>
          <w:tcPr>
            <w:tcW w:w="1030" w:type="dxa"/>
            <w:tcBorders>
              <w:top w:val="nil"/>
              <w:left w:val="nil"/>
              <w:bottom w:val="single" w:sz="2" w:space="0" w:color="auto"/>
              <w:right w:val="nil"/>
            </w:tcBorders>
          </w:tcPr>
          <w:p w:rsidR="007023B4" w:rsidRPr="00630D32" w:rsidRDefault="007023B4" w:rsidP="007023B4">
            <w:pPr>
              <w:pStyle w:val="SingleTxt"/>
              <w:ind w:left="-57" w:right="-57"/>
              <w:rPr>
                <w:rFonts w:hint="cs"/>
                <w:sz w:val="24"/>
                <w:szCs w:val="24"/>
                <w:rtl/>
              </w:rPr>
            </w:pPr>
            <w:r w:rsidRPr="00630D32">
              <w:rPr>
                <w:rFonts w:hint="cs"/>
                <w:sz w:val="24"/>
                <w:szCs w:val="24"/>
                <w:rtl/>
              </w:rPr>
              <w:t>689 278</w:t>
            </w:r>
          </w:p>
        </w:tc>
        <w:tc>
          <w:tcPr>
            <w:tcW w:w="1030" w:type="dxa"/>
            <w:tcBorders>
              <w:top w:val="nil"/>
              <w:left w:val="nil"/>
              <w:bottom w:val="single" w:sz="2" w:space="0" w:color="auto"/>
              <w:right w:val="nil"/>
            </w:tcBorders>
          </w:tcPr>
          <w:p w:rsidR="007023B4" w:rsidRPr="00630D32" w:rsidRDefault="007023B4" w:rsidP="007023B4">
            <w:pPr>
              <w:pStyle w:val="SingleTxt"/>
              <w:ind w:left="-57" w:right="-57"/>
              <w:rPr>
                <w:rFonts w:hint="cs"/>
                <w:sz w:val="24"/>
                <w:szCs w:val="24"/>
                <w:rtl/>
              </w:rPr>
            </w:pPr>
            <w:r w:rsidRPr="00630D32">
              <w:rPr>
                <w:rFonts w:hint="cs"/>
                <w:sz w:val="24"/>
                <w:szCs w:val="24"/>
                <w:rtl/>
              </w:rPr>
              <w:t>897 253</w:t>
            </w:r>
          </w:p>
        </w:tc>
        <w:tc>
          <w:tcPr>
            <w:tcW w:w="1030" w:type="dxa"/>
            <w:tcBorders>
              <w:top w:val="nil"/>
              <w:left w:val="nil"/>
              <w:bottom w:val="single" w:sz="2" w:space="0" w:color="auto"/>
              <w:right w:val="nil"/>
            </w:tcBorders>
          </w:tcPr>
          <w:p w:rsidR="007023B4" w:rsidRPr="00630D32" w:rsidRDefault="007023B4" w:rsidP="007023B4">
            <w:pPr>
              <w:pStyle w:val="SingleTxt"/>
              <w:ind w:left="-57" w:right="-57"/>
              <w:rPr>
                <w:rFonts w:hint="cs"/>
                <w:sz w:val="24"/>
                <w:szCs w:val="24"/>
                <w:rtl/>
              </w:rPr>
            </w:pPr>
            <w:r w:rsidRPr="00630D32">
              <w:rPr>
                <w:rFonts w:hint="cs"/>
                <w:sz w:val="24"/>
                <w:szCs w:val="24"/>
                <w:rtl/>
              </w:rPr>
              <w:t>175 178</w:t>
            </w:r>
          </w:p>
        </w:tc>
        <w:tc>
          <w:tcPr>
            <w:tcW w:w="1030" w:type="dxa"/>
            <w:tcBorders>
              <w:top w:val="nil"/>
              <w:left w:val="nil"/>
              <w:bottom w:val="single" w:sz="2" w:space="0" w:color="auto"/>
              <w:right w:val="nil"/>
            </w:tcBorders>
          </w:tcPr>
          <w:p w:rsidR="007023B4" w:rsidRPr="00630D32" w:rsidRDefault="007023B4" w:rsidP="007023B4">
            <w:pPr>
              <w:pStyle w:val="SingleTxt"/>
              <w:ind w:left="-57" w:right="-57"/>
              <w:rPr>
                <w:rFonts w:hint="cs"/>
                <w:sz w:val="24"/>
                <w:szCs w:val="24"/>
                <w:rtl/>
              </w:rPr>
            </w:pPr>
            <w:r w:rsidRPr="00630D32">
              <w:rPr>
                <w:rFonts w:hint="cs"/>
                <w:sz w:val="24"/>
                <w:szCs w:val="24"/>
                <w:rtl/>
              </w:rPr>
              <w:t>080 191</w:t>
            </w:r>
          </w:p>
        </w:tc>
        <w:tc>
          <w:tcPr>
            <w:tcW w:w="1133" w:type="dxa"/>
            <w:tcBorders>
              <w:top w:val="nil"/>
              <w:left w:val="nil"/>
              <w:bottom w:val="single" w:sz="2" w:space="0" w:color="auto"/>
              <w:right w:val="nil"/>
            </w:tcBorders>
          </w:tcPr>
          <w:p w:rsidR="007023B4" w:rsidRPr="00630D32" w:rsidRDefault="007023B4" w:rsidP="007023B4">
            <w:pPr>
              <w:pStyle w:val="SingleTxt"/>
              <w:ind w:left="-57" w:right="-57"/>
              <w:rPr>
                <w:rFonts w:hint="cs"/>
                <w:sz w:val="24"/>
                <w:szCs w:val="24"/>
                <w:rtl/>
              </w:rPr>
            </w:pPr>
            <w:r w:rsidRPr="00630D32">
              <w:rPr>
                <w:rFonts w:hint="cs"/>
                <w:sz w:val="24"/>
                <w:szCs w:val="24"/>
                <w:rtl/>
              </w:rPr>
              <w:t>826 165</w:t>
            </w:r>
          </w:p>
        </w:tc>
        <w:tc>
          <w:tcPr>
            <w:tcW w:w="1030" w:type="dxa"/>
            <w:tcBorders>
              <w:top w:val="nil"/>
              <w:left w:val="nil"/>
              <w:bottom w:val="single" w:sz="2" w:space="0" w:color="auto"/>
              <w:right w:val="nil"/>
            </w:tcBorders>
          </w:tcPr>
          <w:p w:rsidR="007023B4" w:rsidRPr="00630D32" w:rsidRDefault="007023B4" w:rsidP="007023B4">
            <w:pPr>
              <w:pStyle w:val="SingleTxt"/>
              <w:ind w:left="-57" w:right="-57"/>
              <w:rPr>
                <w:rFonts w:hint="cs"/>
                <w:sz w:val="24"/>
                <w:szCs w:val="24"/>
                <w:rtl/>
              </w:rPr>
            </w:pPr>
            <w:r w:rsidRPr="00630D32">
              <w:rPr>
                <w:rFonts w:hint="cs"/>
                <w:sz w:val="24"/>
                <w:szCs w:val="24"/>
                <w:rtl/>
              </w:rPr>
              <w:t>245 217</w:t>
            </w:r>
          </w:p>
        </w:tc>
      </w:tr>
      <w:tr w:rsidR="007023B4" w:rsidRPr="00630D32">
        <w:trPr>
          <w:jc w:val="center"/>
        </w:trPr>
        <w:tc>
          <w:tcPr>
            <w:tcW w:w="1442" w:type="dxa"/>
            <w:tcBorders>
              <w:top w:val="single" w:sz="2" w:space="0" w:color="auto"/>
              <w:left w:val="nil"/>
              <w:bottom w:val="single" w:sz="12" w:space="0" w:color="auto"/>
              <w:right w:val="nil"/>
            </w:tcBorders>
          </w:tcPr>
          <w:p w:rsidR="007023B4" w:rsidRPr="00630D32" w:rsidRDefault="007023B4" w:rsidP="007023B4">
            <w:pPr>
              <w:pStyle w:val="SingleTxt"/>
              <w:tabs>
                <w:tab w:val="clear" w:pos="1267"/>
                <w:tab w:val="left" w:pos="407"/>
              </w:tabs>
              <w:ind w:left="-57" w:right="-57"/>
              <w:rPr>
                <w:rFonts w:hint="cs"/>
                <w:b/>
                <w:bCs/>
                <w:sz w:val="24"/>
                <w:szCs w:val="24"/>
                <w:rtl/>
              </w:rPr>
            </w:pPr>
            <w:r w:rsidRPr="00630D32">
              <w:rPr>
                <w:b/>
                <w:bCs/>
                <w:sz w:val="24"/>
                <w:szCs w:val="24"/>
                <w:rtl/>
              </w:rPr>
              <w:tab/>
            </w:r>
            <w:r w:rsidRPr="00630D32">
              <w:rPr>
                <w:rFonts w:hint="cs"/>
                <w:b/>
                <w:bCs/>
                <w:sz w:val="24"/>
                <w:szCs w:val="24"/>
                <w:rtl/>
              </w:rPr>
              <w:t>المجموع</w:t>
            </w:r>
          </w:p>
        </w:tc>
        <w:tc>
          <w:tcPr>
            <w:tcW w:w="1030" w:type="dxa"/>
            <w:tcBorders>
              <w:top w:val="single" w:sz="2" w:space="0" w:color="auto"/>
              <w:left w:val="nil"/>
              <w:bottom w:val="single" w:sz="12" w:space="0" w:color="auto"/>
              <w:right w:val="nil"/>
            </w:tcBorders>
          </w:tcPr>
          <w:p w:rsidR="007023B4" w:rsidRPr="00630D32" w:rsidRDefault="007023B4" w:rsidP="007023B4">
            <w:pPr>
              <w:pStyle w:val="SingleTxt"/>
              <w:ind w:left="-57" w:right="-57"/>
              <w:rPr>
                <w:rFonts w:hint="cs"/>
                <w:b/>
                <w:bCs/>
                <w:sz w:val="24"/>
                <w:szCs w:val="24"/>
                <w:rtl/>
              </w:rPr>
            </w:pPr>
            <w:r w:rsidRPr="00630D32">
              <w:rPr>
                <w:rFonts w:hint="cs"/>
                <w:b/>
                <w:bCs/>
                <w:sz w:val="24"/>
                <w:szCs w:val="24"/>
                <w:rtl/>
              </w:rPr>
              <w:t>207 683</w:t>
            </w:r>
          </w:p>
        </w:tc>
        <w:tc>
          <w:tcPr>
            <w:tcW w:w="1030" w:type="dxa"/>
            <w:tcBorders>
              <w:top w:val="single" w:sz="2" w:space="0" w:color="auto"/>
              <w:left w:val="nil"/>
              <w:bottom w:val="single" w:sz="12" w:space="0" w:color="auto"/>
              <w:right w:val="nil"/>
            </w:tcBorders>
          </w:tcPr>
          <w:p w:rsidR="007023B4" w:rsidRPr="00630D32" w:rsidRDefault="007023B4" w:rsidP="007023B4">
            <w:pPr>
              <w:pStyle w:val="SingleTxt"/>
              <w:ind w:left="-57" w:right="-57"/>
              <w:rPr>
                <w:rFonts w:hint="cs"/>
                <w:b/>
                <w:bCs/>
                <w:sz w:val="24"/>
                <w:szCs w:val="24"/>
                <w:rtl/>
              </w:rPr>
            </w:pPr>
            <w:r w:rsidRPr="00630D32">
              <w:rPr>
                <w:rFonts w:hint="cs"/>
                <w:b/>
                <w:bCs/>
                <w:sz w:val="24"/>
                <w:szCs w:val="24"/>
                <w:rtl/>
              </w:rPr>
              <w:t>147 701</w:t>
            </w:r>
          </w:p>
        </w:tc>
        <w:tc>
          <w:tcPr>
            <w:tcW w:w="1030" w:type="dxa"/>
            <w:tcBorders>
              <w:top w:val="single" w:sz="2" w:space="0" w:color="auto"/>
              <w:left w:val="nil"/>
              <w:bottom w:val="single" w:sz="12" w:space="0" w:color="auto"/>
              <w:right w:val="nil"/>
            </w:tcBorders>
          </w:tcPr>
          <w:p w:rsidR="007023B4" w:rsidRPr="00630D32" w:rsidRDefault="007023B4" w:rsidP="007023B4">
            <w:pPr>
              <w:pStyle w:val="SingleTxt"/>
              <w:ind w:left="-57" w:right="-57"/>
              <w:rPr>
                <w:rFonts w:hint="cs"/>
                <w:b/>
                <w:bCs/>
                <w:sz w:val="24"/>
                <w:szCs w:val="24"/>
                <w:rtl/>
              </w:rPr>
            </w:pPr>
            <w:r w:rsidRPr="00630D32">
              <w:rPr>
                <w:rFonts w:hint="cs"/>
                <w:b/>
                <w:bCs/>
                <w:sz w:val="24"/>
                <w:szCs w:val="24"/>
                <w:rtl/>
              </w:rPr>
              <w:t>623 786</w:t>
            </w:r>
          </w:p>
        </w:tc>
        <w:tc>
          <w:tcPr>
            <w:tcW w:w="1030" w:type="dxa"/>
            <w:tcBorders>
              <w:top w:val="single" w:sz="2" w:space="0" w:color="auto"/>
              <w:left w:val="nil"/>
              <w:bottom w:val="single" w:sz="12" w:space="0" w:color="auto"/>
              <w:right w:val="nil"/>
            </w:tcBorders>
          </w:tcPr>
          <w:p w:rsidR="007023B4" w:rsidRPr="00630D32" w:rsidRDefault="007023B4" w:rsidP="007023B4">
            <w:pPr>
              <w:pStyle w:val="SingleTxt"/>
              <w:ind w:left="-57" w:right="-57"/>
              <w:rPr>
                <w:rFonts w:hint="cs"/>
                <w:b/>
                <w:bCs/>
                <w:sz w:val="24"/>
                <w:szCs w:val="24"/>
                <w:rtl/>
              </w:rPr>
            </w:pPr>
            <w:r w:rsidRPr="00630D32">
              <w:rPr>
                <w:rFonts w:hint="cs"/>
                <w:b/>
                <w:bCs/>
                <w:sz w:val="24"/>
                <w:szCs w:val="24"/>
                <w:rtl/>
              </w:rPr>
              <w:t>579 810</w:t>
            </w:r>
          </w:p>
        </w:tc>
        <w:tc>
          <w:tcPr>
            <w:tcW w:w="1030" w:type="dxa"/>
            <w:tcBorders>
              <w:top w:val="single" w:sz="2" w:space="0" w:color="auto"/>
              <w:left w:val="nil"/>
              <w:bottom w:val="single" w:sz="12" w:space="0" w:color="auto"/>
              <w:right w:val="nil"/>
            </w:tcBorders>
          </w:tcPr>
          <w:p w:rsidR="007023B4" w:rsidRPr="00630D32" w:rsidRDefault="007023B4" w:rsidP="007023B4">
            <w:pPr>
              <w:pStyle w:val="SingleTxt"/>
              <w:ind w:left="-57" w:right="-57"/>
              <w:rPr>
                <w:rFonts w:hint="cs"/>
                <w:b/>
                <w:bCs/>
                <w:sz w:val="24"/>
                <w:szCs w:val="24"/>
                <w:rtl/>
              </w:rPr>
            </w:pPr>
            <w:r w:rsidRPr="00630D32">
              <w:rPr>
                <w:rFonts w:hint="cs"/>
                <w:b/>
                <w:bCs/>
                <w:sz w:val="24"/>
                <w:szCs w:val="24"/>
                <w:rtl/>
              </w:rPr>
              <w:t>641 720</w:t>
            </w:r>
          </w:p>
        </w:tc>
        <w:tc>
          <w:tcPr>
            <w:tcW w:w="1030" w:type="dxa"/>
            <w:tcBorders>
              <w:top w:val="single" w:sz="2" w:space="0" w:color="auto"/>
              <w:left w:val="nil"/>
              <w:bottom w:val="single" w:sz="12" w:space="0" w:color="auto"/>
              <w:right w:val="nil"/>
            </w:tcBorders>
          </w:tcPr>
          <w:p w:rsidR="007023B4" w:rsidRPr="00630D32" w:rsidRDefault="007023B4" w:rsidP="007023B4">
            <w:pPr>
              <w:pStyle w:val="SingleTxt"/>
              <w:ind w:left="-57" w:right="-57"/>
              <w:rPr>
                <w:rFonts w:hint="cs"/>
                <w:b/>
                <w:bCs/>
                <w:sz w:val="24"/>
                <w:szCs w:val="24"/>
                <w:rtl/>
              </w:rPr>
            </w:pPr>
            <w:r w:rsidRPr="00630D32">
              <w:rPr>
                <w:rFonts w:hint="cs"/>
                <w:b/>
                <w:bCs/>
                <w:sz w:val="24"/>
                <w:szCs w:val="24"/>
                <w:rtl/>
              </w:rPr>
              <w:t>963 733</w:t>
            </w:r>
          </w:p>
        </w:tc>
        <w:tc>
          <w:tcPr>
            <w:tcW w:w="1133" w:type="dxa"/>
            <w:tcBorders>
              <w:top w:val="single" w:sz="2" w:space="0" w:color="auto"/>
              <w:left w:val="nil"/>
              <w:bottom w:val="single" w:sz="12" w:space="0" w:color="auto"/>
              <w:right w:val="nil"/>
            </w:tcBorders>
          </w:tcPr>
          <w:p w:rsidR="007023B4" w:rsidRPr="00630D32" w:rsidRDefault="007023B4" w:rsidP="007023B4">
            <w:pPr>
              <w:pStyle w:val="SingleTxt"/>
              <w:ind w:left="-57" w:right="-57"/>
              <w:rPr>
                <w:rFonts w:hint="cs"/>
                <w:b/>
                <w:bCs/>
                <w:w w:val="95"/>
                <w:sz w:val="24"/>
                <w:szCs w:val="24"/>
                <w:rtl/>
              </w:rPr>
            </w:pPr>
            <w:r w:rsidRPr="00630D32">
              <w:rPr>
                <w:rFonts w:hint="cs"/>
                <w:b/>
                <w:bCs/>
                <w:w w:val="95"/>
                <w:sz w:val="24"/>
                <w:szCs w:val="24"/>
                <w:rtl/>
              </w:rPr>
              <w:t>043 628 1</w:t>
            </w:r>
          </w:p>
        </w:tc>
        <w:tc>
          <w:tcPr>
            <w:tcW w:w="1030" w:type="dxa"/>
            <w:tcBorders>
              <w:top w:val="single" w:sz="2" w:space="0" w:color="auto"/>
              <w:left w:val="nil"/>
              <w:bottom w:val="single" w:sz="12" w:space="0" w:color="auto"/>
              <w:right w:val="nil"/>
            </w:tcBorders>
          </w:tcPr>
          <w:p w:rsidR="007023B4" w:rsidRPr="00630D32" w:rsidRDefault="007023B4" w:rsidP="007023B4">
            <w:pPr>
              <w:pStyle w:val="SingleTxt"/>
              <w:ind w:left="-113" w:right="-113"/>
              <w:rPr>
                <w:rFonts w:hint="cs"/>
                <w:b/>
                <w:bCs/>
                <w:w w:val="90"/>
                <w:sz w:val="24"/>
                <w:szCs w:val="24"/>
                <w:rtl/>
              </w:rPr>
            </w:pPr>
            <w:r w:rsidRPr="00630D32">
              <w:rPr>
                <w:rFonts w:hint="cs"/>
                <w:b/>
                <w:bCs/>
                <w:w w:val="90"/>
                <w:sz w:val="24"/>
                <w:szCs w:val="24"/>
                <w:rtl/>
              </w:rPr>
              <w:t>488 278 1</w:t>
            </w:r>
          </w:p>
        </w:tc>
      </w:tr>
    </w:tbl>
    <w:p w:rsidR="007023B4" w:rsidRPr="005C0A25" w:rsidRDefault="007023B4" w:rsidP="007023B4">
      <w:pPr>
        <w:pStyle w:val="SingleTxt"/>
        <w:spacing w:after="0" w:line="120" w:lineRule="exact"/>
        <w:rPr>
          <w:rFonts w:hint="cs"/>
          <w:sz w:val="10"/>
          <w:rtl/>
        </w:rPr>
      </w:pPr>
    </w:p>
    <w:p w:rsidR="007023B4" w:rsidRPr="005C0A25" w:rsidRDefault="007023B4" w:rsidP="007023B4">
      <w:pPr>
        <w:pStyle w:val="SingleTxt"/>
        <w:spacing w:after="0" w:line="120" w:lineRule="exact"/>
        <w:rPr>
          <w:rFonts w:hint="cs"/>
          <w:sz w:val="10"/>
          <w:rtl/>
        </w:rPr>
      </w:pPr>
    </w:p>
    <w:p w:rsidR="007023B4" w:rsidRDefault="007023B4" w:rsidP="007023B4">
      <w:pPr>
        <w:pStyle w:val="SingleTxt"/>
        <w:rPr>
          <w:rFonts w:hint="cs"/>
          <w:rtl/>
        </w:rPr>
      </w:pPr>
      <w:r>
        <w:rPr>
          <w:rFonts w:hint="cs"/>
          <w:rtl/>
        </w:rPr>
        <w:tab/>
        <w:t>ودرجة التعليم هي الأدنى لدى النساء البلجيكيات البالغات من العمر 55 سنة أو</w:t>
      </w:r>
      <w:r>
        <w:rPr>
          <w:rFonts w:hint="eastAsia"/>
          <w:rtl/>
        </w:rPr>
        <w:t> </w:t>
      </w:r>
      <w:r>
        <w:rPr>
          <w:rFonts w:hint="cs"/>
          <w:rtl/>
        </w:rPr>
        <w:t>ما</w:t>
      </w:r>
      <w:r>
        <w:rPr>
          <w:rFonts w:hint="eastAsia"/>
          <w:rtl/>
        </w:rPr>
        <w:t> </w:t>
      </w:r>
      <w:r>
        <w:rPr>
          <w:rFonts w:hint="cs"/>
          <w:rtl/>
        </w:rPr>
        <w:t>فوق. وقرابة ثلاثة أرباع (72.3 في المائة) هذه الفئة حصلن في الأكثر على دبلوم التعليم الثانوي الأدنى وغالبية الرجال البالغين من العمر 55 سنة فما فوق (61.1 في المائة) ينتمون إلى الفئة القليلة التأهيل. وتحمل امرأة أكبر سنا من كل عشر نساء فقط (10.2) دبلوم تعليم عال، وتصل هذه النسبة لدى الرجال إلى 17.0 في المائة لمن بلغوا الخامسة والخمسين أو ما فوق.</w:t>
      </w:r>
    </w:p>
    <w:p w:rsidR="007023B4" w:rsidRDefault="007023B4" w:rsidP="007023B4">
      <w:pPr>
        <w:pStyle w:val="SingleTxt"/>
        <w:rPr>
          <w:rFonts w:hint="cs"/>
          <w:rtl/>
        </w:rPr>
      </w:pPr>
      <w:r>
        <w:rPr>
          <w:rFonts w:hint="cs"/>
          <w:rtl/>
        </w:rPr>
        <w:tab/>
        <w:t xml:space="preserve">وفي الفئة التي تتراوح أعمارها بين 45 و 54 سنة أيضا، فإن النساء </w:t>
      </w:r>
      <w:r>
        <w:rPr>
          <w:rFonts w:hint="eastAsia"/>
          <w:rtl/>
        </w:rPr>
        <w:t>”أقل تأهيلا</w:t>
      </w:r>
      <w:r>
        <w:rPr>
          <w:rFonts w:hint="cs"/>
          <w:rtl/>
        </w:rPr>
        <w:t>“ في كثير من الأحيان من الرجال. وتحمل نسبة 43.5 في المائة من النساء و 41.3 في المائة من الرجال الذين تتراوح أعمارهم بين 45 و 54 سنة على دبلوم للتعليم الثانوي الأدنى على الأكثر. و 75.3 في المائة من هؤلاء النساء لم يحصلن على تعليم عال، مقابل 68.7 في المائة من الرجال بين 45 و 54 سنة من العمر.</w:t>
      </w:r>
    </w:p>
    <w:p w:rsidR="007023B4" w:rsidRDefault="007023B4" w:rsidP="007023B4">
      <w:pPr>
        <w:pStyle w:val="SingleTxt"/>
        <w:rPr>
          <w:rFonts w:hint="cs"/>
          <w:rtl/>
        </w:rPr>
      </w:pPr>
      <w:r>
        <w:rPr>
          <w:rFonts w:hint="cs"/>
          <w:rtl/>
        </w:rPr>
        <w:tab/>
        <w:t>وبالنسبة للبلجيكيين من الجيل الأخير، فإن الحالة معكوسة. إذ يبلغ عدد النساء الأقل تأهيلا في الفئة البالغة من العمر 25 إلى 34 سنة نسبة 18.7 في المائة. وهذه النسبة المئوية بالنسبة للرجال ما زالت أعلى من 20 في المائة، وهي 21.6 في المائة على وجه أكثر تحديدا. والفرق أكبر كثيرا إذا تناول البحث الفئة الأعلى تأهيلا: إذ إن نحو 45.3 في المائة من النساء اللاتي تتراوح أعمارهن بين 25 و 34 سنة حصلن على دراسات جامعية عليا، مقابل 36.3 في المائة فقط من الرجال في سن 25 إلى 34 سنة. ولدى النساء الشابات بصفة عامة تدريب أعلى من الرجال.</w:t>
      </w:r>
    </w:p>
    <w:p w:rsidR="007023B4" w:rsidRPr="005C0A25" w:rsidRDefault="007023B4" w:rsidP="007023B4">
      <w:pPr>
        <w:pStyle w:val="H23"/>
        <w:spacing w:line="120" w:lineRule="exact"/>
        <w:rPr>
          <w:rFonts w:hint="cs"/>
          <w:sz w:val="10"/>
          <w:rtl/>
        </w:rPr>
      </w:pPr>
    </w:p>
    <w:p w:rsidR="007023B4" w:rsidRDefault="007023B4" w:rsidP="007023B4">
      <w:pPr>
        <w:pStyle w:val="H23"/>
        <w:spacing w:after="120"/>
        <w:rPr>
          <w:rFonts w:hint="cs"/>
          <w:rtl/>
        </w:rPr>
      </w:pPr>
      <w:r>
        <w:rPr>
          <w:rFonts w:hint="cs"/>
          <w:rtl/>
        </w:rPr>
        <w:tab/>
        <w:t>ألف -</w:t>
      </w:r>
      <w:r>
        <w:rPr>
          <w:rFonts w:hint="cs"/>
          <w:rtl/>
        </w:rPr>
        <w:tab/>
        <w:t>الإقليم والمجتمع الفلمنديان</w:t>
      </w:r>
    </w:p>
    <w:p w:rsidR="007023B4" w:rsidRPr="00CB48B7" w:rsidRDefault="007023B4" w:rsidP="007023B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1 -</w:t>
      </w:r>
      <w:r>
        <w:rPr>
          <w:rFonts w:hint="cs"/>
          <w:rtl/>
        </w:rPr>
        <w:tab/>
        <w:t>الإدارة الفلمندية للثقافة والشباب والرياضة والإعلام</w:t>
      </w:r>
    </w:p>
    <w:p w:rsidR="007023B4" w:rsidRDefault="007023B4" w:rsidP="007023B4">
      <w:pPr>
        <w:pStyle w:val="SingleTxt"/>
        <w:rPr>
          <w:rFonts w:hint="cs"/>
          <w:rtl/>
        </w:rPr>
      </w:pPr>
      <w:r>
        <w:rPr>
          <w:rFonts w:hint="cs"/>
          <w:rtl/>
        </w:rPr>
        <w:tab/>
        <w:t xml:space="preserve">الثقافة: تبدي مدرسة </w:t>
      </w:r>
      <w:r>
        <w:rPr>
          <w:rFonts w:hint="eastAsia"/>
          <w:rtl/>
        </w:rPr>
        <w:t>المدربين الفلمن</w:t>
      </w:r>
      <w:r>
        <w:rPr>
          <w:rFonts w:hint="cs"/>
          <w:rtl/>
        </w:rPr>
        <w:t>د</w:t>
      </w:r>
      <w:r>
        <w:rPr>
          <w:rFonts w:hint="eastAsia"/>
          <w:rtl/>
        </w:rPr>
        <w:t xml:space="preserve">يين في تدريبها </w:t>
      </w:r>
      <w:r>
        <w:rPr>
          <w:rFonts w:hint="cs"/>
          <w:rtl/>
        </w:rPr>
        <w:t>”الاستهلالي</w:t>
      </w:r>
      <w:r>
        <w:rPr>
          <w:rFonts w:hint="eastAsia"/>
          <w:rtl/>
        </w:rPr>
        <w:t xml:space="preserve">“ اهتماما خاصا </w:t>
      </w:r>
      <w:r>
        <w:rPr>
          <w:rFonts w:hint="cs"/>
          <w:rtl/>
        </w:rPr>
        <w:t xml:space="preserve">لتعليم </w:t>
      </w:r>
      <w:r>
        <w:rPr>
          <w:rFonts w:hint="eastAsia"/>
          <w:rtl/>
        </w:rPr>
        <w:t xml:space="preserve">كيفية خلق أكبر نسبة من فرص المشاركة للجميع. </w:t>
      </w:r>
      <w:r>
        <w:rPr>
          <w:rFonts w:hint="cs"/>
          <w:rtl/>
        </w:rPr>
        <w:t xml:space="preserve">والبرنامج الذي يتلقاه المشتركون يؤدي من حيث التعليم - حينما يقتضي الأمر - إلى مبدأ التمييز المتعلق بالبنات/النساء. ويتعامل </w:t>
      </w:r>
      <w:r>
        <w:rPr>
          <w:rFonts w:hint="eastAsia"/>
          <w:rtl/>
        </w:rPr>
        <w:t>”المعلم</w:t>
      </w:r>
      <w:r>
        <w:rPr>
          <w:rFonts w:hint="cs"/>
          <w:rtl/>
        </w:rPr>
        <w:t>/</w:t>
      </w:r>
      <w:r>
        <w:rPr>
          <w:rFonts w:hint="eastAsia"/>
          <w:rtl/>
        </w:rPr>
        <w:t>المدرب باء</w:t>
      </w:r>
      <w:r>
        <w:rPr>
          <w:rFonts w:hint="cs"/>
          <w:rtl/>
        </w:rPr>
        <w:t>“ فيما يقدمه من تدريب مع الخصائص النمائية للبنات/النساء وما يتصل بذلك من جوانب تتعلق بالتدريب.</w:t>
      </w:r>
    </w:p>
    <w:p w:rsidR="007023B4" w:rsidRPr="00BE3E10" w:rsidRDefault="007023B4" w:rsidP="007023B4">
      <w:pPr>
        <w:pStyle w:val="SingleTxt"/>
        <w:spacing w:after="0" w:line="120" w:lineRule="exact"/>
        <w:rPr>
          <w:rFonts w:hint="cs"/>
          <w:b/>
          <w:bCs/>
          <w:sz w:val="10"/>
          <w:rtl/>
        </w:rPr>
      </w:pPr>
    </w:p>
    <w:p w:rsidR="007023B4" w:rsidRDefault="007023B4" w:rsidP="007023B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2 -</w:t>
      </w:r>
      <w:r>
        <w:rPr>
          <w:rFonts w:hint="cs"/>
          <w:rtl/>
        </w:rPr>
        <w:tab/>
        <w:t>الإدارة الفلمندية للتعليم والتدريب</w:t>
      </w:r>
    </w:p>
    <w:p w:rsidR="007023B4" w:rsidRPr="00E9650B" w:rsidRDefault="00B105BA" w:rsidP="00B105BA">
      <w:pPr>
        <w:pStyle w:val="SingleTxt"/>
        <w:rPr>
          <w:rFonts w:hint="cs"/>
          <w:i/>
          <w:iCs/>
          <w:rtl/>
        </w:rPr>
      </w:pPr>
      <w:r>
        <w:rPr>
          <w:rFonts w:hint="cs"/>
          <w:rtl/>
        </w:rPr>
        <w:t>2-1-</w:t>
      </w:r>
      <w:r>
        <w:rPr>
          <w:rFonts w:hint="cs"/>
          <w:i/>
          <w:iCs/>
          <w:rtl/>
        </w:rPr>
        <w:t xml:space="preserve">  </w:t>
      </w:r>
      <w:r w:rsidR="007023B4" w:rsidRPr="00E9650B">
        <w:rPr>
          <w:rFonts w:hint="cs"/>
          <w:i/>
          <w:iCs/>
          <w:rtl/>
        </w:rPr>
        <w:t>مشروع تكافؤ الفرص</w:t>
      </w:r>
    </w:p>
    <w:p w:rsidR="007023B4" w:rsidRDefault="007023B4" w:rsidP="007023B4">
      <w:pPr>
        <w:pStyle w:val="SingleTxt"/>
        <w:rPr>
          <w:rFonts w:hint="cs"/>
          <w:rtl/>
        </w:rPr>
      </w:pPr>
      <w:r>
        <w:rPr>
          <w:rFonts w:hint="cs"/>
          <w:rtl/>
        </w:rPr>
        <w:tab/>
        <w:t>يقوم القرناء الفلمنديون داخل هذا المشروع الذي ينفذه الصندوق الاجتماعي الأوروبي، والذي يشمل شركاء من الخارج، بوضع الطرائق التالية:</w:t>
      </w:r>
    </w:p>
    <w:p w:rsidR="007023B4" w:rsidRDefault="007023B4" w:rsidP="00B105B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rtl/>
        </w:rPr>
        <w:tab/>
        <w:t>أداة لتخطيط النماء الشخصي وثقافة العمل من خلال التقييم الذاتي؛</w:t>
      </w:r>
    </w:p>
    <w:p w:rsidR="007023B4" w:rsidRDefault="007023B4" w:rsidP="00B105B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rtl/>
        </w:rPr>
        <w:tab/>
        <w:t>إعداد قائمة بالدراسات المتعلقة بخط سير الحياة العملية للباحثات في الاتحاد الأوروبي حتى يسفر ذلك عن أداة مناسبة للجامعات الفلمندية؛</w:t>
      </w:r>
    </w:p>
    <w:p w:rsidR="007023B4" w:rsidRDefault="00B105BA" w:rsidP="00B105B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rtl/>
        </w:rPr>
        <w:tab/>
      </w:r>
      <w:r w:rsidR="007023B4">
        <w:rPr>
          <w:rFonts w:hint="cs"/>
          <w:rtl/>
        </w:rPr>
        <w:t>تحليل سياسة التنقل والحياة العملية؛</w:t>
      </w:r>
    </w:p>
    <w:p w:rsidR="007023B4" w:rsidRDefault="007023B4" w:rsidP="00B105B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rtl/>
        </w:rPr>
        <w:tab/>
        <w:t>بحث المسار بالنسبة للأكاديميات.</w:t>
      </w:r>
    </w:p>
    <w:p w:rsidR="007023B4" w:rsidRDefault="007023B4" w:rsidP="007023B4">
      <w:pPr>
        <w:pStyle w:val="SingleTxt"/>
        <w:rPr>
          <w:rFonts w:hint="cs"/>
          <w:rtl/>
        </w:rPr>
      </w:pPr>
      <w:r>
        <w:rPr>
          <w:rFonts w:hint="cs"/>
          <w:rtl/>
        </w:rPr>
        <w:tab/>
        <w:t>ويتمثل الهدف في استحداث أدوات تحول دون التسرب وتحسين تنقل الباحثات.</w:t>
      </w:r>
    </w:p>
    <w:p w:rsidR="007023B4" w:rsidRPr="00E9650B" w:rsidRDefault="006D5CDD" w:rsidP="00B105BA">
      <w:pPr>
        <w:pStyle w:val="SingleTxt"/>
        <w:rPr>
          <w:rFonts w:hint="cs"/>
          <w:i/>
          <w:iCs/>
          <w:rtl/>
        </w:rPr>
      </w:pPr>
      <w:r>
        <w:rPr>
          <w:i/>
          <w:iCs/>
          <w:rtl/>
        </w:rPr>
        <w:br w:type="page"/>
      </w:r>
      <w:r w:rsidR="00B105BA">
        <w:rPr>
          <w:rFonts w:hint="cs"/>
          <w:rtl/>
        </w:rPr>
        <w:t>2-2-</w:t>
      </w:r>
      <w:r w:rsidR="00B105BA">
        <w:rPr>
          <w:rFonts w:hint="cs"/>
          <w:i/>
          <w:iCs/>
          <w:rtl/>
        </w:rPr>
        <w:t xml:space="preserve">  </w:t>
      </w:r>
      <w:r w:rsidR="007023B4" w:rsidRPr="00E9650B">
        <w:rPr>
          <w:rFonts w:hint="cs"/>
          <w:i/>
          <w:iCs/>
          <w:rtl/>
        </w:rPr>
        <w:t>البحث: الحياة العملية للطلاب في التعليم الثانوي الفني</w:t>
      </w:r>
    </w:p>
    <w:p w:rsidR="007023B4" w:rsidRDefault="007023B4" w:rsidP="007023B4">
      <w:pPr>
        <w:pStyle w:val="SingleTxt"/>
        <w:rPr>
          <w:rFonts w:hint="cs"/>
          <w:rtl/>
        </w:rPr>
      </w:pPr>
      <w:r>
        <w:rPr>
          <w:rFonts w:hint="cs"/>
          <w:rtl/>
        </w:rPr>
        <w:tab/>
        <w:t>باعتبار العدد الصغير نسبيا من التلاميذ في التعليم الثانوي الفني الفلمندي، فإن هذا الشكل من التعليم يقوم فقط بدور طفيف في النظام التعليمي. ونظرا لهذا النطاق الصغير، فإن التعليم الثانوي الفني غالبا يخرج عن دائرة الاعتبار في البحث التعليمي الفلمندي. غير أن إعداد هيكل تعليمي للتعليم الفني يتطلب فهما شاملا لكل من (1) الحياة العملية التعليمية للتلاميذ المعنيين، و (2) انتقالهم إلى التعليم العالي أو إلى سوق العمل. ويشمل هذا الفهم وجوب أن ترتبط البيانات المتاحة المتعلقة بالتعليم الثانوي الفني بجوانب أخرى من التعليم الفني، مثل الفروع الموجهة نحو الفنون أو الدراسة في مجال التعليم التقني والمهني، والتعليم الفني العالي، والتعليم الفني لبعض الوقت. واستنادا إلى دراسة للأدب، وتحليل لقواعد البيانات القائمة، والمقابلات مع الخبراء، وإجراء مسح شامل، فإن هذه الدراسة تهدف إلى جمع هذه البيانات. وفيما يتعلق بهذه الدراسة، فإن من الجدير بالذكر ارتفاع معدل انخراط الفتيات في التعليم الثانوي الفني.</w:t>
      </w:r>
    </w:p>
    <w:p w:rsidR="007023B4" w:rsidRPr="00E9650B" w:rsidRDefault="00B105BA" w:rsidP="00B105BA">
      <w:pPr>
        <w:pStyle w:val="SingleTxt"/>
        <w:rPr>
          <w:rFonts w:hint="cs"/>
          <w:i/>
          <w:iCs/>
          <w:rtl/>
        </w:rPr>
      </w:pPr>
      <w:r>
        <w:rPr>
          <w:rFonts w:hint="cs"/>
          <w:rtl/>
        </w:rPr>
        <w:t>2-3-</w:t>
      </w:r>
      <w:r>
        <w:rPr>
          <w:rFonts w:hint="cs"/>
          <w:i/>
          <w:iCs/>
          <w:rtl/>
        </w:rPr>
        <w:t xml:space="preserve">  </w:t>
      </w:r>
      <w:r w:rsidR="007023B4" w:rsidRPr="00E9650B">
        <w:rPr>
          <w:rFonts w:hint="cs"/>
          <w:i/>
          <w:iCs/>
          <w:rtl/>
        </w:rPr>
        <w:t>البحث: الرياضيات في التعليم المدرسي الثانوي</w:t>
      </w:r>
    </w:p>
    <w:p w:rsidR="00B105BA" w:rsidRDefault="007023B4" w:rsidP="007023B4">
      <w:pPr>
        <w:pStyle w:val="SingleTxt"/>
        <w:rPr>
          <w:rFonts w:hint="cs"/>
          <w:rtl/>
        </w:rPr>
      </w:pPr>
      <w:r>
        <w:rPr>
          <w:rFonts w:hint="cs"/>
          <w:rtl/>
        </w:rPr>
        <w:tab/>
        <w:t>يتم في هذه الدراسة إجراء تحليل لدور الرياضيات في اختيار الطلبة من جميع المسارات في (المرحلة الأولى) من التعليم الثانوي.</w:t>
      </w:r>
    </w:p>
    <w:p w:rsidR="007023B4" w:rsidRDefault="00B105BA" w:rsidP="00B105BA">
      <w:pPr>
        <w:pStyle w:val="SingleTxt"/>
        <w:rPr>
          <w:rFonts w:hint="cs"/>
          <w:rtl/>
        </w:rPr>
      </w:pPr>
      <w:r>
        <w:rPr>
          <w:rFonts w:hint="cs"/>
          <w:rtl/>
        </w:rPr>
        <w:tab/>
      </w:r>
      <w:r w:rsidR="007023B4">
        <w:rPr>
          <w:rFonts w:hint="cs"/>
          <w:rtl/>
        </w:rPr>
        <w:t>وتم الاتصال بمدارس ثانوية فلمندية. وفي الجزء الثاني تقاس المعتقدات والاتجاهات نحو الرياضيات فيما بين الزملاء من الطلبة، والآباء، والمدرسين، والمستشارين من خدمات الإرشاد التعليمية. وهذه التدابير يرتبط أحدها بالآخر وبنتائج الجزء الأول من هذا البحث (بما في ذلك الجنس، والانتماء (من عدمه) إلى جماعة من الأقليات ونوع المدرسة). وتم تحليل دافع الطلبة إلى دراسة الرياضيات على أنه يرتبط بالجنس والمعتقدات والاتجاهات نحو الرياضيات. وأجريت مقارنة للدافع والاهتمام بالرياضيات مع الدافع إلى دراسات أخرى في البرنامج. وأظهرت هذه الدراسة أن الجنس يقوم بدور هام فيما يتعلق بالاتجاه والثقة أو عدم اليقين، والطموحات المتعلقة بالرياضيات لدى المدرسين والآباء والطلبة.</w:t>
      </w:r>
    </w:p>
    <w:p w:rsidR="007023B4" w:rsidRPr="00BE3E10" w:rsidRDefault="007023B4" w:rsidP="007023B4">
      <w:pPr>
        <w:pStyle w:val="SingleTxt"/>
        <w:spacing w:after="0" w:line="120" w:lineRule="exact"/>
        <w:rPr>
          <w:rFonts w:hint="cs"/>
          <w:b/>
          <w:bCs/>
          <w:sz w:val="10"/>
          <w:rtl/>
        </w:rPr>
      </w:pPr>
    </w:p>
    <w:p w:rsidR="007023B4" w:rsidRPr="005F050A" w:rsidRDefault="007023B4" w:rsidP="007023B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3 -</w:t>
      </w:r>
      <w:r>
        <w:rPr>
          <w:rFonts w:hint="cs"/>
          <w:rtl/>
        </w:rPr>
        <w:tab/>
        <w:t>البحث: أعباء العمل لدى المدرسين</w:t>
      </w:r>
    </w:p>
    <w:p w:rsidR="007023B4" w:rsidRDefault="007023B4" w:rsidP="007023B4">
      <w:pPr>
        <w:pStyle w:val="SingleTxt"/>
        <w:rPr>
          <w:rFonts w:hint="cs"/>
          <w:rtl/>
        </w:rPr>
      </w:pPr>
      <w:r>
        <w:rPr>
          <w:rFonts w:hint="cs"/>
          <w:rtl/>
        </w:rPr>
        <w:tab/>
        <w:t>يهدف هذا البحث إلى الحصول على صورة موضوعية وممثلة لأعباء العمل لدى المدرسين وتنوع مهامهم، فضلا عن الطريقة التي يقضون بها زمن العمل الذي يقومون به في التعليم الابتدائي والثانوي (ويرتبط ذلك بأساليب عملهم المختلفة). والمسائل المتعلقة بالجنس والأسرة، من بين عوامل أخرى، تقوم بدور هام في أعباء عمل الدرس.</w:t>
      </w:r>
    </w:p>
    <w:p w:rsidR="007023B4" w:rsidRPr="00FA0462" w:rsidRDefault="007023B4" w:rsidP="007023B4">
      <w:pPr>
        <w:pStyle w:val="SingleTxt"/>
        <w:spacing w:after="0" w:line="120" w:lineRule="exact"/>
        <w:rPr>
          <w:rFonts w:hint="cs"/>
          <w:b/>
          <w:bCs/>
          <w:sz w:val="10"/>
          <w:rtl/>
        </w:rPr>
      </w:pPr>
    </w:p>
    <w:p w:rsidR="007023B4" w:rsidRPr="004D4B0F" w:rsidRDefault="007023B4" w:rsidP="007023B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4 -</w:t>
      </w:r>
      <w:r>
        <w:rPr>
          <w:rFonts w:hint="cs"/>
          <w:rtl/>
        </w:rPr>
        <w:tab/>
        <w:t>البحث: أفضليات سوق العمل وآفاق الخريجين من البرامج التدريبية للمدرسين</w:t>
      </w:r>
    </w:p>
    <w:p w:rsidR="007023B4" w:rsidRDefault="007023B4" w:rsidP="007023B4">
      <w:pPr>
        <w:pStyle w:val="SingleTxt"/>
        <w:rPr>
          <w:rFonts w:hint="cs"/>
          <w:rtl/>
        </w:rPr>
      </w:pPr>
      <w:r>
        <w:rPr>
          <w:rFonts w:hint="cs"/>
          <w:rtl/>
        </w:rPr>
        <w:tab/>
        <w:t>يريد هذا البحث تحديد المتغيرات الاجتماعية والشخصية، وكذلك متغيرات سوق العمل التي تقوم بدور في اختيار الخريجين لقطاع التعليم أو اختيارهم لتأخير هذا الالتحاق لحين أن يجمعوا بعض التجارب المتعلقة بالعمل خارج دائرة التعليم، أو في نهاية الأمر، بالنسبة لاختيارهم عدم انتقاء وظيفة مدرس على الإطلاق. وعلى وجه المزيد من التحديد، يتم التدقيق في آثار كل من تدريب وفرص الخريجين على حركات المسار الوظيفي في المدارس لما</w:t>
      </w:r>
      <w:r>
        <w:rPr>
          <w:rFonts w:hint="eastAsia"/>
          <w:rtl/>
        </w:rPr>
        <w:t> </w:t>
      </w:r>
      <w:r>
        <w:rPr>
          <w:rFonts w:hint="cs"/>
          <w:rtl/>
        </w:rPr>
        <w:t>ينطوي عليه ذلك من أثر على البقاء في التعليم أو ترك التعليم. ومن الممكن، هكذا، تحديد مدى ما ينطوي عليه المرسوم المتعلق ببرامج تدريب المدرسين من أثر إيجابي على تيسير عمل المدرس وارتباطه بهذا العمل. وتبين هذه الدراسة دوافع الرجال والنساء لاختيار هذا العمل.</w:t>
      </w:r>
    </w:p>
    <w:p w:rsidR="007023B4" w:rsidRDefault="007023B4" w:rsidP="007023B4">
      <w:pPr>
        <w:pStyle w:val="SingleTxt"/>
        <w:rPr>
          <w:rFonts w:hint="cs"/>
          <w:rtl/>
        </w:rPr>
      </w:pPr>
      <w:r>
        <w:rPr>
          <w:rFonts w:hint="cs"/>
          <w:rtl/>
        </w:rPr>
        <w:tab/>
        <w:t>ومن بين الموضوعات الأخرى التي كانت موضع البحث في السنوات الأخيرة ما</w:t>
      </w:r>
      <w:r>
        <w:rPr>
          <w:rFonts w:hint="eastAsia"/>
          <w:rtl/>
        </w:rPr>
        <w:t> </w:t>
      </w:r>
      <w:r>
        <w:rPr>
          <w:rFonts w:hint="cs"/>
          <w:rtl/>
        </w:rPr>
        <w:t>يلي:</w:t>
      </w:r>
    </w:p>
    <w:p w:rsidR="007023B4" w:rsidRDefault="007023B4" w:rsidP="00B105BA">
      <w:pPr>
        <w:pStyle w:val="SingleTxt"/>
        <w:rPr>
          <w:rFonts w:hint="cs"/>
          <w:rtl/>
        </w:rPr>
      </w:pPr>
      <w:r>
        <w:rPr>
          <w:rFonts w:hint="cs"/>
          <w:rtl/>
        </w:rPr>
        <w:tab/>
        <w:t>الاختلاف في نتائج الدراسة بين الفتيان والفتيات (حول المسائل الجنسانية في التعليم ودور الأسرة، والقضاء على الأفكار الجامدة، إلخ)؛</w:t>
      </w:r>
    </w:p>
    <w:p w:rsidR="007023B4" w:rsidRDefault="007023B4" w:rsidP="00B105BA">
      <w:pPr>
        <w:pStyle w:val="SingleTxt"/>
        <w:rPr>
          <w:rFonts w:hint="cs"/>
          <w:rtl/>
          <w:lang w:bidi="ar-EG"/>
        </w:rPr>
      </w:pPr>
      <w:r>
        <w:rPr>
          <w:rFonts w:hint="cs"/>
          <w:rtl/>
        </w:rPr>
        <w:tab/>
        <w:t xml:space="preserve">الأسر </w:t>
      </w:r>
      <w:r>
        <w:rPr>
          <w:rFonts w:hint="eastAsia"/>
          <w:rtl/>
        </w:rPr>
        <w:t>الجديدة</w:t>
      </w:r>
      <w:r>
        <w:rPr>
          <w:rFonts w:hint="eastAsia"/>
          <w:rtl/>
          <w:lang w:bidi="ar-EG"/>
        </w:rPr>
        <w:t xml:space="preserve"> (الأسر المعيشية التي يع</w:t>
      </w:r>
      <w:r>
        <w:rPr>
          <w:rFonts w:hint="cs"/>
          <w:rtl/>
          <w:lang w:bidi="ar-EG"/>
        </w:rPr>
        <w:t>و</w:t>
      </w:r>
      <w:r>
        <w:rPr>
          <w:rFonts w:hint="eastAsia"/>
          <w:rtl/>
          <w:lang w:bidi="ar-EG"/>
        </w:rPr>
        <w:t>لها والد وا</w:t>
      </w:r>
      <w:r>
        <w:rPr>
          <w:rFonts w:hint="cs"/>
          <w:rtl/>
          <w:lang w:bidi="ar-EG"/>
        </w:rPr>
        <w:t>حد</w:t>
      </w:r>
      <w:r>
        <w:rPr>
          <w:rFonts w:hint="eastAsia"/>
          <w:rtl/>
          <w:lang w:bidi="ar-EG"/>
        </w:rPr>
        <w:t xml:space="preserve"> أو الأسر </w:t>
      </w:r>
      <w:r>
        <w:rPr>
          <w:rFonts w:hint="cs"/>
          <w:rtl/>
          <w:lang w:bidi="ar-EG"/>
        </w:rPr>
        <w:t>الجديدة التكوين) والمشاركة في التعليم في الإقليم الفلمندي (تكافؤ الفرص بالنسبة للأطفال الذين لا</w:t>
      </w:r>
      <w:r>
        <w:rPr>
          <w:rFonts w:hint="eastAsia"/>
          <w:rtl/>
          <w:lang w:bidi="ar-EG"/>
        </w:rPr>
        <w:t> </w:t>
      </w:r>
      <w:r>
        <w:rPr>
          <w:rFonts w:hint="cs"/>
          <w:rtl/>
          <w:lang w:bidi="ar-EG"/>
        </w:rPr>
        <w:t>يعيشون في أسرة تقليدية، ونتائجهم المدرسية، والطريقة التي تتصرف بها المدارس نحو التلاميذ المنحدرين من أسر جديدة (حيث لا يوجد سوى الأم في كثير من الحالات، إلخ)).</w:t>
      </w:r>
    </w:p>
    <w:p w:rsidR="007023B4" w:rsidRPr="00FA0462" w:rsidRDefault="007023B4" w:rsidP="007023B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b/>
          <w:bCs/>
          <w:sz w:val="10"/>
          <w:rtl/>
          <w:lang w:bidi="ar-EG"/>
        </w:rPr>
      </w:pPr>
    </w:p>
    <w:p w:rsidR="007023B4" w:rsidRPr="00B21113" w:rsidRDefault="007023B4" w:rsidP="007023B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t>5 -</w:t>
      </w:r>
      <w:r>
        <w:rPr>
          <w:rFonts w:hint="cs"/>
          <w:rtl/>
          <w:lang w:bidi="ar-EG"/>
        </w:rPr>
        <w:tab/>
        <w:t xml:space="preserve"> مشروع </w:t>
      </w:r>
      <w:r>
        <w:rPr>
          <w:rFonts w:hint="eastAsia"/>
          <w:rtl/>
          <w:lang w:bidi="ar-EG"/>
        </w:rPr>
        <w:t>”فينوس</w:t>
      </w:r>
      <w:r>
        <w:rPr>
          <w:rFonts w:hint="cs"/>
          <w:rtl/>
          <w:lang w:bidi="ar-EG"/>
        </w:rPr>
        <w:t>“</w:t>
      </w:r>
    </w:p>
    <w:p w:rsidR="007023B4" w:rsidRDefault="007023B4" w:rsidP="007023B4">
      <w:pPr>
        <w:pStyle w:val="SingleTxt"/>
        <w:rPr>
          <w:rFonts w:hint="cs"/>
          <w:rtl/>
          <w:lang w:bidi="ar-EG"/>
        </w:rPr>
      </w:pPr>
      <w:r>
        <w:rPr>
          <w:rFonts w:hint="cs"/>
          <w:rtl/>
          <w:lang w:bidi="ar-EG"/>
        </w:rPr>
        <w:tab/>
        <w:t xml:space="preserve">يتمثل الهدف الرئيسي لمشروع </w:t>
      </w:r>
      <w:r>
        <w:rPr>
          <w:rFonts w:hint="eastAsia"/>
          <w:rtl/>
          <w:lang w:bidi="ar-EG"/>
        </w:rPr>
        <w:t>”في</w:t>
      </w:r>
      <w:r>
        <w:rPr>
          <w:rFonts w:hint="cs"/>
          <w:rtl/>
          <w:lang w:bidi="ar-EG"/>
        </w:rPr>
        <w:t>ن</w:t>
      </w:r>
      <w:r>
        <w:rPr>
          <w:rFonts w:hint="eastAsia"/>
          <w:rtl/>
          <w:lang w:bidi="ar-EG"/>
        </w:rPr>
        <w:t>وس</w:t>
      </w:r>
      <w:r>
        <w:rPr>
          <w:rFonts w:hint="cs"/>
          <w:rtl/>
          <w:lang w:bidi="ar-EG"/>
        </w:rPr>
        <w:t xml:space="preserve">“ في محاولة الاستفادة من الاختلافات بين الفتيات والفتيان في ميدان التعليم. والغاية الرئيسية هي إعطاء جميع التلاميذ أقصى فرص التعلم والنماء. ويحدد المشروع ويؤكد تنوع اهتمامات الصغار ويحركهم بقدر الإمكان. ويتعين، من خلال التنوع الواسع في أساليب التعليم، أن تتاح للتلاميذ فرص واحدة للتعلم والنماء. وتمثل الرؤية التعليمية طول الحياة أمرا أساسيا في الهدف من المشروع. ويدعم مشروع </w:t>
      </w:r>
      <w:r>
        <w:rPr>
          <w:rFonts w:hint="eastAsia"/>
          <w:rtl/>
          <w:lang w:bidi="ar-EG"/>
        </w:rPr>
        <w:t>”فينوس</w:t>
      </w:r>
      <w:r>
        <w:rPr>
          <w:rFonts w:hint="cs"/>
          <w:rtl/>
          <w:lang w:bidi="ar-EG"/>
        </w:rPr>
        <w:t>“ المدرسين ومستشاري التوجيه بأداة لتكنولوجيا المعلومات والاتصالات ودليل تكميلي.</w:t>
      </w:r>
    </w:p>
    <w:p w:rsidR="007023B4" w:rsidRDefault="007023B4" w:rsidP="007023B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rFonts w:hint="cs"/>
          <w:rtl/>
          <w:lang w:bidi="ar-EG"/>
        </w:rPr>
        <w:tab/>
        <w:t>وثمة جزآن، منهما جزء نظري مع:</w:t>
      </w:r>
    </w:p>
    <w:p w:rsidR="007023B4" w:rsidRDefault="007023B4" w:rsidP="00B105B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rFonts w:hint="cs"/>
          <w:rtl/>
          <w:lang w:bidi="ar-EG"/>
        </w:rPr>
        <w:tab/>
        <w:t>إيلاء اهتمام لتنمية شخصية المراهقين.</w:t>
      </w:r>
    </w:p>
    <w:p w:rsidR="007023B4" w:rsidRDefault="007023B4" w:rsidP="00B105B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rFonts w:hint="cs"/>
          <w:rtl/>
          <w:lang w:bidi="ar-EG"/>
        </w:rPr>
        <w:tab/>
        <w:t>التركيز على الاختلافات في التعليم بين الفتيات والفتيان.</w:t>
      </w:r>
    </w:p>
    <w:p w:rsidR="007023B4" w:rsidRDefault="007023B4" w:rsidP="00B105B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rFonts w:hint="cs"/>
          <w:rtl/>
          <w:lang w:bidi="ar-EG"/>
        </w:rPr>
        <w:tab/>
        <w:t>العمل بأساليب التعليم.</w:t>
      </w:r>
    </w:p>
    <w:p w:rsidR="007023B4" w:rsidRDefault="007023B4" w:rsidP="00B105B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rFonts w:hint="cs"/>
          <w:rtl/>
          <w:lang w:bidi="ar-EG"/>
        </w:rPr>
        <w:tab/>
        <w:t>تقديم مقترحات وأفكار إلى المدرسين عن كيفية العمل مع المنتجات.</w:t>
      </w:r>
    </w:p>
    <w:p w:rsidR="007023B4" w:rsidRDefault="007023B4" w:rsidP="007023B4">
      <w:pPr>
        <w:pStyle w:val="SingleTxt"/>
        <w:rPr>
          <w:rFonts w:hint="cs"/>
          <w:rtl/>
        </w:rPr>
      </w:pPr>
      <w:r>
        <w:rPr>
          <w:rFonts w:hint="cs"/>
          <w:rtl/>
        </w:rPr>
        <w:tab/>
        <w:t>والجزء العملي مع أداة لتكنولوجيا المعلومات والاتصالات:</w:t>
      </w:r>
    </w:p>
    <w:p w:rsidR="007023B4" w:rsidRDefault="007023B4" w:rsidP="00B105B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rtl/>
        </w:rPr>
        <w:tab/>
        <w:t>لاكتشاف أسلوب المرء في التعلم وأسلوب التعلم المفضل لدى المرء.</w:t>
      </w:r>
    </w:p>
    <w:p w:rsidR="007023B4" w:rsidRDefault="007023B4" w:rsidP="00B105B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rtl/>
        </w:rPr>
        <w:tab/>
        <w:t>اكتشاف أسلوب التعلم لدى جميع التلاميذ.</w:t>
      </w:r>
    </w:p>
    <w:p w:rsidR="007023B4" w:rsidRDefault="007023B4" w:rsidP="00B105B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rtl/>
        </w:rPr>
        <w:tab/>
        <w:t>من خلال اختبار للشخصية (من أنت وماذا تود أن تكون) في الحديث مع المراهقين حول شخصيتهم.</w:t>
      </w:r>
    </w:p>
    <w:p w:rsidR="007023B4" w:rsidRPr="00FA0462" w:rsidRDefault="007023B4" w:rsidP="007023B4">
      <w:pPr>
        <w:pStyle w:val="SingleTxt"/>
        <w:spacing w:after="0" w:line="120" w:lineRule="exact"/>
        <w:rPr>
          <w:rFonts w:hint="cs"/>
          <w:b/>
          <w:bCs/>
          <w:sz w:val="10"/>
          <w:rtl/>
        </w:rPr>
      </w:pPr>
    </w:p>
    <w:p w:rsidR="007023B4" w:rsidRPr="00200F50" w:rsidRDefault="007023B4" w:rsidP="007023B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Pr="00200F50">
        <w:rPr>
          <w:rFonts w:hint="cs"/>
          <w:rtl/>
        </w:rPr>
        <w:t>6 -</w:t>
      </w:r>
      <w:r w:rsidRPr="00200F50">
        <w:rPr>
          <w:rFonts w:hint="cs"/>
          <w:rtl/>
        </w:rPr>
        <w:tab/>
      </w:r>
      <w:r>
        <w:rPr>
          <w:rFonts w:hint="cs"/>
          <w:rtl/>
        </w:rPr>
        <w:t>تعديل التشريعات بشأن إجازة الأمومة وحماية موظفي التعليم</w:t>
      </w:r>
    </w:p>
    <w:p w:rsidR="007023B4" w:rsidRDefault="007023B4" w:rsidP="007023B4">
      <w:pPr>
        <w:pStyle w:val="SingleTxt"/>
        <w:rPr>
          <w:rFonts w:hint="cs"/>
          <w:rtl/>
        </w:rPr>
      </w:pPr>
      <w:r>
        <w:rPr>
          <w:rFonts w:hint="cs"/>
          <w:rtl/>
        </w:rPr>
        <w:tab/>
        <w:t>اتخذت الحكومة الفلمندية قرارا رسميا بتعديل التشريع المتعلق بإجازة الأمومة وحماية الأمومة بالنسبة لموظفي التعليم في كانون الثاني/يناير 2005. والآن أصبح من الممكن التحول من إجازة ما قبل الولادة إلى إجازة ما بعد الولادة، واحتمال إطالة أمد إجازة ما بعد الولادة عندما يكون على الطفل البقاء في المستشفى لأكثر من سبعة أيام. وفي نيسان/أبريل 2006 أجري تغيير آخر: فقد أطيل أمد الإجازة العارضة لموظفي التعليم من 3 إلى</w:t>
      </w:r>
      <w:r>
        <w:rPr>
          <w:rtl/>
        </w:rPr>
        <w:br/>
      </w:r>
      <w:r>
        <w:rPr>
          <w:rFonts w:hint="cs"/>
          <w:rtl/>
        </w:rPr>
        <w:t>10 أيام عمل.</w:t>
      </w:r>
    </w:p>
    <w:p w:rsidR="007023B4" w:rsidRPr="00FA0462" w:rsidRDefault="007023B4" w:rsidP="007023B4">
      <w:pPr>
        <w:pStyle w:val="SingleTxt"/>
        <w:spacing w:after="0" w:line="120" w:lineRule="exact"/>
        <w:ind w:left="1927" w:right="1264" w:hanging="663"/>
        <w:rPr>
          <w:rFonts w:hint="cs"/>
          <w:b/>
          <w:bCs/>
          <w:sz w:val="10"/>
          <w:rtl/>
        </w:rPr>
      </w:pPr>
    </w:p>
    <w:p w:rsidR="007023B4" w:rsidRPr="00D904F3" w:rsidRDefault="007023B4" w:rsidP="00D904F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ascii="Times New Roman Bold" w:hAnsi="Times New Roman Bold" w:hint="cs"/>
          <w:w w:val="100"/>
          <w:rtl/>
        </w:rPr>
      </w:pPr>
      <w:r>
        <w:rPr>
          <w:rFonts w:hint="cs"/>
          <w:rtl/>
        </w:rPr>
        <w:tab/>
        <w:t>7 -</w:t>
      </w:r>
      <w:r>
        <w:rPr>
          <w:rFonts w:hint="cs"/>
          <w:rtl/>
        </w:rPr>
        <w:tab/>
      </w:r>
      <w:r w:rsidRPr="00D904F3">
        <w:rPr>
          <w:rFonts w:ascii="Times New Roman Bold" w:hAnsi="Times New Roman Bold" w:hint="cs"/>
          <w:w w:val="100"/>
          <w:rtl/>
        </w:rPr>
        <w:t>الالتزام بوجود عدد أكبر من النساء (والجماعات المحرومة الأخرى) في المناصب الع</w:t>
      </w:r>
      <w:r w:rsidRPr="00D904F3">
        <w:rPr>
          <w:rFonts w:ascii="Times New Roman Bold" w:hAnsi="Times New Roman Bold" w:hint="cs"/>
          <w:w w:val="100"/>
          <w:rtl/>
          <w:lang w:bidi="ar-EG"/>
        </w:rPr>
        <w:t>ل</w:t>
      </w:r>
      <w:r w:rsidRPr="00D904F3">
        <w:rPr>
          <w:rFonts w:ascii="Times New Roman Bold" w:hAnsi="Times New Roman Bold" w:hint="cs"/>
          <w:w w:val="100"/>
          <w:rtl/>
        </w:rPr>
        <w:t>مية</w:t>
      </w:r>
      <w:r w:rsidR="00D904F3">
        <w:rPr>
          <w:rFonts w:ascii="Times New Roman Bold" w:hAnsi="Times New Roman Bold" w:hint="eastAsia"/>
          <w:w w:val="100"/>
          <w:rtl/>
        </w:rPr>
        <w:t> </w:t>
      </w:r>
      <w:r w:rsidRPr="00D904F3">
        <w:rPr>
          <w:rFonts w:ascii="Times New Roman Bold" w:hAnsi="Times New Roman Bold" w:hint="cs"/>
          <w:w w:val="100"/>
          <w:rtl/>
        </w:rPr>
        <w:t>العليا</w:t>
      </w:r>
    </w:p>
    <w:p w:rsidR="007023B4" w:rsidRDefault="007023B4" w:rsidP="007023B4">
      <w:pPr>
        <w:pStyle w:val="SingleTxt"/>
        <w:rPr>
          <w:rFonts w:hint="cs"/>
          <w:rtl/>
        </w:rPr>
      </w:pPr>
      <w:r>
        <w:rPr>
          <w:rFonts w:hint="cs"/>
          <w:rtl/>
        </w:rPr>
        <w:tab/>
        <w:t>التزم وزير التعليم الفلمندي بأن يبحث مع مؤسسات التعليم العالي إمكانيات تسهيل وتحسين فرص الحياة العملية للعالمات. ويتمثل الهدف في التأكد من أن يصل المزيد من النساء إلى المناصب العليا (أستاذ) ووقف تسربهن من الجامعة.</w:t>
      </w:r>
    </w:p>
    <w:p w:rsidR="007023B4" w:rsidRPr="00FA0462" w:rsidRDefault="007023B4" w:rsidP="007023B4">
      <w:pPr>
        <w:pStyle w:val="SingleTxt"/>
        <w:spacing w:after="0" w:line="120" w:lineRule="exact"/>
        <w:rPr>
          <w:rFonts w:hint="cs"/>
          <w:b/>
          <w:bCs/>
          <w:sz w:val="10"/>
          <w:rtl/>
        </w:rPr>
      </w:pPr>
    </w:p>
    <w:p w:rsidR="007023B4" w:rsidRPr="00301D28" w:rsidRDefault="007023B4" w:rsidP="007023B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8 -</w:t>
      </w:r>
      <w:r>
        <w:rPr>
          <w:rFonts w:hint="cs"/>
          <w:rtl/>
        </w:rPr>
        <w:tab/>
        <w:t>تنقيح المؤهلات الدنيا للمدرسين</w:t>
      </w:r>
    </w:p>
    <w:p w:rsidR="007023B4" w:rsidRDefault="007023B4" w:rsidP="007023B4">
      <w:pPr>
        <w:pStyle w:val="SingleTxt"/>
        <w:rPr>
          <w:rFonts w:hint="cs"/>
          <w:rtl/>
        </w:rPr>
      </w:pPr>
      <w:r>
        <w:rPr>
          <w:rFonts w:hint="cs"/>
          <w:rtl/>
        </w:rPr>
        <w:tab/>
        <w:t>تم تحديث المؤهلات الدنيا للمدرسين. وتتمثل المؤهلات الدنيا للمدرسين في مجموع المعرفة والمهارات التي يمكن توقعها من مدرس مبتدئ. وكان ’التعايش بين الثقافات‘ يُدرج ضمنا في المؤهلات الدنيا، ولكنه أصبح الآن يدرج صراحة. ومن أمثلة ذلك المعرفة الداعمة ومهارات المدرسين</w:t>
      </w:r>
      <w:r>
        <w:rPr>
          <w:rFonts w:hint="eastAsia"/>
          <w:rtl/>
        </w:rPr>
        <w:t xml:space="preserve"> </w:t>
      </w:r>
      <w:r>
        <w:rPr>
          <w:rFonts w:hint="cs"/>
          <w:rtl/>
        </w:rPr>
        <w:t>”</w:t>
      </w:r>
      <w:r>
        <w:rPr>
          <w:rFonts w:hint="eastAsia"/>
          <w:rtl/>
        </w:rPr>
        <w:t>للحث على حرية التلميذ</w:t>
      </w:r>
      <w:r>
        <w:rPr>
          <w:rFonts w:hint="cs"/>
          <w:rtl/>
        </w:rPr>
        <w:t>“. ويمكن للمدرس أن يتعرف على ذاتية المتعلمين وفئات المجتمع، وطرحها للنقاش مع المتعلمين، واستخدامها لتعزيز التطور الذاتي والاندماج الاجتماعي للصغار. ومن المطلوب معرفة الثقافات الاجتماعية والشبابية المتنوعة والاختلافات الثقافية بين فئات المجتمع.</w:t>
      </w:r>
    </w:p>
    <w:p w:rsidR="007023B4" w:rsidRPr="00FA0462" w:rsidRDefault="007023B4" w:rsidP="007023B4">
      <w:pPr>
        <w:pStyle w:val="SingleTxt"/>
        <w:spacing w:after="0" w:line="120" w:lineRule="exact"/>
        <w:ind w:left="1927" w:right="1264" w:hanging="663"/>
        <w:rPr>
          <w:rFonts w:hint="cs"/>
          <w:b/>
          <w:bCs/>
          <w:sz w:val="10"/>
          <w:rtl/>
        </w:rPr>
      </w:pPr>
    </w:p>
    <w:p w:rsidR="007023B4" w:rsidRPr="001534F4" w:rsidRDefault="007023B4" w:rsidP="007023B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9 -</w:t>
      </w:r>
      <w:r>
        <w:rPr>
          <w:rFonts w:hint="cs"/>
          <w:rtl/>
        </w:rPr>
        <w:tab/>
        <w:t xml:space="preserve">الوثائق المواضيعية في </w:t>
      </w:r>
      <w:r>
        <w:rPr>
          <w:rFonts w:hint="eastAsia"/>
          <w:rtl/>
        </w:rPr>
        <w:t>”</w:t>
      </w:r>
      <w:r>
        <w:t>Klass</w:t>
      </w:r>
      <w:r>
        <w:rPr>
          <w:rFonts w:hint="cs"/>
          <w:rtl/>
        </w:rPr>
        <w:t>“ للآباء، و</w:t>
      </w:r>
      <w:r>
        <w:rPr>
          <w:rFonts w:hint="eastAsia"/>
          <w:rtl/>
        </w:rPr>
        <w:t>”</w:t>
      </w:r>
      <w:r>
        <w:t>Klass</w:t>
      </w:r>
      <w:r>
        <w:rPr>
          <w:rFonts w:hint="cs"/>
          <w:rtl/>
        </w:rPr>
        <w:t>“ للمدرسين و</w:t>
      </w:r>
      <w:r>
        <w:rPr>
          <w:rFonts w:hint="eastAsia"/>
          <w:rtl/>
        </w:rPr>
        <w:t>”</w:t>
      </w:r>
      <w:r>
        <w:t>Yeti</w:t>
      </w:r>
      <w:r>
        <w:rPr>
          <w:rFonts w:hint="cs"/>
          <w:rtl/>
        </w:rPr>
        <w:t xml:space="preserve">“ (لتلاميذ السنة الثالثة في التعليم الابتدائي) و </w:t>
      </w:r>
      <w:r>
        <w:rPr>
          <w:rFonts w:hint="eastAsia"/>
          <w:rtl/>
        </w:rPr>
        <w:t>”الماكس</w:t>
      </w:r>
      <w:r>
        <w:rPr>
          <w:rFonts w:hint="cs"/>
          <w:rtl/>
        </w:rPr>
        <w:t>“ (لطلبة السنة الثانية والسنة الثالثة في التعليم</w:t>
      </w:r>
      <w:r>
        <w:rPr>
          <w:rFonts w:hint="eastAsia"/>
          <w:rtl/>
        </w:rPr>
        <w:t> </w:t>
      </w:r>
      <w:r>
        <w:rPr>
          <w:rFonts w:hint="cs"/>
          <w:rtl/>
        </w:rPr>
        <w:t>الثانوي)</w:t>
      </w:r>
    </w:p>
    <w:p w:rsidR="007023B4" w:rsidRDefault="007023B4" w:rsidP="007023B4">
      <w:pPr>
        <w:pStyle w:val="SingleTxt"/>
        <w:rPr>
          <w:rFonts w:hint="cs"/>
          <w:rtl/>
          <w:lang w:bidi="ar-EG"/>
        </w:rPr>
      </w:pPr>
      <w:r>
        <w:rPr>
          <w:rFonts w:hint="cs"/>
          <w:rtl/>
        </w:rPr>
        <w:tab/>
      </w:r>
      <w:r>
        <w:t>Klass</w:t>
      </w:r>
      <w:r>
        <w:rPr>
          <w:rFonts w:hint="cs"/>
          <w:rtl/>
        </w:rPr>
        <w:t xml:space="preserve"> هو مشروع اتصالات أطلقته إدارة التعليم والتدريب </w:t>
      </w:r>
      <w:r>
        <w:rPr>
          <w:rFonts w:hint="cs"/>
          <w:rtl/>
          <w:lang w:bidi="ar-EG"/>
        </w:rPr>
        <w:t xml:space="preserve">في المجتمع الفلمندي. ويستهدف المشروع جميع فعاليات التعليم في الإقليم الفلمندي. وفي أيار/مايو 2002، أعد محررو </w:t>
      </w:r>
      <w:r>
        <w:rPr>
          <w:lang w:bidi="ar-EG"/>
        </w:rPr>
        <w:t>Klass</w:t>
      </w:r>
      <w:r>
        <w:rPr>
          <w:rFonts w:hint="cs"/>
          <w:rtl/>
          <w:lang w:bidi="ar-EG"/>
        </w:rPr>
        <w:t xml:space="preserve"> ملفا شاملا عن تكافؤ الفرص للفتيان والفتيات والرجال والنساء. والموضوعات هي الاختلافات الثقافية والنهج والتوقعات المختلفة نحو كلا الجنسين.</w:t>
      </w:r>
    </w:p>
    <w:p w:rsidR="007023B4" w:rsidRPr="001168AA" w:rsidRDefault="007023B4" w:rsidP="007023B4">
      <w:pPr>
        <w:pStyle w:val="SingleTxt"/>
        <w:spacing w:after="0" w:line="120" w:lineRule="exact"/>
        <w:rPr>
          <w:rFonts w:hint="cs"/>
          <w:b/>
          <w:bCs/>
          <w:sz w:val="10"/>
          <w:rtl/>
          <w:lang w:bidi="ar-EG"/>
        </w:rPr>
      </w:pPr>
    </w:p>
    <w:p w:rsidR="007023B4" w:rsidRPr="00BB7E8D" w:rsidRDefault="007023B4" w:rsidP="007023B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eastAsia"/>
          <w:rtl/>
          <w:lang w:bidi="ar-EG"/>
        </w:rPr>
      </w:pPr>
      <w:r>
        <w:rPr>
          <w:rFonts w:hint="cs"/>
          <w:rtl/>
          <w:lang w:bidi="ar-EG"/>
        </w:rPr>
        <w:tab/>
        <w:t>10 -</w:t>
      </w:r>
      <w:r>
        <w:rPr>
          <w:rFonts w:hint="cs"/>
          <w:rtl/>
          <w:lang w:bidi="ar-EG"/>
        </w:rPr>
        <w:tab/>
      </w:r>
      <w:r>
        <w:rPr>
          <w:lang w:bidi="ar-EG"/>
        </w:rPr>
        <w:t>Klass</w:t>
      </w:r>
      <w:r>
        <w:rPr>
          <w:rFonts w:hint="eastAsia"/>
          <w:rtl/>
          <w:lang w:bidi="ar-EG"/>
        </w:rPr>
        <w:t xml:space="preserve"> للمدرسين: ملف النمط الأول</w:t>
      </w:r>
    </w:p>
    <w:p w:rsidR="007023B4" w:rsidRDefault="007023B4" w:rsidP="007023B4">
      <w:pPr>
        <w:pStyle w:val="SingleTxt"/>
        <w:rPr>
          <w:rFonts w:hint="cs"/>
          <w:rtl/>
          <w:lang w:bidi="ar-EG"/>
        </w:rPr>
      </w:pPr>
      <w:r>
        <w:rPr>
          <w:rFonts w:hint="cs"/>
          <w:rtl/>
          <w:lang w:bidi="ar-EG"/>
        </w:rPr>
        <w:tab/>
        <w:t>فتح هذا المشروع خريطة وثائقية حول مختلف الموضوعات مثل إساءة معاملة الطفل، والمثلية الجنسية، والفتيان والفتيات (الجنس)، والطلاق/والأسر الحديثة التكوين، إلخ. وتوفر هذه الخريطة معلومات أساسية، وعناوين، وأساليب عمل ...</w:t>
      </w:r>
    </w:p>
    <w:p w:rsidR="007023B4" w:rsidRPr="001168AA" w:rsidRDefault="007023B4" w:rsidP="007023B4">
      <w:pPr>
        <w:pStyle w:val="SingleTxt"/>
        <w:spacing w:after="0" w:line="120" w:lineRule="exact"/>
        <w:rPr>
          <w:rFonts w:hint="cs"/>
          <w:b/>
          <w:bCs/>
          <w:sz w:val="10"/>
          <w:rtl/>
          <w:lang w:bidi="ar-EG"/>
        </w:rPr>
      </w:pPr>
    </w:p>
    <w:p w:rsidR="007023B4" w:rsidRPr="00BB7E8D" w:rsidRDefault="007023B4" w:rsidP="007023B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eastAsia"/>
          <w:rtl/>
          <w:lang w:bidi="ar-EG"/>
        </w:rPr>
      </w:pPr>
      <w:r>
        <w:rPr>
          <w:rFonts w:hint="cs"/>
          <w:rtl/>
          <w:lang w:bidi="ar-EG"/>
        </w:rPr>
        <w:tab/>
        <w:t>11 -</w:t>
      </w:r>
      <w:r>
        <w:rPr>
          <w:rFonts w:hint="cs"/>
          <w:rtl/>
          <w:lang w:bidi="ar-EG"/>
        </w:rPr>
        <w:tab/>
        <w:t xml:space="preserve">’التناوب بين التعليم والعمل‘ </w:t>
      </w:r>
      <w:r>
        <w:rPr>
          <w:rFonts w:hint="eastAsia"/>
          <w:rtl/>
          <w:lang w:bidi="ar-EG"/>
        </w:rPr>
        <w:t>في مشروع التعليم العالي</w:t>
      </w:r>
    </w:p>
    <w:p w:rsidR="007023B4" w:rsidRDefault="007023B4" w:rsidP="007023B4">
      <w:pPr>
        <w:pStyle w:val="SingleTxt"/>
        <w:rPr>
          <w:rFonts w:hint="cs"/>
          <w:rtl/>
          <w:lang w:bidi="ar-EG"/>
        </w:rPr>
      </w:pPr>
      <w:r>
        <w:rPr>
          <w:rFonts w:hint="cs"/>
          <w:rtl/>
          <w:lang w:bidi="ar-EG"/>
        </w:rPr>
        <w:tab/>
        <w:t>يستهدف هذا المشروع المرأة المهاجرة والمرأة المحرومة اللتين تريدان الحصول على دبلوم للتعليم العالي ولكن الظروف الاجتماعية تعوقهما. وهاتان المرأتان تحصلان على برامج دراسة يعقبها تدريب داخلي في القطاع المنتج للربح. وهذا مسار بديل يؤدي إلى الحصول على عن درجة في إدارة الأعمال (خيار التسويق، والمحاسبة، وعلوم الحاسوب التطبيقية).</w:t>
      </w:r>
    </w:p>
    <w:p w:rsidR="007023B4" w:rsidRPr="001168AA" w:rsidRDefault="007023B4" w:rsidP="007023B4">
      <w:pPr>
        <w:pStyle w:val="SingleTxt"/>
        <w:spacing w:after="0" w:line="120" w:lineRule="exact"/>
        <w:rPr>
          <w:rFonts w:hint="cs"/>
          <w:b/>
          <w:bCs/>
          <w:sz w:val="10"/>
          <w:rtl/>
          <w:lang w:bidi="ar-EG"/>
        </w:rPr>
      </w:pPr>
    </w:p>
    <w:p w:rsidR="007023B4" w:rsidRPr="00BB7E8D" w:rsidRDefault="007023B4" w:rsidP="007023B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t>12 -</w:t>
      </w:r>
      <w:r>
        <w:rPr>
          <w:rFonts w:hint="cs"/>
          <w:rtl/>
          <w:lang w:bidi="ar-EG"/>
        </w:rPr>
        <w:tab/>
        <w:t>مشروع ’</w:t>
      </w:r>
      <w:r>
        <w:rPr>
          <w:rFonts w:hint="eastAsia"/>
          <w:rtl/>
          <w:lang w:bidi="ar-EG"/>
        </w:rPr>
        <w:t>الاختيار على نحو م</w:t>
      </w:r>
      <w:r>
        <w:rPr>
          <w:rFonts w:hint="cs"/>
          <w:rtl/>
          <w:lang w:bidi="ar-EG"/>
        </w:rPr>
        <w:t>ختلف‘</w:t>
      </w:r>
    </w:p>
    <w:p w:rsidR="007023B4" w:rsidRDefault="007023B4" w:rsidP="007023B4">
      <w:pPr>
        <w:pStyle w:val="SingleTxt"/>
        <w:rPr>
          <w:rFonts w:hint="cs"/>
          <w:rtl/>
          <w:lang w:bidi="ar-EG"/>
        </w:rPr>
      </w:pPr>
      <w:r>
        <w:rPr>
          <w:rFonts w:hint="cs"/>
          <w:rtl/>
          <w:lang w:bidi="ar-EG"/>
        </w:rPr>
        <w:tab/>
        <w:t>يريد هذا المشروع حث الفتيان والشبان على اختيار تدريب و/أو مهنة في قطاع التمريض والرعاية. والغرض العام هو التغلب على التقسيم بين الجنسين في مجال التعليم، والتدريب، والمهن في قطاع التمريض. ولتأكيد هذا الاختيار المختلف، أعدت مواد تعليمية مثل الاختبار الموجز، والنشرة المطوية، وموقع على الإنترنت، وشريط فيديو ...</w:t>
      </w:r>
    </w:p>
    <w:p w:rsidR="007023B4" w:rsidRPr="001168AA" w:rsidRDefault="007023B4" w:rsidP="007023B4">
      <w:pPr>
        <w:pStyle w:val="SingleTxt"/>
        <w:spacing w:after="0" w:line="120" w:lineRule="exact"/>
        <w:rPr>
          <w:rFonts w:hint="cs"/>
          <w:b/>
          <w:bCs/>
          <w:sz w:val="10"/>
          <w:rtl/>
          <w:lang w:bidi="ar-EG"/>
        </w:rPr>
      </w:pPr>
    </w:p>
    <w:p w:rsidR="007023B4" w:rsidRPr="009F0916" w:rsidRDefault="007023B4" w:rsidP="007023B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lang w:bidi="ar-EG"/>
        </w:rPr>
        <w:tab/>
      </w:r>
      <w:r w:rsidR="00B105BA">
        <w:rPr>
          <w:rFonts w:hint="cs"/>
          <w:rtl/>
          <w:lang w:bidi="ar-EG"/>
        </w:rPr>
        <w:t>13 -</w:t>
      </w:r>
      <w:r>
        <w:rPr>
          <w:rFonts w:hint="cs"/>
          <w:rtl/>
          <w:lang w:bidi="ar-EG"/>
        </w:rPr>
        <w:tab/>
        <w:t xml:space="preserve">مشروع </w:t>
      </w:r>
      <w:r>
        <w:rPr>
          <w:lang w:bidi="ar-EG"/>
        </w:rPr>
        <w:t>Pak &amp; Go</w:t>
      </w:r>
    </w:p>
    <w:p w:rsidR="007023B4" w:rsidRDefault="007023B4" w:rsidP="007023B4">
      <w:pPr>
        <w:pStyle w:val="SingleTxt"/>
        <w:rPr>
          <w:rFonts w:hint="cs"/>
          <w:rtl/>
          <w:lang w:bidi="ar-EG"/>
        </w:rPr>
      </w:pPr>
      <w:r>
        <w:rPr>
          <w:rFonts w:hint="cs"/>
          <w:rtl/>
          <w:lang w:bidi="ar-EG"/>
        </w:rPr>
        <w:tab/>
        <w:t>يهدف هذا المشروع إلى توعية وإعلام الفتيات والشابات عن التدريب أو فرص العمل في القطاعات الذكورية التقليدية، مثل صناعة الفنون الترسيمية على سبيل المثال. ويعتزم المشروع، بالإضافة إلى ذلك، إعلام أصحاب العمل والموظفين عن القيمة المضافة للتنوع في مكان العمل.</w:t>
      </w:r>
    </w:p>
    <w:p w:rsidR="007023B4" w:rsidRPr="001168AA" w:rsidRDefault="007023B4" w:rsidP="007023B4">
      <w:pPr>
        <w:pStyle w:val="SingleTxt"/>
        <w:spacing w:after="0" w:line="120" w:lineRule="exact"/>
        <w:rPr>
          <w:rFonts w:hint="cs"/>
          <w:b/>
          <w:bCs/>
          <w:sz w:val="10"/>
          <w:rtl/>
          <w:lang w:bidi="ar-EG"/>
        </w:rPr>
      </w:pPr>
    </w:p>
    <w:p w:rsidR="007023B4" w:rsidRPr="009F0916" w:rsidRDefault="007023B4" w:rsidP="007023B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t>14 -</w:t>
      </w:r>
      <w:r>
        <w:rPr>
          <w:rFonts w:hint="cs"/>
          <w:rtl/>
          <w:lang w:bidi="ar-EG"/>
        </w:rPr>
        <w:tab/>
        <w:t>الإيجاد الواضح للتمثيل المتساوي (للرجل والمرأة) في مجلس التعليم الفلمندي</w:t>
      </w:r>
    </w:p>
    <w:p w:rsidR="007023B4" w:rsidRDefault="007023B4" w:rsidP="007023B4">
      <w:pPr>
        <w:pStyle w:val="SingleTxt"/>
        <w:rPr>
          <w:rFonts w:hint="cs"/>
          <w:rtl/>
          <w:lang w:bidi="ar-EG"/>
        </w:rPr>
      </w:pPr>
      <w:r>
        <w:rPr>
          <w:rFonts w:hint="cs"/>
          <w:rtl/>
          <w:lang w:bidi="ar-EG"/>
        </w:rPr>
        <w:tab/>
        <w:t>ينص المرسوم المتعلق بالمشاركة في التعليم (نيسان/أبريل 2004) على أن يتألف مجلس التعليم الفلمندي بحيث يكون ثلثه على الأقل من النساء.</w:t>
      </w:r>
    </w:p>
    <w:p w:rsidR="007023B4" w:rsidRPr="001168AA" w:rsidRDefault="007023B4" w:rsidP="007023B4">
      <w:pPr>
        <w:pStyle w:val="SingleTxt"/>
        <w:spacing w:after="0" w:line="120" w:lineRule="exact"/>
        <w:rPr>
          <w:rFonts w:hint="cs"/>
          <w:sz w:val="10"/>
          <w:rtl/>
          <w:lang w:bidi="ar-EG"/>
        </w:rPr>
      </w:pPr>
    </w:p>
    <w:p w:rsidR="007023B4" w:rsidRDefault="007023B4" w:rsidP="007023B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t>باء -</w:t>
      </w:r>
      <w:r>
        <w:rPr>
          <w:rFonts w:hint="cs"/>
          <w:rtl/>
          <w:lang w:bidi="ar-EG"/>
        </w:rPr>
        <w:tab/>
        <w:t>المجتمع الفرنسي</w:t>
      </w:r>
    </w:p>
    <w:p w:rsidR="007023B4" w:rsidRDefault="007023B4" w:rsidP="007023B4">
      <w:pPr>
        <w:pStyle w:val="SingleTxt"/>
        <w:rPr>
          <w:rFonts w:hint="cs"/>
          <w:rtl/>
        </w:rPr>
      </w:pPr>
      <w:r>
        <w:rPr>
          <w:rFonts w:hint="cs"/>
          <w:rtl/>
        </w:rPr>
        <w:tab/>
      </w:r>
      <w:r w:rsidRPr="001168AA">
        <w:rPr>
          <w:rFonts w:hint="cs"/>
          <w:b/>
          <w:bCs/>
          <w:rtl/>
        </w:rPr>
        <w:t xml:space="preserve">عندما يتعلق الأمر بالتعليم، فإن الأهداف الاستراتيجية التي ينبغي تحديدها في مجال تكافؤ الفرص بين المرأة والرجل تتعلق أولا بالوصول إلى الدراسات - الأقسام، وخيارات التعليم الثانوي، واتجاهات مختلفة للتعليم العالي </w:t>
      </w:r>
      <w:r>
        <w:rPr>
          <w:rFonts w:hint="cs"/>
          <w:b/>
          <w:bCs/>
          <w:rtl/>
        </w:rPr>
        <w:t>-</w:t>
      </w:r>
      <w:r w:rsidRPr="001168AA">
        <w:rPr>
          <w:rFonts w:hint="cs"/>
          <w:b/>
          <w:bCs/>
          <w:rtl/>
        </w:rPr>
        <w:t xml:space="preserve"> والنجاح في هذه الدراسات</w:t>
      </w:r>
      <w:r>
        <w:rPr>
          <w:rFonts w:hint="cs"/>
          <w:rtl/>
        </w:rPr>
        <w:t>.</w:t>
      </w:r>
    </w:p>
    <w:p w:rsidR="007023B4" w:rsidRDefault="007023B4" w:rsidP="007023B4">
      <w:pPr>
        <w:pStyle w:val="SingleTxt"/>
        <w:rPr>
          <w:rFonts w:hint="cs"/>
          <w:rtl/>
        </w:rPr>
      </w:pPr>
      <w:r>
        <w:rPr>
          <w:rFonts w:hint="cs"/>
          <w:rtl/>
        </w:rPr>
        <w:tab/>
        <w:t>وقد أثبتت أبحاث مختلفة أن اختيار المسارات في التعليم الثانوي يكون له تأثير حاسم على اختيار الدراسات العليا. وتنطوي هذه الحالة بالتالي على تنسيق بين مختلف مستويات التعليم وعلى اهتمام مشترك وتكميلي ومتماسك بين الوزراء المختصين. ومن هذا المنظور، من الضروري منع دوام الأفكار الجامدة المرتبطة ببعض المسارات، وذلك يتم بصفة خاصة عن طريق توعية المعلمين بآليات عدم المساواة التي تقوم عليها هذه الأفكار.</w:t>
      </w:r>
    </w:p>
    <w:p w:rsidR="007023B4" w:rsidRDefault="007023B4" w:rsidP="007023B4">
      <w:pPr>
        <w:pStyle w:val="SingleTxt"/>
        <w:rPr>
          <w:rFonts w:hint="cs"/>
          <w:rtl/>
        </w:rPr>
      </w:pPr>
      <w:r>
        <w:rPr>
          <w:rFonts w:hint="cs"/>
          <w:rtl/>
        </w:rPr>
        <w:tab/>
        <w:t xml:space="preserve">وفي تشرين الأول/أكتوبر 2002، أطلقت الإدارة مسابقة للأبحاث موجهة إلى طلبة الصفين الخامس والسادس الثانويين في المجتمع الفرنسي (800 مدرسة للتعليم الثانوي العالي وجميعها شبكات مختلطة) في الموضوع التالي: </w:t>
      </w:r>
      <w:r>
        <w:rPr>
          <w:rFonts w:hint="eastAsia"/>
          <w:rtl/>
        </w:rPr>
        <w:t>”</w:t>
      </w:r>
      <w:r w:rsidRPr="00CE2D57">
        <w:rPr>
          <w:rFonts w:hint="eastAsia"/>
          <w:i/>
          <w:iCs/>
          <w:rtl/>
        </w:rPr>
        <w:t>النساء في التاريخ، من الظل إلى النور؟</w:t>
      </w:r>
      <w:r>
        <w:rPr>
          <w:rFonts w:hint="cs"/>
          <w:rtl/>
        </w:rPr>
        <w:t>“. وأهداف هذه المسابقة ترمي إلى التالي:</w:t>
      </w:r>
    </w:p>
    <w:p w:rsidR="007023B4" w:rsidRPr="00B105BA" w:rsidRDefault="007023B4" w:rsidP="00B105BA">
      <w:pPr>
        <w:pStyle w:val="SingleTxt"/>
        <w:rPr>
          <w:rFonts w:hint="cs"/>
          <w:b/>
          <w:bCs/>
          <w:rtl/>
        </w:rPr>
      </w:pPr>
      <w:r w:rsidRPr="00B105BA">
        <w:rPr>
          <w:rFonts w:hint="cs"/>
          <w:b/>
          <w:bCs/>
          <w:rtl/>
        </w:rPr>
        <w:tab/>
        <w:t>توعية الرأي العام من الشباب بدور المرأة في التاريخ السياسي والاجتماعي والثقافي والاقتصادي والعلمي في بلجيكا وأوروبا (غير موجود عادة في الكتب</w:t>
      </w:r>
      <w:r w:rsidRPr="00B105BA">
        <w:rPr>
          <w:rFonts w:hint="eastAsia"/>
          <w:b/>
          <w:bCs/>
          <w:rtl/>
        </w:rPr>
        <w:t> </w:t>
      </w:r>
      <w:r w:rsidRPr="00B105BA">
        <w:rPr>
          <w:rFonts w:hint="cs"/>
          <w:b/>
          <w:bCs/>
          <w:rtl/>
        </w:rPr>
        <w:t>المدرسية)؛</w:t>
      </w:r>
    </w:p>
    <w:p w:rsidR="007023B4" w:rsidRPr="00B105BA" w:rsidRDefault="00B105BA" w:rsidP="00B105BA">
      <w:pPr>
        <w:pStyle w:val="SingleTxt"/>
        <w:rPr>
          <w:rFonts w:hint="cs"/>
          <w:b/>
          <w:bCs/>
          <w:rtl/>
        </w:rPr>
      </w:pPr>
      <w:r w:rsidRPr="00B105BA">
        <w:rPr>
          <w:rFonts w:hint="cs"/>
          <w:b/>
          <w:bCs/>
          <w:rtl/>
        </w:rPr>
        <w:tab/>
      </w:r>
      <w:r w:rsidR="007023B4" w:rsidRPr="00B105BA">
        <w:rPr>
          <w:rFonts w:hint="cs"/>
          <w:b/>
          <w:bCs/>
          <w:rtl/>
        </w:rPr>
        <w:t>حمل الشباب وأساتذتهم على التفكير في هذا الموضوع وتقييم أثر تطور مكانة المرأة في المجتمع على واقعنا اليومي.</w:t>
      </w:r>
    </w:p>
    <w:p w:rsidR="007023B4" w:rsidRDefault="007023B4" w:rsidP="007023B4">
      <w:pPr>
        <w:pStyle w:val="SingleTxt"/>
        <w:tabs>
          <w:tab w:val="clear" w:pos="1267"/>
          <w:tab w:val="clear" w:pos="1930"/>
          <w:tab w:val="clear" w:pos="2592"/>
          <w:tab w:val="clear" w:pos="3254"/>
          <w:tab w:val="clear" w:pos="3917"/>
          <w:tab w:val="clear" w:pos="4579"/>
          <w:tab w:val="clear" w:pos="5242"/>
          <w:tab w:val="clear" w:pos="5904"/>
          <w:tab w:val="clear" w:pos="6566"/>
        </w:tabs>
        <w:ind w:left="1930" w:hanging="662"/>
        <w:rPr>
          <w:rFonts w:hint="cs"/>
          <w:rtl/>
        </w:rPr>
      </w:pPr>
      <w:r>
        <w:rPr>
          <w:rFonts w:hint="cs"/>
          <w:rtl/>
        </w:rPr>
        <w:tab/>
        <w:t>وفي كانون الثاني/يناير 2002، قامت ست رابطات</w:t>
      </w:r>
      <w:r w:rsidRPr="0028005E">
        <w:rPr>
          <w:vertAlign w:val="superscript"/>
          <w:rtl/>
        </w:rPr>
        <w:t>(</w:t>
      </w:r>
      <w:r>
        <w:rPr>
          <w:rStyle w:val="FootnoteReference"/>
          <w:rtl/>
        </w:rPr>
        <w:footnoteReference w:id="41"/>
      </w:r>
      <w:r w:rsidRPr="0028005E">
        <w:rPr>
          <w:vertAlign w:val="superscript"/>
          <w:rtl/>
        </w:rPr>
        <w:t>)</w:t>
      </w:r>
      <w:r>
        <w:rPr>
          <w:rFonts w:hint="cs"/>
          <w:rtl/>
        </w:rPr>
        <w:t xml:space="preserve"> بتوجيه </w:t>
      </w:r>
      <w:r w:rsidRPr="00E3304E">
        <w:rPr>
          <w:rFonts w:hint="cs"/>
          <w:i/>
          <w:iCs/>
          <w:rtl/>
        </w:rPr>
        <w:t>نداء بشأن تعميم</w:t>
      </w:r>
      <w:r w:rsidRPr="00E3304E">
        <w:rPr>
          <w:rFonts w:hint="eastAsia"/>
          <w:i/>
          <w:iCs/>
          <w:rtl/>
        </w:rPr>
        <w:t> </w:t>
      </w:r>
      <w:r w:rsidRPr="00E3304E">
        <w:rPr>
          <w:rFonts w:hint="cs"/>
          <w:i/>
          <w:iCs/>
          <w:rtl/>
        </w:rPr>
        <w:t>مراعاة المنظور الجنساني في النظام التعليمي</w:t>
      </w:r>
      <w:r>
        <w:rPr>
          <w:rFonts w:hint="cs"/>
          <w:rtl/>
        </w:rPr>
        <w:t xml:space="preserve"> إلى وزراء التعليم والوزير المكلف بتكافؤ</w:t>
      </w:r>
      <w:r>
        <w:rPr>
          <w:rFonts w:hint="eastAsia"/>
          <w:rtl/>
        </w:rPr>
        <w:t xml:space="preserve"> </w:t>
      </w:r>
      <w:r>
        <w:rPr>
          <w:rFonts w:hint="cs"/>
          <w:rtl/>
        </w:rPr>
        <w:t>الفرص.</w:t>
      </w:r>
    </w:p>
    <w:p w:rsidR="007023B4" w:rsidRDefault="007023B4" w:rsidP="007023B4">
      <w:pPr>
        <w:pStyle w:val="SingleTxt"/>
        <w:tabs>
          <w:tab w:val="clear" w:pos="1267"/>
          <w:tab w:val="clear" w:pos="1930"/>
          <w:tab w:val="clear" w:pos="2592"/>
          <w:tab w:val="clear" w:pos="3254"/>
          <w:tab w:val="clear" w:pos="3917"/>
          <w:tab w:val="clear" w:pos="4579"/>
          <w:tab w:val="clear" w:pos="5242"/>
          <w:tab w:val="clear" w:pos="5904"/>
          <w:tab w:val="clear" w:pos="6566"/>
        </w:tabs>
        <w:ind w:left="1930" w:hanging="662"/>
        <w:rPr>
          <w:rFonts w:hint="cs"/>
          <w:rtl/>
        </w:rPr>
      </w:pPr>
      <w:r>
        <w:rPr>
          <w:rFonts w:hint="cs"/>
          <w:rtl/>
        </w:rPr>
        <w:tab/>
        <w:t>ويطالب هذا النداء بما يلي:</w:t>
      </w:r>
    </w:p>
    <w:p w:rsidR="007023B4" w:rsidRDefault="007023B4" w:rsidP="00B105B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eastAsia"/>
          <w:rtl/>
        </w:rPr>
      </w:pPr>
      <w:r>
        <w:rPr>
          <w:rFonts w:hint="cs"/>
          <w:rtl/>
        </w:rPr>
        <w:tab/>
      </w:r>
      <w:r>
        <w:rPr>
          <w:rFonts w:hint="cs"/>
          <w:rtl/>
        </w:rPr>
        <w:tab/>
        <w:t xml:space="preserve">تشكيل </w:t>
      </w:r>
      <w:r>
        <w:rPr>
          <w:rFonts w:hint="eastAsia"/>
          <w:rtl/>
        </w:rPr>
        <w:t>”لجنة للمساواة بين الفتيات والفتيان في التعليم</w:t>
      </w:r>
      <w:r>
        <w:rPr>
          <w:rFonts w:hint="cs"/>
          <w:rtl/>
        </w:rPr>
        <w:t>“</w:t>
      </w:r>
      <w:r>
        <w:rPr>
          <w:rFonts w:hint="eastAsia"/>
          <w:rtl/>
        </w:rPr>
        <w:t xml:space="preserve"> </w:t>
      </w:r>
      <w:r>
        <w:rPr>
          <w:rFonts w:hint="cs"/>
          <w:rtl/>
        </w:rPr>
        <w:t>تقدم المشورة</w:t>
      </w:r>
      <w:r>
        <w:rPr>
          <w:rFonts w:hint="eastAsia"/>
          <w:rtl/>
        </w:rPr>
        <w:t xml:space="preserve"> بشأن مشروعات الإصلاح، والتقدم بمقترحات</w:t>
      </w:r>
      <w:r>
        <w:rPr>
          <w:rFonts w:hint="cs"/>
          <w:rtl/>
        </w:rPr>
        <w:t>،</w:t>
      </w:r>
      <w:r>
        <w:rPr>
          <w:rFonts w:hint="eastAsia"/>
          <w:rtl/>
        </w:rPr>
        <w:t xml:space="preserve"> وتقييم السياسات المتخذة؛</w:t>
      </w:r>
    </w:p>
    <w:p w:rsidR="007023B4" w:rsidRDefault="007023B4" w:rsidP="00B105B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rtl/>
        </w:rPr>
        <w:tab/>
        <w:t>الأخذ في التدريب الأولي والمستمر لهيئة المعلمين بالبعد الجنسي، سواء في الدراسات النظرية المقدمة أو في الإعداد العملي للمهنة؛</w:t>
      </w:r>
    </w:p>
    <w:p w:rsidR="007023B4" w:rsidRDefault="007023B4" w:rsidP="00B105B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rtl/>
        </w:rPr>
        <w:tab/>
        <w:t>المساواة بين جميع أجهزة ومؤسسات البرمجة واتخاذ القرار والمراقبة والمشورة، فضلا عن وصول النساء على قدم المساواة إلى جميع مناصب التوجيه والمسؤولية؛</w:t>
      </w:r>
    </w:p>
    <w:p w:rsidR="007023B4" w:rsidRDefault="007023B4" w:rsidP="00B105B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rtl/>
        </w:rPr>
        <w:tab/>
        <w:t>إجراء دراسات، من بين إحصاءات أخرى، موزعة إلزاميا حسب الجنس، لمعرفة حالة الفتيات والفتيان في مجال التعليم وتطور الالتحاق بالمدرسة (اختيار الدراسات، والاختيارات، ونوع التدريب العالي)، ووجود ممارسات للعنف القائم على الجنس، والتكلفة الاجتماعية لأنواع التمييز، إلخ؛</w:t>
      </w:r>
    </w:p>
    <w:p w:rsidR="007023B4" w:rsidRDefault="007023B4" w:rsidP="00B105BA">
      <w:pPr>
        <w:pStyle w:val="SingleTxt"/>
        <w:rPr>
          <w:rFonts w:hint="cs"/>
          <w:rtl/>
        </w:rPr>
      </w:pPr>
      <w:r>
        <w:rPr>
          <w:rFonts w:hint="cs"/>
          <w:rtl/>
        </w:rPr>
        <w:tab/>
      </w:r>
      <w:r w:rsidRPr="007961FC">
        <w:rPr>
          <w:rFonts w:hint="cs"/>
          <w:rtl/>
        </w:rPr>
        <w:t xml:space="preserve">إقامة جهاز للوقاية من العنف ومكافحته </w:t>
      </w:r>
      <w:r>
        <w:rPr>
          <w:rFonts w:hint="cs"/>
          <w:rtl/>
        </w:rPr>
        <w:t>في الوسط المدرسي مع مراعاة بعده</w:t>
      </w:r>
      <w:r>
        <w:rPr>
          <w:rFonts w:hint="eastAsia"/>
          <w:rtl/>
        </w:rPr>
        <w:t> </w:t>
      </w:r>
      <w:r w:rsidRPr="007961FC">
        <w:rPr>
          <w:rFonts w:hint="cs"/>
          <w:rtl/>
        </w:rPr>
        <w:t>الجنسي</w:t>
      </w:r>
      <w:r>
        <w:rPr>
          <w:rFonts w:hint="cs"/>
          <w:rtl/>
        </w:rPr>
        <w:t>.</w:t>
      </w:r>
    </w:p>
    <w:p w:rsidR="007023B4" w:rsidRDefault="007023B4" w:rsidP="007023B4">
      <w:pPr>
        <w:pStyle w:val="SingleTxt"/>
        <w:rPr>
          <w:rFonts w:hint="cs"/>
          <w:rtl/>
        </w:rPr>
      </w:pPr>
      <w:r>
        <w:rPr>
          <w:rFonts w:hint="cs"/>
          <w:rtl/>
        </w:rPr>
        <w:tab/>
        <w:t>وقد استجاب الوزير - الرئيس المكلف بتكافؤ الفرص، ووزير الطفولة المكلف بالتعليم العادي الأساسي، ووزير التعليم الثانوي والتعليم الخاص، ووزير التعليم العالي وتعليم الرقي الاجتماعي، لنداء هذه المجموعة من الرابطات الذي هدف إلى جذب انتباههم إلى ضرورة تعزيز المساواة بين المرأة والرجل في التعليم، من خلال إنشاء مكتب مشترك مكلف بدراسة المشكلة.</w:t>
      </w:r>
    </w:p>
    <w:p w:rsidR="007023B4" w:rsidRDefault="007023B4" w:rsidP="007023B4">
      <w:pPr>
        <w:pStyle w:val="SingleTxt"/>
        <w:rPr>
          <w:rFonts w:hint="cs"/>
          <w:rtl/>
        </w:rPr>
      </w:pPr>
      <w:r>
        <w:rPr>
          <w:rFonts w:hint="cs"/>
          <w:rtl/>
        </w:rPr>
        <w:tab/>
        <w:t xml:space="preserve">وقد تقرر، منذ ذلك الوقت، إطلاق مناقشة مع المعلمات والمعلمين من أجل الوصول إلى تفكير صريح مبني على الحجة بشأن المساواة بين الفتيات والفتيان في المدرسة. وتعاون مختلف الوزراء مع قطاع الرابطات الموقِّعة </w:t>
      </w:r>
      <w:r w:rsidRPr="007961FC">
        <w:rPr>
          <w:rFonts w:hint="cs"/>
          <w:i/>
          <w:iCs/>
          <w:rtl/>
        </w:rPr>
        <w:t>للنداء المتعلق بتعميم مراعاة المنظور الجنساني في النظام التعليمي</w:t>
      </w:r>
      <w:r>
        <w:rPr>
          <w:rFonts w:hint="cs"/>
          <w:rtl/>
        </w:rPr>
        <w:t xml:space="preserve"> في إعداد </w:t>
      </w:r>
      <w:r w:rsidRPr="00E3304E">
        <w:rPr>
          <w:rFonts w:hint="cs"/>
          <w:i/>
          <w:iCs/>
          <w:rtl/>
        </w:rPr>
        <w:t>كتيب تربوي إعلامي</w:t>
      </w:r>
      <w:r>
        <w:rPr>
          <w:rFonts w:hint="cs"/>
          <w:rtl/>
        </w:rPr>
        <w:t xml:space="preserve"> عن هذا الواقع المجهول إلى حد كبير حتى</w:t>
      </w:r>
      <w:r>
        <w:rPr>
          <w:rFonts w:hint="eastAsia"/>
          <w:rtl/>
        </w:rPr>
        <w:t> </w:t>
      </w:r>
      <w:r>
        <w:rPr>
          <w:rFonts w:hint="cs"/>
          <w:rtl/>
        </w:rPr>
        <w:t>الآن.</w:t>
      </w:r>
    </w:p>
    <w:p w:rsidR="007023B4" w:rsidRDefault="007023B4" w:rsidP="007023B4">
      <w:pPr>
        <w:pStyle w:val="SingleTxt"/>
        <w:rPr>
          <w:rFonts w:hint="cs"/>
          <w:rtl/>
        </w:rPr>
      </w:pPr>
      <w:r>
        <w:rPr>
          <w:rFonts w:hint="cs"/>
          <w:rtl/>
        </w:rPr>
        <w:tab/>
        <w:t>وتهدف هذه الحملة، التي تتألف من 000 25 ملصق و 000 30 كتيب موجه إلى المعلمين والمعلمات ومعلمي ومعلمات المستقبل في المجتمع الفرنسي، إلى الاشتراك مع الفعاليات الميدانية من الجنسين في دراسة وتقييم القياس الدقيق للأفكار الجامدة الجنسية المستمرة في المدرسة، وبخاصة في العلاقات بين المعلمين والمعلمات والطلبة أو بين الطلبة</w:t>
      </w:r>
      <w:r>
        <w:rPr>
          <w:rFonts w:hint="eastAsia"/>
          <w:rtl/>
        </w:rPr>
        <w:t> </w:t>
      </w:r>
      <w:r>
        <w:rPr>
          <w:rFonts w:hint="cs"/>
          <w:rtl/>
        </w:rPr>
        <w:t>أنفسهم.</w:t>
      </w:r>
    </w:p>
    <w:p w:rsidR="007023B4" w:rsidRDefault="007023B4" w:rsidP="007023B4">
      <w:pPr>
        <w:pStyle w:val="SingleTxt"/>
        <w:rPr>
          <w:rFonts w:hint="cs"/>
          <w:rtl/>
        </w:rPr>
      </w:pPr>
      <w:r>
        <w:rPr>
          <w:rFonts w:hint="cs"/>
          <w:rtl/>
        </w:rPr>
        <w:tab/>
        <w:t xml:space="preserve">وفي عام 2004، أعدت إدارة تكافؤ الفرص وقامت بنشر ملف تربوي بعنوان </w:t>
      </w:r>
      <w:r>
        <w:rPr>
          <w:rFonts w:hint="eastAsia"/>
          <w:rtl/>
        </w:rPr>
        <w:t>”</w:t>
      </w:r>
      <w:r w:rsidRPr="007961FC">
        <w:rPr>
          <w:rFonts w:hint="eastAsia"/>
          <w:i/>
          <w:iCs/>
          <w:rtl/>
        </w:rPr>
        <w:t>النساء والرجال في العالم</w:t>
      </w:r>
      <w:r>
        <w:rPr>
          <w:rFonts w:hint="cs"/>
          <w:rtl/>
        </w:rPr>
        <w:t>“، يهدف إلى تمكين البالغين من العمر 12/15 سنة والمحيطين بهم من أن يكون لديهم إدراك أفضل لحالة وحقوق المرأة على المستويين الوطني والدولي.</w:t>
      </w:r>
    </w:p>
    <w:p w:rsidR="007023B4" w:rsidRPr="00B105BA" w:rsidRDefault="007023B4" w:rsidP="007023B4">
      <w:pPr>
        <w:pStyle w:val="SingleTxt"/>
        <w:rPr>
          <w:rFonts w:hint="cs"/>
          <w:b/>
          <w:bCs/>
          <w:rtl/>
        </w:rPr>
      </w:pPr>
      <w:r w:rsidRPr="00B105BA">
        <w:rPr>
          <w:rFonts w:hint="cs"/>
          <w:b/>
          <w:bCs/>
          <w:rtl/>
        </w:rPr>
        <w:tab/>
        <w:t xml:space="preserve">وجرى تحرير محتوى الكتيب بصورة مشتركة بين المجتمع الفرنسي ومنظمة </w:t>
      </w:r>
      <w:r w:rsidRPr="00B105BA">
        <w:rPr>
          <w:rFonts w:hint="cs"/>
          <w:b/>
          <w:bCs/>
          <w:i/>
          <w:iCs/>
          <w:rtl/>
        </w:rPr>
        <w:t>العالم حسب المرأة</w:t>
      </w:r>
      <w:r w:rsidRPr="00B105BA">
        <w:rPr>
          <w:rFonts w:hint="cs"/>
          <w:b/>
          <w:bCs/>
          <w:rtl/>
        </w:rPr>
        <w:t xml:space="preserve"> غير الحكومية. ويعرض الكتيب خمسة موضوعات يتناول كل منها الحالة في الشمال والجنوب:</w:t>
      </w:r>
    </w:p>
    <w:p w:rsidR="007023B4" w:rsidRDefault="007023B4" w:rsidP="007023B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من المساواة في المدرسة إلى المساواة في العمل: أوجه التقدم وعدم المساواة في التعليم، واختيار الدراسات، واختيار العمل؛</w:t>
      </w:r>
    </w:p>
    <w:p w:rsidR="007023B4" w:rsidRDefault="007023B4" w:rsidP="007023B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النساء المتضامنات!: الدفاع عن المصالح المشتركة للنساء والحركة النسائية؛</w:t>
      </w:r>
    </w:p>
    <w:p w:rsidR="007023B4" w:rsidRDefault="007023B4" w:rsidP="007023B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لا للعنف!: العنف في العلاقات القائمة على الحب، وجرائم الشرف، وختان الإناث؛</w:t>
      </w:r>
    </w:p>
    <w:p w:rsidR="007023B4" w:rsidRDefault="007023B4" w:rsidP="007023B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الدعاية، معاناة أو عشق؟: التحيز الجنسي في النشرات الدعائية؛</w:t>
      </w:r>
    </w:p>
    <w:p w:rsidR="007023B4" w:rsidRDefault="007023B4" w:rsidP="007023B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الحياة العاطفية والقائمة على الحب: المراهقة، الشذوذ الجنسي، العلاقات بين الفتيان والفتيات، الوقاية من الأمراض التي تنتقل عن طريق الاتصال الجنسي، منع الحمل.</w:t>
      </w:r>
    </w:p>
    <w:p w:rsidR="007023B4" w:rsidRDefault="007023B4" w:rsidP="007023B4">
      <w:pPr>
        <w:pStyle w:val="SingleTxt"/>
        <w:rPr>
          <w:rFonts w:hint="cs"/>
          <w:rtl/>
        </w:rPr>
      </w:pPr>
      <w:r>
        <w:rPr>
          <w:rFonts w:hint="cs"/>
          <w:rtl/>
        </w:rPr>
        <w:tab/>
        <w:t>وصدر هذا الكتيب ونُشر في شهر آذار/مارس 2004، في إطار أنشطة 8</w:t>
      </w:r>
      <w:r>
        <w:rPr>
          <w:rFonts w:hint="eastAsia"/>
          <w:rtl/>
        </w:rPr>
        <w:t> </w:t>
      </w:r>
      <w:r>
        <w:rPr>
          <w:rFonts w:hint="cs"/>
          <w:rtl/>
        </w:rPr>
        <w:t>آذار/مارس في المجتمع الفرنسي، في مجموع مؤسسات التعليم الثانوي في هذا المجتمع. وتم إنتاج 000 25 كتيب تربوي و 000 10 ملصق في إطار هذه الحملة وتم توزيعها عبر قنوات عديدة للاتصال وفي أعقاب طلبات صادرة عن جانب كبير من المعلمين والوسط</w:t>
      </w:r>
      <w:r>
        <w:rPr>
          <w:rFonts w:hint="eastAsia"/>
          <w:rtl/>
        </w:rPr>
        <w:t> </w:t>
      </w:r>
      <w:r>
        <w:rPr>
          <w:rFonts w:hint="cs"/>
          <w:rtl/>
        </w:rPr>
        <w:t>التعاوني.</w:t>
      </w:r>
    </w:p>
    <w:p w:rsidR="007023B4" w:rsidRDefault="007023B4" w:rsidP="007023B4">
      <w:pPr>
        <w:pStyle w:val="SingleTxt"/>
        <w:rPr>
          <w:rFonts w:hint="cs"/>
          <w:rtl/>
        </w:rPr>
      </w:pPr>
      <w:r>
        <w:rPr>
          <w:rFonts w:hint="cs"/>
          <w:rtl/>
        </w:rPr>
        <w:tab/>
        <w:t>وأخيرا، ستقوم إدارة تكافؤ الفرص في تشرين الأول/أكتوبر 2006 بإطلاق قائمة، في صورة ورقية أو صورة إلكترونية، بالموارد التربوية المتوافرة في المجتمع الفرنسي حول مسائل المساواة بين المرأة والرجل، والتعايش بين الثقافات، والاندماج الاجتماعي.</w:t>
      </w:r>
    </w:p>
    <w:p w:rsidR="007023B4" w:rsidRDefault="007023B4" w:rsidP="007023B4">
      <w:pPr>
        <w:pStyle w:val="SingleTxt"/>
        <w:rPr>
          <w:rFonts w:hint="cs"/>
          <w:rtl/>
        </w:rPr>
      </w:pPr>
      <w:r>
        <w:rPr>
          <w:rFonts w:hint="cs"/>
          <w:rtl/>
        </w:rPr>
        <w:tab/>
        <w:t xml:space="preserve">وعلى مستوى </w:t>
      </w:r>
      <w:r w:rsidRPr="00E3304E">
        <w:rPr>
          <w:rFonts w:hint="eastAsia"/>
          <w:i/>
          <w:iCs/>
          <w:rtl/>
        </w:rPr>
        <w:t>التعليم العالي</w:t>
      </w:r>
      <w:r>
        <w:rPr>
          <w:rFonts w:hint="cs"/>
          <w:rtl/>
        </w:rPr>
        <w:t>، فإن الحالة مرضية على المستوى الكمي (لا يقل عدد الفتيات عن عدد الفتيان في الدراسات العليا، وبصفة عامة فإن معدل نجاح الفتيات أحسن من معدل نجاح الفتيان). ومع ذلك، لا بد من ملاحظة أن هناك، على المستوى النوعي، نسبة ضعيفة للأسف بين الفتيات في الدراسات ذات الطابع العلمي والتكنولوجي، وكذلك ظاهرة تتعلق بالفصل الرأسي في الوظائف الجامعية للنساء. والواقع أنه يُلاحظ تناقص النسبة المئوية للإناث كلما ارتفع مستوى الدراسة والصعود في السلم الوظيفي لهيئة التدريس.</w:t>
      </w:r>
    </w:p>
    <w:p w:rsidR="007023B4" w:rsidRDefault="007023B4" w:rsidP="007023B4">
      <w:pPr>
        <w:pStyle w:val="SingleTxt"/>
        <w:rPr>
          <w:rFonts w:hint="cs"/>
          <w:rtl/>
        </w:rPr>
      </w:pPr>
      <w:r>
        <w:rPr>
          <w:rFonts w:hint="cs"/>
          <w:rtl/>
        </w:rPr>
        <w:tab/>
        <w:t>وإحدى المشكلات التي تواجهنا أردنا المضي في التحليل من حيث المساواة بين المرأة والرجل هي نقص البيانات المفصلة حسب الجنس. وتأمل وزيرة التعليم العالي والبحث العلمي مع ذلك إحراز تقدم في هذا المجال، وبوجه خاص مع الاستناد إلى ميدان آخر يدخل في اختصاصها، وهو البحث. وتشكل مساهمتها في إيجاد أداة تتيح تحليل مجتمع الطلاب في بلجيكا الناطقة بالفرنسية من زوايا وصفية ومستقبلية تقدما أوليا. وإلى جانب ذلك، فإن تمويل الأبحاث التي تعالج المشكلة، من قريب أو بعيد، تعكس الرغبة في معرفة العوامل التي تتسبب في عدم المساواة بين المرأة والرجل في هذا القطاع. ويتيح فهم هذه العوامل معالجة أسباب التمييز ومحاولة وقفه. ومن هذا المنظور، تعمل الوزيرة على إدراج البعد الجنساني في المشاريع التي تقوم بتمويلها. ويتشجع منذ الآن الذين يعملون على النهوض بالأبحاث الجارية بالفعل على العناية بتوجيه أعمالهم مع أخذ هذا البعد في الاعتبار أيضا.</w:t>
      </w:r>
    </w:p>
    <w:p w:rsidR="007023B4" w:rsidRDefault="007023B4" w:rsidP="007023B4">
      <w:pPr>
        <w:pStyle w:val="SingleTxt"/>
        <w:rPr>
          <w:rFonts w:hint="cs"/>
          <w:rtl/>
        </w:rPr>
      </w:pPr>
      <w:r>
        <w:rPr>
          <w:rFonts w:hint="cs"/>
          <w:rtl/>
        </w:rPr>
        <w:tab/>
        <w:t xml:space="preserve">وإلى جانب ذلك، فإن </w:t>
      </w:r>
      <w:r w:rsidRPr="007B10A3">
        <w:rPr>
          <w:rFonts w:hint="cs"/>
          <w:i/>
          <w:iCs/>
          <w:rtl/>
        </w:rPr>
        <w:t>منح الإعانات</w:t>
      </w:r>
      <w:r>
        <w:rPr>
          <w:rFonts w:hint="cs"/>
          <w:rtl/>
        </w:rPr>
        <w:t xml:space="preserve"> من أجل تنظيم حلقات دراسية أو أيام للدراسة أو ندوات ساعدت على التفكير في مكانة المرأة في المجتمع يؤكد أيضا الاهتمام الذي يوليه المجتمع الفرنسي لهذه المشكلة.</w:t>
      </w:r>
    </w:p>
    <w:p w:rsidR="007023B4" w:rsidRDefault="007023B4" w:rsidP="007023B4">
      <w:pPr>
        <w:pStyle w:val="SingleTxt"/>
        <w:rPr>
          <w:rFonts w:hint="cs"/>
          <w:rtl/>
        </w:rPr>
      </w:pPr>
      <w:r>
        <w:rPr>
          <w:rFonts w:hint="cs"/>
          <w:rtl/>
        </w:rPr>
        <w:tab/>
        <w:t xml:space="preserve">ويضم مجموع النصوص التنظيمية، التي تم إعدادها منذ شهر كانون الأول/ديسمبر 2002، والتي اقترنت بإصلاح </w:t>
      </w:r>
      <w:r w:rsidRPr="007B10A3">
        <w:rPr>
          <w:rFonts w:hint="eastAsia"/>
          <w:i/>
          <w:iCs/>
          <w:rtl/>
        </w:rPr>
        <w:t>التعليم الفني</w:t>
      </w:r>
      <w:r>
        <w:rPr>
          <w:rFonts w:hint="cs"/>
          <w:rtl/>
        </w:rPr>
        <w:t xml:space="preserve">، البعد الجنساني أيضا. وعندما يتعذّر تحرير الألقاب والوظائف في نص من النصوص بصيغة المذكر وصيغة المؤنث (توخيا للتوضيح)، فإن وزيرة التعليم العالي والبحث العلمي تحرص على أن تدرج بطريقة منتظمة عبارة مماثلة للعبارة أعلاه، وهي </w:t>
      </w:r>
      <w:r>
        <w:rPr>
          <w:rFonts w:hint="eastAsia"/>
          <w:rtl/>
        </w:rPr>
        <w:t xml:space="preserve">”جميع الألقاب والوظائف المذكورة في </w:t>
      </w:r>
      <w:r>
        <w:rPr>
          <w:rFonts w:hint="cs"/>
          <w:rtl/>
        </w:rPr>
        <w:t xml:space="preserve">هذا </w:t>
      </w:r>
      <w:r>
        <w:rPr>
          <w:rFonts w:hint="eastAsia"/>
          <w:rtl/>
        </w:rPr>
        <w:t>النص ت</w:t>
      </w:r>
      <w:r>
        <w:rPr>
          <w:rFonts w:hint="cs"/>
          <w:rtl/>
        </w:rPr>
        <w:t>ُ</w:t>
      </w:r>
      <w:r>
        <w:rPr>
          <w:rFonts w:hint="eastAsia"/>
          <w:rtl/>
        </w:rPr>
        <w:t>قر</w:t>
      </w:r>
      <w:r>
        <w:rPr>
          <w:rFonts w:hint="cs"/>
          <w:rtl/>
        </w:rPr>
        <w:t>أ</w:t>
      </w:r>
      <w:r>
        <w:rPr>
          <w:rFonts w:hint="eastAsia"/>
          <w:rtl/>
        </w:rPr>
        <w:t xml:space="preserve"> بصيغة ال</w:t>
      </w:r>
      <w:r>
        <w:rPr>
          <w:rFonts w:hint="cs"/>
          <w:rtl/>
        </w:rPr>
        <w:t>م</w:t>
      </w:r>
      <w:r>
        <w:rPr>
          <w:rFonts w:hint="eastAsia"/>
          <w:rtl/>
        </w:rPr>
        <w:t>ذكر وصيغة المؤن</w:t>
      </w:r>
      <w:r>
        <w:rPr>
          <w:rFonts w:hint="cs"/>
          <w:rtl/>
        </w:rPr>
        <w:t>ث“. وإلى جانب ذلك، تراعي النصوص التي تستهدف إقامة هيئات التعليم الفني الثلاث (لجنة التجربة المفيدة، ولجنة استيعاب الدروس، ولجنة الاعتراف بالشهرة) التقسيم الذي يتطلبه المرسوم الصادر في 17 تموز/يوليه 2002.</w:t>
      </w:r>
    </w:p>
    <w:p w:rsidR="007023B4" w:rsidRDefault="007023B4" w:rsidP="007023B4">
      <w:pPr>
        <w:pStyle w:val="SingleTxt"/>
        <w:rPr>
          <w:rFonts w:hint="cs"/>
          <w:rtl/>
        </w:rPr>
      </w:pPr>
      <w:r>
        <w:rPr>
          <w:rFonts w:hint="cs"/>
          <w:rtl/>
        </w:rPr>
        <w:tab/>
        <w:t xml:space="preserve">والمرسوم البرلماني للمجتمع الفرنسي الصادر في 20 تموز/يوليه 2005 والمعدل للمرسوم الصادر في 12 كانون الأول/ديسمبر 2000 والمتعلق </w:t>
      </w:r>
      <w:r w:rsidRPr="007B10A3">
        <w:rPr>
          <w:rFonts w:hint="cs"/>
          <w:i/>
          <w:iCs/>
          <w:rtl/>
        </w:rPr>
        <w:t>بالتدريب الأولي للمعلمين والأساتذة</w:t>
      </w:r>
      <w:r>
        <w:rPr>
          <w:rFonts w:hint="cs"/>
          <w:rtl/>
        </w:rPr>
        <w:t xml:space="preserve">، الذي دخل حيز التنفيذ في 15 أيلول/سبتمبر 2005، ينص في فقرتيه 1 و2 من مادته 3 على النشاط التعليمي لمدة 30 ساعة، على أساس </w:t>
      </w:r>
      <w:r>
        <w:rPr>
          <w:rFonts w:hint="eastAsia"/>
          <w:rtl/>
        </w:rPr>
        <w:t>”</w:t>
      </w:r>
      <w:r>
        <w:rPr>
          <w:rFonts w:hint="cs"/>
          <w:rtl/>
        </w:rPr>
        <w:t>نهج نظري وعملي للتنوع الثقافي؛ والبعد الجنساني</w:t>
      </w:r>
      <w:r>
        <w:rPr>
          <w:rFonts w:hint="eastAsia"/>
          <w:rtl/>
        </w:rPr>
        <w:t>“.</w:t>
      </w:r>
    </w:p>
    <w:p w:rsidR="007023B4" w:rsidRPr="007B10A3" w:rsidRDefault="007023B4" w:rsidP="007023B4">
      <w:pPr>
        <w:pStyle w:val="SingleTxt"/>
        <w:spacing w:after="0" w:line="120" w:lineRule="exact"/>
        <w:rPr>
          <w:rFonts w:hint="cs"/>
          <w:b/>
          <w:bCs/>
          <w:sz w:val="10"/>
          <w:rtl/>
        </w:rPr>
      </w:pPr>
    </w:p>
    <w:p w:rsidR="007023B4" w:rsidRPr="00927E59" w:rsidRDefault="007023B4" w:rsidP="007023B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rPr>
      </w:pPr>
      <w:r w:rsidRPr="00927E59">
        <w:rPr>
          <w:rFonts w:hint="cs"/>
          <w:i/>
          <w:iCs/>
          <w:rtl/>
        </w:rPr>
        <w:tab/>
      </w:r>
      <w:r w:rsidRPr="00927E59">
        <w:rPr>
          <w:rFonts w:hint="cs"/>
          <w:i/>
          <w:iCs/>
          <w:rtl/>
        </w:rPr>
        <w:tab/>
        <w:t>التدابير الرامية إلى متابعة تطور مشكلة الجنسانية في التعليم العالي خارج الجامعة والتي تتيح تقييم السياسات المنتهجة في هذا المجال</w:t>
      </w:r>
    </w:p>
    <w:p w:rsidR="007023B4" w:rsidRPr="00927E59" w:rsidRDefault="007023B4" w:rsidP="007023B4">
      <w:pPr>
        <w:pStyle w:val="SingleTxt"/>
        <w:rPr>
          <w:rFonts w:hint="cs"/>
          <w:i/>
          <w:iCs/>
          <w:rtl/>
        </w:rPr>
      </w:pPr>
      <w:r>
        <w:rPr>
          <w:rFonts w:hint="cs"/>
          <w:rtl/>
        </w:rPr>
        <w:tab/>
        <w:t xml:space="preserve">منذ 12 سنة، مول المجتمع عدة أعمال اشترك في الاضطلاع بها مجلس رؤساء الجامعات الناطقة بالفرنسية وفريق بحث يضم كيانين جامعيين والإدارة. وأتاحت هذه الأعمال إيجاد أداة لتحليل المجتمع الطلابي في بلجيكا الناطقة بالفرنسية من زوايا وصفية ومستقبلية. واشتركت في تمويل الأعمال في هذه السنوات الأخيرة وزيرة التعليم العالي والبحث العلمي، وأدت هذه الأعمال إلى ظهور مؤلف في عام 2001 بعنوان </w:t>
      </w:r>
      <w:r w:rsidRPr="00927E59">
        <w:rPr>
          <w:rFonts w:hint="eastAsia"/>
          <w:i/>
          <w:iCs/>
          <w:rtl/>
        </w:rPr>
        <w:t xml:space="preserve">”مجتمع الطلاب </w:t>
      </w:r>
      <w:r>
        <w:rPr>
          <w:i/>
          <w:iCs/>
          <w:rtl/>
        </w:rPr>
        <w:t>-</w:t>
      </w:r>
      <w:r w:rsidRPr="00927E59">
        <w:rPr>
          <w:rFonts w:hint="eastAsia"/>
          <w:i/>
          <w:iCs/>
          <w:rtl/>
        </w:rPr>
        <w:t xml:space="preserve"> مواصفات </w:t>
      </w:r>
      <w:r w:rsidRPr="00927E59">
        <w:rPr>
          <w:rFonts w:hint="cs"/>
          <w:i/>
          <w:iCs/>
          <w:rtl/>
        </w:rPr>
        <w:t>وتطوّر وآفاق</w:t>
      </w:r>
      <w:r w:rsidRPr="00927E59">
        <w:rPr>
          <w:rFonts w:hint="eastAsia"/>
          <w:i/>
          <w:iCs/>
          <w:rtl/>
        </w:rPr>
        <w:t>“</w:t>
      </w:r>
      <w:r>
        <w:rPr>
          <w:rFonts w:hint="cs"/>
          <w:i/>
          <w:iCs/>
          <w:rtl/>
        </w:rPr>
        <w:t>.</w:t>
      </w:r>
    </w:p>
    <w:p w:rsidR="007023B4" w:rsidRDefault="007023B4" w:rsidP="007023B4">
      <w:pPr>
        <w:pStyle w:val="SingleTxt"/>
        <w:rPr>
          <w:rFonts w:hint="cs"/>
          <w:rtl/>
        </w:rPr>
      </w:pPr>
      <w:r>
        <w:rPr>
          <w:rFonts w:hint="cs"/>
          <w:rtl/>
        </w:rPr>
        <w:tab/>
        <w:t>وخصص المؤلِّف جزءا من تحليله للجوانب المتعلقة بالملتحقين بالجامعة حسب الجنس، والسن، والدراسة الثانوية، وكذلك التفكير في معدل نجاح الفتيات. وهذا المؤلّف يعد بوجه خاص وثيقة مرجعية لجميع الأشخاص المهتمين بتطور مجتمع الطلاب. وقاعدة البيانات الواردة فيه تحتوي على معلومات حول الطلاب في نظامنا التعليمي حسب مختلف المتغيرات، ويتيح بالتالي تقديم بيانات مفصلة حسب الجنس، وبخاصة في إطار أبحاث أخرى.</w:t>
      </w:r>
    </w:p>
    <w:p w:rsidR="007023B4" w:rsidRDefault="007023B4" w:rsidP="007023B4">
      <w:pPr>
        <w:pStyle w:val="SingleTxt"/>
        <w:rPr>
          <w:rFonts w:hint="cs"/>
          <w:rtl/>
          <w:lang w:bidi="ar-EG"/>
        </w:rPr>
      </w:pPr>
      <w:r>
        <w:rPr>
          <w:rFonts w:hint="cs"/>
          <w:rtl/>
        </w:rPr>
        <w:tab/>
        <w:t xml:space="preserve">ومنذ عام 2002، كلفت الوزيرة إدارة قواعد البيانات والتوثيق بمتابعة عمل الفريق المشترك بين الجامعات. ومنذ عام 2003، شاركت الإدارة ذاتها وشعبة الإحصاءات التابعة لمؤسسة التكنولوجيات الجديدة للمعلومات والاتصال في إدارة قاعدة البيانات المتعلقة بطلاب التعليم العالي خارج الجامعة. وتنشر البيانات المجمعة في تقارير سنوية مخصصة، من ناحية للتحليل، الوصفي لمجتمعات الطلاب والحاصلين على الدبلومات، ومن ناحية أخرى، لدراسة معدلات النجاح والإعادة والتسرب. ومن بين المتغيرات الرئيسية التي تناولها البحث، المتغير المتعلق بالجنس. وتتاح تقارير أعوام 2002 و 2003 و 2004 على الموقع </w:t>
      </w:r>
      <w:hyperlink r:id="rId21" w:history="1">
        <w:r w:rsidRPr="006D5CDD">
          <w:rPr>
            <w:rStyle w:val="Hyperlink"/>
          </w:rPr>
          <w:t>www.enseignement.be/infosup</w:t>
        </w:r>
      </w:hyperlink>
      <w:r>
        <w:rPr>
          <w:rFonts w:hint="cs"/>
          <w:rtl/>
          <w:lang w:bidi="ar-EG"/>
        </w:rPr>
        <w:t xml:space="preserve"> تحت العنوان </w:t>
      </w:r>
      <w:r>
        <w:rPr>
          <w:lang w:bidi="ar-EG"/>
        </w:rPr>
        <w:t>SATURN</w:t>
      </w:r>
      <w:r>
        <w:rPr>
          <w:rFonts w:hint="cs"/>
          <w:rtl/>
          <w:lang w:bidi="ar-EG"/>
        </w:rPr>
        <w:t>.</w:t>
      </w:r>
    </w:p>
    <w:p w:rsidR="007023B4" w:rsidRPr="00927E59" w:rsidRDefault="007023B4" w:rsidP="007023B4">
      <w:pPr>
        <w:pStyle w:val="SingleTxt"/>
        <w:rPr>
          <w:rFonts w:hint="cs"/>
          <w:b/>
          <w:bCs/>
          <w:i/>
          <w:iCs/>
          <w:rtl/>
          <w:lang w:bidi="ar-EG"/>
        </w:rPr>
      </w:pPr>
      <w:r w:rsidRPr="00927E59">
        <w:rPr>
          <w:rFonts w:hint="cs"/>
          <w:b/>
          <w:bCs/>
          <w:i/>
          <w:iCs/>
          <w:rtl/>
          <w:lang w:bidi="ar-EG"/>
        </w:rPr>
        <w:t>التدابير المتعلقة بدراسة مشكلة الجنس والتوعية بهذه المشكلة</w:t>
      </w:r>
    </w:p>
    <w:p w:rsidR="007023B4" w:rsidRPr="00927E59" w:rsidRDefault="007023B4" w:rsidP="007023B4">
      <w:pPr>
        <w:pStyle w:val="SingleTxt"/>
        <w:rPr>
          <w:rFonts w:hint="cs"/>
          <w:i/>
          <w:iCs/>
          <w:rtl/>
          <w:lang w:bidi="ar-EG"/>
        </w:rPr>
      </w:pPr>
      <w:r w:rsidRPr="00927E59">
        <w:rPr>
          <w:rFonts w:hint="cs"/>
          <w:i/>
          <w:iCs/>
          <w:rtl/>
          <w:lang w:bidi="ar-EG"/>
        </w:rPr>
        <w:t>تمويل الأبحاث:</w:t>
      </w:r>
    </w:p>
    <w:p w:rsidR="007023B4" w:rsidRDefault="007023B4" w:rsidP="007023B4">
      <w:pPr>
        <w:pStyle w:val="SingleTxt"/>
        <w:rPr>
          <w:rFonts w:hint="cs"/>
          <w:rtl/>
          <w:lang w:bidi="ar-EG"/>
        </w:rPr>
      </w:pPr>
      <w:r>
        <w:rPr>
          <w:rFonts w:hint="cs"/>
          <w:rtl/>
          <w:lang w:bidi="ar-EG"/>
        </w:rPr>
        <w:tab/>
        <w:t>قام المجتمع الفرنسي بتمويل عدد معين من الأبحاث الكفيلة بإلقاء الضوء على ظواهر تعمل على إيجاد أشكال لعدم المساواة بين الرجل والمرأة على مستوى التعليم العالي. وتتعلق هذه الأبحاث أو تعلقت بصفة خاصة، بمكانة المرأة في المناصب الأكاديمية أو بوصول الشابات إلى الدراسات الجامعية:</w:t>
      </w:r>
    </w:p>
    <w:p w:rsidR="007023B4" w:rsidRDefault="007023B4" w:rsidP="00B105B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B105BA">
        <w:rPr>
          <w:rFonts w:hint="cs"/>
          <w:rtl/>
          <w:lang w:bidi="ar-EG"/>
        </w:rPr>
        <w:t>«</w:t>
      </w:r>
      <w:r>
        <w:rPr>
          <w:rFonts w:hint="cs"/>
          <w:rtl/>
          <w:lang w:bidi="ar-EG"/>
        </w:rPr>
        <w:tab/>
      </w:r>
      <w:r>
        <w:rPr>
          <w:rFonts w:hint="eastAsia"/>
          <w:rtl/>
          <w:lang w:bidi="ar-EG"/>
        </w:rPr>
        <w:t>”</w:t>
      </w:r>
      <w:r>
        <w:rPr>
          <w:rFonts w:hint="cs"/>
          <w:rtl/>
          <w:lang w:bidi="ar-EG"/>
        </w:rPr>
        <w:t>تمثيل المرأة في البحث داخل المؤسسات الجامعية في المجتمع الفرنسي</w:t>
      </w:r>
      <w:r>
        <w:rPr>
          <w:rFonts w:hint="eastAsia"/>
          <w:rtl/>
          <w:lang w:bidi="ar-EG"/>
        </w:rPr>
        <w:t>“</w:t>
      </w:r>
    </w:p>
    <w:p w:rsidR="007023B4" w:rsidRDefault="007023B4" w:rsidP="00B105B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B105BA">
        <w:rPr>
          <w:rFonts w:hint="cs"/>
          <w:rtl/>
          <w:lang w:bidi="ar-EG"/>
        </w:rPr>
        <w:t>«</w:t>
      </w:r>
      <w:r>
        <w:rPr>
          <w:rFonts w:hint="cs"/>
          <w:rtl/>
          <w:lang w:bidi="ar-EG"/>
        </w:rPr>
        <w:tab/>
      </w:r>
      <w:r>
        <w:rPr>
          <w:rFonts w:hint="eastAsia"/>
          <w:rtl/>
          <w:lang w:bidi="ar-EG"/>
        </w:rPr>
        <w:t>”</w:t>
      </w:r>
      <w:r>
        <w:rPr>
          <w:rFonts w:hint="cs"/>
          <w:rtl/>
          <w:lang w:bidi="ar-EG"/>
        </w:rPr>
        <w:t>تحليل الحالة المهنية للدكاترة أصحاب الرسائل في المجتمع الفرنسي في بلجيكا</w:t>
      </w:r>
      <w:r>
        <w:rPr>
          <w:rFonts w:hint="eastAsia"/>
          <w:rtl/>
          <w:lang w:bidi="ar-EG"/>
        </w:rPr>
        <w:t>“</w:t>
      </w:r>
    </w:p>
    <w:p w:rsidR="007023B4" w:rsidRDefault="007023B4" w:rsidP="00B105B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eastAsia"/>
          <w:rtl/>
          <w:lang w:bidi="ar-EG"/>
        </w:rPr>
      </w:pPr>
      <w:r>
        <w:rPr>
          <w:rFonts w:hint="cs"/>
          <w:rtl/>
          <w:lang w:bidi="ar-EG"/>
        </w:rPr>
        <w:tab/>
      </w:r>
      <w:r w:rsidR="00B105BA">
        <w:rPr>
          <w:rFonts w:hint="cs"/>
          <w:rtl/>
          <w:lang w:bidi="ar-EG"/>
        </w:rPr>
        <w:t>«</w:t>
      </w:r>
      <w:r>
        <w:rPr>
          <w:rFonts w:hint="cs"/>
          <w:rtl/>
          <w:lang w:bidi="ar-EG"/>
        </w:rPr>
        <w:tab/>
      </w:r>
      <w:r>
        <w:rPr>
          <w:rFonts w:hint="eastAsia"/>
          <w:rtl/>
          <w:lang w:bidi="ar-EG"/>
        </w:rPr>
        <w:t>”</w:t>
      </w:r>
      <w:r>
        <w:rPr>
          <w:rFonts w:hint="cs"/>
          <w:rtl/>
          <w:lang w:bidi="ar-EG"/>
        </w:rPr>
        <w:t xml:space="preserve">مشروع </w:t>
      </w:r>
      <w:r>
        <w:rPr>
          <w:lang w:bidi="ar-EG"/>
        </w:rPr>
        <w:t>NEWTONIA</w:t>
      </w:r>
      <w:r>
        <w:rPr>
          <w:rFonts w:hint="cs"/>
          <w:rtl/>
          <w:lang w:bidi="ar-EG"/>
        </w:rPr>
        <w:t xml:space="preserve"> - وصول الشابات إلى الدراسات الجامعية العملية والتقنية</w:t>
      </w:r>
      <w:r>
        <w:rPr>
          <w:rFonts w:hint="eastAsia"/>
          <w:rtl/>
          <w:lang w:bidi="ar-EG"/>
        </w:rPr>
        <w:t>“</w:t>
      </w:r>
      <w:r>
        <w:rPr>
          <w:rFonts w:hint="cs"/>
          <w:rtl/>
          <w:lang w:bidi="ar-EG"/>
        </w:rPr>
        <w:t xml:space="preserve"> و</w:t>
      </w:r>
      <w:r>
        <w:rPr>
          <w:rFonts w:hint="eastAsia"/>
          <w:rtl/>
          <w:lang w:bidi="ar-EG"/>
        </w:rPr>
        <w:t>”</w:t>
      </w:r>
      <w:r>
        <w:rPr>
          <w:lang w:bidi="ar-EG"/>
        </w:rPr>
        <w:t>NEWTONIA 2</w:t>
      </w:r>
      <w:r>
        <w:rPr>
          <w:rFonts w:hint="cs"/>
          <w:rtl/>
          <w:lang w:bidi="ar-EG"/>
        </w:rPr>
        <w:t xml:space="preserve"> - النهوض بوصول الشابات إلى الدراسات الجامعية في العلوم والعلوم التطبيقية</w:t>
      </w:r>
      <w:r>
        <w:rPr>
          <w:rFonts w:hint="eastAsia"/>
          <w:rtl/>
          <w:lang w:bidi="ar-EG"/>
        </w:rPr>
        <w:t>“</w:t>
      </w:r>
    </w:p>
    <w:p w:rsidR="007023B4" w:rsidRDefault="007023B4" w:rsidP="00B105B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B105BA">
        <w:rPr>
          <w:rFonts w:hint="cs"/>
          <w:rtl/>
          <w:lang w:bidi="ar-EG"/>
        </w:rPr>
        <w:t>«</w:t>
      </w:r>
      <w:r>
        <w:rPr>
          <w:rFonts w:hint="cs"/>
          <w:rtl/>
          <w:lang w:bidi="ar-EG"/>
        </w:rPr>
        <w:tab/>
      </w:r>
      <w:r>
        <w:rPr>
          <w:rFonts w:hint="eastAsia"/>
          <w:rtl/>
          <w:lang w:bidi="ar-EG"/>
        </w:rPr>
        <w:t xml:space="preserve">”مسار الالتحاق بالتعليم العالي. تحليل جماعة مع </w:t>
      </w:r>
      <w:r>
        <w:rPr>
          <w:rFonts w:hint="cs"/>
          <w:rtl/>
          <w:lang w:bidi="ar-EG"/>
        </w:rPr>
        <w:t>الاهتمام على سبيل</w:t>
      </w:r>
      <w:r>
        <w:rPr>
          <w:rFonts w:hint="eastAsia"/>
          <w:rtl/>
          <w:lang w:bidi="ar-EG"/>
        </w:rPr>
        <w:t xml:space="preserve"> الأولوية </w:t>
      </w:r>
      <w:r>
        <w:rPr>
          <w:rFonts w:hint="cs"/>
          <w:rtl/>
          <w:lang w:bidi="ar-EG"/>
        </w:rPr>
        <w:t>ب</w:t>
      </w:r>
      <w:r>
        <w:rPr>
          <w:rFonts w:hint="eastAsia"/>
          <w:rtl/>
          <w:lang w:bidi="ar-EG"/>
        </w:rPr>
        <w:t>المحددات والضغوط ذات الطابع الاجتماعي</w:t>
      </w:r>
      <w:r>
        <w:rPr>
          <w:rFonts w:hint="cs"/>
          <w:rtl/>
          <w:lang w:bidi="ar-EG"/>
        </w:rPr>
        <w:t>“</w:t>
      </w:r>
    </w:p>
    <w:p w:rsidR="007023B4" w:rsidRDefault="007023B4" w:rsidP="00B105B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eastAsia"/>
          <w:rtl/>
          <w:lang w:bidi="ar-EG"/>
        </w:rPr>
      </w:pPr>
      <w:r>
        <w:rPr>
          <w:rFonts w:hint="cs"/>
          <w:rtl/>
          <w:lang w:bidi="ar-EG"/>
        </w:rPr>
        <w:tab/>
      </w:r>
      <w:r w:rsidR="00B105BA">
        <w:rPr>
          <w:rFonts w:hint="cs"/>
          <w:rtl/>
          <w:lang w:bidi="ar-EG"/>
        </w:rPr>
        <w:t>«</w:t>
      </w:r>
      <w:r>
        <w:rPr>
          <w:rFonts w:hint="cs"/>
          <w:rtl/>
          <w:lang w:bidi="ar-EG"/>
        </w:rPr>
        <w:tab/>
      </w:r>
      <w:r>
        <w:rPr>
          <w:rFonts w:hint="eastAsia"/>
          <w:rtl/>
          <w:lang w:bidi="ar-EG"/>
        </w:rPr>
        <w:t>”</w:t>
      </w:r>
      <w:r>
        <w:rPr>
          <w:rFonts w:hint="cs"/>
          <w:rtl/>
          <w:lang w:bidi="ar-EG"/>
        </w:rPr>
        <w:t>نجاح أو فشل الطلاب المدرجين في الترشيح الأول للدرجات العلمية في المؤسسات الجامعية والذين يستفيدون من منحة للدراسات في المجتمع الفرنسي</w:t>
      </w:r>
      <w:r>
        <w:rPr>
          <w:rFonts w:hint="eastAsia"/>
          <w:rtl/>
          <w:lang w:bidi="ar-EG"/>
        </w:rPr>
        <w:t>“</w:t>
      </w:r>
    </w:p>
    <w:p w:rsidR="007023B4" w:rsidRPr="00927E59" w:rsidRDefault="007023B4" w:rsidP="007023B4">
      <w:pPr>
        <w:pStyle w:val="SingleTxt"/>
        <w:rPr>
          <w:rFonts w:hint="cs"/>
          <w:i/>
          <w:iCs/>
          <w:rtl/>
          <w:lang w:bidi="ar-EG"/>
        </w:rPr>
      </w:pPr>
      <w:r w:rsidRPr="00927E59">
        <w:rPr>
          <w:rFonts w:hint="cs"/>
          <w:i/>
          <w:iCs/>
          <w:rtl/>
          <w:lang w:bidi="ar-EG"/>
        </w:rPr>
        <w:t>الشراكات:</w:t>
      </w:r>
    </w:p>
    <w:p w:rsidR="007023B4" w:rsidRDefault="007023B4" w:rsidP="007023B4">
      <w:pPr>
        <w:pStyle w:val="SingleTxt"/>
        <w:rPr>
          <w:rFonts w:hint="cs"/>
          <w:rtl/>
          <w:lang w:bidi="ar-EG"/>
        </w:rPr>
      </w:pPr>
      <w:r>
        <w:rPr>
          <w:rFonts w:hint="cs"/>
          <w:rtl/>
          <w:lang w:bidi="ar-EG"/>
        </w:rPr>
        <w:tab/>
        <w:t xml:space="preserve">تم تنظيم مائدة مستديرة بعنوان </w:t>
      </w:r>
      <w:r>
        <w:rPr>
          <w:rFonts w:hint="eastAsia"/>
          <w:rtl/>
          <w:lang w:bidi="ar-EG"/>
        </w:rPr>
        <w:t>”</w:t>
      </w:r>
      <w:r w:rsidRPr="00927E59">
        <w:rPr>
          <w:rFonts w:hint="cs"/>
          <w:i/>
          <w:iCs/>
          <w:rtl/>
          <w:lang w:bidi="ar-EG"/>
        </w:rPr>
        <w:t>تدريب المعلمين</w:t>
      </w:r>
      <w:r w:rsidRPr="00927E59">
        <w:rPr>
          <w:rFonts w:hint="eastAsia"/>
          <w:i/>
          <w:iCs/>
          <w:rtl/>
          <w:lang w:bidi="ar-EG"/>
        </w:rPr>
        <w:t xml:space="preserve"> والمعلمات </w:t>
      </w:r>
      <w:r w:rsidRPr="00927E59">
        <w:rPr>
          <w:rFonts w:hint="cs"/>
          <w:i/>
          <w:iCs/>
          <w:rtl/>
          <w:lang w:bidi="ar-EG"/>
        </w:rPr>
        <w:t>على التعليم غير المتسم بالتحيز الجنساني</w:t>
      </w:r>
      <w:r>
        <w:rPr>
          <w:rFonts w:hint="cs"/>
          <w:rtl/>
          <w:lang w:bidi="ar-EG"/>
        </w:rPr>
        <w:t>“</w:t>
      </w:r>
      <w:r w:rsidRPr="005A4CB7">
        <w:rPr>
          <w:vertAlign w:val="superscript"/>
          <w:rtl/>
          <w:lang w:bidi="ar-EG"/>
        </w:rPr>
        <w:t>(</w:t>
      </w:r>
      <w:r>
        <w:rPr>
          <w:rStyle w:val="FootnoteReference"/>
          <w:rtl/>
        </w:rPr>
        <w:footnoteReference w:id="42"/>
      </w:r>
      <w:r w:rsidRPr="005A4CB7">
        <w:rPr>
          <w:vertAlign w:val="superscript"/>
          <w:rtl/>
          <w:lang w:bidi="ar-EG"/>
        </w:rPr>
        <w:t>)</w:t>
      </w:r>
      <w:r>
        <w:rPr>
          <w:rFonts w:hint="cs"/>
          <w:rtl/>
          <w:lang w:bidi="ar-EG"/>
        </w:rPr>
        <w:t xml:space="preserve">، في 20 حزيران/يونيه 2005، بواسطة إدارة تكافؤ الفرص ومختلف الشركاء في المشروع المعنون </w:t>
      </w:r>
      <w:r>
        <w:rPr>
          <w:rFonts w:hint="eastAsia"/>
          <w:rtl/>
          <w:lang w:bidi="ar-EG"/>
        </w:rPr>
        <w:t>”</w:t>
      </w:r>
      <w:r w:rsidRPr="00927E59">
        <w:rPr>
          <w:rFonts w:hint="eastAsia"/>
          <w:i/>
          <w:iCs/>
          <w:rtl/>
          <w:lang w:bidi="ar-EG"/>
        </w:rPr>
        <w:t>الوقاية من العنف ضد المرأة</w:t>
      </w:r>
      <w:r w:rsidRPr="00927E59">
        <w:rPr>
          <w:rFonts w:hint="cs"/>
          <w:i/>
          <w:iCs/>
          <w:rtl/>
          <w:lang w:bidi="ar-EG"/>
        </w:rPr>
        <w:t xml:space="preserve">: تدريب </w:t>
      </w:r>
      <w:r>
        <w:rPr>
          <w:rFonts w:hint="cs"/>
          <w:i/>
          <w:iCs/>
          <w:rtl/>
          <w:lang w:bidi="ar-EG"/>
        </w:rPr>
        <w:t>معلمي ومعلمات</w:t>
      </w:r>
      <w:r w:rsidRPr="00927E59">
        <w:rPr>
          <w:rFonts w:hint="cs"/>
          <w:i/>
          <w:iCs/>
          <w:rtl/>
          <w:lang w:bidi="ar-EG"/>
        </w:rPr>
        <w:t xml:space="preserve"> المستقبل على </w:t>
      </w:r>
      <w:r>
        <w:rPr>
          <w:rFonts w:hint="cs"/>
          <w:i/>
          <w:iCs/>
          <w:rtl/>
          <w:lang w:bidi="ar-EG"/>
        </w:rPr>
        <w:t>ال</w:t>
      </w:r>
      <w:r w:rsidRPr="00927E59">
        <w:rPr>
          <w:rFonts w:hint="cs"/>
          <w:i/>
          <w:iCs/>
          <w:rtl/>
          <w:lang w:bidi="ar-EG"/>
        </w:rPr>
        <w:t xml:space="preserve">تعليم غير </w:t>
      </w:r>
      <w:r>
        <w:rPr>
          <w:rFonts w:hint="cs"/>
          <w:i/>
          <w:iCs/>
          <w:rtl/>
          <w:lang w:bidi="ar-EG"/>
        </w:rPr>
        <w:t>المتسم بالتحيز ال</w:t>
      </w:r>
      <w:r w:rsidRPr="00927E59">
        <w:rPr>
          <w:rFonts w:hint="cs"/>
          <w:i/>
          <w:iCs/>
          <w:rtl/>
          <w:lang w:bidi="ar-EG"/>
        </w:rPr>
        <w:t>جنساني</w:t>
      </w:r>
      <w:r>
        <w:rPr>
          <w:rFonts w:hint="eastAsia"/>
          <w:rtl/>
          <w:lang w:bidi="ar-EG"/>
        </w:rPr>
        <w:t>“،</w:t>
      </w:r>
      <w:r>
        <w:rPr>
          <w:rFonts w:hint="cs"/>
          <w:rtl/>
          <w:lang w:bidi="ar-EG"/>
        </w:rPr>
        <w:t xml:space="preserve"> المنفّذ </w:t>
      </w:r>
      <w:r>
        <w:rPr>
          <w:rFonts w:hint="eastAsia"/>
          <w:rtl/>
          <w:lang w:bidi="ar-EG"/>
        </w:rPr>
        <w:t xml:space="preserve">في إطار </w:t>
      </w:r>
      <w:r w:rsidRPr="002A1EFA">
        <w:rPr>
          <w:rFonts w:hint="eastAsia"/>
          <w:i/>
          <w:iCs/>
          <w:rtl/>
          <w:lang w:bidi="ar-EG"/>
        </w:rPr>
        <w:t>البرنامج الأوروبي</w:t>
      </w:r>
      <w:r>
        <w:rPr>
          <w:rFonts w:hint="eastAsia"/>
          <w:rtl/>
          <w:lang w:bidi="ar-EG"/>
        </w:rPr>
        <w:t xml:space="preserve"> </w:t>
      </w:r>
      <w:r>
        <w:rPr>
          <w:rFonts w:hint="cs"/>
          <w:i/>
          <w:iCs/>
          <w:rtl/>
          <w:lang w:bidi="ar-EG"/>
        </w:rPr>
        <w:t xml:space="preserve">لمكافحة العنف ضد الطفل والمراهق والمرأة </w:t>
      </w:r>
      <w:r>
        <w:rPr>
          <w:i/>
          <w:iCs/>
          <w:lang w:bidi="ar-EG"/>
        </w:rPr>
        <w:t>(DAPHNE)</w:t>
      </w:r>
      <w:r w:rsidRPr="005A4CB7">
        <w:rPr>
          <w:vertAlign w:val="superscript"/>
          <w:rtl/>
          <w:lang w:bidi="ar-EG"/>
        </w:rPr>
        <w:t>(</w:t>
      </w:r>
      <w:r>
        <w:rPr>
          <w:rStyle w:val="FootnoteReference"/>
          <w:rtl/>
        </w:rPr>
        <w:footnoteReference w:id="43"/>
      </w:r>
      <w:r w:rsidRPr="005A4CB7">
        <w:rPr>
          <w:vertAlign w:val="superscript"/>
          <w:rtl/>
          <w:lang w:bidi="ar-EG"/>
        </w:rPr>
        <w:t>)</w:t>
      </w:r>
      <w:r>
        <w:rPr>
          <w:rFonts w:hint="cs"/>
          <w:rtl/>
          <w:lang w:bidi="ar-EG"/>
        </w:rPr>
        <w:t>.</w:t>
      </w:r>
    </w:p>
    <w:p w:rsidR="007023B4" w:rsidRDefault="007023B4" w:rsidP="007023B4">
      <w:pPr>
        <w:pStyle w:val="SingleTxt"/>
        <w:rPr>
          <w:rFonts w:hint="cs"/>
          <w:rtl/>
          <w:lang w:bidi="ar-EG"/>
        </w:rPr>
      </w:pPr>
      <w:r>
        <w:rPr>
          <w:rFonts w:hint="cs"/>
          <w:rtl/>
          <w:lang w:bidi="ar-EG"/>
        </w:rPr>
        <w:tab/>
        <w:t xml:space="preserve">ويهدف هذا المشروع، الذي اضطلعت به في الفترة 2002-2005 </w:t>
      </w:r>
      <w:r w:rsidRPr="002A1EFA">
        <w:rPr>
          <w:rFonts w:hint="cs"/>
          <w:i/>
          <w:iCs/>
          <w:rtl/>
          <w:lang w:bidi="ar-EG"/>
        </w:rPr>
        <w:t>جمعية تضامن النساء</w:t>
      </w:r>
      <w:r>
        <w:rPr>
          <w:rFonts w:hint="cs"/>
          <w:rtl/>
          <w:lang w:bidi="ar-EG"/>
        </w:rPr>
        <w:t xml:space="preserve"> </w:t>
      </w:r>
      <w:r>
        <w:rPr>
          <w:rFonts w:hint="cs"/>
          <w:i/>
          <w:iCs/>
          <w:rtl/>
          <w:lang w:bidi="ar-EG"/>
        </w:rPr>
        <w:t xml:space="preserve">التي لا تهدف إلى الربح </w:t>
      </w:r>
      <w:r>
        <w:rPr>
          <w:rFonts w:hint="cs"/>
          <w:rtl/>
          <w:lang w:bidi="ar-EG"/>
        </w:rPr>
        <w:t xml:space="preserve">في المجتمع الفرنسي، </w:t>
      </w:r>
      <w:r w:rsidRPr="002A1EFA">
        <w:rPr>
          <w:rFonts w:hint="cs"/>
          <w:i/>
          <w:iCs/>
          <w:rtl/>
          <w:lang w:bidi="ar-EG"/>
        </w:rPr>
        <w:t xml:space="preserve">والمؤسسة </w:t>
      </w:r>
      <w:r>
        <w:rPr>
          <w:rFonts w:hint="cs"/>
          <w:i/>
          <w:iCs/>
          <w:rtl/>
          <w:lang w:bidi="ar-EG"/>
        </w:rPr>
        <w:t xml:space="preserve">النسائية في إسبانيا </w:t>
      </w:r>
      <w:r w:rsidRPr="002A1EFA">
        <w:rPr>
          <w:rFonts w:hint="cs"/>
          <w:i/>
          <w:iCs/>
          <w:rtl/>
          <w:lang w:bidi="ar-EG"/>
        </w:rPr>
        <w:t>والمعهد الجامعي لتدريب الأساتذة</w:t>
      </w:r>
      <w:r>
        <w:rPr>
          <w:rFonts w:hint="cs"/>
          <w:rtl/>
          <w:lang w:bidi="ar-EG"/>
        </w:rPr>
        <w:t xml:space="preserve"> في ليل بفرنسا، إلى قيام مختلف الشركاء في المشروع، بوضع أداة وطرائق تجريبية وتقويمية مشتركة عن طريق جمع التجارب وتحليل الأدوات القائمة. ويدعم العمل اللجان التربوية المحلية التي يقودها كل من الشركاء.</w:t>
      </w:r>
    </w:p>
    <w:p w:rsidR="007023B4" w:rsidRDefault="007023B4" w:rsidP="007023B4">
      <w:pPr>
        <w:pStyle w:val="SingleTxt"/>
        <w:rPr>
          <w:rFonts w:hint="cs"/>
          <w:rtl/>
          <w:lang w:bidi="ar-EG"/>
        </w:rPr>
      </w:pPr>
      <w:r>
        <w:rPr>
          <w:rFonts w:hint="cs"/>
          <w:rtl/>
          <w:lang w:bidi="ar-EG"/>
        </w:rPr>
        <w:tab/>
        <w:t>والنتائج النهائية لهذا المشروع، في المجتمع الفرنسي، هي كما يلي:</w:t>
      </w:r>
    </w:p>
    <w:p w:rsidR="007023B4" w:rsidRDefault="007023B4" w:rsidP="00B105B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rFonts w:hint="cs"/>
          <w:rtl/>
          <w:lang w:bidi="ar-EG"/>
        </w:rPr>
        <w:tab/>
        <w:t>وضع نظام تدريب معلمي ومعلمات المستقبل على التعليم غير المتسم بالتحيز الجنساني؛</w:t>
      </w:r>
    </w:p>
    <w:p w:rsidR="007023B4" w:rsidRDefault="007023B4" w:rsidP="00B105B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rFonts w:hint="cs"/>
          <w:rtl/>
          <w:lang w:bidi="ar-EG"/>
        </w:rPr>
        <w:tab/>
        <w:t>تجريب هذا النظام عن طريق مدرسة ريادية؛</w:t>
      </w:r>
    </w:p>
    <w:p w:rsidR="007023B4" w:rsidRDefault="007023B4" w:rsidP="00B105B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rFonts w:hint="cs"/>
          <w:rtl/>
          <w:lang w:bidi="ar-EG"/>
        </w:rPr>
        <w:tab/>
        <w:t>تقييم النظام؛</w:t>
      </w:r>
    </w:p>
    <w:p w:rsidR="007023B4" w:rsidRPr="002A1EFA" w:rsidRDefault="007023B4" w:rsidP="00B105B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lang w:bidi="ar-EG"/>
        </w:rPr>
        <w:tab/>
      </w:r>
      <w:r>
        <w:rPr>
          <w:rFonts w:hint="cs"/>
          <w:rtl/>
          <w:lang w:bidi="ar-EG"/>
        </w:rPr>
        <w:tab/>
        <w:t xml:space="preserve">دليل التدريب والموقع على الإنترنت </w:t>
      </w:r>
      <w:hyperlink r:id="rId22" w:history="1">
        <w:r w:rsidRPr="00E3304E">
          <w:rPr>
            <w:color w:val="0000FF"/>
            <w:lang w:bidi="ar-EG"/>
          </w:rPr>
          <w:t>(http://www.educ-egal.org)</w:t>
        </w:r>
      </w:hyperlink>
      <w:r>
        <w:rPr>
          <w:rFonts w:hint="cs"/>
          <w:rtl/>
        </w:rPr>
        <w:t>؛</w:t>
      </w:r>
    </w:p>
    <w:p w:rsidR="007023B4" w:rsidRPr="002A1EFA" w:rsidRDefault="007023B4" w:rsidP="00B105B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i/>
          <w:iCs/>
          <w:rtl/>
          <w:lang w:bidi="ar-EG"/>
        </w:rPr>
      </w:pPr>
      <w:r>
        <w:rPr>
          <w:rFonts w:hint="cs"/>
          <w:rtl/>
          <w:lang w:bidi="ar-EG"/>
        </w:rPr>
        <w:tab/>
      </w:r>
      <w:r>
        <w:rPr>
          <w:rFonts w:hint="cs"/>
          <w:rtl/>
          <w:lang w:bidi="ar-EG"/>
        </w:rPr>
        <w:tab/>
      </w:r>
      <w:r w:rsidRPr="00E3304E">
        <w:rPr>
          <w:rFonts w:hint="cs"/>
          <w:rtl/>
          <w:lang w:bidi="ar-EG"/>
        </w:rPr>
        <w:t>تعميم النتائج على السلطات العامة المعنية.</w:t>
      </w:r>
    </w:p>
    <w:p w:rsidR="007023B4" w:rsidRDefault="007023B4" w:rsidP="007023B4">
      <w:pPr>
        <w:pStyle w:val="SingleTxt"/>
        <w:rPr>
          <w:rFonts w:hint="cs"/>
          <w:rtl/>
          <w:lang w:bidi="ar-EG"/>
        </w:rPr>
      </w:pPr>
      <w:r>
        <w:rPr>
          <w:rFonts w:hint="cs"/>
          <w:rtl/>
          <w:lang w:bidi="ar-EG"/>
        </w:rPr>
        <w:tab/>
        <w:t xml:space="preserve">وفي هذا الإطار، تم تنظيم </w:t>
      </w:r>
      <w:r w:rsidRPr="002A1EFA">
        <w:rPr>
          <w:rFonts w:hint="cs"/>
          <w:i/>
          <w:iCs/>
          <w:rtl/>
          <w:lang w:bidi="ar-EG"/>
        </w:rPr>
        <w:t>يوم للتدريب</w:t>
      </w:r>
      <w:r>
        <w:rPr>
          <w:rFonts w:hint="cs"/>
          <w:rtl/>
          <w:lang w:bidi="ar-EG"/>
        </w:rPr>
        <w:t xml:space="preserve"> موجَّه إلى معلمي ومعلمات المستقبل يوم الجمعة 27 كانون الثاني/يناير 2005 في موضوع </w:t>
      </w:r>
      <w:r w:rsidRPr="002A1EFA">
        <w:rPr>
          <w:rFonts w:hint="eastAsia"/>
          <w:i/>
          <w:iCs/>
          <w:rtl/>
          <w:lang w:bidi="ar-EG"/>
        </w:rPr>
        <w:t>”</w:t>
      </w:r>
      <w:r w:rsidRPr="002A1EFA">
        <w:rPr>
          <w:rFonts w:hint="cs"/>
          <w:i/>
          <w:iCs/>
          <w:rtl/>
          <w:lang w:bidi="ar-EG"/>
        </w:rPr>
        <w:t>ف</w:t>
      </w:r>
      <w:r w:rsidRPr="002A1EFA">
        <w:rPr>
          <w:rFonts w:hint="eastAsia"/>
          <w:i/>
          <w:iCs/>
          <w:rtl/>
          <w:lang w:bidi="ar-EG"/>
        </w:rPr>
        <w:t xml:space="preserve">يم يساهم </w:t>
      </w:r>
      <w:r w:rsidRPr="002A1EFA">
        <w:rPr>
          <w:rFonts w:hint="cs"/>
          <w:i/>
          <w:iCs/>
          <w:rtl/>
          <w:lang w:bidi="ar-EG"/>
        </w:rPr>
        <w:t>التفكير حول الجنسانية في نوعية التعليم؟</w:t>
      </w:r>
      <w:r w:rsidRPr="002A1EFA">
        <w:rPr>
          <w:rFonts w:hint="eastAsia"/>
          <w:i/>
          <w:iCs/>
          <w:rtl/>
          <w:lang w:bidi="ar-EG"/>
        </w:rPr>
        <w:t>“</w:t>
      </w:r>
      <w:r>
        <w:rPr>
          <w:rFonts w:hint="eastAsia"/>
          <w:rtl/>
          <w:lang w:bidi="ar-EG"/>
        </w:rPr>
        <w:t>، بالتعاون مع المدرسة الإقليمية العليا لمركز</w:t>
      </w:r>
      <w:r>
        <w:rPr>
          <w:rFonts w:hint="cs"/>
          <w:rtl/>
          <w:lang w:bidi="ar-EG"/>
        </w:rPr>
        <w:t xml:space="preserve"> </w:t>
      </w:r>
      <w:r>
        <w:rPr>
          <w:rFonts w:hint="eastAsia"/>
          <w:rtl/>
          <w:lang w:bidi="ar-EG"/>
        </w:rPr>
        <w:t>”</w:t>
      </w:r>
      <w:r>
        <w:rPr>
          <w:rFonts w:hint="cs"/>
          <w:rtl/>
          <w:lang w:bidi="ar-EG"/>
        </w:rPr>
        <w:t xml:space="preserve">مونر </w:t>
      </w:r>
      <w:r>
        <w:rPr>
          <w:rtl/>
          <w:lang w:bidi="ar-EG"/>
        </w:rPr>
        <w:t>-</w:t>
      </w:r>
      <w:r>
        <w:rPr>
          <w:rFonts w:hint="cs"/>
          <w:rtl/>
          <w:lang w:bidi="ar-EG"/>
        </w:rPr>
        <w:t xml:space="preserve"> بوريناج</w:t>
      </w:r>
      <w:r>
        <w:rPr>
          <w:rFonts w:hint="eastAsia"/>
          <w:rtl/>
          <w:lang w:bidi="ar-EG"/>
        </w:rPr>
        <w:t>“</w:t>
      </w:r>
      <w:r>
        <w:rPr>
          <w:rFonts w:hint="cs"/>
          <w:rtl/>
          <w:lang w:bidi="ar-EG"/>
        </w:rPr>
        <w:t>.</w:t>
      </w:r>
      <w:r w:rsidRPr="00334A16">
        <w:rPr>
          <w:vertAlign w:val="superscript"/>
          <w:rtl/>
          <w:lang w:bidi="ar-EG"/>
        </w:rPr>
        <w:t>(</w:t>
      </w:r>
      <w:r>
        <w:rPr>
          <w:rStyle w:val="FootnoteReference"/>
          <w:rtl/>
        </w:rPr>
        <w:footnoteReference w:id="44"/>
      </w:r>
      <w:r w:rsidRPr="00334A16">
        <w:rPr>
          <w:vertAlign w:val="superscript"/>
          <w:rtl/>
          <w:lang w:bidi="ar-EG"/>
        </w:rPr>
        <w:t>)</w:t>
      </w:r>
      <w:r>
        <w:rPr>
          <w:rFonts w:hint="cs"/>
          <w:rtl/>
          <w:lang w:bidi="ar-EG"/>
        </w:rPr>
        <w:t xml:space="preserve"> وهذا اليوم كان موجها إلى مدربي ومدربات معلمي ومعلمات المستقبل. وكان الهدف هو أن نبين لهم أهمية الأخذ بمنظور جنساني في مختلف فروع التعليم.</w:t>
      </w:r>
    </w:p>
    <w:p w:rsidR="007023B4" w:rsidRDefault="007023B4" w:rsidP="007023B4">
      <w:pPr>
        <w:pStyle w:val="SingleTxt"/>
        <w:rPr>
          <w:rFonts w:hint="cs"/>
          <w:rtl/>
          <w:lang w:bidi="ar-EG"/>
        </w:rPr>
      </w:pPr>
      <w:r>
        <w:rPr>
          <w:rFonts w:hint="cs"/>
          <w:rtl/>
          <w:lang w:bidi="ar-EG"/>
        </w:rPr>
        <w:tab/>
        <w:t>وانتهى المشروع بتقييم للتجربة الخارجية.</w:t>
      </w:r>
    </w:p>
    <w:p w:rsidR="007023B4" w:rsidRDefault="007023B4" w:rsidP="007023B4">
      <w:pPr>
        <w:pStyle w:val="SingleTxt"/>
        <w:rPr>
          <w:rFonts w:hint="cs"/>
          <w:rtl/>
          <w:lang w:bidi="ar-EG"/>
        </w:rPr>
      </w:pPr>
      <w:r>
        <w:rPr>
          <w:rFonts w:hint="cs"/>
          <w:rtl/>
          <w:lang w:bidi="ar-EG"/>
        </w:rPr>
        <w:tab/>
        <w:t xml:space="preserve">ومنح المجتمع الفرنسي أيضا عددا من </w:t>
      </w:r>
      <w:r w:rsidRPr="00AF4C34">
        <w:rPr>
          <w:rFonts w:hint="cs"/>
          <w:i/>
          <w:iCs/>
          <w:rtl/>
          <w:lang w:bidi="ar-EG"/>
        </w:rPr>
        <w:t>الإعانات</w:t>
      </w:r>
      <w:r>
        <w:rPr>
          <w:rFonts w:hint="cs"/>
          <w:rtl/>
          <w:lang w:bidi="ar-EG"/>
        </w:rPr>
        <w:t xml:space="preserve"> من أجل تنظيم الحلقات الدراسية أو الأيام الدراسية أو الندوات التي تقدم، بطريقة أو بأخرى، نتائج موضع اهتمام في مجال المساواة بين المرأة والرجل.</w:t>
      </w:r>
    </w:p>
    <w:p w:rsidR="007023B4" w:rsidRDefault="007023B4" w:rsidP="007023B4">
      <w:pPr>
        <w:pStyle w:val="SingleTxt"/>
        <w:rPr>
          <w:rFonts w:hint="cs"/>
          <w:rtl/>
          <w:lang w:bidi="ar-EG"/>
        </w:rPr>
      </w:pPr>
      <w:r>
        <w:rPr>
          <w:rFonts w:hint="cs"/>
          <w:rtl/>
          <w:lang w:bidi="ar-EG"/>
        </w:rPr>
        <w:tab/>
        <w:t xml:space="preserve">وتوفّر دائرة التقييمات الخارجية المشتركة بين الشبكات أيضا، منذ نشأتها، نتائج التلاميذ حسب الجنس في مختلف فروع العلم موضع الاختبار، وهو ما تفعله أيضا التقييمات الدولية. وعمل الموقع </w:t>
      </w:r>
      <w:hyperlink r:id="rId23" w:history="1">
        <w:r w:rsidRPr="006D5CDD">
          <w:rPr>
            <w:rStyle w:val="Hyperlink"/>
            <w:lang w:bidi="ar-EG"/>
          </w:rPr>
          <w:t>http://www.enseignement.be/</w:t>
        </w:r>
      </w:hyperlink>
      <w:r>
        <w:rPr>
          <w:rFonts w:hint="cs"/>
          <w:rtl/>
          <w:lang w:bidi="ar-EG"/>
        </w:rPr>
        <w:t xml:space="preserve"> على استحداث عدة صفحات مخصصة لمشكلة التمييز بين الرجل والمرأة، وذلك، في جملة أمور، بواسطة الموارد التربوية التي تتفق مع الخط الذي استحدثه (على سبيل المثال مشروع </w:t>
      </w:r>
      <w:r>
        <w:rPr>
          <w:rFonts w:hint="eastAsia"/>
          <w:rtl/>
          <w:lang w:bidi="ar-EG"/>
        </w:rPr>
        <w:t>”</w:t>
      </w:r>
      <w:r>
        <w:rPr>
          <w:lang w:bidi="ar-EG"/>
        </w:rPr>
        <w:t>objective venus</w:t>
      </w:r>
      <w:r>
        <w:rPr>
          <w:rFonts w:hint="cs"/>
          <w:rtl/>
          <w:lang w:bidi="ar-EG"/>
        </w:rPr>
        <w:t xml:space="preserve">“ الذي تضطلع به منظمة العفو الدولية). ويحيل الموقع أيضا في عدة نقاط نحو الصفحات التي قامت باستحداثها مواقع أخرى بشأن هذا الموضوع (وعلى سبيل المثال موقع </w:t>
      </w:r>
      <w:r w:rsidRPr="00AF4C34">
        <w:rPr>
          <w:rFonts w:hint="cs"/>
          <w:i/>
          <w:iCs/>
          <w:rtl/>
          <w:lang w:bidi="ar-EG"/>
        </w:rPr>
        <w:t>إدارة تكافؤ الفرص</w:t>
      </w:r>
      <w:r>
        <w:rPr>
          <w:rFonts w:hint="cs"/>
          <w:rtl/>
          <w:lang w:bidi="ar-EG"/>
        </w:rPr>
        <w:t>).</w:t>
      </w:r>
    </w:p>
    <w:p w:rsidR="007023B4" w:rsidRDefault="007023B4" w:rsidP="007023B4">
      <w:pPr>
        <w:pStyle w:val="SingleTxt"/>
        <w:rPr>
          <w:rFonts w:hint="cs"/>
          <w:rtl/>
          <w:lang w:bidi="ar-EG"/>
        </w:rPr>
      </w:pPr>
      <w:r>
        <w:rPr>
          <w:rFonts w:hint="cs"/>
          <w:rtl/>
          <w:lang w:bidi="ar-EG"/>
        </w:rPr>
        <w:tab/>
        <w:t xml:space="preserve">وعلى مستوى </w:t>
      </w:r>
      <w:r w:rsidRPr="00AF4C34">
        <w:rPr>
          <w:rFonts w:hint="cs"/>
          <w:i/>
          <w:iCs/>
          <w:rtl/>
          <w:lang w:bidi="ar-EG"/>
        </w:rPr>
        <w:t>الألعاب الرياضية</w:t>
      </w:r>
      <w:r>
        <w:rPr>
          <w:rFonts w:hint="cs"/>
          <w:rtl/>
          <w:lang w:bidi="ar-EG"/>
        </w:rPr>
        <w:t>، أنشئت أوسمة رياضية نسائية ووزعت عند تسليم جائزة الاستحقاق الرياضي للمجتمع الفرنسي. ومنحت أيضا إعانة لدى إنشاء لجنة النهوض بالرياضة النسائية، في إطار الاتحادات والجمعيات الرياضية المعترف بها.</w:t>
      </w:r>
    </w:p>
    <w:p w:rsidR="007023B4" w:rsidRDefault="007023B4" w:rsidP="007023B4">
      <w:pPr>
        <w:pStyle w:val="SingleTxt"/>
        <w:rPr>
          <w:rFonts w:hint="cs"/>
          <w:rtl/>
          <w:lang w:bidi="ar-EG"/>
        </w:rPr>
      </w:pPr>
      <w:r>
        <w:rPr>
          <w:rFonts w:hint="cs"/>
          <w:rtl/>
          <w:lang w:bidi="ar-EG"/>
        </w:rPr>
        <w:tab/>
        <w:t xml:space="preserve">وتتناول غالبية الجمعيات النسائية المعانة في مجال </w:t>
      </w:r>
      <w:r w:rsidRPr="00AF4C34">
        <w:rPr>
          <w:rFonts w:hint="cs"/>
          <w:i/>
          <w:iCs/>
          <w:rtl/>
          <w:lang w:bidi="ar-EG"/>
        </w:rPr>
        <w:t>التعليم</w:t>
      </w:r>
      <w:r>
        <w:rPr>
          <w:rFonts w:hint="cs"/>
          <w:rtl/>
          <w:lang w:bidi="ar-EG"/>
        </w:rPr>
        <w:t xml:space="preserve"> </w:t>
      </w:r>
      <w:r w:rsidRPr="00AF4C34">
        <w:rPr>
          <w:rFonts w:hint="cs"/>
          <w:i/>
          <w:iCs/>
          <w:rtl/>
          <w:lang w:bidi="ar-EG"/>
        </w:rPr>
        <w:t>المستمر</w:t>
      </w:r>
      <w:r>
        <w:rPr>
          <w:rFonts w:hint="cs"/>
          <w:rtl/>
          <w:lang w:bidi="ar-EG"/>
        </w:rPr>
        <w:t>، بطريقة مركزية أو هامشية، هذه المسائل في صورة التعليم غير الرسمي وبرامج محو الأمية.</w:t>
      </w:r>
    </w:p>
    <w:p w:rsidR="007023B4" w:rsidRDefault="007023B4" w:rsidP="007023B4">
      <w:pPr>
        <w:pStyle w:val="SingleTxt"/>
        <w:rPr>
          <w:rFonts w:hint="cs"/>
          <w:rtl/>
          <w:lang w:bidi="ar-EG"/>
        </w:rPr>
      </w:pPr>
      <w:r>
        <w:rPr>
          <w:rFonts w:hint="cs"/>
          <w:rtl/>
          <w:lang w:bidi="ar-EG"/>
        </w:rPr>
        <w:tab/>
        <w:t>ويستحدث التعليم المستمر برنامجا هاما لمكافحة الأمية. ويتناول هذا البرنامج على نحو كبير إلى حد بعيد محو أمية النساء ومن بينهن المهاجرات). ومن حيث التجهيز، سيعطي الاتفاق الأخير المشترك بين الوزارات، المبرم بين المجتمع الفرنسي وإقليم والون واللجنة المجتمعية الناطقة بالفرنسية، لهذا البرنامج دفعة جديدة. ولكن في الوقت الحالي، لا تتوافر بيانات إحصائية موزعة حسب الجنس عن محو أمية المرأة.</w:t>
      </w:r>
    </w:p>
    <w:p w:rsidR="007023B4" w:rsidRDefault="007023B4" w:rsidP="007023B4">
      <w:pPr>
        <w:pStyle w:val="SingleTxt"/>
        <w:rPr>
          <w:rFonts w:hint="cs"/>
          <w:rtl/>
          <w:lang w:bidi="ar-EG"/>
        </w:rPr>
      </w:pPr>
      <w:r>
        <w:rPr>
          <w:rFonts w:hint="cs"/>
          <w:rtl/>
          <w:lang w:bidi="ar-EG"/>
        </w:rPr>
        <w:tab/>
        <w:t xml:space="preserve">وعلى مستوى </w:t>
      </w:r>
      <w:r w:rsidRPr="00AF4C34">
        <w:rPr>
          <w:rFonts w:hint="cs"/>
          <w:i/>
          <w:iCs/>
          <w:rtl/>
          <w:lang w:bidi="ar-EG"/>
        </w:rPr>
        <w:t>الصحة</w:t>
      </w:r>
      <w:r>
        <w:rPr>
          <w:rFonts w:hint="cs"/>
          <w:rtl/>
          <w:lang w:bidi="ar-EG"/>
        </w:rPr>
        <w:t xml:space="preserve">، أصدر المجتمع الفرنسي، تحت رعايته، منشورا بعنوان </w:t>
      </w:r>
      <w:r>
        <w:rPr>
          <w:rFonts w:hint="eastAsia"/>
          <w:rtl/>
          <w:lang w:bidi="ar-EG"/>
        </w:rPr>
        <w:t>”</w:t>
      </w:r>
      <w:r>
        <w:rPr>
          <w:rFonts w:hint="cs"/>
          <w:i/>
          <w:iCs/>
          <w:rtl/>
          <w:lang w:bidi="ar-EG"/>
        </w:rPr>
        <w:t>المراهقات: النشاط الجنسي والصحة الإنجابية</w:t>
      </w:r>
      <w:r>
        <w:rPr>
          <w:rFonts w:hint="eastAsia"/>
          <w:rtl/>
          <w:lang w:bidi="ar-EG"/>
        </w:rPr>
        <w:t xml:space="preserve">. </w:t>
      </w:r>
      <w:r>
        <w:rPr>
          <w:rFonts w:hint="cs"/>
          <w:i/>
          <w:iCs/>
          <w:rtl/>
          <w:lang w:bidi="ar-EG"/>
        </w:rPr>
        <w:t>دراسة مرجعية</w:t>
      </w:r>
      <w:r>
        <w:rPr>
          <w:rFonts w:hint="cs"/>
          <w:rtl/>
          <w:lang w:bidi="ar-EG"/>
        </w:rPr>
        <w:t xml:space="preserve"> </w:t>
      </w:r>
      <w:r w:rsidRPr="00AF4C34">
        <w:rPr>
          <w:rFonts w:hint="cs"/>
          <w:i/>
          <w:iCs/>
          <w:rtl/>
          <w:lang w:bidi="ar-EG"/>
        </w:rPr>
        <w:t>في والون وبروكسل</w:t>
      </w:r>
      <w:r w:rsidRPr="00F35034">
        <w:rPr>
          <w:vertAlign w:val="superscript"/>
          <w:rtl/>
          <w:lang w:bidi="ar-EG"/>
        </w:rPr>
        <w:t>(</w:t>
      </w:r>
      <w:r>
        <w:rPr>
          <w:rStyle w:val="FootnoteReference"/>
          <w:rtl/>
        </w:rPr>
        <w:footnoteReference w:id="45"/>
      </w:r>
      <w:r w:rsidRPr="00F35034">
        <w:rPr>
          <w:vertAlign w:val="superscript"/>
          <w:rtl/>
          <w:lang w:bidi="ar-EG"/>
        </w:rPr>
        <w:t>)</w:t>
      </w:r>
      <w:r>
        <w:rPr>
          <w:rFonts w:hint="eastAsia"/>
          <w:rtl/>
          <w:lang w:bidi="ar-EG"/>
        </w:rPr>
        <w:t>“</w:t>
      </w:r>
      <w:r>
        <w:rPr>
          <w:rFonts w:hint="cs"/>
          <w:rtl/>
          <w:lang w:bidi="ar-EG"/>
        </w:rPr>
        <w:t xml:space="preserve"> يتطرق إلى توصيات معينة من حيث حصول المراهقات على معلومات في المجال الجنسي والعاطفي.</w:t>
      </w:r>
    </w:p>
    <w:p w:rsidR="0073566C" w:rsidRPr="0073566C" w:rsidRDefault="0073566C" w:rsidP="0073566C">
      <w:pPr>
        <w:pStyle w:val="SingleTxt"/>
        <w:spacing w:after="0" w:line="120" w:lineRule="exact"/>
        <w:rPr>
          <w:rFonts w:hint="cs"/>
          <w:sz w:val="10"/>
          <w:rtl/>
          <w:lang w:bidi="ar-EG"/>
        </w:rPr>
      </w:pPr>
    </w:p>
    <w:p w:rsidR="0073566C" w:rsidRDefault="0073566C" w:rsidP="0073566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جيم -</w:t>
      </w:r>
      <w:r>
        <w:rPr>
          <w:rFonts w:hint="cs"/>
          <w:rtl/>
        </w:rPr>
        <w:tab/>
        <w:t>إقليم بروكسل العاصمة</w:t>
      </w:r>
    </w:p>
    <w:p w:rsidR="0073566C" w:rsidRDefault="0073566C" w:rsidP="0073566C">
      <w:pPr>
        <w:pStyle w:val="SingleTxt"/>
        <w:rPr>
          <w:rFonts w:hint="cs"/>
          <w:rtl/>
        </w:rPr>
      </w:pPr>
      <w:r>
        <w:rPr>
          <w:rFonts w:hint="cs"/>
          <w:i/>
          <w:iCs/>
          <w:rtl/>
        </w:rPr>
        <w:t>ارتداء الحجاب في المدرسة</w:t>
      </w:r>
    </w:p>
    <w:p w:rsidR="0073566C" w:rsidRDefault="0073566C" w:rsidP="0073566C">
      <w:pPr>
        <w:pStyle w:val="SingleTxt"/>
        <w:rPr>
          <w:rFonts w:hint="cs"/>
          <w:rtl/>
        </w:rPr>
      </w:pPr>
      <w:r>
        <w:rPr>
          <w:rFonts w:hint="cs"/>
          <w:rtl/>
        </w:rPr>
        <w:tab/>
        <w:t>فيما يتعلق بمسألة ارتداء الحجاب في المدرسة، وهي مسألة بالغة الخصوصية، فإن مدارس بروكسل ومدارس سائر أقاليم البلد تتناقش حول منعه أو عدم منعه. والسماح بارتداء الحجاب أو عدم ارتدائه أمر تقرره المؤسسات التعليمية بمقتضى نظامها الداخلي</w:t>
      </w:r>
      <w:r w:rsidRPr="00367E41">
        <w:rPr>
          <w:vertAlign w:val="superscript"/>
          <w:rtl/>
        </w:rPr>
        <w:t xml:space="preserve"> (</w:t>
      </w:r>
      <w:r>
        <w:rPr>
          <w:rStyle w:val="FootnoteReference"/>
          <w:rtl/>
        </w:rPr>
        <w:footnoteReference w:id="46"/>
      </w:r>
      <w:r w:rsidRPr="00367E41">
        <w:rPr>
          <w:vertAlign w:val="superscript"/>
          <w:rtl/>
        </w:rPr>
        <w:t>)</w:t>
      </w:r>
      <w:r>
        <w:rPr>
          <w:rFonts w:hint="cs"/>
          <w:rtl/>
        </w:rPr>
        <w:t>. وارتداء الحجاب مرفوض في 70 في المائة من الـ 130 مؤسسة التي تضمها شبكة المجتمع الفرنسي (في حين كان 41 في المائة بالكاد من هذه المدارس ترفضه في عام 2000)، وفي 80 في المائة من المدارس الكاثوليكية. وفي بروكسل تقبل 8 مؤسسات تعليمية في شبكة المجتمع الفرنسي من بين 111 مؤسسة الفتيات المحجبات</w:t>
      </w:r>
      <w:r w:rsidRPr="00367E41">
        <w:rPr>
          <w:vertAlign w:val="superscript"/>
          <w:rtl/>
        </w:rPr>
        <w:t>(</w:t>
      </w:r>
      <w:r>
        <w:rPr>
          <w:rStyle w:val="FootnoteReference"/>
          <w:rtl/>
        </w:rPr>
        <w:footnoteReference w:id="47"/>
      </w:r>
      <w:r w:rsidRPr="00367E41">
        <w:rPr>
          <w:vertAlign w:val="superscript"/>
          <w:rtl/>
        </w:rPr>
        <w:t>)</w:t>
      </w:r>
      <w:r>
        <w:rPr>
          <w:rFonts w:hint="cs"/>
          <w:rtl/>
        </w:rPr>
        <w:t>.</w:t>
      </w:r>
    </w:p>
    <w:p w:rsidR="0073566C" w:rsidRDefault="0073566C" w:rsidP="0073566C">
      <w:pPr>
        <w:pStyle w:val="SingleTxt"/>
        <w:rPr>
          <w:rFonts w:hint="cs"/>
          <w:rtl/>
        </w:rPr>
      </w:pPr>
      <w:r>
        <w:rPr>
          <w:rFonts w:hint="cs"/>
          <w:rtl/>
        </w:rPr>
        <w:tab/>
        <w:t xml:space="preserve">وعلى صعيد </w:t>
      </w:r>
      <w:r>
        <w:rPr>
          <w:rFonts w:hint="cs"/>
          <w:i/>
          <w:iCs/>
          <w:rtl/>
        </w:rPr>
        <w:t>اللجنة المجتمعية الفرنسية لإقليم بروكسل العاصمة</w:t>
      </w:r>
      <w:r>
        <w:rPr>
          <w:rFonts w:hint="cs"/>
          <w:rtl/>
        </w:rPr>
        <w:t>، ينص المرسوم الصادر مؤخرا بشأن التلاحم الاجتماعي (2004) صراحة على وجوب العمل على تعزيز المساواة بين المرأة والرجل، والاختلاط، ومكافحة أي شكل للتمييز. وفي إطار هذا المرسوم، تدعم اللجنة المجتمعية الفرنسية العديد من مؤسسات الاستقبال خارج المدرسة. وهذا الدعم يشكل واحدا من مصادر التمويل الرئيسية لهذه المؤسسات في بروكسل. والمبادئ التي يقوم عليها دعم هذه المؤسسات، على غرار دعم الجمعيات الأخرى في مجال التلاحم الاجتماعي، هي مكافحة التمييز، والمساواة، والاختلاط.</w:t>
      </w:r>
    </w:p>
    <w:p w:rsidR="0073566C" w:rsidRDefault="0073566C" w:rsidP="0073566C">
      <w:pPr>
        <w:pStyle w:val="SingleTxt"/>
        <w:rPr>
          <w:rFonts w:hint="cs"/>
          <w:rtl/>
        </w:rPr>
      </w:pPr>
      <w:r>
        <w:rPr>
          <w:rFonts w:hint="cs"/>
          <w:rtl/>
        </w:rPr>
        <w:tab/>
        <w:t>وفضلا عن ذلك فإن مراكز تنظيم الأسرة تولي اهتماما خاصا للمرأة، ولا سيما فيما يتعلق بالحياة الجنسية والعاطفية. وتشمل مهام هذه المراكز التثقيف العاطفي والجنسي، والحصول على وسائل منع الحمل، والإسقاط الطوعي للحمل، وتوعية الشباب باتخاذ موقف يقوم على الاحترام المتبادل بين القرينين.</w:t>
      </w:r>
    </w:p>
    <w:p w:rsidR="0073566C" w:rsidRPr="000A2447" w:rsidRDefault="0073566C" w:rsidP="0073566C">
      <w:pPr>
        <w:pStyle w:val="SingleTxt"/>
        <w:spacing w:after="0" w:line="120" w:lineRule="exact"/>
        <w:rPr>
          <w:rFonts w:hint="cs"/>
          <w:sz w:val="12"/>
          <w:rtl/>
        </w:rPr>
      </w:pPr>
    </w:p>
    <w:p w:rsidR="0073566C" w:rsidRDefault="0073566C" w:rsidP="0073566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دال -</w:t>
      </w:r>
      <w:r>
        <w:rPr>
          <w:rFonts w:hint="cs"/>
          <w:rtl/>
        </w:rPr>
        <w:tab/>
        <w:t>المجتمع الناطق بالألمانية</w:t>
      </w:r>
    </w:p>
    <w:p w:rsidR="0073566C" w:rsidRDefault="0073566C" w:rsidP="0073566C">
      <w:pPr>
        <w:pStyle w:val="SingleTxt"/>
        <w:rPr>
          <w:rFonts w:hint="cs"/>
          <w:rtl/>
        </w:rPr>
      </w:pPr>
      <w:r>
        <w:rPr>
          <w:rFonts w:hint="cs"/>
          <w:rtl/>
        </w:rPr>
        <w:tab/>
        <w:t xml:space="preserve">يتولى المجتمع الناطق بالألمانية تمويل رابطة </w:t>
      </w:r>
      <w:r>
        <w:t>Arbeitsgemeinschaft f</w:t>
      </w:r>
      <w:r>
        <w:rPr>
          <w:rFonts w:cs="Times New Roman"/>
        </w:rPr>
        <w:t>ü</w:t>
      </w:r>
      <w:r>
        <w:t>r Suchtvorbeugung und Lebensbew</w:t>
      </w:r>
      <w:r>
        <w:rPr>
          <w:rFonts w:cs="Times New Roman"/>
        </w:rPr>
        <w:t>ä</w:t>
      </w:r>
      <w:r>
        <w:t>ltigung</w:t>
      </w:r>
      <w:r>
        <w:rPr>
          <w:rFonts w:hint="cs"/>
          <w:rtl/>
        </w:rPr>
        <w:t xml:space="preserve"> غير الهادفة إلى الربح، التي توفر المعلومات للأبوين، وبخاصة للأسر الوحيدة الوالد أو الوالدة، لتحسين القدرات التعليمية الخالية من أشكال العدوان والعنف، وتعلم وتطبيق أساليب حل المشاكل اليومية.</w:t>
      </w:r>
    </w:p>
    <w:p w:rsidR="0073566C" w:rsidRDefault="0073566C" w:rsidP="0073566C">
      <w:pPr>
        <w:pStyle w:val="SingleTxt"/>
        <w:rPr>
          <w:rFonts w:hint="cs"/>
          <w:rtl/>
        </w:rPr>
      </w:pPr>
      <w:r>
        <w:rPr>
          <w:rFonts w:hint="cs"/>
          <w:rtl/>
        </w:rPr>
        <w:tab/>
        <w:t>وتتصل المسائل المطروقة أكثر من غيرها بقيم وأهداف التعليم، وكيفية تعزيز الثقة بالنفس لدى الأطفال، وطريقة مساعدة ودعم الأطفال الذين يعيشون ظروفا صعبة، وكيفية التعبير عن الحاجة، والعثور على حلول للمشاكل العائلية.</w:t>
      </w:r>
    </w:p>
    <w:p w:rsidR="0073566C" w:rsidRDefault="0073566C" w:rsidP="0073566C">
      <w:pPr>
        <w:pStyle w:val="SingleTxt"/>
        <w:rPr>
          <w:rFonts w:hint="cs"/>
          <w:rtl/>
        </w:rPr>
      </w:pPr>
      <w:r>
        <w:rPr>
          <w:rFonts w:hint="cs"/>
          <w:rtl/>
        </w:rPr>
        <w:tab/>
        <w:t xml:space="preserve">وترتكز فلسفة هذا العمل على شعار </w:t>
      </w:r>
      <w:r>
        <w:rPr>
          <w:rFonts w:hint="eastAsia"/>
          <w:rtl/>
        </w:rPr>
        <w:t>”قوة الأطفال من قوة الوالدين</w:t>
      </w:r>
      <w:r>
        <w:rPr>
          <w:rFonts w:hint="cs"/>
          <w:rtl/>
        </w:rPr>
        <w:t>“.</w:t>
      </w:r>
    </w:p>
    <w:p w:rsidR="0073566C" w:rsidRPr="000A2447" w:rsidRDefault="0073566C" w:rsidP="0073566C">
      <w:pPr>
        <w:pStyle w:val="SingleTxt"/>
        <w:spacing w:after="0" w:line="120" w:lineRule="exact"/>
        <w:rPr>
          <w:rFonts w:hint="cs"/>
          <w:sz w:val="12"/>
          <w:rtl/>
        </w:rPr>
      </w:pPr>
    </w:p>
    <w:p w:rsidR="0073566C" w:rsidRDefault="0073566C" w:rsidP="0073566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المادة 11</w:t>
      </w:r>
    </w:p>
    <w:p w:rsidR="0073566C" w:rsidRDefault="0073566C" w:rsidP="0073566C">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أولا -  على المستوى الاتحادي</w:t>
      </w:r>
    </w:p>
    <w:p w:rsidR="0073566C" w:rsidRDefault="0073566C" w:rsidP="0073566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1 -</w:t>
      </w:r>
      <w:r>
        <w:rPr>
          <w:rFonts w:hint="cs"/>
          <w:rtl/>
        </w:rPr>
        <w:tab/>
        <w:t>العمالة</w:t>
      </w:r>
    </w:p>
    <w:p w:rsidR="0073566C" w:rsidRPr="007B7857" w:rsidRDefault="0073566C" w:rsidP="0073566C">
      <w:pPr>
        <w:pStyle w:val="SingleTxt"/>
        <w:rPr>
          <w:rFonts w:hint="cs"/>
          <w:i/>
          <w:iCs/>
          <w:rtl/>
        </w:rPr>
      </w:pPr>
      <w:r w:rsidRPr="007B7857">
        <w:rPr>
          <w:rFonts w:hint="cs"/>
          <w:i/>
          <w:iCs/>
          <w:rtl/>
        </w:rPr>
        <w:t>1-1</w:t>
      </w:r>
      <w:r w:rsidRPr="007B7857">
        <w:rPr>
          <w:rFonts w:hint="cs"/>
          <w:i/>
          <w:iCs/>
          <w:rtl/>
        </w:rPr>
        <w:tab/>
        <w:t>اتفاقية منظمة العمل الدولية رقم 156 المتعلقة بتكافؤ الفرص والمساواة في المعاملة بين العمال والعاملات: العمال ذوو المسؤوليات الأسرية، 1981</w:t>
      </w:r>
    </w:p>
    <w:p w:rsidR="0073566C" w:rsidRDefault="0073566C" w:rsidP="0073566C">
      <w:pPr>
        <w:pStyle w:val="SingleTxt"/>
        <w:rPr>
          <w:rFonts w:hint="cs"/>
          <w:b/>
          <w:bCs/>
          <w:rtl/>
        </w:rPr>
      </w:pPr>
      <w:r>
        <w:rPr>
          <w:rFonts w:hint="cs"/>
          <w:b/>
          <w:bCs/>
          <w:rtl/>
        </w:rPr>
        <w:tab/>
        <w:t>تجري الآن عملية التصديق على اتفاقية منظمة العمل الدولية رقم 156، ومجمل مستويات السلطة البلجيكية على وشك التصديق على النص.</w:t>
      </w:r>
    </w:p>
    <w:p w:rsidR="0073566C" w:rsidRPr="00420AEB" w:rsidRDefault="0073566C" w:rsidP="0073566C">
      <w:pPr>
        <w:pStyle w:val="SingleTxt"/>
        <w:spacing w:after="0" w:line="120" w:lineRule="exact"/>
        <w:rPr>
          <w:rFonts w:hint="cs"/>
          <w:b/>
          <w:bCs/>
          <w:i/>
          <w:iCs/>
          <w:sz w:val="12"/>
          <w:rtl/>
        </w:rPr>
      </w:pPr>
    </w:p>
    <w:p w:rsidR="0073566C" w:rsidRPr="007B7857" w:rsidRDefault="0073566C" w:rsidP="0073566C">
      <w:pPr>
        <w:pStyle w:val="SingleTxt"/>
        <w:rPr>
          <w:rFonts w:hint="cs"/>
          <w:i/>
          <w:iCs/>
          <w:rtl/>
        </w:rPr>
      </w:pPr>
      <w:r w:rsidRPr="007B7857">
        <w:rPr>
          <w:rFonts w:hint="cs"/>
          <w:i/>
          <w:iCs/>
          <w:rtl/>
        </w:rPr>
        <w:t>1-2</w:t>
      </w:r>
      <w:r w:rsidRPr="007B7857">
        <w:rPr>
          <w:rFonts w:hint="cs"/>
          <w:i/>
          <w:iCs/>
          <w:rtl/>
        </w:rPr>
        <w:tab/>
        <w:t>التدابير التشريعية واتفاقيات العمل الجماعية</w:t>
      </w:r>
    </w:p>
    <w:p w:rsidR="0073566C" w:rsidRDefault="0073566C" w:rsidP="0073566C">
      <w:pPr>
        <w:pStyle w:val="SingleTxt"/>
        <w:rPr>
          <w:rFonts w:hint="cs"/>
          <w:rtl/>
        </w:rPr>
      </w:pPr>
      <w:r>
        <w:rPr>
          <w:rFonts w:hint="cs"/>
          <w:b/>
          <w:bCs/>
          <w:rtl/>
        </w:rPr>
        <w:tab/>
        <w:t>ترد قامة بالتدابير الاتحادية الهادفة إلى ضمان المساواة بين المرأة والرجل في مجال العمالة والعمل في التقرير البلجيكي الثالث عن تطبيق العهد الدولي الخاص بالحقوق الاقتصادية والاجتماعية والثقافية (انظر المادة 6)، وكذلك مجمل التدابير المتعلقة بتوفير ظروف عمل عادلة ومواتية (انظر المادة 7).</w:t>
      </w:r>
    </w:p>
    <w:p w:rsidR="0073566C" w:rsidRDefault="0073566C" w:rsidP="0073566C">
      <w:pPr>
        <w:pStyle w:val="SingleTxt"/>
        <w:tabs>
          <w:tab w:val="clear" w:pos="2592"/>
          <w:tab w:val="left" w:pos="2331"/>
        </w:tabs>
        <w:rPr>
          <w:rFonts w:hint="cs"/>
          <w:rtl/>
        </w:rPr>
      </w:pPr>
      <w:r>
        <w:rPr>
          <w:rFonts w:hint="cs"/>
          <w:rtl/>
        </w:rPr>
        <w:t>1-2-1</w:t>
      </w:r>
      <w:r>
        <w:rPr>
          <w:rFonts w:hint="cs"/>
          <w:rtl/>
        </w:rPr>
        <w:tab/>
        <w:t>إن القانون المؤرخ 11 حزيران/يونيه 2002 المتعلق بالحماية من العنف والتحرش المعنوي أو الجنسي في العمل (الجريدة الرسمية الصادرة في 22 حزيران/يونيه 2002) يتضمن العديد من تدابير الوقاية من التحرش الجنسي وحماية ضحايا هذا التحرش. وقد فُصّلت أحكام هذا القانون في الأمر الملكي الصادر في 11 تموز/يوليه 2002 بشأن الحماية من العنف والتحرش المعنوي أو الجنسي في العمل، وكذلك في التعميم المؤرخ 11 تموز/يوليه 2002 بشأن حماية العمال من العنف والتحرش المعنوي أو الجنسي في العمل.</w:t>
      </w:r>
    </w:p>
    <w:p w:rsidR="0073566C" w:rsidRDefault="0073566C" w:rsidP="0073566C">
      <w:pPr>
        <w:pStyle w:val="SingleTxt"/>
        <w:tabs>
          <w:tab w:val="clear" w:pos="2592"/>
          <w:tab w:val="left" w:pos="2331"/>
        </w:tabs>
        <w:rPr>
          <w:rFonts w:hint="cs"/>
          <w:b/>
          <w:bCs/>
          <w:i/>
          <w:iCs/>
          <w:rtl/>
        </w:rPr>
      </w:pPr>
      <w:r w:rsidRPr="00F70FE8">
        <w:rPr>
          <w:rFonts w:hint="cs"/>
          <w:b/>
          <w:bCs/>
          <w:i/>
          <w:iCs/>
          <w:rtl/>
        </w:rPr>
        <w:tab/>
        <w:t xml:space="preserve">ويندرج القانون المؤرخ 11 حزيران/يونيه 2002 في القانون المؤرخ </w:t>
      </w:r>
      <w:r>
        <w:rPr>
          <w:rFonts w:hint="cs"/>
          <w:b/>
          <w:bCs/>
          <w:i/>
          <w:iCs/>
          <w:rtl/>
        </w:rPr>
        <w:t>4</w:t>
      </w:r>
      <w:r w:rsidRPr="00F70FE8">
        <w:rPr>
          <w:rFonts w:hint="cs"/>
          <w:b/>
          <w:bCs/>
          <w:i/>
          <w:iCs/>
          <w:rtl/>
        </w:rPr>
        <w:t xml:space="preserve"> آب/أغسطس 1996</w:t>
      </w:r>
      <w:r>
        <w:rPr>
          <w:rFonts w:hint="cs"/>
          <w:b/>
          <w:bCs/>
          <w:i/>
          <w:iCs/>
          <w:rtl/>
        </w:rPr>
        <w:t xml:space="preserve"> المتعلق برعاية العمال عند قيامهم بعملهم. ومن هنا فإن الحماية من العنف والتحرش المعنوي أو الجنسي تعد جزءا من مفهوم الرعاية، مثل حماية الصحة، وسلامة العمل، ... ولذلك يتعين على كل رب عمل، سواء في القطاع الخاص أو القطاع العام، أن يتخذ في مؤسسته التدابير اللازمة لتعزيز هذه الحماية.</w:t>
      </w:r>
    </w:p>
    <w:p w:rsidR="0073566C" w:rsidRPr="007B7857" w:rsidRDefault="0073566C" w:rsidP="0073566C">
      <w:pPr>
        <w:pStyle w:val="SingleTxt"/>
        <w:tabs>
          <w:tab w:val="clear" w:pos="2592"/>
          <w:tab w:val="left" w:pos="2331"/>
        </w:tabs>
        <w:rPr>
          <w:rFonts w:hint="cs"/>
          <w:i/>
          <w:iCs/>
          <w:rtl/>
        </w:rPr>
      </w:pPr>
      <w:r w:rsidRPr="007B7857">
        <w:rPr>
          <w:rFonts w:hint="cs"/>
          <w:i/>
          <w:iCs/>
          <w:rtl/>
        </w:rPr>
        <w:tab/>
        <w:t>ولذلك تندرج هذه التدابر في سياسة الوقاية التي تتبعها المؤسسة وسيكون هدفها تحقيق ما يلي:</w:t>
      </w:r>
    </w:p>
    <w:p w:rsidR="0073566C" w:rsidRPr="007B7857" w:rsidRDefault="0073566C" w:rsidP="0073566C">
      <w:pPr>
        <w:pStyle w:val="SingleTxt"/>
        <w:tabs>
          <w:tab w:val="clear" w:pos="2592"/>
          <w:tab w:val="left" w:pos="2331"/>
        </w:tabs>
        <w:rPr>
          <w:rFonts w:hint="cs"/>
          <w:i/>
          <w:iCs/>
          <w:rtl/>
        </w:rPr>
      </w:pPr>
      <w:r w:rsidRPr="007B7857">
        <w:rPr>
          <w:rFonts w:hint="cs"/>
          <w:i/>
          <w:iCs/>
          <w:rtl/>
        </w:rPr>
        <w:tab/>
        <w:t>(1)</w:t>
      </w:r>
      <w:r w:rsidRPr="007B7857">
        <w:rPr>
          <w:rFonts w:hint="cs"/>
          <w:i/>
          <w:iCs/>
          <w:rtl/>
        </w:rPr>
        <w:tab/>
        <w:t xml:space="preserve">تجنب أي عنف وتحرش، وهذا سيتطلب تحليلا للعوامل المسببة لهما؛ </w:t>
      </w:r>
    </w:p>
    <w:p w:rsidR="0073566C" w:rsidRPr="007B7857" w:rsidRDefault="0073566C" w:rsidP="0073566C">
      <w:pPr>
        <w:pStyle w:val="SingleTxt"/>
        <w:tabs>
          <w:tab w:val="clear" w:pos="2592"/>
          <w:tab w:val="left" w:pos="2331"/>
        </w:tabs>
        <w:rPr>
          <w:rFonts w:hint="cs"/>
          <w:i/>
          <w:iCs/>
          <w:rtl/>
        </w:rPr>
      </w:pPr>
      <w:r w:rsidRPr="007B7857">
        <w:rPr>
          <w:rFonts w:hint="cs"/>
          <w:i/>
          <w:iCs/>
          <w:rtl/>
        </w:rPr>
        <w:tab/>
        <w:t>(2)</w:t>
      </w:r>
      <w:r w:rsidRPr="007B7857">
        <w:rPr>
          <w:rFonts w:hint="cs"/>
          <w:i/>
          <w:iCs/>
          <w:rtl/>
        </w:rPr>
        <w:tab/>
        <w:t>تجنب الأضرار في حالة وقوع هذه الأفعال. ويشتمل التشريع على إجراءات داخلية لا بد للمؤسسة من إدراجها، وهدفها الأساسي البحث عن حل داخلي في المؤسسة عن طريق التوفيق، أو بعد فحص الشكوى المسببة التي يقدمها العامل.</w:t>
      </w:r>
    </w:p>
    <w:p w:rsidR="0073566C" w:rsidRPr="007B7857" w:rsidRDefault="0073566C" w:rsidP="0073566C">
      <w:pPr>
        <w:pStyle w:val="SingleTxt"/>
        <w:tabs>
          <w:tab w:val="clear" w:pos="2592"/>
          <w:tab w:val="left" w:pos="2331"/>
        </w:tabs>
        <w:rPr>
          <w:rFonts w:hint="cs"/>
          <w:i/>
          <w:iCs/>
          <w:rtl/>
        </w:rPr>
      </w:pPr>
      <w:r w:rsidRPr="007B7857">
        <w:rPr>
          <w:rFonts w:hint="cs"/>
          <w:i/>
          <w:iCs/>
          <w:rtl/>
        </w:rPr>
        <w:tab/>
        <w:t xml:space="preserve">ويجب على كل رب عمل أن يستعين في وضع وتنفيذ هذه التدابير بمستشار في شؤون الوقاية متخصص في الجوانب النفسية والاجتماعية للعمل وللعنف والتحرش المعنوي أو الجنسي في العمل. ومستشار شؤون الوقاية هذا يعد جزءا من الدائرة الداخلية للوقاية والحماية في العمل، أو من دائرة خارجية. ونص المشرّع البلجيكي أيضا على حماية خاصة من </w:t>
      </w:r>
      <w:r w:rsidRPr="007B7857">
        <w:rPr>
          <w:rFonts w:hint="eastAsia"/>
          <w:i/>
          <w:iCs/>
          <w:rtl/>
        </w:rPr>
        <w:t>”الفصل من العمل على سبيل الانتقام</w:t>
      </w:r>
      <w:r w:rsidRPr="007B7857">
        <w:rPr>
          <w:rFonts w:hint="cs"/>
          <w:i/>
          <w:iCs/>
          <w:rtl/>
        </w:rPr>
        <w:t>“ للأشخاص الذين يشرعون في اتخاذ الإجراءات الداخلية (في مرحلتها الرسمية)، أو يدلون بشهادتهم، أو يشرعون في اتخاذ إجراءات قضائية.</w:t>
      </w:r>
    </w:p>
    <w:p w:rsidR="0073566C" w:rsidRPr="00F70FE8" w:rsidRDefault="0073566C" w:rsidP="0073566C">
      <w:pPr>
        <w:pStyle w:val="SingleTxt"/>
        <w:tabs>
          <w:tab w:val="clear" w:pos="2592"/>
          <w:tab w:val="left" w:pos="2331"/>
        </w:tabs>
        <w:spacing w:after="0" w:line="120" w:lineRule="exact"/>
        <w:rPr>
          <w:rFonts w:hint="cs"/>
          <w:b/>
          <w:bCs/>
          <w:i/>
          <w:iCs/>
          <w:sz w:val="12"/>
          <w:rtl/>
        </w:rPr>
      </w:pPr>
    </w:p>
    <w:p w:rsidR="0073566C" w:rsidRPr="007B7857" w:rsidRDefault="0032329F" w:rsidP="0032329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73566C" w:rsidRPr="007B7857">
        <w:rPr>
          <w:rFonts w:hint="cs"/>
          <w:rtl/>
        </w:rPr>
        <w:t>(أ)</w:t>
      </w:r>
      <w:r w:rsidR="0073566C" w:rsidRPr="007B7857">
        <w:rPr>
          <w:rFonts w:hint="cs"/>
          <w:rtl/>
        </w:rPr>
        <w:tab/>
        <w:t>أنشطة التوعية والإعلام والبحث:</w:t>
      </w:r>
    </w:p>
    <w:p w:rsidR="0073566C" w:rsidRDefault="0073566C" w:rsidP="0073566C">
      <w:pPr>
        <w:pStyle w:val="SingleTxt"/>
        <w:tabs>
          <w:tab w:val="clear" w:pos="2592"/>
          <w:tab w:val="left" w:pos="2331"/>
        </w:tabs>
        <w:rPr>
          <w:rFonts w:hint="cs"/>
          <w:rtl/>
        </w:rPr>
      </w:pPr>
      <w:r>
        <w:rPr>
          <w:rFonts w:hint="cs"/>
          <w:rtl/>
        </w:rPr>
        <w:tab/>
        <w:t>نظمت الدائرة العامة الاتحادية للعمالة والعمل والتوافق الاجتماعي، بدعم من الصندوق الاجتماعي الأوروبي، دورات إعلامية عديدة في هذا الموضوع. وأنشأت الدائرة أيضا شبكات من أشخاص محل ثقة ومن مستشارين في شؤون الوقاية متخصصين، ووضعت دراسات جامعية متنوعة تهدف إلى الوقوف على سمات العنف في العمل وعوامل الخطر فيه وعواقبه، وإلى توفير أدوات محددة للأشخاص الذين يتعين توسطهم (ومنها كتيب عن الوسيط الذي يواجه حالات الخلاف والتحرش والشقاق في العمل).</w:t>
      </w:r>
    </w:p>
    <w:p w:rsidR="0073566C" w:rsidRPr="004D4543" w:rsidRDefault="0073566C" w:rsidP="0073566C">
      <w:pPr>
        <w:pStyle w:val="SingleTxt"/>
        <w:tabs>
          <w:tab w:val="clear" w:pos="2592"/>
          <w:tab w:val="left" w:pos="2331"/>
        </w:tabs>
        <w:spacing w:after="0" w:line="120" w:lineRule="exact"/>
        <w:rPr>
          <w:rFonts w:hint="cs"/>
          <w:sz w:val="12"/>
          <w:rtl/>
        </w:rPr>
      </w:pPr>
    </w:p>
    <w:p w:rsidR="0073566C" w:rsidRDefault="0032329F" w:rsidP="0032329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rPr>
      </w:pPr>
      <w:r>
        <w:rPr>
          <w:rFonts w:hint="cs"/>
          <w:rtl/>
        </w:rPr>
        <w:tab/>
      </w:r>
      <w:r w:rsidR="0073566C" w:rsidRPr="007B7857">
        <w:rPr>
          <w:rFonts w:hint="cs"/>
          <w:rtl/>
        </w:rPr>
        <w:t>(ب)</w:t>
      </w:r>
      <w:r w:rsidR="0073566C" w:rsidRPr="007B7857">
        <w:rPr>
          <w:rFonts w:hint="cs"/>
          <w:rtl/>
        </w:rPr>
        <w:tab/>
        <w:t>الاختصاص</w:t>
      </w:r>
      <w:r w:rsidR="0073566C">
        <w:rPr>
          <w:rFonts w:hint="cs"/>
          <w:i/>
          <w:iCs/>
          <w:rtl/>
        </w:rPr>
        <w:t>:</w:t>
      </w:r>
    </w:p>
    <w:p w:rsidR="0073566C" w:rsidRDefault="0073566C" w:rsidP="0073566C">
      <w:pPr>
        <w:pStyle w:val="SingleTxt"/>
        <w:tabs>
          <w:tab w:val="clear" w:pos="2592"/>
          <w:tab w:val="left" w:pos="2331"/>
        </w:tabs>
        <w:rPr>
          <w:rFonts w:hint="cs"/>
          <w:rtl/>
        </w:rPr>
      </w:pPr>
      <w:r>
        <w:rPr>
          <w:rFonts w:hint="cs"/>
          <w:rtl/>
        </w:rPr>
        <w:tab/>
        <w:t>يمكن أيضا الاطلاع على اختصاص محاكم العمل في تطبيق أحكام القانون</w:t>
      </w:r>
      <w:r>
        <w:rPr>
          <w:rtl/>
        </w:rPr>
        <w:br/>
      </w:r>
      <w:r>
        <w:rPr>
          <w:rFonts w:hint="cs"/>
          <w:rtl/>
        </w:rPr>
        <w:t>المؤرخ 4 آب/أغسطس 1996، المتعلق بالحماية من العنف والتحرش في العمل،</w:t>
      </w:r>
      <w:r>
        <w:rPr>
          <w:rtl/>
        </w:rPr>
        <w:br/>
      </w:r>
      <w:r>
        <w:rPr>
          <w:rFonts w:hint="cs"/>
          <w:rtl/>
        </w:rPr>
        <w:t>في موقع الدائرة العامة الاتحادية للعمالة والعمل والتوافق الاجتماعي على الإنترنت (</w:t>
      </w:r>
      <w:hyperlink r:id="rId24" w:history="1">
        <w:r w:rsidRPr="0032329F">
          <w:rPr>
            <w:rStyle w:val="Hyperlink"/>
          </w:rPr>
          <w:t>http://www.emploi.belgique.be</w:t>
        </w:r>
      </w:hyperlink>
      <w:r>
        <w:rPr>
          <w:rFonts w:hint="cs"/>
          <w:rtl/>
        </w:rPr>
        <w:t>).</w:t>
      </w:r>
    </w:p>
    <w:p w:rsidR="0073566C" w:rsidRPr="007B7857" w:rsidRDefault="0032329F" w:rsidP="0032329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73566C" w:rsidRPr="007B7857">
        <w:rPr>
          <w:rFonts w:hint="cs"/>
          <w:rtl/>
        </w:rPr>
        <w:t>(ج)</w:t>
      </w:r>
      <w:r w:rsidR="0073566C" w:rsidRPr="007B7857">
        <w:rPr>
          <w:rFonts w:hint="cs"/>
          <w:rtl/>
        </w:rPr>
        <w:tab/>
        <w:t>التقييم:</w:t>
      </w:r>
    </w:p>
    <w:p w:rsidR="0073566C" w:rsidRDefault="0073566C" w:rsidP="0073566C">
      <w:pPr>
        <w:pStyle w:val="SingleTxt"/>
        <w:tabs>
          <w:tab w:val="clear" w:pos="2592"/>
          <w:tab w:val="left" w:pos="2331"/>
        </w:tabs>
        <w:rPr>
          <w:rFonts w:hint="cs"/>
          <w:rtl/>
        </w:rPr>
      </w:pPr>
      <w:r>
        <w:rPr>
          <w:rFonts w:hint="cs"/>
          <w:rtl/>
        </w:rPr>
        <w:tab/>
        <w:t>جرى تقييم لهذا التشريع في عام 2004. ويمكن الاطلاع على تقرير التقييم في موقع الدائرة العامة الاتحادية للعمالة على الإنترنت. وقد أتاح هذا التقييم الفرصة للتفكير في التعديلات الواجب إدخالها على هذا التشريع. ومن المقرر دخول هذه التعديلات حيز النفاذ في غضون عام 2007.</w:t>
      </w:r>
    </w:p>
    <w:p w:rsidR="0073566C" w:rsidRDefault="0073566C" w:rsidP="0073566C">
      <w:pPr>
        <w:pStyle w:val="SingleTxt"/>
        <w:tabs>
          <w:tab w:val="clear" w:pos="2592"/>
          <w:tab w:val="left" w:pos="2331"/>
        </w:tabs>
        <w:rPr>
          <w:rFonts w:hint="cs"/>
          <w:rtl/>
        </w:rPr>
      </w:pPr>
      <w:r>
        <w:rPr>
          <w:rFonts w:hint="cs"/>
          <w:rtl/>
        </w:rPr>
        <w:t>1-2-2</w:t>
      </w:r>
      <w:r>
        <w:rPr>
          <w:rFonts w:hint="cs"/>
          <w:rtl/>
        </w:rPr>
        <w:tab/>
        <w:t>تضمّن القانون الإطاري المؤرخ 9 تموز/يوليه 2004 تعديلات على اللائحة المتعلقة بالعاملات الأجيرات فيما يتصل بمدة الإجازة السابقة للولادة والتالية لها وإجازة التبنّي.</w:t>
      </w:r>
    </w:p>
    <w:p w:rsidR="0073566C" w:rsidRDefault="0073566C" w:rsidP="0073566C">
      <w:pPr>
        <w:pStyle w:val="SingleTxt"/>
        <w:tabs>
          <w:tab w:val="clear" w:pos="2592"/>
          <w:tab w:val="left" w:pos="2331"/>
        </w:tabs>
        <w:rPr>
          <w:rFonts w:hint="cs"/>
          <w:rtl/>
        </w:rPr>
      </w:pPr>
      <w:r>
        <w:rPr>
          <w:rFonts w:hint="cs"/>
          <w:rtl/>
        </w:rPr>
        <w:tab/>
        <w:t>وبالمثل عدّل الأمر الملكي الصادر في 13 كانون الثاني/يناير 2003 مدة هذه الإجازات بالنسبة إلى العاملات لحسابهن (انظر التقرير البلجيكي الثالث عن تطبيق العهد الدولي الخاص بالحقوق الاقتصادية والاجتماعية والثقافية - المادة 10 : حماية الأمومة).</w:t>
      </w:r>
    </w:p>
    <w:p w:rsidR="0073566C" w:rsidRDefault="0073566C" w:rsidP="0073566C">
      <w:pPr>
        <w:pStyle w:val="SingleTxt"/>
        <w:tabs>
          <w:tab w:val="clear" w:pos="2592"/>
          <w:tab w:val="left" w:pos="2331"/>
        </w:tabs>
        <w:rPr>
          <w:rFonts w:hint="cs"/>
          <w:rtl/>
        </w:rPr>
      </w:pPr>
      <w:r>
        <w:rPr>
          <w:rFonts w:hint="cs"/>
          <w:rtl/>
        </w:rPr>
        <w:t>1-2-3</w:t>
      </w:r>
      <w:r>
        <w:rPr>
          <w:rFonts w:hint="cs"/>
          <w:rtl/>
        </w:rPr>
        <w:tab/>
        <w:t>تضمّن أمر ملكي صادر في 15 تموز/يوليه 2005 (الجريدة الرسمية الصادرة في 28 تموز/يوليه 2005) بعض التعديلات المهمة على لائحة إجازة الوالدية المطبقة على عمال ومستخدمي القطاع الخاص (الأمر الملكي الصادر في 29 تشرين الأول/أكتوبر 1997 بشأن إدراج الحق في إجازة الوالدية في إطار الانقطاع عن العمل). وتتصل التعديلات بشروط عمر الطفل، وطرائق القيام بالإجازة، وإخطار رب العمل، والاستحقاقات. ولم تعدل مدة الإجازة.</w:t>
      </w:r>
    </w:p>
    <w:p w:rsidR="0073566C" w:rsidRDefault="0073566C" w:rsidP="0073566C">
      <w:pPr>
        <w:pStyle w:val="SingleTxt"/>
        <w:tabs>
          <w:tab w:val="clear" w:pos="2592"/>
          <w:tab w:val="left" w:pos="2331"/>
        </w:tabs>
        <w:rPr>
          <w:rFonts w:hint="cs"/>
          <w:rtl/>
        </w:rPr>
      </w:pPr>
      <w:r>
        <w:rPr>
          <w:rFonts w:hint="cs"/>
          <w:rtl/>
        </w:rPr>
        <w:tab/>
        <w:t>والهدف من التعديلات المدخلة التوسع في منح الحق في إجازة الوالدية وتيسير الحصول عليه أكثر بعدة سبل، منها مثلا السماح بالجمع بين مختلف أشكال هذه الإجازة. وهذا يتيح للعمال إمكانيات أوسع للاختيار بما يساعد على الجمع بين الحياة الأسرية وحياة العمل. وتستهدف التعديلات المدخلة، علاوة على ذلك، جعل إجازة الوالدية أكثر جاذبية للعمال حتى ينهضوا بشطر من الأعباء العائلية.</w:t>
      </w:r>
    </w:p>
    <w:p w:rsidR="0073566C" w:rsidRPr="00961DC3" w:rsidRDefault="0073566C" w:rsidP="0073566C">
      <w:pPr>
        <w:pStyle w:val="SingleTxt"/>
        <w:tabs>
          <w:tab w:val="clear" w:pos="2592"/>
          <w:tab w:val="left" w:pos="2331"/>
        </w:tabs>
        <w:spacing w:after="0" w:line="120" w:lineRule="exact"/>
        <w:rPr>
          <w:rFonts w:hint="cs"/>
          <w:sz w:val="12"/>
          <w:rtl/>
        </w:rPr>
      </w:pPr>
    </w:p>
    <w:p w:rsidR="0073566C" w:rsidRPr="007B7857" w:rsidRDefault="0073566C" w:rsidP="0073566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b w:val="0"/>
          <w:bCs w:val="0"/>
          <w:i/>
          <w:iCs/>
          <w:rtl/>
        </w:rPr>
      </w:pPr>
      <w:r w:rsidRPr="007B7857">
        <w:rPr>
          <w:rFonts w:hint="cs"/>
          <w:b w:val="0"/>
          <w:bCs w:val="0"/>
          <w:i/>
          <w:iCs/>
          <w:rtl/>
        </w:rPr>
        <w:tab/>
        <w:t>(أ)</w:t>
      </w:r>
      <w:r w:rsidRPr="007B7857">
        <w:rPr>
          <w:rFonts w:hint="cs"/>
          <w:b w:val="0"/>
          <w:bCs w:val="0"/>
          <w:i/>
          <w:iCs/>
          <w:rtl/>
        </w:rPr>
        <w:tab/>
        <w:t>عمر الطفل:</w:t>
      </w:r>
    </w:p>
    <w:p w:rsidR="0073566C" w:rsidRDefault="0073566C" w:rsidP="0073566C">
      <w:pPr>
        <w:pStyle w:val="SingleTxt"/>
        <w:tabs>
          <w:tab w:val="clear" w:pos="2592"/>
          <w:tab w:val="left" w:pos="2331"/>
        </w:tabs>
        <w:rPr>
          <w:rFonts w:hint="cs"/>
          <w:rtl/>
        </w:rPr>
      </w:pPr>
      <w:r>
        <w:rPr>
          <w:rFonts w:hint="cs"/>
          <w:rtl/>
        </w:rPr>
        <w:tab/>
        <w:t>كان الحد الأقصى للعمر فيما سبق 4 أعوام، وارتفع الآن إلى 6 أعوام. ولم يتغير الحد الأقصى المحدد بـ 8 أعوام في حالة الطفل المتبنَّى أو الطفل الذي بلغ مستوى معينا من الإعاقة.</w:t>
      </w:r>
    </w:p>
    <w:p w:rsidR="0073566C" w:rsidRPr="00961DC3" w:rsidRDefault="0073566C" w:rsidP="0073566C">
      <w:pPr>
        <w:pStyle w:val="SingleTxt"/>
        <w:tabs>
          <w:tab w:val="clear" w:pos="2592"/>
          <w:tab w:val="left" w:pos="2331"/>
        </w:tabs>
        <w:spacing w:after="0" w:line="120" w:lineRule="exact"/>
        <w:rPr>
          <w:rFonts w:hint="cs"/>
          <w:sz w:val="12"/>
          <w:rtl/>
        </w:rPr>
      </w:pPr>
    </w:p>
    <w:p w:rsidR="0073566C" w:rsidRPr="007B7857" w:rsidRDefault="0073566C" w:rsidP="007B7857">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7B7857">
        <w:rPr>
          <w:rFonts w:hint="cs"/>
          <w:rtl/>
        </w:rPr>
        <w:tab/>
        <w:t>(ب)</w:t>
      </w:r>
      <w:r w:rsidRPr="007B7857">
        <w:rPr>
          <w:rFonts w:hint="cs"/>
          <w:rtl/>
        </w:rPr>
        <w:tab/>
        <w:t>طرائق القيام بإجازة الوالدية:</w:t>
      </w:r>
    </w:p>
    <w:p w:rsidR="0073566C" w:rsidRDefault="0073566C" w:rsidP="0073566C">
      <w:pPr>
        <w:pStyle w:val="SingleTxt"/>
        <w:rPr>
          <w:rFonts w:hint="cs"/>
          <w:rtl/>
        </w:rPr>
      </w:pPr>
      <w:r>
        <w:rPr>
          <w:rFonts w:hint="cs"/>
          <w:rtl/>
        </w:rPr>
        <w:tab/>
        <w:t>هناك أربع طرائق مستجدة للقيام بإجازة الوالدية.</w:t>
      </w:r>
    </w:p>
    <w:p w:rsidR="0073566C" w:rsidRDefault="0073566C" w:rsidP="0032329F">
      <w:pPr>
        <w:pStyle w:val="SingleTxt"/>
        <w:rPr>
          <w:rFonts w:hint="cs"/>
          <w:rtl/>
        </w:rPr>
      </w:pPr>
      <w:r>
        <w:rPr>
          <w:rFonts w:hint="cs"/>
          <w:rtl/>
        </w:rPr>
        <w:tab/>
        <w:t>أولا ألغى الالتزام بالقيام بالإجازة لمدة 6 أشهر متصلة في حالة خفض الاستحقاقات إلى نصف الوقت؛ واعتبارا من 28 تموز/يوليه 2005، أصبح من الممكن تجزئة فترة الستة أشهر هذه إلى فترات طول كل منها شهران على الأقل.</w:t>
      </w:r>
    </w:p>
    <w:p w:rsidR="0073566C" w:rsidRDefault="0073566C" w:rsidP="0032329F">
      <w:pPr>
        <w:pStyle w:val="SingleTxt"/>
        <w:rPr>
          <w:rFonts w:hint="cs"/>
          <w:rtl/>
        </w:rPr>
      </w:pPr>
      <w:r>
        <w:rPr>
          <w:rFonts w:hint="cs"/>
          <w:rtl/>
        </w:rPr>
        <w:tab/>
        <w:t>ويتعلق التعديل الثاني بخفض استحقاقات العمل بنسبة الخمس، حيث زاد الحد الأدنى للمدة من 3 أشهر إلى 5 أشهر.</w:t>
      </w:r>
    </w:p>
    <w:p w:rsidR="0073566C" w:rsidRDefault="0073566C" w:rsidP="0032329F">
      <w:pPr>
        <w:pStyle w:val="SingleTxt"/>
        <w:rPr>
          <w:rFonts w:hint="cs"/>
          <w:rtl/>
        </w:rPr>
      </w:pPr>
      <w:r>
        <w:rPr>
          <w:rFonts w:hint="cs"/>
          <w:rtl/>
        </w:rPr>
        <w:tab/>
        <w:t>ويتعلق التعديل الثالث بإمكان الانتقال من شكل لإجازة الوالدية إلى شكل آخر. فلم يكن أمام العامل فيما سبق سوى شكل واحد لهذه الإجازة (إما الانقطاع التام، أو خفض الاستحقاقات إلى نصف الوقت، أو خفض استحقاقات العمل بنسبة الخمس)، ولم يعد الأمر كذلك الآن. فقد أصبح من الممكن، من الآن فصاعدا، الجمع بين مختلف أشكال إجازة الوالدية، مع التقيد دائما بالمدة القصوى للإجازة.</w:t>
      </w:r>
    </w:p>
    <w:p w:rsidR="0073566C" w:rsidRDefault="0073566C" w:rsidP="0032329F">
      <w:pPr>
        <w:pStyle w:val="SingleTxt"/>
        <w:rPr>
          <w:rFonts w:hint="cs"/>
          <w:rtl/>
        </w:rPr>
      </w:pPr>
      <w:r>
        <w:rPr>
          <w:rFonts w:hint="cs"/>
          <w:rtl/>
        </w:rPr>
        <w:tab/>
        <w:t>وفيما يتعلق بإخطار رب العمل بإجازة الوالدية، فإن المتبع حتى الآن الالتزام بمهلة إخطار محددة بـ 3 أشهر ( مع إمكانية اتفاق رب العمل والعامل على مهلة أقصر). واعتبارا من 28 تموز/يوليه 2005، أصبح يطبق إجراء أيسر: فعلى العامل إخطار رب العمل مسبقا في غضون شهرين على الأقل وثلاثة أشهر على الأكثر (استبقيت إمكانية الخروج على هذه القاعدة باتفاق مشترك). ويمكن عن طريق إخطار طلب الحصول على إجازة والدية لمدة واحدة متصلة.</w:t>
      </w:r>
    </w:p>
    <w:p w:rsidR="0073566C" w:rsidRPr="003E7DEC" w:rsidRDefault="0073566C" w:rsidP="0073566C">
      <w:pPr>
        <w:pStyle w:val="SingleTxt"/>
        <w:spacing w:after="0" w:line="120" w:lineRule="exact"/>
        <w:rPr>
          <w:rFonts w:hint="cs"/>
          <w:sz w:val="12"/>
          <w:rtl/>
        </w:rPr>
      </w:pPr>
    </w:p>
    <w:p w:rsidR="0073566C" w:rsidRPr="007B7857" w:rsidRDefault="0073566C" w:rsidP="0032329F">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7B7857">
        <w:rPr>
          <w:rFonts w:hint="cs"/>
          <w:rtl/>
        </w:rPr>
        <w:tab/>
        <w:t>(ج)</w:t>
      </w:r>
      <w:r w:rsidRPr="007B7857">
        <w:rPr>
          <w:rFonts w:hint="cs"/>
          <w:rtl/>
        </w:rPr>
        <w:tab/>
        <w:t>استحقاقات الانقطاع عن العمل في حالة إجازة الوالدية:</w:t>
      </w:r>
    </w:p>
    <w:p w:rsidR="0073566C" w:rsidRDefault="0073566C" w:rsidP="0073566C">
      <w:pPr>
        <w:pStyle w:val="SingleTxt"/>
        <w:rPr>
          <w:rFonts w:hint="cs"/>
          <w:rtl/>
        </w:rPr>
      </w:pPr>
      <w:r>
        <w:rPr>
          <w:rFonts w:hint="cs"/>
          <w:rtl/>
        </w:rPr>
        <w:tab/>
        <w:t>فيما يتعلق باستحقاقات الانقطاع عن العمل، تطبّق الآن 3 زيادات: زيادة 100 يورو في حالة الانقطاع التام، وزيادة 50 يورو في حالة خفض الاستحقاقات إلى نصف الوقت للعمال الذين تقل أعمارهم عن 50 عاما، وزيادة 38.5 يورو في حالة خفض الاستحقاقات بنسبة الخمس للعمال المنفردين (يقصد بالعامل المنفرد الذي يعيش بمفرده ويعول طفلا أو أكثر) الذين تقل أعمارهم عن 50 عاما.</w:t>
      </w:r>
    </w:p>
    <w:p w:rsidR="0073566C" w:rsidRDefault="0073566C" w:rsidP="0073566C">
      <w:pPr>
        <w:pStyle w:val="SingleTxt"/>
        <w:tabs>
          <w:tab w:val="clear" w:pos="2592"/>
          <w:tab w:val="left" w:pos="2331"/>
        </w:tabs>
        <w:rPr>
          <w:rFonts w:hint="cs"/>
          <w:rtl/>
        </w:rPr>
      </w:pPr>
      <w:r>
        <w:rPr>
          <w:rFonts w:hint="cs"/>
          <w:rtl/>
        </w:rPr>
        <w:t>1-2-4</w:t>
      </w:r>
      <w:r>
        <w:rPr>
          <w:rFonts w:hint="cs"/>
          <w:rtl/>
        </w:rPr>
        <w:tab/>
        <w:t>أدخل أمر ملكي صادر في 15 تموز/يوليه 2005 (الجريدة الرسمية الصادرة في 28 تموز/يوليه 2005) بعض التعديلات على نظام الانقطاع عن العمل لمساعدة أو رعاية فرد في الأسرة المعيشية أو الأسرة مريض للغاية، وذلك للعمال وأرباب العمل في القطاع الخاص ( الأمر الملكي المؤرخ 10 آب/أغسطس 1998 المنشئ للحق في الانقطاع عن العمل لمساعدة أو رعاية فرد في الأسرة المعيشية أو الأسرة مريض للغاية).</w:t>
      </w:r>
    </w:p>
    <w:p w:rsidR="0073566C" w:rsidRDefault="0073566C" w:rsidP="0073566C">
      <w:pPr>
        <w:pStyle w:val="SingleTxt"/>
        <w:tabs>
          <w:tab w:val="clear" w:pos="2592"/>
          <w:tab w:val="left" w:pos="2331"/>
        </w:tabs>
        <w:rPr>
          <w:rFonts w:hint="cs"/>
          <w:rtl/>
        </w:rPr>
      </w:pPr>
      <w:r>
        <w:rPr>
          <w:rFonts w:hint="cs"/>
          <w:rtl/>
        </w:rPr>
        <w:tab/>
        <w:t>وتتيح هذه التعديلات للعمال الانقطاع المؤقت عن العمل بشكل أيسر عندما يكون أحد أفراد الأسرة المعيشية أو الأسرة مريضا للغاية.</w:t>
      </w:r>
    </w:p>
    <w:p w:rsidR="0073566C" w:rsidRDefault="0073566C" w:rsidP="0073566C">
      <w:pPr>
        <w:pStyle w:val="SingleTxt"/>
        <w:tabs>
          <w:tab w:val="clear" w:pos="2592"/>
          <w:tab w:val="left" w:pos="2331"/>
        </w:tabs>
        <w:rPr>
          <w:rFonts w:hint="cs"/>
          <w:rtl/>
        </w:rPr>
      </w:pPr>
      <w:r>
        <w:rPr>
          <w:rFonts w:hint="cs"/>
          <w:rtl/>
        </w:rPr>
        <w:tab/>
        <w:t xml:space="preserve">ويتعلق التعديل </w:t>
      </w:r>
      <w:r>
        <w:rPr>
          <w:rFonts w:hint="cs"/>
          <w:i/>
          <w:iCs/>
          <w:rtl/>
        </w:rPr>
        <w:t>الأول</w:t>
      </w:r>
      <w:r>
        <w:rPr>
          <w:rFonts w:hint="cs"/>
          <w:rtl/>
        </w:rPr>
        <w:t xml:space="preserve"> بالعمال المنفردين (الأسر الوحيدة الوالد أو الوالدة)؛ والمقصود بذلك  العمال الذين يعيشون بشكل حصري وفعلي مع واحد أو أكثر من أبنائهم. ويضاعَف لهؤلاء العمال رصيد الإجازات في حالة المرض الشديد لواحد من الأبناء لا يزيد عمره على 16 عاما. ومع أن رصيد هذه الإجازة يتمثل عادة في 12 شهرا من الانقطاع التام، أو 24 شهرا من خفض الاستحقاقات بنسبة الخمس أو إلى نصف الوقت عن كل فرد مريض للغاية في الأسرة المعيشية أو الأسرة، فإن هذه المدد تزيد، بالنسبة إلى العمال المنفردين في الحالة المبينة من قبل، إلى 24 شهرا من الانقطاع التام و48 شهرا من خفض الاستحقاقات بنسبة الخمس أو إلى نصف الوقت. وعلى العامل المنفرد الذي يود الاستفادة من فرصة المضاعفة هذه أن يقدم إلى رب العمل، علاوة على شهادة طبية من الطبيب المعالج، إثباتا لتكوين أسرته المعيشية من خلال شهادة من السلطة المجتمعية توضح أن العامل، عند الطلب، يقيم بشكل حصري وفعلي مع واحد أو أكثر من أبنائه.</w:t>
      </w:r>
    </w:p>
    <w:p w:rsidR="0073566C" w:rsidRDefault="0073566C" w:rsidP="0073566C">
      <w:pPr>
        <w:pStyle w:val="SingleTxt"/>
        <w:tabs>
          <w:tab w:val="clear" w:pos="2592"/>
          <w:tab w:val="left" w:pos="2331"/>
        </w:tabs>
        <w:rPr>
          <w:rFonts w:hint="cs"/>
          <w:rtl/>
        </w:rPr>
      </w:pPr>
      <w:r>
        <w:rPr>
          <w:rFonts w:hint="cs"/>
          <w:rtl/>
        </w:rPr>
        <w:tab/>
        <w:t xml:space="preserve">ويتعلق التعديل </w:t>
      </w:r>
      <w:r>
        <w:rPr>
          <w:rFonts w:hint="cs"/>
          <w:i/>
          <w:iCs/>
          <w:rtl/>
        </w:rPr>
        <w:t>الثاني</w:t>
      </w:r>
      <w:r>
        <w:rPr>
          <w:rFonts w:hint="cs"/>
          <w:rtl/>
        </w:rPr>
        <w:t xml:space="preserve"> باستحقاقات الانقطاع عن العمل ويستهدف جميع العمال الذين يحصلون على مثل هذه الإجازة. وبشكل أكثر تحديدا، طبقت ثلاث زيادات: زيادة 100 يورو في حالة الانقطاع التام، وزيادة 50 يورو في حالة خفض الاستحقاقات إلى نصف الوقت للعمال الذين تقل أعمارهم عن 50 عاما، وزيادة 38.5 يورو في حالة خفض الاستحقاقات بنسبة الخمس للعمال المنفردين (يقصد بالعامل المنفرد الذي يعيش بمفرده ويعول طفلا أو أكثر) الذين تقل أعمارهم عن 50 عاما.</w:t>
      </w:r>
    </w:p>
    <w:p w:rsidR="0073566C" w:rsidRDefault="0073566C" w:rsidP="0073566C">
      <w:pPr>
        <w:pStyle w:val="SingleTxt"/>
        <w:tabs>
          <w:tab w:val="clear" w:pos="2592"/>
          <w:tab w:val="left" w:pos="2331"/>
        </w:tabs>
        <w:rPr>
          <w:rFonts w:hint="cs"/>
          <w:rtl/>
        </w:rPr>
      </w:pPr>
      <w:r>
        <w:rPr>
          <w:rFonts w:hint="cs"/>
          <w:rtl/>
        </w:rPr>
        <w:t>1-2-5</w:t>
      </w:r>
      <w:r>
        <w:rPr>
          <w:rFonts w:hint="cs"/>
          <w:rtl/>
        </w:rPr>
        <w:tab/>
        <w:t>علاوة على مضمون شتى قوانين مكافحة التمييز المشار إليها في المادة 2 (القانون المؤرخ 25 شباط/فبراير 2003، والقانون المؤرخ 5 آذار/مارس 2002، والقانون المؤرخ 5 حزيران/يونيه 2002) والقوانين التشريعية المذكورة أعلاه، تحقق تقدم في المساواة بين الرجل والمرأة في العمل من خلال إبرام اتفاقيات جماعية للعمل.</w:t>
      </w:r>
    </w:p>
    <w:p w:rsidR="0073566C" w:rsidRDefault="0073566C" w:rsidP="0073566C">
      <w:pPr>
        <w:pStyle w:val="SingleTxt"/>
        <w:tabs>
          <w:tab w:val="clear" w:pos="2592"/>
          <w:tab w:val="left" w:pos="2331"/>
        </w:tabs>
        <w:rPr>
          <w:rFonts w:hint="cs"/>
          <w:rtl/>
        </w:rPr>
      </w:pPr>
      <w:r>
        <w:rPr>
          <w:rFonts w:hint="cs"/>
          <w:rtl/>
        </w:rPr>
        <w:tab/>
        <w:t>واتفاقيات العمل الجماعية هي اتفاقات تبرم بين واحدة أو أكثر من منظمات العمال وواحدة أو أكثر من منظمات أرباب العمل أو واحد أو أكثر من أرباب العمل، وبمقتضاها تتحدد العلاقات الفردية والجماعية بين أرباب العمل والعمال في المؤسسات أو في فرع من فروع النشاط، وتنظَّم حقوق وواجبات الأطراف المتعاقدة.</w:t>
      </w:r>
    </w:p>
    <w:p w:rsidR="0073566C" w:rsidRDefault="0073566C" w:rsidP="0073566C">
      <w:pPr>
        <w:pStyle w:val="SingleTxt"/>
        <w:tabs>
          <w:tab w:val="clear" w:pos="2592"/>
          <w:tab w:val="left" w:pos="2331"/>
        </w:tabs>
        <w:rPr>
          <w:rFonts w:hint="cs"/>
          <w:rtl/>
        </w:rPr>
      </w:pPr>
      <w:r>
        <w:rPr>
          <w:rFonts w:hint="cs"/>
          <w:rtl/>
        </w:rPr>
        <w:tab/>
        <w:t>واتفاقية العمل الجماعية مصدر مهم في قانون العمل. ورغم أن مضمون هذه الاتفاقيات يتعلق بالحرية التعاقدية للشركاء الاجتماعيين، فإن الأحكام المناهضة للمصادر القانونية العليا (الاتفاقات الدولية، القوانين، المراسيم ...) تعتبر باطلة ولاغية.</w:t>
      </w:r>
    </w:p>
    <w:p w:rsidR="0073566C" w:rsidRDefault="0073566C" w:rsidP="0073566C">
      <w:pPr>
        <w:pStyle w:val="SingleTxt"/>
        <w:tabs>
          <w:tab w:val="clear" w:pos="2592"/>
          <w:tab w:val="left" w:pos="2331"/>
        </w:tabs>
        <w:rPr>
          <w:rFonts w:hint="cs"/>
          <w:rtl/>
        </w:rPr>
      </w:pPr>
      <w:r>
        <w:rPr>
          <w:rFonts w:hint="cs"/>
          <w:rtl/>
        </w:rPr>
        <w:tab/>
        <w:t>وقد عَدّلت اتفاقية العمل الجماعية رقم 25 مكررا المؤرخة 19 كانون الأول/ديسمبر 2001 اتفاقية العمل الجماعية رقم 25 المؤرخة 15 تشرين الأول/أكتوبر 1975 بشأن المساواة في الأجور بين العمال والعاملات، التي تهدف إلى تحقيق مبدأ المساواة في الأجور بين العمال والعاملات الوارد في المادة 119 (المادة 141 الآن) من معاهدة إنشاء الجماعة الأوروبية.</w:t>
      </w:r>
    </w:p>
    <w:p w:rsidR="0073566C" w:rsidRDefault="0073566C" w:rsidP="0073566C">
      <w:pPr>
        <w:pStyle w:val="SingleTxt"/>
        <w:tabs>
          <w:tab w:val="clear" w:pos="2592"/>
          <w:tab w:val="left" w:pos="2331"/>
        </w:tabs>
        <w:rPr>
          <w:rFonts w:hint="cs"/>
          <w:rtl/>
        </w:rPr>
      </w:pPr>
      <w:r>
        <w:rPr>
          <w:rFonts w:hint="cs"/>
          <w:rtl/>
        </w:rPr>
        <w:tab/>
        <w:t>وتنص المادة 3 من الاتفاقية بوجه خاص على أن المساواة في الأجور بين العمال والعاملات يجب أن تتأكد في جميع مفردات  وشروط الأجر، بما فيها نظم تقييم الوظائف عند تطبيقها. ولا يجوز بأي حال من الأحوال أن تؤدي نظم تقييم الوظائف إلى التمييز، سواء في اختيار المعايير، أو في توازنها، أو في نظام تبديل حدود تقييم مفردات الأجر. وتستتبع المساواة في الأجور، لقاء العمل ذاته أو العمل المتساوي القيمة، القضاء على أي تمييز قائم على الجنس.</w:t>
      </w:r>
    </w:p>
    <w:p w:rsidR="0073566C" w:rsidRDefault="0073566C" w:rsidP="0073566C">
      <w:pPr>
        <w:pStyle w:val="SingleTxt"/>
        <w:tabs>
          <w:tab w:val="clear" w:pos="2592"/>
          <w:tab w:val="left" w:pos="2331"/>
        </w:tabs>
        <w:rPr>
          <w:rFonts w:hint="cs"/>
          <w:rtl/>
        </w:rPr>
      </w:pPr>
      <w:r>
        <w:rPr>
          <w:rFonts w:hint="cs"/>
          <w:rtl/>
        </w:rPr>
        <w:tab/>
        <w:t>ولأغراض العلانية، يلاحظ أن نص اتفاقية العمل الجماعية هذه يجب أن يرفق بلائحة العمل في المؤسسة.</w:t>
      </w:r>
    </w:p>
    <w:p w:rsidR="0073566C" w:rsidRDefault="0073566C" w:rsidP="0073566C">
      <w:pPr>
        <w:pStyle w:val="SingleTxt"/>
        <w:tabs>
          <w:tab w:val="clear" w:pos="2592"/>
          <w:tab w:val="left" w:pos="2331"/>
        </w:tabs>
        <w:rPr>
          <w:rFonts w:hint="cs"/>
          <w:rtl/>
        </w:rPr>
      </w:pPr>
      <w:r>
        <w:rPr>
          <w:rFonts w:hint="cs"/>
          <w:rtl/>
        </w:rPr>
        <w:t>1-2-6</w:t>
      </w:r>
      <w:r>
        <w:rPr>
          <w:rFonts w:hint="cs"/>
          <w:rtl/>
        </w:rPr>
        <w:tab/>
        <w:t>إن اتفاقية العمل الجماعية رقم 38 المؤرخة 6 كانون الأول/ديسمبر 1983 بشأن تعيين واختيار العمال (المعدلة باتفاقيات العمل الجماعية رقم 38 مكررا المؤرخة 29 تشرين الأول/أكتوبر 1991، ورقم 38 ثالثا المؤرخة 17 تموز/يوليه 1998، ورقم 38 رابعا المؤرخة 14 تموز/يوليه 1999، ورقم 38 خامسا المؤرخة 21 كانون الأول/ديسمبر 2004) ترمي إلى وضع قواعد لتعيين واختيار العمال. وتحدد هذه الاتفاقية أيضا التزامات الأطراف الموقعة فيما يتعلق بالتقيد بعدد معين من قواعد السلوك.</w:t>
      </w:r>
    </w:p>
    <w:p w:rsidR="0073566C" w:rsidRDefault="0073566C" w:rsidP="0073566C">
      <w:pPr>
        <w:pStyle w:val="SingleTxt"/>
        <w:tabs>
          <w:tab w:val="clear" w:pos="2592"/>
          <w:tab w:val="left" w:pos="2331"/>
        </w:tabs>
        <w:rPr>
          <w:rFonts w:hint="cs"/>
          <w:rtl/>
        </w:rPr>
      </w:pPr>
      <w:r>
        <w:rPr>
          <w:rFonts w:hint="cs"/>
          <w:rtl/>
        </w:rPr>
        <w:tab/>
        <w:t>وترسي هذه الاتفاقية بصفة خاصة المبدأ القاضي بأن رب العمل الذي يعيِّن لا يجوز له معاملة المرشحين بطريقة تنطوي على تمييز. وفي غضون هذه العملية، يجب على رب العمل معاملة جميع المرشحين معاملة متساوية. ولا يجوز له التفريق على أساس عناصر شخصية إذا كانت هذه العناصر لا تتصل بعمل المؤسسة أو طبيعتها، إلا إذا سمحت الأحكام القانونية بذلك أو فرضته. ومن هنا لا يجوز لرب العمل من حيث المبدأ التفريق على أساس عمر المعوق، أو جنسه، أو حالته المدنية، أو تاريخه الطبي، أو عرقه، أو لونه، أو نسبه أو أصله القومي أو الإثني، أو آرائه السياسية أو الفلسفية، أو انتمائه إلى منظمة نقابية أو غيرها، أو ميوله الجنسية.</w:t>
      </w:r>
    </w:p>
    <w:p w:rsidR="0073566C" w:rsidRDefault="0073566C" w:rsidP="0073566C">
      <w:pPr>
        <w:pStyle w:val="SingleTxt"/>
        <w:tabs>
          <w:tab w:val="clear" w:pos="2592"/>
          <w:tab w:val="left" w:pos="2331"/>
        </w:tabs>
        <w:rPr>
          <w:rFonts w:hint="cs"/>
          <w:rtl/>
        </w:rPr>
      </w:pPr>
      <w:r>
        <w:rPr>
          <w:rFonts w:hint="cs"/>
          <w:rtl/>
        </w:rPr>
        <w:t>1-2-7</w:t>
      </w:r>
      <w:r>
        <w:rPr>
          <w:rFonts w:hint="cs"/>
          <w:rtl/>
        </w:rPr>
        <w:tab/>
        <w:t>ويعكف الآن المعهد المعني بالمساواة بين المرأة والرجل، علاوة على ذلك، على إنشاء قاعدة بيانات للممارسات المضطلع بها لتعزيز المساواة بين الرجل والمرأة في ميدان العمل. ويتمثل الهدف من ذلك في تحديد ممارسات مبتكرة داخل المؤسسات (تنظيم أوقات العمل، التوفيق بين الحياة المهنية والحياة الخاصة، ترتيبات التنقل والتدريب أو تشجيع وصول النساء إلى الوظائف القيادية أو إلى المهن الرجالية)، وتجميعها، وإتاحتها للجمهور على الإنترنت.</w:t>
      </w:r>
    </w:p>
    <w:p w:rsidR="0073566C" w:rsidRDefault="0073566C" w:rsidP="0073566C">
      <w:pPr>
        <w:pStyle w:val="SingleTxt"/>
        <w:tabs>
          <w:tab w:val="clear" w:pos="2592"/>
          <w:tab w:val="left" w:pos="2331"/>
        </w:tabs>
        <w:rPr>
          <w:rFonts w:hint="cs"/>
          <w:rtl/>
        </w:rPr>
      </w:pPr>
      <w:r>
        <w:rPr>
          <w:rFonts w:hint="cs"/>
          <w:rtl/>
        </w:rPr>
        <w:tab/>
        <w:t xml:space="preserve">والمعهد ممثل أيضا في لجان المرافقة التسع لمشاريع الصندوق الاجتماعي الأوروبي لأنسنة العمل، التابعة للإدارة العامة الاتحادية للعمالة والعمل والتوافق الاجتماعي. وهذه المشاريع هي: </w:t>
      </w:r>
      <w:r>
        <w:t>Proxima</w:t>
      </w:r>
      <w:r>
        <w:rPr>
          <w:rFonts w:hint="cs"/>
          <w:rtl/>
        </w:rPr>
        <w:t xml:space="preserve"> (الوظائف المجتمعية)، </w:t>
      </w:r>
      <w:r>
        <w:t>CAPA</w:t>
      </w:r>
      <w:r>
        <w:rPr>
          <w:rFonts w:hint="cs"/>
          <w:rtl/>
        </w:rPr>
        <w:t xml:space="preserve"> (تشغيل من يزيد عمرهم على 50 عاما)، العمل عن بعد، الإجهاد، التحرش، توعية المزارعين بمخاطر حوادث العمل، آلام القَطَن، التدريب على السميات (السلع الخطرة)، </w:t>
      </w:r>
      <w:r>
        <w:t>Sobane</w:t>
      </w:r>
      <w:r>
        <w:rPr>
          <w:rFonts w:hint="cs"/>
          <w:rtl/>
        </w:rPr>
        <w:t xml:space="preserve"> (الأخطار النفسية والاجتماعية).</w:t>
      </w:r>
    </w:p>
    <w:p w:rsidR="0073566C" w:rsidRPr="00EC0C1F" w:rsidRDefault="0073566C" w:rsidP="0073566C">
      <w:pPr>
        <w:pStyle w:val="SingleTxt"/>
        <w:tabs>
          <w:tab w:val="clear" w:pos="2592"/>
          <w:tab w:val="left" w:pos="2331"/>
        </w:tabs>
        <w:spacing w:after="0" w:line="120" w:lineRule="exact"/>
        <w:rPr>
          <w:rFonts w:hint="cs"/>
          <w:sz w:val="12"/>
          <w:rtl/>
        </w:rPr>
      </w:pPr>
    </w:p>
    <w:p w:rsidR="0073566C" w:rsidRDefault="0073566C" w:rsidP="0073566C">
      <w:pPr>
        <w:pStyle w:val="SingleTxt"/>
        <w:tabs>
          <w:tab w:val="clear" w:pos="2592"/>
          <w:tab w:val="left" w:pos="2331"/>
        </w:tabs>
        <w:rPr>
          <w:rFonts w:hint="cs"/>
          <w:rtl/>
        </w:rPr>
      </w:pPr>
      <w:r>
        <w:rPr>
          <w:rFonts w:hint="cs"/>
          <w:i/>
          <w:iCs/>
          <w:rtl/>
        </w:rPr>
        <w:t>1-3</w:t>
      </w:r>
      <w:r>
        <w:rPr>
          <w:rFonts w:hint="cs"/>
          <w:i/>
          <w:iCs/>
          <w:rtl/>
        </w:rPr>
        <w:tab/>
        <w:t>الإحصاءات والتعليقات المتصلة بحالة المرأة والرجل في مجال العمل في بلجيكا</w:t>
      </w:r>
    </w:p>
    <w:p w:rsidR="0073566C" w:rsidRPr="00EC0C1F" w:rsidRDefault="0073566C" w:rsidP="0073566C">
      <w:pPr>
        <w:pStyle w:val="SingleTxt"/>
        <w:tabs>
          <w:tab w:val="clear" w:pos="2592"/>
          <w:tab w:val="left" w:pos="2331"/>
        </w:tabs>
        <w:spacing w:after="0" w:line="120" w:lineRule="exact"/>
        <w:rPr>
          <w:rFonts w:hint="cs"/>
          <w:sz w:val="12"/>
          <w:rtl/>
        </w:rPr>
      </w:pPr>
    </w:p>
    <w:p w:rsidR="0073566C" w:rsidRDefault="0073566C" w:rsidP="0073566C">
      <w:pPr>
        <w:pStyle w:val="SingleTxt"/>
        <w:tabs>
          <w:tab w:val="clear" w:pos="2592"/>
          <w:tab w:val="left" w:pos="2331"/>
        </w:tabs>
        <w:rPr>
          <w:rFonts w:hint="cs"/>
          <w:i/>
          <w:iCs/>
          <w:rtl/>
        </w:rPr>
      </w:pPr>
      <w:r>
        <w:rPr>
          <w:rFonts w:hint="cs"/>
          <w:rtl/>
        </w:rPr>
        <w:tab/>
      </w:r>
      <w:r w:rsidRPr="004A79C8">
        <w:rPr>
          <w:rFonts w:hint="cs"/>
          <w:b/>
          <w:bCs/>
          <w:rtl/>
        </w:rPr>
        <w:t>معدل النشاط والعمل والبطالة حسب الجنس، 2004</w:t>
      </w:r>
      <w:r w:rsidRPr="00EC0C1F">
        <w:rPr>
          <w:i/>
          <w:iCs/>
          <w:vertAlign w:val="superscript"/>
          <w:rtl/>
        </w:rPr>
        <w:t>(</w:t>
      </w:r>
      <w:r>
        <w:rPr>
          <w:rStyle w:val="FootnoteReference"/>
          <w:i/>
          <w:iCs/>
          <w:rtl/>
        </w:rPr>
        <w:footnoteReference w:id="48"/>
      </w:r>
      <w:r w:rsidRPr="00EC0C1F">
        <w:rPr>
          <w:i/>
          <w:iCs/>
          <w:vertAlign w:val="superscript"/>
          <w:rtl/>
        </w:rPr>
        <w:t>)</w:t>
      </w:r>
    </w:p>
    <w:p w:rsidR="0073566C" w:rsidRPr="0036450A" w:rsidRDefault="0073566C" w:rsidP="0073566C">
      <w:pPr>
        <w:pStyle w:val="SingleTxt"/>
        <w:tabs>
          <w:tab w:val="clear" w:pos="2592"/>
          <w:tab w:val="left" w:pos="2331"/>
        </w:tabs>
        <w:spacing w:after="0" w:line="120" w:lineRule="exact"/>
        <w:rPr>
          <w:rFonts w:hint="cs"/>
          <w:sz w:val="10"/>
          <w:rtl/>
        </w:rPr>
      </w:pPr>
    </w:p>
    <w:p w:rsidR="0073566C" w:rsidRDefault="0073566C" w:rsidP="0073566C">
      <w:pPr>
        <w:pStyle w:val="SingleTxt"/>
        <w:tabs>
          <w:tab w:val="clear" w:pos="2592"/>
          <w:tab w:val="left" w:pos="2331"/>
        </w:tabs>
        <w:rPr>
          <w:rFonts w:hint="cs"/>
          <w:rtl/>
        </w:rPr>
      </w:pPr>
      <w:r>
        <w:rPr>
          <w:rFonts w:hint="cs"/>
          <w:noProof/>
          <w:w w:val="100"/>
          <w:rtl/>
        </w:rPr>
        <w:pict>
          <v:shapetype id="_x0000_t202" coordsize="21600,21600" o:spt="202" path="m,l,21600r21600,l21600,xe">
            <v:stroke joinstyle="miter"/>
            <v:path gradientshapeok="t" o:connecttype="rect"/>
          </v:shapetype>
          <v:shape id="_x0000_s1034" type="#_x0000_t202" style="position:absolute;left:0;text-align:left;margin-left:-59.65pt;margin-top:94.5pt;width:35.05pt;height:27pt;z-index:6" stroked="f">
            <v:textbox style="mso-next-textbox:#_x0000_s1034" inset="0,0,0,0">
              <w:txbxContent>
                <w:p w:rsidR="00AF077A" w:rsidRDefault="00AF077A" w:rsidP="0073566C">
                  <w:pPr>
                    <w:spacing w:line="200" w:lineRule="exact"/>
                    <w:jc w:val="right"/>
                    <w:rPr>
                      <w:rFonts w:hint="cs"/>
                      <w:sz w:val="24"/>
                      <w:szCs w:val="24"/>
                      <w:rtl/>
                    </w:rPr>
                  </w:pPr>
                  <w:r>
                    <w:rPr>
                      <w:rFonts w:hint="cs"/>
                      <w:sz w:val="24"/>
                      <w:szCs w:val="24"/>
                      <w:rtl/>
                    </w:rPr>
                    <w:t>نســـــاء</w:t>
                  </w:r>
                </w:p>
                <w:p w:rsidR="00AF077A" w:rsidRPr="00A8500A" w:rsidRDefault="00AF077A" w:rsidP="0073566C">
                  <w:pPr>
                    <w:spacing w:line="240" w:lineRule="exact"/>
                    <w:jc w:val="right"/>
                    <w:rPr>
                      <w:rFonts w:hint="cs"/>
                      <w:sz w:val="24"/>
                      <w:szCs w:val="24"/>
                    </w:rPr>
                  </w:pPr>
                  <w:r>
                    <w:rPr>
                      <w:rFonts w:hint="cs"/>
                      <w:sz w:val="24"/>
                      <w:szCs w:val="24"/>
                      <w:rtl/>
                    </w:rPr>
                    <w:t>رجـــال</w:t>
                  </w:r>
                </w:p>
              </w:txbxContent>
            </v:textbox>
            <w10:wrap anchorx="page"/>
          </v:shape>
        </w:pict>
      </w:r>
      <w:r>
        <w:rPr>
          <w:rFonts w:hint="cs"/>
          <w:noProof/>
          <w:w w:val="100"/>
          <w:rtl/>
        </w:rPr>
        <w:pict>
          <v:shape id="_x0000_s1030" type="#_x0000_t202" style="position:absolute;left:0;text-align:left;margin-left:12pt;margin-top:12pt;width:448.2pt;height:209.1pt;z-index:2;mso-wrap-style:none">
            <v:textbox style="mso-next-textbox:#_x0000_s1030;mso-fit-shape-to-text:t">
              <w:txbxContent>
                <w:p w:rsidR="00AF077A" w:rsidRPr="00FF7119" w:rsidRDefault="00AF077A" w:rsidP="0073566C">
                  <w:pPr>
                    <w:pStyle w:val="Caption"/>
                    <w:spacing w:line="480" w:lineRule="auto"/>
                    <w:rPr>
                      <w:bdr w:val="single" w:sz="4" w:space="0" w:color="auto"/>
                      <w:lang w:val="en-US"/>
                    </w:rPr>
                  </w:pPr>
                  <w:r w:rsidRPr="00ED378D">
                    <w:rPr>
                      <w:rFonts w:ascii="Times New Roman" w:hAnsi="Times New Roman" w:cs="Times New Roman"/>
                      <w:sz w:val="24"/>
                      <w:szCs w:val="24"/>
                      <w:bdr w:val="single" w:sz="4" w:space="0" w:color="auto"/>
                    </w:rPr>
                    <w:object w:dxaOrig="8640" w:dyaOrig="356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6in;height:178.5pt" o:ole="">
                        <v:imagedata r:id="rId25" o:title=""/>
                      </v:shape>
                      <o:OLEObject Type="Embed" ProgID="Excel.Chart.8" ShapeID="_x0000_i1028" DrawAspect="Content" ObjectID="_1418864277" r:id="rId26">
                        <o:FieldCodes>\s</o:FieldCodes>
                      </o:OLEObject>
                    </w:object>
                  </w:r>
                </w:p>
              </w:txbxContent>
            </v:textbox>
            <w10:wrap type="square"/>
          </v:shape>
        </w:pict>
      </w:r>
    </w:p>
    <w:p w:rsidR="0073566C" w:rsidRDefault="0073566C" w:rsidP="0073566C">
      <w:pPr>
        <w:pStyle w:val="SingleTxt"/>
        <w:tabs>
          <w:tab w:val="clear" w:pos="2592"/>
          <w:tab w:val="left" w:pos="2331"/>
        </w:tabs>
        <w:rPr>
          <w:rFonts w:hint="cs"/>
          <w:rtl/>
        </w:rPr>
      </w:pPr>
    </w:p>
    <w:p w:rsidR="0073566C" w:rsidRDefault="0073566C" w:rsidP="0073566C">
      <w:pPr>
        <w:pStyle w:val="SingleTxt"/>
        <w:tabs>
          <w:tab w:val="clear" w:pos="2592"/>
          <w:tab w:val="left" w:pos="2331"/>
        </w:tabs>
        <w:rPr>
          <w:rFonts w:hint="cs"/>
          <w:rtl/>
        </w:rPr>
      </w:pPr>
    </w:p>
    <w:p w:rsidR="0073566C" w:rsidRDefault="0073566C" w:rsidP="0073566C">
      <w:pPr>
        <w:pStyle w:val="SingleTxt"/>
        <w:tabs>
          <w:tab w:val="clear" w:pos="2592"/>
          <w:tab w:val="left" w:pos="2331"/>
        </w:tabs>
        <w:rPr>
          <w:rFonts w:hint="cs"/>
          <w:rtl/>
        </w:rPr>
      </w:pPr>
    </w:p>
    <w:p w:rsidR="0073566C" w:rsidRDefault="0073566C" w:rsidP="0073566C">
      <w:pPr>
        <w:pStyle w:val="SingleTxt"/>
        <w:tabs>
          <w:tab w:val="clear" w:pos="2592"/>
          <w:tab w:val="left" w:pos="2331"/>
        </w:tabs>
        <w:rPr>
          <w:rFonts w:hint="cs"/>
          <w:rtl/>
        </w:rPr>
      </w:pPr>
    </w:p>
    <w:p w:rsidR="0073566C" w:rsidRDefault="0073566C" w:rsidP="0073566C">
      <w:pPr>
        <w:pStyle w:val="SingleTxt"/>
        <w:tabs>
          <w:tab w:val="clear" w:pos="2592"/>
          <w:tab w:val="left" w:pos="2331"/>
        </w:tabs>
        <w:rPr>
          <w:rFonts w:hint="cs"/>
          <w:rtl/>
        </w:rPr>
      </w:pPr>
    </w:p>
    <w:p w:rsidR="0073566C" w:rsidRDefault="0073566C" w:rsidP="0073566C">
      <w:pPr>
        <w:pStyle w:val="SingleTxt"/>
        <w:tabs>
          <w:tab w:val="clear" w:pos="2592"/>
          <w:tab w:val="left" w:pos="2331"/>
        </w:tabs>
        <w:rPr>
          <w:rFonts w:hint="cs"/>
          <w:rtl/>
        </w:rPr>
      </w:pPr>
      <w:r>
        <w:rPr>
          <w:rFonts w:hint="cs"/>
          <w:noProof/>
          <w:w w:val="100"/>
          <w:rtl/>
        </w:rPr>
        <w:pict>
          <v:shape id="_x0000_s1033" type="#_x0000_t202" style="position:absolute;left:0;text-align:left;margin-left:-166.7pt;margin-top:16pt;width:66.95pt;height:18pt;z-index:5" stroked="f">
            <v:textbox style="mso-next-textbox:#_x0000_s1033" inset="0,0,0,0">
              <w:txbxContent>
                <w:p w:rsidR="00AF077A" w:rsidRPr="00A8500A" w:rsidRDefault="00AF077A" w:rsidP="0073566C">
                  <w:pPr>
                    <w:spacing w:line="240" w:lineRule="exact"/>
                    <w:jc w:val="center"/>
                    <w:rPr>
                      <w:rFonts w:hint="cs"/>
                      <w:sz w:val="24"/>
                      <w:szCs w:val="24"/>
                    </w:rPr>
                  </w:pPr>
                  <w:r>
                    <w:rPr>
                      <w:rFonts w:hint="cs"/>
                      <w:sz w:val="24"/>
                      <w:szCs w:val="24"/>
                      <w:rtl/>
                    </w:rPr>
                    <w:t>معدل البطالة</w:t>
                  </w:r>
                </w:p>
              </w:txbxContent>
            </v:textbox>
            <w10:wrap anchorx="page"/>
          </v:shape>
        </w:pict>
      </w:r>
      <w:r>
        <w:rPr>
          <w:rFonts w:hint="cs"/>
          <w:noProof/>
          <w:w w:val="100"/>
          <w:rtl/>
        </w:rPr>
        <w:pict>
          <v:shape id="_x0000_s1032" type="#_x0000_t202" style="position:absolute;left:0;text-align:left;margin-left:-280.7pt;margin-top:17.4pt;width:68.85pt;height:15pt;z-index:4" stroked="f">
            <v:textbox style="mso-next-textbox:#_x0000_s1032" inset="0,0,0,0">
              <w:txbxContent>
                <w:p w:rsidR="00AF077A" w:rsidRPr="00A8500A" w:rsidRDefault="00AF077A" w:rsidP="0073566C">
                  <w:pPr>
                    <w:spacing w:line="240" w:lineRule="exact"/>
                    <w:jc w:val="center"/>
                    <w:rPr>
                      <w:rFonts w:hint="cs"/>
                      <w:sz w:val="24"/>
                      <w:szCs w:val="24"/>
                    </w:rPr>
                  </w:pPr>
                  <w:r>
                    <w:rPr>
                      <w:rFonts w:hint="cs"/>
                      <w:sz w:val="24"/>
                      <w:szCs w:val="24"/>
                      <w:rtl/>
                    </w:rPr>
                    <w:t>معدل العمل</w:t>
                  </w:r>
                </w:p>
              </w:txbxContent>
            </v:textbox>
            <w10:wrap anchorx="page"/>
          </v:shape>
        </w:pict>
      </w:r>
      <w:r>
        <w:rPr>
          <w:rFonts w:hint="cs"/>
          <w:noProof/>
          <w:w w:val="100"/>
          <w:rtl/>
        </w:rPr>
        <w:pict>
          <v:shape id="_x0000_s1031" type="#_x0000_t202" style="position:absolute;left:0;text-align:left;margin-left:-396.55pt;margin-top:17.4pt;width:70.55pt;height:18pt;z-index:3" stroked="f">
            <v:textbox style="mso-next-textbox:#_x0000_s1031" inset="0,0,0,0">
              <w:txbxContent>
                <w:p w:rsidR="00AF077A" w:rsidRPr="00A8500A" w:rsidRDefault="00AF077A" w:rsidP="0073566C">
                  <w:pPr>
                    <w:spacing w:line="240" w:lineRule="exact"/>
                    <w:jc w:val="center"/>
                    <w:rPr>
                      <w:rFonts w:hint="cs"/>
                      <w:sz w:val="24"/>
                      <w:szCs w:val="24"/>
                    </w:rPr>
                  </w:pPr>
                  <w:r>
                    <w:rPr>
                      <w:rFonts w:hint="cs"/>
                      <w:sz w:val="24"/>
                      <w:szCs w:val="24"/>
                      <w:rtl/>
                    </w:rPr>
                    <w:t>معدل النشاط</w:t>
                  </w:r>
                </w:p>
              </w:txbxContent>
            </v:textbox>
            <w10:wrap anchorx="page"/>
          </v:shape>
        </w:pict>
      </w:r>
    </w:p>
    <w:p w:rsidR="0073566C" w:rsidRDefault="0073566C" w:rsidP="0073566C">
      <w:pPr>
        <w:pStyle w:val="SingleTxt"/>
        <w:tabs>
          <w:tab w:val="clear" w:pos="2592"/>
          <w:tab w:val="left" w:pos="2331"/>
        </w:tabs>
        <w:rPr>
          <w:rFonts w:hint="cs"/>
          <w:rtl/>
        </w:rPr>
      </w:pPr>
    </w:p>
    <w:p w:rsidR="0073566C" w:rsidRDefault="0073566C" w:rsidP="0073566C">
      <w:pPr>
        <w:pStyle w:val="SingleTxt"/>
        <w:tabs>
          <w:tab w:val="clear" w:pos="2592"/>
          <w:tab w:val="left" w:pos="2331"/>
        </w:tabs>
        <w:rPr>
          <w:rFonts w:hint="cs"/>
          <w:rtl/>
        </w:rPr>
      </w:pPr>
    </w:p>
    <w:p w:rsidR="007B7857" w:rsidRPr="007B7857" w:rsidRDefault="007B7857" w:rsidP="007B7857">
      <w:pPr>
        <w:pStyle w:val="SingleTxt"/>
        <w:tabs>
          <w:tab w:val="clear" w:pos="2592"/>
          <w:tab w:val="left" w:pos="2331"/>
        </w:tabs>
        <w:spacing w:after="0" w:line="120" w:lineRule="exact"/>
        <w:rPr>
          <w:rFonts w:hint="cs"/>
          <w:sz w:val="10"/>
          <w:rtl/>
        </w:rPr>
      </w:pPr>
    </w:p>
    <w:p w:rsidR="0073566C" w:rsidRDefault="0073566C" w:rsidP="0073566C">
      <w:pPr>
        <w:pStyle w:val="SingleTxt"/>
        <w:tabs>
          <w:tab w:val="clear" w:pos="2592"/>
          <w:tab w:val="left" w:pos="2331"/>
        </w:tabs>
        <w:rPr>
          <w:rFonts w:hint="cs"/>
          <w:rtl/>
        </w:rPr>
      </w:pPr>
      <w:r>
        <w:rPr>
          <w:rFonts w:hint="cs"/>
          <w:rtl/>
        </w:rPr>
        <w:tab/>
        <w:t xml:space="preserve">يقيس </w:t>
      </w:r>
      <w:r>
        <w:rPr>
          <w:rFonts w:hint="cs"/>
          <w:i/>
          <w:iCs/>
          <w:rtl/>
        </w:rPr>
        <w:t>معدل النشاط</w:t>
      </w:r>
      <w:r>
        <w:rPr>
          <w:rFonts w:hint="cs"/>
          <w:rtl/>
        </w:rPr>
        <w:t xml:space="preserve"> درجة نشاط السكان الذين تتراوح أعمارهم بين 15 و64 عاما في سوق العمل، وبعبارة أخرى السكان الذين يعملون أو يبحثون عن عمل. ويشير </w:t>
      </w:r>
      <w:r>
        <w:rPr>
          <w:rFonts w:hint="cs"/>
          <w:i/>
          <w:iCs/>
          <w:rtl/>
        </w:rPr>
        <w:t>معدل العمل</w:t>
      </w:r>
      <w:r>
        <w:rPr>
          <w:rFonts w:hint="cs"/>
          <w:rtl/>
        </w:rPr>
        <w:t xml:space="preserve"> إلى الذين يعملون بالفعل من السكان الذين هم في سنّ العمل. ويشير </w:t>
      </w:r>
      <w:r>
        <w:rPr>
          <w:rFonts w:hint="cs"/>
          <w:i/>
          <w:iCs/>
          <w:rtl/>
        </w:rPr>
        <w:t>معدل البطالة</w:t>
      </w:r>
      <w:r>
        <w:rPr>
          <w:rFonts w:hint="cs"/>
          <w:rtl/>
        </w:rPr>
        <w:t xml:space="preserve"> إلى عدد الأشخاص في سوق العمل الذين لا يجدون عملا أو لا يعملون. وفي كل من هذه البارامترات الثلاثة توجد فروق واسعة بين الرجال والنساء. ورغم المشاركة المتزايدة للنساء في العمل، فإن معدل نشاطهن كان يقل بمقدار 15.2 نقطة عن معدل نشاط الرجال في عام 2004.</w:t>
      </w:r>
    </w:p>
    <w:p w:rsidR="0073566C" w:rsidRPr="004A79C8" w:rsidRDefault="0073566C" w:rsidP="0073566C">
      <w:pPr>
        <w:pStyle w:val="SingleTxt"/>
        <w:tabs>
          <w:tab w:val="clear" w:pos="2592"/>
          <w:tab w:val="left" w:pos="2331"/>
        </w:tabs>
        <w:spacing w:after="0" w:line="120" w:lineRule="exact"/>
        <w:rPr>
          <w:rFonts w:hint="cs"/>
          <w:sz w:val="12"/>
          <w:rtl/>
        </w:rPr>
      </w:pPr>
    </w:p>
    <w:p w:rsidR="007B7857" w:rsidRPr="007B7857" w:rsidRDefault="007B7857" w:rsidP="007B7857">
      <w:pPr>
        <w:pStyle w:val="SingleTxt"/>
        <w:tabs>
          <w:tab w:val="clear" w:pos="2592"/>
          <w:tab w:val="left" w:pos="2331"/>
        </w:tabs>
        <w:spacing w:after="0" w:line="120" w:lineRule="exact"/>
        <w:rPr>
          <w:rFonts w:hint="cs"/>
          <w:sz w:val="10"/>
          <w:rtl/>
        </w:rPr>
      </w:pPr>
    </w:p>
    <w:p w:rsidR="0073566C" w:rsidRDefault="0073566C" w:rsidP="0073566C">
      <w:pPr>
        <w:pStyle w:val="SingleTxt"/>
        <w:tabs>
          <w:tab w:val="clear" w:pos="2592"/>
          <w:tab w:val="left" w:pos="2331"/>
        </w:tabs>
        <w:rPr>
          <w:rFonts w:hint="cs"/>
          <w:vertAlign w:val="superscript"/>
          <w:rtl/>
        </w:rPr>
      </w:pPr>
      <w:r>
        <w:rPr>
          <w:noProof/>
          <w:w w:val="100"/>
          <w:sz w:val="24"/>
          <w:szCs w:val="24"/>
        </w:rPr>
        <w:pict>
          <v:shape id="_x0000_s1035" type="#_x0000_t202" style="position:absolute;left:0;text-align:left;margin-left:424.9pt;margin-top:94.8pt;width:41.2pt;height:27pt;z-index:7" stroked="f">
            <v:textbox style="mso-next-textbox:#_x0000_s1035" inset="0,0,0,0">
              <w:txbxContent>
                <w:p w:rsidR="00AF077A" w:rsidRDefault="00AF077A" w:rsidP="0073566C">
                  <w:pPr>
                    <w:spacing w:line="200" w:lineRule="exact"/>
                    <w:jc w:val="right"/>
                    <w:rPr>
                      <w:rFonts w:hint="cs"/>
                      <w:sz w:val="24"/>
                      <w:szCs w:val="24"/>
                      <w:rtl/>
                    </w:rPr>
                  </w:pPr>
                  <w:r>
                    <w:rPr>
                      <w:rFonts w:hint="cs"/>
                      <w:sz w:val="24"/>
                      <w:szCs w:val="24"/>
                      <w:rtl/>
                    </w:rPr>
                    <w:t>نســـــاء</w:t>
                  </w:r>
                </w:p>
                <w:p w:rsidR="00AF077A" w:rsidRPr="00A8500A" w:rsidRDefault="00AF077A" w:rsidP="0073566C">
                  <w:pPr>
                    <w:spacing w:line="240" w:lineRule="exact"/>
                    <w:jc w:val="right"/>
                    <w:rPr>
                      <w:rFonts w:hint="cs"/>
                      <w:sz w:val="24"/>
                      <w:szCs w:val="24"/>
                    </w:rPr>
                  </w:pPr>
                  <w:r>
                    <w:rPr>
                      <w:rFonts w:hint="cs"/>
                      <w:sz w:val="24"/>
                      <w:szCs w:val="24"/>
                      <w:rtl/>
                    </w:rPr>
                    <w:t>رجـــال</w:t>
                  </w:r>
                </w:p>
              </w:txbxContent>
            </v:textbox>
            <w10:wrap anchorx="page"/>
          </v:shape>
        </w:pict>
      </w:r>
      <w:r w:rsidRPr="00FB41E1">
        <w:rPr>
          <w:rFonts w:hint="cs"/>
          <w:i/>
          <w:iCs/>
          <w:rtl/>
        </w:rPr>
        <w:t>تطور معدل البطالة الطويلة الأجل حسب الجنس، 1995-2004</w:t>
      </w:r>
      <w:r w:rsidRPr="001D50C6">
        <w:rPr>
          <w:vertAlign w:val="superscript"/>
          <w:rtl/>
        </w:rPr>
        <w:t>(</w:t>
      </w:r>
      <w:r>
        <w:rPr>
          <w:rStyle w:val="FootnoteReference"/>
          <w:rtl/>
        </w:rPr>
        <w:footnoteReference w:id="49"/>
      </w:r>
      <w:r w:rsidRPr="001D50C6">
        <w:rPr>
          <w:vertAlign w:val="superscript"/>
          <w:rtl/>
        </w:rPr>
        <w:t>)</w:t>
      </w:r>
    </w:p>
    <w:p w:rsidR="0073566C" w:rsidRPr="0036450A" w:rsidRDefault="0073566C" w:rsidP="0073566C">
      <w:pPr>
        <w:pStyle w:val="SingleTxt"/>
        <w:tabs>
          <w:tab w:val="clear" w:pos="2592"/>
          <w:tab w:val="left" w:pos="2331"/>
        </w:tabs>
        <w:spacing w:after="0" w:line="120" w:lineRule="exact"/>
        <w:rPr>
          <w:sz w:val="10"/>
          <w:rtl/>
        </w:rPr>
      </w:pPr>
    </w:p>
    <w:p w:rsidR="0073566C" w:rsidRDefault="0073566C" w:rsidP="0073566C">
      <w:pPr>
        <w:tabs>
          <w:tab w:val="left" w:pos="1267"/>
          <w:tab w:val="left" w:pos="1930"/>
          <w:tab w:val="left" w:pos="2592"/>
          <w:tab w:val="left" w:pos="3254"/>
          <w:tab w:val="left" w:pos="3917"/>
          <w:tab w:val="left" w:pos="4579"/>
          <w:tab w:val="left" w:pos="5242"/>
          <w:tab w:val="left" w:pos="5904"/>
          <w:tab w:val="left" w:pos="6566"/>
        </w:tabs>
        <w:spacing w:after="120"/>
        <w:ind w:left="1267" w:right="1267"/>
        <w:rPr>
          <w:rFonts w:hint="cs"/>
          <w:rtl/>
        </w:rPr>
      </w:pPr>
      <w:r>
        <w:rPr>
          <w:noProof/>
          <w:rtl/>
        </w:rPr>
        <w:pict>
          <v:shape id="_x0000_s1038" type="#_x0000_t75" style="position:absolute;left:0;text-align:left;margin-left:0;margin-top:0;width:455.75pt;height:180pt;z-index:-8;mso-position-horizontal:center" wrapcoords="-36 -90 -36 21600 21636 21600 21636 -90 -36 -90" stroked="t" strokeweight=".5pt">
            <v:imagedata r:id="rId27" o:title=""/>
            <w10:wrap type="tight"/>
          </v:shape>
          <o:OLEObject Type="Embed" ProgID="Excel.Chart.8" ShapeID="_x0000_s1038" DrawAspect="Content" ObjectID="_1418864278" r:id="rId28">
            <o:FieldCodes>\s</o:FieldCodes>
          </o:OLEObject>
        </w:pict>
      </w:r>
      <w:r>
        <w:rPr>
          <w:rFonts w:hint="cs"/>
          <w:rtl/>
        </w:rPr>
        <w:tab/>
        <w:t>في عام 1995، كان 7.7 في المائة من الناشطات في بلجيكا دون عمل منذ أكثر من اثني عشر شهرا، في مقابل 4.5 في المائة من الرجال الناشطين مهنيا. وفيما بين عامي 1995 و2002، انخفض معدل البطالة الطويلة الأجل إلى 4.3 في المائة لدى الناشطات و3.4 في المائة لدى الناشطين. وفي عام 2001 وصلت البطالة الطويلة الأجل إلى أدنى معدلاتها لدى الرجال والنساء معا. وظل الفرق بين معدل البطالة الطويلة الأجل لدى النساء ومعدلها لدى الرجال يتناقص بشكل منتظم فيما بين عامي 1995 و2001. ويبدو أن الفرق ظل ثابتا منذ ذلك الحين.</w:t>
      </w:r>
    </w:p>
    <w:p w:rsidR="0073566C" w:rsidRDefault="0073566C" w:rsidP="0073566C">
      <w:pPr>
        <w:tabs>
          <w:tab w:val="left" w:pos="1267"/>
          <w:tab w:val="left" w:pos="1930"/>
          <w:tab w:val="left" w:pos="2592"/>
          <w:tab w:val="left" w:pos="3254"/>
          <w:tab w:val="left" w:pos="3917"/>
          <w:tab w:val="left" w:pos="4579"/>
          <w:tab w:val="left" w:pos="5242"/>
          <w:tab w:val="left" w:pos="5904"/>
          <w:tab w:val="left" w:pos="6566"/>
        </w:tabs>
        <w:spacing w:after="120"/>
        <w:ind w:left="1267" w:right="1267"/>
        <w:rPr>
          <w:rFonts w:hint="cs"/>
          <w:rtl/>
        </w:rPr>
      </w:pPr>
    </w:p>
    <w:p w:rsidR="0073566C" w:rsidRPr="001B1FF7" w:rsidRDefault="0073566C" w:rsidP="0073566C">
      <w:pPr>
        <w:pStyle w:val="SingleTxt"/>
        <w:tabs>
          <w:tab w:val="clear" w:pos="2592"/>
          <w:tab w:val="left" w:pos="2331"/>
        </w:tabs>
        <w:rPr>
          <w:rFonts w:hint="cs"/>
          <w:sz w:val="30"/>
        </w:rPr>
      </w:pPr>
      <w:r>
        <w:rPr>
          <w:b/>
          <w:bCs/>
          <w:rtl/>
        </w:rPr>
        <w:br w:type="page"/>
      </w:r>
      <w:r w:rsidRPr="00FB41E1">
        <w:rPr>
          <w:rFonts w:hint="cs"/>
          <w:rtl/>
        </w:rPr>
        <w:t>تطور معدل العمل لبعض الوقت حسب الجنس، 1983-2004</w:t>
      </w:r>
      <w:r w:rsidRPr="001D50C6">
        <w:rPr>
          <w:vertAlign w:val="superscript"/>
          <w:rtl/>
        </w:rPr>
        <w:t>(</w:t>
      </w:r>
      <w:r>
        <w:rPr>
          <w:rStyle w:val="FootnoteReference"/>
          <w:rtl/>
        </w:rPr>
        <w:footnoteReference w:id="50"/>
      </w:r>
      <w:r w:rsidRPr="001D50C6">
        <w:rPr>
          <w:vertAlign w:val="superscript"/>
          <w:rtl/>
        </w:rPr>
        <w:t>)</w:t>
      </w:r>
    </w:p>
    <w:p w:rsidR="0073566C" w:rsidRPr="00ED378D" w:rsidRDefault="0073566C" w:rsidP="0073566C">
      <w:pPr>
        <w:spacing w:line="480" w:lineRule="auto"/>
        <w:rPr>
          <w:sz w:val="24"/>
          <w:szCs w:val="24"/>
        </w:rPr>
      </w:pPr>
      <w:r>
        <w:rPr>
          <w:rFonts w:hint="cs"/>
          <w:noProof/>
          <w:w w:val="100"/>
          <w:sz w:val="24"/>
          <w:szCs w:val="24"/>
          <w:rtl/>
        </w:rPr>
        <w:pict>
          <v:shape id="_x0000_s1036" type="#_x0000_t202" style="position:absolute;left:0;text-align:left;margin-left:228.95pt;margin-top:157.2pt;width:33.7pt;height:10.4pt;z-index:8" stroked="f">
            <v:textbox style="mso-next-textbox:#_x0000_s1036" inset="0,0,0,0">
              <w:txbxContent>
                <w:p w:rsidR="00AF077A" w:rsidRPr="00A8500A" w:rsidRDefault="00AF077A" w:rsidP="0073566C">
                  <w:pPr>
                    <w:spacing w:line="200" w:lineRule="exact"/>
                    <w:jc w:val="right"/>
                    <w:rPr>
                      <w:rFonts w:hint="cs"/>
                      <w:sz w:val="24"/>
                      <w:szCs w:val="24"/>
                    </w:rPr>
                  </w:pPr>
                  <w:r>
                    <w:rPr>
                      <w:rFonts w:hint="cs"/>
                      <w:sz w:val="24"/>
                      <w:szCs w:val="24"/>
                      <w:rtl/>
                    </w:rPr>
                    <w:t>رجال</w:t>
                  </w:r>
                </w:p>
              </w:txbxContent>
            </v:textbox>
            <w10:wrap anchorx="page"/>
          </v:shape>
        </w:pict>
      </w:r>
      <w:r>
        <w:rPr>
          <w:rFonts w:hint="cs"/>
          <w:noProof/>
          <w:w w:val="100"/>
          <w:sz w:val="24"/>
          <w:szCs w:val="24"/>
          <w:rtl/>
        </w:rPr>
        <w:pict>
          <v:shape id="_x0000_s1037" type="#_x0000_t202" style="position:absolute;left:0;text-align:left;margin-left:286.3pt;margin-top:157.65pt;width:35.05pt;height:9pt;z-index:9" stroked="f">
            <v:textbox style="mso-next-textbox:#_x0000_s1037" inset="0,0,0,0">
              <w:txbxContent>
                <w:p w:rsidR="00AF077A" w:rsidRPr="00A8500A" w:rsidRDefault="00AF077A" w:rsidP="0073566C">
                  <w:pPr>
                    <w:spacing w:line="200" w:lineRule="exact"/>
                    <w:jc w:val="right"/>
                    <w:rPr>
                      <w:rFonts w:hint="cs"/>
                    </w:rPr>
                  </w:pPr>
                  <w:r>
                    <w:rPr>
                      <w:rFonts w:hint="cs"/>
                      <w:rtl/>
                    </w:rPr>
                    <w:t>نساء</w:t>
                  </w:r>
                </w:p>
              </w:txbxContent>
            </v:textbox>
            <w10:wrap anchorx="page"/>
          </v:shape>
        </w:pict>
      </w:r>
      <w:r>
        <w:object w:dxaOrig="9360" w:dyaOrig="3555">
          <v:shape id="_x0000_i1025" type="#_x0000_t75" style="width:468pt;height:177.75pt" o:ole="" o:allowoverlap="f">
            <v:imagedata r:id="rId29" o:title=""/>
          </v:shape>
          <o:OLEObject Type="Embed" ProgID="Excel.Chart.8" ShapeID="_x0000_i1025" DrawAspect="Content" ObjectID="_1418864276" r:id="rId30">
            <o:FieldCodes>\s</o:FieldCodes>
          </o:OLEObject>
        </w:object>
      </w:r>
    </w:p>
    <w:p w:rsidR="0073566C" w:rsidRDefault="0073566C" w:rsidP="0073566C">
      <w:pPr>
        <w:pStyle w:val="SingleTxt"/>
        <w:tabs>
          <w:tab w:val="clear" w:pos="2592"/>
          <w:tab w:val="left" w:pos="2331"/>
        </w:tabs>
        <w:rPr>
          <w:rFonts w:hint="cs"/>
          <w:rtl/>
        </w:rPr>
      </w:pPr>
      <w:r>
        <w:rPr>
          <w:rFonts w:hint="cs"/>
          <w:rtl/>
        </w:rPr>
        <w:tab/>
        <w:t>ازداد معدل العمل لبعض الوقت زيادة كبيرة لدى الجنسين على مرّ السنين. ومع ذلك ما زال هناك فرق كبير بين النساء والرجال. وبالإضافة إلى ذلك فإن النساء والرجال يعملون لبعض الوقت لأسباب مختلفة.</w:t>
      </w:r>
    </w:p>
    <w:p w:rsidR="0073566C" w:rsidRPr="00452FE5" w:rsidRDefault="0073566C" w:rsidP="0073566C">
      <w:pPr>
        <w:pStyle w:val="SingleTxt"/>
        <w:tabs>
          <w:tab w:val="clear" w:pos="2592"/>
          <w:tab w:val="left" w:pos="2331"/>
        </w:tabs>
        <w:spacing w:after="0" w:line="120" w:lineRule="exact"/>
        <w:rPr>
          <w:rFonts w:hint="cs"/>
          <w:sz w:val="12"/>
          <w:rtl/>
        </w:rPr>
      </w:pPr>
    </w:p>
    <w:p w:rsidR="0073566C" w:rsidRDefault="0073566C" w:rsidP="0073566C">
      <w:pPr>
        <w:pStyle w:val="SingleTxt"/>
        <w:tabs>
          <w:tab w:val="clear" w:pos="2592"/>
          <w:tab w:val="left" w:pos="2331"/>
        </w:tabs>
        <w:rPr>
          <w:rFonts w:hint="cs"/>
          <w:rtl/>
        </w:rPr>
      </w:pPr>
      <w:r>
        <w:rPr>
          <w:rFonts w:hint="cs"/>
          <w:b/>
          <w:bCs/>
          <w:rtl/>
        </w:rPr>
        <w:tab/>
        <w:t>متوسط الأجور الإجمالية الشهرية باليورو، 2005</w:t>
      </w:r>
      <w:r w:rsidRPr="00452FE5">
        <w:rPr>
          <w:vertAlign w:val="superscript"/>
          <w:rtl/>
        </w:rPr>
        <w:t>(</w:t>
      </w:r>
      <w:r>
        <w:rPr>
          <w:rStyle w:val="FootnoteReference"/>
          <w:rtl/>
        </w:rPr>
        <w:footnoteReference w:id="51"/>
      </w:r>
      <w:r w:rsidRPr="00452FE5">
        <w:rPr>
          <w:vertAlign w:val="superscript"/>
          <w:rtl/>
        </w:rPr>
        <w:t>)</w:t>
      </w:r>
      <w:r>
        <w:rPr>
          <w:rFonts w:hint="cs"/>
          <w:rtl/>
        </w:rPr>
        <w:t xml:space="preserve"> </w:t>
      </w:r>
    </w:p>
    <w:tbl>
      <w:tblPr>
        <w:tblStyle w:val="TableGrid"/>
        <w:bidiVisual/>
        <w:tblW w:w="6160" w:type="dxa"/>
        <w:jc w:val="center"/>
        <w:tblInd w:w="16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751"/>
        <w:gridCol w:w="1648"/>
        <w:gridCol w:w="1337"/>
        <w:gridCol w:w="1424"/>
      </w:tblGrid>
      <w:tr w:rsidR="0073566C" w:rsidRPr="00452FE5">
        <w:trPr>
          <w:cantSplit/>
          <w:tblHeader/>
          <w:jc w:val="center"/>
        </w:trPr>
        <w:tc>
          <w:tcPr>
            <w:tcW w:w="1751" w:type="dxa"/>
            <w:tcBorders>
              <w:top w:val="single" w:sz="4" w:space="0" w:color="auto"/>
              <w:bottom w:val="single" w:sz="12" w:space="0" w:color="auto"/>
            </w:tcBorders>
            <w:shd w:val="clear" w:color="auto" w:fill="auto"/>
          </w:tcPr>
          <w:p w:rsidR="0073566C" w:rsidRPr="00452FE5" w:rsidRDefault="0073566C" w:rsidP="0073566C">
            <w:pPr>
              <w:pStyle w:val="DualTxt"/>
              <w:spacing w:before="80" w:after="80" w:line="240" w:lineRule="exact"/>
              <w:jc w:val="center"/>
              <w:rPr>
                <w:rFonts w:hint="cs"/>
                <w:i/>
                <w:iCs/>
                <w:sz w:val="16"/>
                <w:szCs w:val="24"/>
                <w:rtl/>
              </w:rPr>
            </w:pPr>
            <w:r>
              <w:rPr>
                <w:rFonts w:hint="cs"/>
                <w:i/>
                <w:iCs/>
                <w:sz w:val="16"/>
                <w:szCs w:val="24"/>
                <w:rtl/>
              </w:rPr>
              <w:t>البيان</w:t>
            </w:r>
          </w:p>
        </w:tc>
        <w:tc>
          <w:tcPr>
            <w:tcW w:w="1648" w:type="dxa"/>
            <w:tcBorders>
              <w:top w:val="single" w:sz="4" w:space="0" w:color="auto"/>
              <w:bottom w:val="single" w:sz="12" w:space="0" w:color="auto"/>
            </w:tcBorders>
            <w:shd w:val="clear" w:color="auto" w:fill="auto"/>
          </w:tcPr>
          <w:p w:rsidR="0073566C" w:rsidRPr="00452FE5" w:rsidRDefault="0073566C" w:rsidP="0073566C">
            <w:pPr>
              <w:pStyle w:val="DualTxt"/>
              <w:spacing w:before="80" w:after="80" w:line="240" w:lineRule="exact"/>
              <w:ind w:right="144"/>
              <w:jc w:val="center"/>
              <w:rPr>
                <w:rFonts w:hint="cs"/>
                <w:i/>
                <w:iCs/>
                <w:sz w:val="16"/>
                <w:szCs w:val="24"/>
                <w:rtl/>
              </w:rPr>
            </w:pPr>
            <w:r>
              <w:rPr>
                <w:rFonts w:hint="cs"/>
                <w:i/>
                <w:iCs/>
                <w:sz w:val="16"/>
                <w:szCs w:val="24"/>
                <w:rtl/>
              </w:rPr>
              <w:t>الرجال</w:t>
            </w:r>
          </w:p>
        </w:tc>
        <w:tc>
          <w:tcPr>
            <w:tcW w:w="1337" w:type="dxa"/>
            <w:tcBorders>
              <w:top w:val="single" w:sz="4" w:space="0" w:color="auto"/>
              <w:bottom w:val="single" w:sz="12" w:space="0" w:color="auto"/>
            </w:tcBorders>
            <w:shd w:val="clear" w:color="auto" w:fill="auto"/>
          </w:tcPr>
          <w:p w:rsidR="0073566C" w:rsidRPr="00452FE5" w:rsidRDefault="0073566C" w:rsidP="0073566C">
            <w:pPr>
              <w:pStyle w:val="DualTxt"/>
              <w:spacing w:before="80" w:after="80" w:line="240" w:lineRule="exact"/>
              <w:ind w:right="144"/>
              <w:jc w:val="center"/>
              <w:rPr>
                <w:rFonts w:hint="cs"/>
                <w:i/>
                <w:iCs/>
                <w:sz w:val="16"/>
                <w:szCs w:val="24"/>
                <w:rtl/>
              </w:rPr>
            </w:pPr>
            <w:r>
              <w:rPr>
                <w:rFonts w:hint="cs"/>
                <w:i/>
                <w:iCs/>
                <w:sz w:val="16"/>
                <w:szCs w:val="24"/>
                <w:rtl/>
              </w:rPr>
              <w:t>النساء</w:t>
            </w:r>
          </w:p>
        </w:tc>
        <w:tc>
          <w:tcPr>
            <w:tcW w:w="1424" w:type="dxa"/>
            <w:tcBorders>
              <w:top w:val="single" w:sz="4" w:space="0" w:color="auto"/>
              <w:bottom w:val="single" w:sz="12" w:space="0" w:color="auto"/>
            </w:tcBorders>
            <w:shd w:val="clear" w:color="auto" w:fill="auto"/>
            <w:vAlign w:val="bottom"/>
          </w:tcPr>
          <w:p w:rsidR="0073566C" w:rsidRDefault="0073566C" w:rsidP="0073566C">
            <w:pPr>
              <w:pStyle w:val="DualTxt"/>
              <w:spacing w:before="80" w:after="80" w:line="240" w:lineRule="exact"/>
              <w:ind w:right="144"/>
              <w:jc w:val="center"/>
              <w:rPr>
                <w:rFonts w:hint="cs"/>
                <w:i/>
                <w:iCs/>
                <w:sz w:val="16"/>
                <w:szCs w:val="24"/>
                <w:rtl/>
              </w:rPr>
            </w:pPr>
            <w:r>
              <w:rPr>
                <w:rFonts w:hint="cs"/>
                <w:i/>
                <w:iCs/>
                <w:sz w:val="16"/>
                <w:szCs w:val="24"/>
                <w:rtl/>
              </w:rPr>
              <w:t>الفرق في الأجور</w:t>
            </w:r>
          </w:p>
          <w:p w:rsidR="0073566C" w:rsidRPr="00452FE5" w:rsidRDefault="0073566C" w:rsidP="0073566C">
            <w:pPr>
              <w:pStyle w:val="DualTxt"/>
              <w:spacing w:before="80" w:after="80" w:line="240" w:lineRule="exact"/>
              <w:ind w:right="144"/>
              <w:jc w:val="center"/>
              <w:rPr>
                <w:rFonts w:hint="cs"/>
                <w:i/>
                <w:iCs/>
                <w:sz w:val="16"/>
                <w:szCs w:val="24"/>
                <w:rtl/>
              </w:rPr>
            </w:pPr>
            <w:r>
              <w:rPr>
                <w:rFonts w:hint="cs"/>
                <w:i/>
                <w:iCs/>
                <w:sz w:val="16"/>
                <w:szCs w:val="24"/>
                <w:rtl/>
              </w:rPr>
              <w:t>(٪)</w:t>
            </w:r>
          </w:p>
        </w:tc>
      </w:tr>
      <w:tr w:rsidR="0073566C" w:rsidRPr="00452FE5">
        <w:trPr>
          <w:cantSplit/>
          <w:jc w:val="center"/>
        </w:trPr>
        <w:tc>
          <w:tcPr>
            <w:tcW w:w="1751" w:type="dxa"/>
            <w:shd w:val="clear" w:color="auto" w:fill="auto"/>
            <w:vAlign w:val="bottom"/>
          </w:tcPr>
          <w:p w:rsidR="0073566C" w:rsidRPr="00452FE5" w:rsidRDefault="0073566C" w:rsidP="0073566C">
            <w:pPr>
              <w:pStyle w:val="DualTxt"/>
              <w:spacing w:before="40" w:after="80" w:line="240" w:lineRule="exact"/>
              <w:rPr>
                <w:rFonts w:hint="cs"/>
                <w:sz w:val="16"/>
                <w:szCs w:val="24"/>
                <w:rtl/>
              </w:rPr>
            </w:pPr>
            <w:r>
              <w:rPr>
                <w:rFonts w:hint="cs"/>
                <w:sz w:val="16"/>
                <w:szCs w:val="24"/>
                <w:rtl/>
              </w:rPr>
              <w:t>المستخدَمون</w:t>
            </w:r>
          </w:p>
        </w:tc>
        <w:tc>
          <w:tcPr>
            <w:tcW w:w="1648" w:type="dxa"/>
            <w:shd w:val="clear" w:color="auto" w:fill="auto"/>
            <w:vAlign w:val="bottom"/>
          </w:tcPr>
          <w:p w:rsidR="0073566C" w:rsidRPr="00452FE5" w:rsidRDefault="0073566C" w:rsidP="0073566C">
            <w:pPr>
              <w:pStyle w:val="DualTxt"/>
              <w:spacing w:before="40" w:after="80" w:line="240" w:lineRule="exact"/>
              <w:ind w:right="144"/>
              <w:jc w:val="center"/>
              <w:rPr>
                <w:rFonts w:hint="cs"/>
                <w:sz w:val="16"/>
                <w:szCs w:val="24"/>
                <w:rtl/>
              </w:rPr>
            </w:pPr>
            <w:r>
              <w:rPr>
                <w:rFonts w:hint="cs"/>
                <w:sz w:val="16"/>
                <w:szCs w:val="24"/>
                <w:rtl/>
              </w:rPr>
              <w:t>483.8 3</w:t>
            </w:r>
          </w:p>
        </w:tc>
        <w:tc>
          <w:tcPr>
            <w:tcW w:w="1337" w:type="dxa"/>
            <w:shd w:val="clear" w:color="auto" w:fill="auto"/>
            <w:vAlign w:val="bottom"/>
          </w:tcPr>
          <w:p w:rsidR="0073566C" w:rsidRPr="00452FE5" w:rsidRDefault="0073566C" w:rsidP="0073566C">
            <w:pPr>
              <w:pStyle w:val="DualTxt"/>
              <w:spacing w:before="40" w:after="80" w:line="240" w:lineRule="exact"/>
              <w:ind w:right="144"/>
              <w:jc w:val="center"/>
              <w:rPr>
                <w:rFonts w:hint="cs"/>
                <w:sz w:val="16"/>
                <w:szCs w:val="24"/>
                <w:rtl/>
              </w:rPr>
            </w:pPr>
            <w:r>
              <w:rPr>
                <w:rFonts w:hint="cs"/>
                <w:sz w:val="16"/>
                <w:szCs w:val="24"/>
                <w:rtl/>
              </w:rPr>
              <w:t>454.7 2</w:t>
            </w:r>
          </w:p>
        </w:tc>
        <w:tc>
          <w:tcPr>
            <w:tcW w:w="1424" w:type="dxa"/>
            <w:shd w:val="clear" w:color="auto" w:fill="auto"/>
            <w:vAlign w:val="bottom"/>
          </w:tcPr>
          <w:p w:rsidR="0073566C" w:rsidRPr="00452FE5" w:rsidRDefault="0073566C" w:rsidP="0073566C">
            <w:pPr>
              <w:pStyle w:val="DualTxt"/>
              <w:spacing w:before="40" w:after="80" w:line="240" w:lineRule="exact"/>
              <w:ind w:right="144"/>
              <w:jc w:val="center"/>
              <w:rPr>
                <w:rFonts w:hint="cs"/>
                <w:sz w:val="16"/>
                <w:szCs w:val="24"/>
                <w:rtl/>
              </w:rPr>
            </w:pPr>
            <w:r>
              <w:rPr>
                <w:rFonts w:hint="cs"/>
                <w:sz w:val="16"/>
                <w:szCs w:val="24"/>
                <w:rtl/>
              </w:rPr>
              <w:t>30</w:t>
            </w:r>
          </w:p>
        </w:tc>
      </w:tr>
      <w:tr w:rsidR="0073566C" w:rsidRPr="00452FE5">
        <w:trPr>
          <w:cantSplit/>
          <w:jc w:val="center"/>
        </w:trPr>
        <w:tc>
          <w:tcPr>
            <w:tcW w:w="1751" w:type="dxa"/>
            <w:shd w:val="clear" w:color="auto" w:fill="auto"/>
            <w:vAlign w:val="bottom"/>
          </w:tcPr>
          <w:p w:rsidR="0073566C" w:rsidRPr="00452FE5" w:rsidRDefault="0073566C" w:rsidP="0073566C">
            <w:pPr>
              <w:pStyle w:val="DualTxt"/>
              <w:spacing w:before="40" w:after="80" w:line="240" w:lineRule="exact"/>
              <w:rPr>
                <w:rFonts w:hint="cs"/>
                <w:sz w:val="16"/>
                <w:szCs w:val="24"/>
                <w:rtl/>
              </w:rPr>
            </w:pPr>
            <w:r>
              <w:rPr>
                <w:rFonts w:hint="cs"/>
                <w:sz w:val="16"/>
                <w:szCs w:val="24"/>
                <w:rtl/>
              </w:rPr>
              <w:t>العمال</w:t>
            </w:r>
          </w:p>
        </w:tc>
        <w:tc>
          <w:tcPr>
            <w:tcW w:w="1648" w:type="dxa"/>
            <w:shd w:val="clear" w:color="auto" w:fill="auto"/>
            <w:vAlign w:val="bottom"/>
          </w:tcPr>
          <w:p w:rsidR="0073566C" w:rsidRPr="00452FE5" w:rsidRDefault="0073566C" w:rsidP="0073566C">
            <w:pPr>
              <w:pStyle w:val="DualTxt"/>
              <w:spacing w:before="40" w:after="80" w:line="240" w:lineRule="exact"/>
              <w:ind w:right="144"/>
              <w:jc w:val="center"/>
              <w:rPr>
                <w:rFonts w:hint="cs"/>
                <w:sz w:val="16"/>
                <w:szCs w:val="24"/>
                <w:rtl/>
              </w:rPr>
            </w:pPr>
            <w:r>
              <w:rPr>
                <w:rFonts w:hint="cs"/>
                <w:sz w:val="16"/>
                <w:szCs w:val="24"/>
                <w:rtl/>
              </w:rPr>
              <w:t>119.6 2</w:t>
            </w:r>
          </w:p>
        </w:tc>
        <w:tc>
          <w:tcPr>
            <w:tcW w:w="1337" w:type="dxa"/>
            <w:shd w:val="clear" w:color="auto" w:fill="auto"/>
            <w:vAlign w:val="bottom"/>
          </w:tcPr>
          <w:p w:rsidR="0073566C" w:rsidRPr="00452FE5" w:rsidRDefault="0073566C" w:rsidP="0073566C">
            <w:pPr>
              <w:pStyle w:val="DualTxt"/>
              <w:spacing w:before="40" w:after="80" w:line="240" w:lineRule="exact"/>
              <w:ind w:right="144"/>
              <w:jc w:val="center"/>
              <w:rPr>
                <w:rFonts w:hint="cs"/>
                <w:sz w:val="16"/>
                <w:szCs w:val="24"/>
                <w:rtl/>
              </w:rPr>
            </w:pPr>
            <w:r>
              <w:rPr>
                <w:rFonts w:hint="cs"/>
                <w:sz w:val="16"/>
                <w:szCs w:val="24"/>
                <w:rtl/>
              </w:rPr>
              <w:t>670.4 1</w:t>
            </w:r>
          </w:p>
        </w:tc>
        <w:tc>
          <w:tcPr>
            <w:tcW w:w="1424" w:type="dxa"/>
            <w:shd w:val="clear" w:color="auto" w:fill="auto"/>
            <w:vAlign w:val="bottom"/>
          </w:tcPr>
          <w:p w:rsidR="0073566C" w:rsidRPr="00452FE5" w:rsidRDefault="0073566C" w:rsidP="0073566C">
            <w:pPr>
              <w:pStyle w:val="DualTxt"/>
              <w:spacing w:before="40" w:after="80" w:line="240" w:lineRule="exact"/>
              <w:ind w:right="144"/>
              <w:jc w:val="center"/>
              <w:rPr>
                <w:rFonts w:hint="cs"/>
                <w:sz w:val="16"/>
                <w:szCs w:val="24"/>
                <w:rtl/>
              </w:rPr>
            </w:pPr>
            <w:r>
              <w:rPr>
                <w:rFonts w:hint="cs"/>
                <w:sz w:val="16"/>
                <w:szCs w:val="24"/>
                <w:rtl/>
              </w:rPr>
              <w:t>21</w:t>
            </w:r>
          </w:p>
        </w:tc>
      </w:tr>
      <w:tr w:rsidR="0073566C" w:rsidRPr="00452FE5">
        <w:trPr>
          <w:cantSplit/>
          <w:jc w:val="center"/>
        </w:trPr>
        <w:tc>
          <w:tcPr>
            <w:tcW w:w="1751" w:type="dxa"/>
            <w:tcBorders>
              <w:bottom w:val="single" w:sz="12" w:space="0" w:color="auto"/>
            </w:tcBorders>
            <w:shd w:val="clear" w:color="auto" w:fill="auto"/>
            <w:vAlign w:val="bottom"/>
          </w:tcPr>
          <w:p w:rsidR="0073566C" w:rsidRPr="00452FE5" w:rsidRDefault="0073566C" w:rsidP="0073566C">
            <w:pPr>
              <w:pStyle w:val="DualTxt"/>
              <w:spacing w:before="40" w:after="80" w:line="240" w:lineRule="exact"/>
              <w:rPr>
                <w:rFonts w:hint="cs"/>
                <w:sz w:val="16"/>
                <w:szCs w:val="24"/>
                <w:rtl/>
              </w:rPr>
            </w:pPr>
            <w:r>
              <w:rPr>
                <w:rFonts w:hint="cs"/>
                <w:sz w:val="16"/>
                <w:szCs w:val="24"/>
                <w:rtl/>
              </w:rPr>
              <w:t>الموظفون</w:t>
            </w:r>
          </w:p>
        </w:tc>
        <w:tc>
          <w:tcPr>
            <w:tcW w:w="1648" w:type="dxa"/>
            <w:tcBorders>
              <w:bottom w:val="single" w:sz="12" w:space="0" w:color="auto"/>
            </w:tcBorders>
            <w:shd w:val="clear" w:color="auto" w:fill="auto"/>
            <w:vAlign w:val="bottom"/>
          </w:tcPr>
          <w:p w:rsidR="0073566C" w:rsidRPr="00452FE5" w:rsidRDefault="0073566C" w:rsidP="0073566C">
            <w:pPr>
              <w:pStyle w:val="DualTxt"/>
              <w:spacing w:before="40" w:after="80" w:line="240" w:lineRule="exact"/>
              <w:ind w:right="144"/>
              <w:jc w:val="center"/>
              <w:rPr>
                <w:rFonts w:hint="cs"/>
                <w:sz w:val="16"/>
                <w:szCs w:val="24"/>
                <w:rtl/>
              </w:rPr>
            </w:pPr>
            <w:r>
              <w:rPr>
                <w:rFonts w:hint="cs"/>
                <w:sz w:val="16"/>
                <w:szCs w:val="24"/>
                <w:rtl/>
              </w:rPr>
              <w:t>976.1 2</w:t>
            </w:r>
          </w:p>
        </w:tc>
        <w:tc>
          <w:tcPr>
            <w:tcW w:w="1337" w:type="dxa"/>
            <w:tcBorders>
              <w:bottom w:val="single" w:sz="12" w:space="0" w:color="auto"/>
            </w:tcBorders>
            <w:shd w:val="clear" w:color="auto" w:fill="auto"/>
            <w:vAlign w:val="bottom"/>
          </w:tcPr>
          <w:p w:rsidR="0073566C" w:rsidRPr="00452FE5" w:rsidRDefault="0073566C" w:rsidP="0073566C">
            <w:pPr>
              <w:pStyle w:val="DualTxt"/>
              <w:spacing w:before="40" w:after="80" w:line="240" w:lineRule="exact"/>
              <w:ind w:right="144"/>
              <w:jc w:val="center"/>
              <w:rPr>
                <w:rFonts w:hint="cs"/>
                <w:sz w:val="16"/>
                <w:szCs w:val="24"/>
                <w:rtl/>
              </w:rPr>
            </w:pPr>
            <w:r>
              <w:rPr>
                <w:rFonts w:hint="cs"/>
                <w:sz w:val="16"/>
                <w:szCs w:val="24"/>
                <w:rtl/>
              </w:rPr>
              <w:t>833.0 2</w:t>
            </w:r>
          </w:p>
        </w:tc>
        <w:tc>
          <w:tcPr>
            <w:tcW w:w="1424" w:type="dxa"/>
            <w:tcBorders>
              <w:bottom w:val="single" w:sz="12" w:space="0" w:color="auto"/>
            </w:tcBorders>
            <w:shd w:val="clear" w:color="auto" w:fill="auto"/>
            <w:vAlign w:val="bottom"/>
          </w:tcPr>
          <w:p w:rsidR="0073566C" w:rsidRPr="00452FE5" w:rsidRDefault="0073566C" w:rsidP="0073566C">
            <w:pPr>
              <w:pStyle w:val="DualTxt"/>
              <w:spacing w:before="40" w:after="80" w:line="240" w:lineRule="exact"/>
              <w:ind w:right="144"/>
              <w:jc w:val="center"/>
              <w:rPr>
                <w:rFonts w:hint="cs"/>
                <w:sz w:val="16"/>
                <w:szCs w:val="24"/>
                <w:rtl/>
              </w:rPr>
            </w:pPr>
            <w:r>
              <w:rPr>
                <w:rFonts w:hint="cs"/>
                <w:sz w:val="16"/>
                <w:szCs w:val="24"/>
                <w:rtl/>
              </w:rPr>
              <w:t>5</w:t>
            </w:r>
          </w:p>
        </w:tc>
      </w:tr>
    </w:tbl>
    <w:p w:rsidR="0073566C" w:rsidRPr="00D27DB3" w:rsidRDefault="0073566C" w:rsidP="0073566C">
      <w:pPr>
        <w:pStyle w:val="SingleTxt"/>
        <w:tabs>
          <w:tab w:val="clear" w:pos="2592"/>
          <w:tab w:val="left" w:pos="2331"/>
        </w:tabs>
        <w:spacing w:after="0" w:line="120" w:lineRule="exact"/>
        <w:rPr>
          <w:rFonts w:hint="cs"/>
          <w:sz w:val="12"/>
          <w:rtl/>
        </w:rPr>
      </w:pPr>
    </w:p>
    <w:p w:rsidR="0073566C" w:rsidRDefault="0073566C" w:rsidP="0073566C">
      <w:pPr>
        <w:pStyle w:val="SingleTxt"/>
        <w:tabs>
          <w:tab w:val="clear" w:pos="2592"/>
          <w:tab w:val="left" w:pos="2331"/>
        </w:tabs>
        <w:rPr>
          <w:rFonts w:hint="cs"/>
          <w:rtl/>
        </w:rPr>
      </w:pPr>
      <w:r>
        <w:rPr>
          <w:rFonts w:hint="cs"/>
          <w:rtl/>
        </w:rPr>
        <w:tab/>
        <w:t xml:space="preserve">يتبدّى </w:t>
      </w:r>
      <w:r>
        <w:rPr>
          <w:rFonts w:hint="cs"/>
          <w:i/>
          <w:iCs/>
          <w:rtl/>
        </w:rPr>
        <w:t>الفرق في الأجور</w:t>
      </w:r>
      <w:r w:rsidRPr="00C159C9">
        <w:rPr>
          <w:rFonts w:hint="cs"/>
          <w:rtl/>
        </w:rPr>
        <w:t>، بصفة عامة،</w:t>
      </w:r>
      <w:r>
        <w:rPr>
          <w:rFonts w:hint="cs"/>
          <w:i/>
          <w:iCs/>
          <w:rtl/>
        </w:rPr>
        <w:t xml:space="preserve"> </w:t>
      </w:r>
      <w:r>
        <w:rPr>
          <w:rFonts w:hint="cs"/>
          <w:rtl/>
        </w:rPr>
        <w:t>تبعا للفرق في متوسط الأجور الإجمالية للرجال والنساء. وتعكس الأجور الصافية إلى حد ما تدخل مصلحة الضرائب والمراجعات الاجتماعية. والفرق بين متوسط الأجر الإجمالي للرجل ومتوسط الأجر الإجمالي للمرأة أكبر بكثير في القطاع الخاص منه في القطاع العام، حتى إن نصيب العاملات في القطاع العام يؤثر على حساب الفجوة في الأجور. ولا يزال هناك في القطاع الخاص فرق واسع بين أجور العمال والمستخدَمين. وقد حُسبت الأرقام الواردة أعلاه استنادا إلى بيانات المكتب الوطني للضمان الاجتماعي. ولم يرد أي تصحيح فيما يتعلق بالعمل لبعض الوقت.</w:t>
      </w:r>
    </w:p>
    <w:p w:rsidR="0073566C" w:rsidRPr="009905DC" w:rsidRDefault="0073566C" w:rsidP="0073566C">
      <w:pPr>
        <w:pStyle w:val="SingleTxt"/>
        <w:tabs>
          <w:tab w:val="clear" w:pos="2592"/>
          <w:tab w:val="left" w:pos="2331"/>
        </w:tabs>
        <w:spacing w:after="0" w:line="120" w:lineRule="exact"/>
        <w:rPr>
          <w:rFonts w:hint="cs"/>
          <w:sz w:val="12"/>
          <w:rtl/>
        </w:rPr>
      </w:pPr>
    </w:p>
    <w:p w:rsidR="0073566C" w:rsidRDefault="0073566C" w:rsidP="0073566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2 -</w:t>
      </w:r>
      <w:r>
        <w:rPr>
          <w:rFonts w:hint="cs"/>
          <w:rtl/>
        </w:rPr>
        <w:tab/>
        <w:t>الضمان الاجتماعي</w:t>
      </w:r>
    </w:p>
    <w:p w:rsidR="0073566C" w:rsidRDefault="0073566C" w:rsidP="0073566C">
      <w:pPr>
        <w:pStyle w:val="SingleTxt"/>
        <w:rPr>
          <w:rFonts w:hint="cs"/>
          <w:rtl/>
        </w:rPr>
      </w:pPr>
      <w:r>
        <w:rPr>
          <w:rFonts w:hint="cs"/>
          <w:rtl/>
        </w:rPr>
        <w:tab/>
        <w:t>النظام البلجيكي للضمان الاجتماعي نظام واسع يهدف إلى توفير الحماية الاجتماعية لجميع السكان. وترد أدناه التعديلات المهمة التي كانت ذات أثر بعد عام 2002.</w:t>
      </w:r>
    </w:p>
    <w:p w:rsidR="0073566C" w:rsidRPr="009905DC" w:rsidRDefault="0073566C" w:rsidP="0073566C">
      <w:pPr>
        <w:pStyle w:val="SingleTxt"/>
        <w:spacing w:after="0" w:line="120" w:lineRule="exact"/>
        <w:rPr>
          <w:rFonts w:hint="cs"/>
          <w:sz w:val="12"/>
          <w:rtl/>
        </w:rPr>
      </w:pPr>
    </w:p>
    <w:p w:rsidR="0073566C" w:rsidRDefault="0073566C" w:rsidP="0073566C">
      <w:pPr>
        <w:pStyle w:val="SingleTxt"/>
        <w:rPr>
          <w:rFonts w:hint="cs"/>
          <w:rtl/>
        </w:rPr>
      </w:pPr>
      <w:r>
        <w:rPr>
          <w:rFonts w:hint="cs"/>
          <w:i/>
          <w:iCs/>
          <w:rtl/>
        </w:rPr>
        <w:t>2-1</w:t>
      </w:r>
      <w:r>
        <w:rPr>
          <w:rFonts w:hint="cs"/>
          <w:i/>
          <w:iCs/>
          <w:rtl/>
        </w:rPr>
        <w:tab/>
        <w:t>معاشات التقاعد والبقاء</w:t>
      </w:r>
    </w:p>
    <w:p w:rsidR="0073566C" w:rsidRDefault="0073566C" w:rsidP="0073566C">
      <w:pPr>
        <w:pStyle w:val="SingleTxt"/>
        <w:rPr>
          <w:rFonts w:hint="cs"/>
          <w:rtl/>
        </w:rPr>
      </w:pPr>
      <w:r>
        <w:rPr>
          <w:rFonts w:hint="cs"/>
          <w:rtl/>
        </w:rPr>
        <w:tab/>
        <w:t>بدأ في 1 تموز/يوليه 1997 إصلاح نظام المعاشات التقاعدية للعمال المأجورين، الذي يهدف أساسا إلى الانتهاء من تحقيق المساواة في المعاملة بين الرجل والمرأة.</w:t>
      </w:r>
    </w:p>
    <w:p w:rsidR="0073566C" w:rsidRDefault="0073566C" w:rsidP="0073566C">
      <w:pPr>
        <w:pStyle w:val="SingleTxt"/>
        <w:rPr>
          <w:rFonts w:hint="cs"/>
          <w:rtl/>
        </w:rPr>
      </w:pPr>
      <w:r>
        <w:rPr>
          <w:rFonts w:hint="cs"/>
          <w:rtl/>
        </w:rPr>
        <w:tab/>
        <w:t>وكانت السنّ العادية للتقاعد 62 عاما للمرأة من كانون الثاني/يناير 2000 إلى 31 كانون الأول/ديسمبر 2002، و63 عاما من كانون الثاني/يناير 2003 إلى كانون الأول/ديسمبر 2005، وهي الآن 64 عاما من كانون الثاني/يناير 2006 إلى كانون الأول/ديسمبر 2008. واعتبارا من 1 كانون الثاني/يناير 2009، ستكون السن العادية للتقاعد 65 عاما للمرأة والرجل معا.</w:t>
      </w:r>
    </w:p>
    <w:p w:rsidR="0073566C" w:rsidRDefault="0073566C" w:rsidP="0073566C">
      <w:pPr>
        <w:pStyle w:val="SingleTxt"/>
        <w:rPr>
          <w:rFonts w:hint="cs"/>
          <w:rtl/>
        </w:rPr>
      </w:pPr>
      <w:r>
        <w:rPr>
          <w:rFonts w:hint="cs"/>
          <w:rtl/>
        </w:rPr>
        <w:tab/>
        <w:t>وفي موازاة ذلك تحددت مدة العمل الكاملة بـ 42 عاما حتى 31 كانون الأول/ديسمبر 2002، و43 عاما من كانون الثاني/يناير 2003 إلى كانون الأول/ديسمبر 2005، وهي الآن 44 عاما من كانون الثاني/يناير 2006 إلى كانون الأول/ديسمبر 2008. وستكون 45 عاما اعتبارا من 1 كانون الثاني/يناير 2009.</w:t>
      </w:r>
    </w:p>
    <w:p w:rsidR="0073566C" w:rsidRDefault="0073566C" w:rsidP="0073566C">
      <w:pPr>
        <w:pStyle w:val="SingleTxt"/>
        <w:rPr>
          <w:rFonts w:hint="cs"/>
          <w:rtl/>
        </w:rPr>
      </w:pPr>
      <w:r>
        <w:rPr>
          <w:rFonts w:hint="cs"/>
          <w:rtl/>
        </w:rPr>
        <w:tab/>
        <w:t>ومع ذلك سيظل مسموحا بالتقاعد للرجل والمرأة عند بلوغ سن الستين، بشرط إثبات قضاء مدة عمل معينة، تحددت بـ 30 عاما في عام 2002، و32 عاما في عام 2003، و34 عاما في عام 2004، و35 عاما اعتبارا من عام 2005.</w:t>
      </w:r>
    </w:p>
    <w:p w:rsidR="0073566C" w:rsidRDefault="0073566C" w:rsidP="0073566C">
      <w:pPr>
        <w:pStyle w:val="SingleTxt"/>
        <w:rPr>
          <w:rFonts w:hint="cs"/>
          <w:rtl/>
        </w:rPr>
      </w:pPr>
      <w:r>
        <w:rPr>
          <w:rFonts w:hint="cs"/>
          <w:rtl/>
        </w:rPr>
        <w:tab/>
        <w:t>وبالإضافة إلى ذلك فإن السنّ الدنيا المحددة لحصول المرأة العاملة على استحقاقات البطالة والعجز ترتفع تدريجيا حتى تصل إلى السن الموحدة البالغة 65 عاما، على نفس وتيرة الزيادة في سن التقاعد المذكورة أعلاه.</w:t>
      </w:r>
    </w:p>
    <w:p w:rsidR="0073566C" w:rsidRDefault="0073566C" w:rsidP="0032329F">
      <w:pPr>
        <w:pStyle w:val="SingleTxt"/>
        <w:rPr>
          <w:rFonts w:hint="cs"/>
          <w:rtl/>
        </w:rPr>
      </w:pPr>
      <w:r>
        <w:rPr>
          <w:rFonts w:hint="cs"/>
          <w:rtl/>
        </w:rPr>
        <w:tab/>
        <w:t>أما سنّ الحصول على الدخل المضمون لكبار السن فقد تحددت هي الأخرى</w:t>
      </w:r>
      <w:r w:rsidR="0032329F">
        <w:rPr>
          <w:rtl/>
        </w:rPr>
        <w:br/>
      </w:r>
      <w:r>
        <w:rPr>
          <w:rFonts w:hint="cs"/>
          <w:rtl/>
        </w:rPr>
        <w:t>بـ 65 عاما للرجل والمرأة معا.</w:t>
      </w:r>
    </w:p>
    <w:p w:rsidR="0073566C" w:rsidRDefault="0073566C" w:rsidP="0073566C">
      <w:pPr>
        <w:pStyle w:val="SingleTxt"/>
        <w:rPr>
          <w:rFonts w:hint="cs"/>
          <w:rtl/>
        </w:rPr>
      </w:pPr>
      <w:r>
        <w:rPr>
          <w:rFonts w:hint="cs"/>
          <w:rtl/>
        </w:rPr>
        <w:tab/>
        <w:t>وارتفع شرط السن بالنسبة إلى المستفيدات با</w:t>
      </w:r>
      <w:r w:rsidR="0032329F">
        <w:rPr>
          <w:rFonts w:hint="cs"/>
          <w:rtl/>
        </w:rPr>
        <w:t>لتدريج من 61 عاما (اعتبارا من 1</w:t>
      </w:r>
      <w:r w:rsidR="0032329F">
        <w:rPr>
          <w:rFonts w:hint="eastAsia"/>
          <w:rtl/>
        </w:rPr>
        <w:t> </w:t>
      </w:r>
      <w:r>
        <w:rPr>
          <w:rFonts w:hint="cs"/>
          <w:rtl/>
        </w:rPr>
        <w:t>تموز/يوليه 1997، و62 عاما اعتبارا من كانون الثاني/يناير 2000، و63 عاما من كانون الثاني/يناير 2003 إلى كانون الأول/ديسمبر 2005، و64 عاما من كانون الثاني/يناير 2006 إلى كانون الأول/ديسمبر 2008) إلى 65 عاما (في 1 كانون الثاني/يناير 2009)، وفق نظام انتقالي تحدد قياسا على نظام المعاشات التقاعدية، مع المحافظة على الحقوق المكتسبة.</w:t>
      </w:r>
    </w:p>
    <w:p w:rsidR="0073566C" w:rsidRDefault="0073566C" w:rsidP="0073566C">
      <w:pPr>
        <w:pStyle w:val="SingleTxt"/>
        <w:rPr>
          <w:rFonts w:hint="cs"/>
          <w:rtl/>
        </w:rPr>
      </w:pPr>
      <w:r>
        <w:rPr>
          <w:rFonts w:hint="cs"/>
          <w:rtl/>
        </w:rPr>
        <w:tab/>
        <w:t>ويرسي هذا الإصلاح تدابير تعويضية تهدف إلى القضاء على انعدام المساواة الموجود بالفعل ضد المرأة في مجال العمل والأجر، ومنها:</w:t>
      </w:r>
    </w:p>
    <w:p w:rsidR="0073566C" w:rsidRDefault="0073566C" w:rsidP="0032329F">
      <w:pPr>
        <w:pStyle w:val="SingleTxt"/>
        <w:rPr>
          <w:rFonts w:hint="cs"/>
          <w:rtl/>
        </w:rPr>
      </w:pPr>
      <w:r>
        <w:rPr>
          <w:rFonts w:hint="cs"/>
          <w:rtl/>
        </w:rPr>
        <w:tab/>
        <w:t>ضمان الحصول على حد أدنى من المعاش التقاعدي عن كل سنة عمل وفق شروط معينة؛</w:t>
      </w:r>
    </w:p>
    <w:p w:rsidR="0073566C" w:rsidRDefault="0073566C" w:rsidP="0032329F">
      <w:pPr>
        <w:pStyle w:val="SingleTxt"/>
        <w:rPr>
          <w:rFonts w:hint="cs"/>
          <w:rtl/>
        </w:rPr>
      </w:pPr>
      <w:r>
        <w:rPr>
          <w:rFonts w:hint="cs"/>
          <w:rtl/>
        </w:rPr>
        <w:tab/>
        <w:t>مراعاة فترات الانقطاع عن العمل لتربية طفل دون السادسة من العمر (بحد أقصى 36 شهرا كاملة) عند احتساب مدة العمل اللازمة للتقاعد المبكر.</w:t>
      </w:r>
    </w:p>
    <w:p w:rsidR="0073566C" w:rsidRDefault="0073566C" w:rsidP="0073566C">
      <w:pPr>
        <w:pStyle w:val="SingleTxt"/>
        <w:rPr>
          <w:rFonts w:hint="cs"/>
          <w:rtl/>
        </w:rPr>
      </w:pPr>
      <w:r>
        <w:rPr>
          <w:rFonts w:hint="cs"/>
          <w:rtl/>
        </w:rPr>
        <w:tab/>
        <w:t>وبالإضافة إلى ذلك، وتنفيذا للقانون المؤرخ 23 كانون الأول/ديسمبر 2005 بشأن ميثاق التضامن بين الأجيال، صدر أمران ملكيان مؤرخان 28 أيلول/سبتمبر 2006 (ينطبقان على حالات التقاعد التي تقع بعد 1 تشرين الأول/أكتوبر 2006) في مجال المعاشات التقاعدية الدنيا.</w:t>
      </w:r>
    </w:p>
    <w:p w:rsidR="0073566C" w:rsidRDefault="0073566C" w:rsidP="0073566C">
      <w:pPr>
        <w:pStyle w:val="SingleTxt"/>
        <w:rPr>
          <w:rFonts w:hint="cs"/>
          <w:rtl/>
        </w:rPr>
      </w:pPr>
      <w:r>
        <w:rPr>
          <w:rFonts w:hint="cs"/>
          <w:rtl/>
        </w:rPr>
        <w:tab/>
        <w:t>ويزيد التدبير الأول بنسبة 17 في المائة الحق الأدنى عن كل سنة عمل (أي الأجر السنوي الأدنى الذي يؤخذ في الاعتبار، بشروط معينة، عند احتساب المعاش التقاعدي).</w:t>
      </w:r>
    </w:p>
    <w:p w:rsidR="0073566C" w:rsidRDefault="0073566C" w:rsidP="0073566C">
      <w:pPr>
        <w:pStyle w:val="SingleTxt"/>
        <w:rPr>
          <w:rFonts w:hint="cs"/>
          <w:rtl/>
        </w:rPr>
      </w:pPr>
      <w:r>
        <w:rPr>
          <w:rFonts w:hint="cs"/>
          <w:rtl/>
        </w:rPr>
        <w:tab/>
        <w:t>وييسّر التدبير الثاني الحصول على المعاش التقاعدي الأدنى، فيراعي العمل لبعض الوقت للوفاء بشرط مدة العمل المطلوبة، في حين أن التفرغ للعمل كان هو الذي يراعى من قبل. وفي هذه الحالة يحسب المعاش التقاعدي الأدنى وفقا لمدة العمل الإجمالية.</w:t>
      </w:r>
    </w:p>
    <w:p w:rsidR="0073566C" w:rsidRDefault="0073566C" w:rsidP="0073566C">
      <w:pPr>
        <w:pStyle w:val="SingleTxt"/>
        <w:rPr>
          <w:rFonts w:hint="cs"/>
          <w:rtl/>
        </w:rPr>
      </w:pPr>
      <w:r>
        <w:rPr>
          <w:rFonts w:hint="cs"/>
          <w:rtl/>
        </w:rPr>
        <w:tab/>
        <w:t xml:space="preserve">ويأتي هذان التدبيران بعد سلسلة من أربعة مؤتمرات تناولت موضوعا محددا هو </w:t>
      </w:r>
      <w:r>
        <w:rPr>
          <w:rFonts w:hint="eastAsia"/>
          <w:rtl/>
        </w:rPr>
        <w:t>”المرأة والتقاعد</w:t>
      </w:r>
      <w:r>
        <w:rPr>
          <w:rFonts w:hint="cs"/>
          <w:rtl/>
        </w:rPr>
        <w:t>“ وعقدها وزير المعاشات التقاعدية بدءا من 14 كانون الأول/ديسمبر 2005. وتطرقت هذه المؤتمرات إلى الحالة المحددة للمرأة فيما يتعلق بالمعاشات التقاعدية، فأشارت إلى أن المعاشات التقاعدية للمرأة تقل بوجه عام عن معاشات الرجل، وذلك أساسا بسبب معدل عمل أقل، وكثرة اللجوء إلى العمل بعض الوقت، ودخول أقل، وكثرة الانقطاع عن العمل. ويضاف إلى ذلك أن المرأة تزاول في الغالب أعمالا غير متجانسة، ولذلك لا تستحق غالبا الحد الأدنى من المعاش التقاعدي. ومن شأن التدبيرين اللذين سلفت الإشارة إليهما أن يزيدا بوجه خاص عدد المستحقات للمعاش التقاعدي الأدنى، وبالتالي يقل عدم المساواة الفعلي الذي تعانيه المرأة.</w:t>
      </w:r>
    </w:p>
    <w:p w:rsidR="0073566C" w:rsidRDefault="0032329F" w:rsidP="0032329F">
      <w:pPr>
        <w:pStyle w:val="SingleTxt"/>
        <w:ind w:left="1930" w:hanging="663"/>
        <w:rPr>
          <w:rFonts w:hint="cs"/>
          <w:rtl/>
        </w:rPr>
      </w:pPr>
      <w:r>
        <w:rPr>
          <w:rFonts w:hint="cs"/>
          <w:rtl/>
        </w:rPr>
        <w:tab/>
      </w:r>
      <w:r w:rsidR="0073566C">
        <w:rPr>
          <w:rFonts w:hint="cs"/>
          <w:rtl/>
        </w:rPr>
        <w:tab/>
        <w:t>وجدير بالذكر أيضا أن قواعد الجمع بين معاش البقاء ونشاط مهني مسموح به ستعدَّل، مع وضع الدخل الشامل للمتقاعد في الاعتبار. وسيساعد التجاوز عن الحدود الثابتة للنشاط المسموح به على أن يتمكن الشخص الذي يحصل على معاش صغير للبقاء من أن يحصل على أكثر مما يحصل عليه شخص يحظى بمعاش أكبر، وهو أمر مبرر أكثر من الناحية الاجتماعية. وفي حالة تجاوز المبلغ الكلي، لا يوقف صرف المعاش التقاعدي، بل يخفض بنسبة التجاوز بعد إعفاء 50 في المائة من الزيادة. وبهذه الطريقة يتاح للشخص المعني دائما الحصول على عائد صاف من أنشطته المهنية.</w:t>
      </w:r>
    </w:p>
    <w:p w:rsidR="0073566C" w:rsidRDefault="0073566C" w:rsidP="0073566C">
      <w:pPr>
        <w:pStyle w:val="SingleTxt"/>
        <w:rPr>
          <w:rFonts w:hint="cs"/>
          <w:rtl/>
        </w:rPr>
      </w:pPr>
      <w:r>
        <w:rPr>
          <w:rFonts w:hint="cs"/>
          <w:rtl/>
        </w:rPr>
        <w:tab/>
        <w:t>ومن ناحية أخرى سيكون هناك استثناء واحد من مبدأ منع الجمع بين معاش التقاعد ودخل آخر: ففي حالة المرض أو البطالة المدفوع عنها إعانة، يمكن للمستفيد الجمع بين معاش البقاء الذي يحصل عليه، وهو محدد بـ 447.09 يورو شهريا (المعدل الأساسي لضمان الدخل للمسنين)، ودخله الآخر، وذلك لمدة 12 شهرا إجمالا.</w:t>
      </w:r>
    </w:p>
    <w:p w:rsidR="0073566C" w:rsidRDefault="0073566C" w:rsidP="0073566C">
      <w:pPr>
        <w:pStyle w:val="SingleTxt"/>
        <w:rPr>
          <w:rFonts w:hint="cs"/>
          <w:rtl/>
        </w:rPr>
      </w:pPr>
      <w:r>
        <w:rPr>
          <w:rFonts w:hint="cs"/>
          <w:rtl/>
        </w:rPr>
        <w:tab/>
        <w:t xml:space="preserve">وأخيرا، قرر وزير المعاشات التقاعدية إطلاع الشابات على ما يمكن أن ينجم عن اختيار مهن معينة من أثر على تقاعدهن مستقبلا. وفي عام 2006 أعد موقع على الإنترنت وكتيب يحتوي على معلومات معينة للنساء، انظر </w:t>
      </w:r>
      <w:hyperlink r:id="rId31" w:history="1">
        <w:r w:rsidRPr="0032329F">
          <w:rPr>
            <w:rStyle w:val="Hyperlink"/>
          </w:rPr>
          <w:t>http://www.femmeetpension.be</w:t>
        </w:r>
      </w:hyperlink>
      <w:r>
        <w:rPr>
          <w:rFonts w:hint="cs"/>
          <w:rtl/>
        </w:rPr>
        <w:t>.</w:t>
      </w:r>
    </w:p>
    <w:p w:rsidR="0073566C" w:rsidRPr="001D4665" w:rsidRDefault="0073566C" w:rsidP="0073566C">
      <w:pPr>
        <w:pStyle w:val="SingleTxt"/>
        <w:spacing w:after="0" w:line="120" w:lineRule="exact"/>
        <w:rPr>
          <w:rFonts w:hint="cs"/>
          <w:sz w:val="12"/>
          <w:rtl/>
        </w:rPr>
      </w:pPr>
    </w:p>
    <w:p w:rsidR="0073566C" w:rsidRPr="001D4665" w:rsidRDefault="0073566C" w:rsidP="0073566C">
      <w:pPr>
        <w:pStyle w:val="SingleTxt"/>
        <w:rPr>
          <w:rFonts w:hint="cs"/>
          <w:i/>
          <w:iCs/>
          <w:rtl/>
        </w:rPr>
      </w:pPr>
      <w:r w:rsidRPr="001D4665">
        <w:rPr>
          <w:rFonts w:hint="cs"/>
          <w:i/>
          <w:iCs/>
          <w:rtl/>
        </w:rPr>
        <w:t>2-2</w:t>
      </w:r>
      <w:r w:rsidRPr="001D4665">
        <w:rPr>
          <w:rFonts w:hint="cs"/>
          <w:i/>
          <w:iCs/>
          <w:rtl/>
        </w:rPr>
        <w:tab/>
        <w:t>حماية الأمومة</w:t>
      </w:r>
    </w:p>
    <w:p w:rsidR="0073566C" w:rsidRDefault="0073566C" w:rsidP="0073566C">
      <w:pPr>
        <w:pStyle w:val="SingleTxt"/>
        <w:rPr>
          <w:rFonts w:hint="cs"/>
          <w:rtl/>
        </w:rPr>
      </w:pPr>
      <w:r>
        <w:rPr>
          <w:rFonts w:hint="cs"/>
          <w:rtl/>
        </w:rPr>
        <w:tab/>
        <w:t>جدير بالتذكير أن القانون الإطاري المؤرخ 22 كانون الأول/ديسمبر 1989 أتى بتأمين جديد للأمومة يحتل مكانا مناسبا في تأمين التعويضات، إلى جانب التأمين المتصل بالعجز عن العمل والإعانات المتصلة بمصاريف الجنازة. وتدور الأهداف المنشودة في إطار إنشاء تأمين الأمومة حول المحاور الثلاثة التالية:</w:t>
      </w:r>
    </w:p>
    <w:p w:rsidR="0073566C" w:rsidRDefault="0073566C" w:rsidP="0073566C">
      <w:pPr>
        <w:pStyle w:val="SingleTxt"/>
        <w:rPr>
          <w:rFonts w:hint="cs"/>
          <w:rtl/>
        </w:rPr>
      </w:pPr>
      <w:r>
        <w:rPr>
          <w:rFonts w:hint="cs"/>
          <w:rtl/>
        </w:rPr>
        <w:tab/>
        <w:t>(1)</w:t>
      </w:r>
      <w:r>
        <w:rPr>
          <w:rFonts w:hint="cs"/>
          <w:rtl/>
        </w:rPr>
        <w:tab/>
        <w:t>ضرورة تحقيق التضامن في التكلفة التي يتحملها رب العمل عند دفع الأجر المكفول (لمدة أسبوعين أو شهر) في حالة الحمل أو الولادة؛</w:t>
      </w:r>
    </w:p>
    <w:p w:rsidR="0073566C" w:rsidRDefault="0073566C" w:rsidP="0073566C">
      <w:pPr>
        <w:pStyle w:val="SingleTxt"/>
        <w:rPr>
          <w:rFonts w:hint="cs"/>
          <w:rtl/>
        </w:rPr>
      </w:pPr>
      <w:r>
        <w:rPr>
          <w:rFonts w:hint="cs"/>
          <w:rtl/>
        </w:rPr>
        <w:tab/>
        <w:t>(2)</w:t>
      </w:r>
      <w:r>
        <w:rPr>
          <w:rFonts w:hint="cs"/>
          <w:rtl/>
        </w:rPr>
        <w:tab/>
        <w:t>تحقيق مساواة أفضل في المعاملة للمشتغلات المنتميات إلى مجموعة الناشطات (العاملات، المستخدَمات)؛</w:t>
      </w:r>
    </w:p>
    <w:p w:rsidR="0073566C" w:rsidRDefault="0073566C" w:rsidP="0073566C">
      <w:pPr>
        <w:pStyle w:val="SingleTxt"/>
        <w:rPr>
          <w:rFonts w:hint="cs"/>
          <w:rtl/>
        </w:rPr>
      </w:pPr>
      <w:r>
        <w:rPr>
          <w:rFonts w:hint="cs"/>
          <w:rtl/>
        </w:rPr>
        <w:tab/>
        <w:t>(3)</w:t>
      </w:r>
      <w:r>
        <w:rPr>
          <w:rFonts w:hint="cs"/>
          <w:rtl/>
        </w:rPr>
        <w:tab/>
        <w:t>الحرص على إنشاء استحقاق محدد بالفعل، في ضوء طبيعة الظرف المغطى، مع العمل مع ذلك على إدراج تأمين الأمومة في الهياكل المؤسسية القائمة.</w:t>
      </w:r>
    </w:p>
    <w:p w:rsidR="0073566C" w:rsidRDefault="0073566C" w:rsidP="0073566C">
      <w:pPr>
        <w:pStyle w:val="SingleTxt"/>
        <w:rPr>
          <w:rFonts w:hint="cs"/>
          <w:rtl/>
        </w:rPr>
      </w:pPr>
      <w:r>
        <w:rPr>
          <w:rFonts w:hint="cs"/>
          <w:rtl/>
        </w:rPr>
        <w:tab/>
        <w:t>وبمقتضى هذا القانون الإطاري، أصبح التكفل بالتأمين يحل محل الأجر المكفول. وتدفع الاستحقاقات عن الثلاثين يوما الأولى بواقع 82 في المائة من الأجر المطلق. واعتبارا من اليوم الحادي الثلاثين، تزيد الاستحقاقات إلى 75 في المائة من الحد الأقصى للأجر. والتاريخ المعمول به في التأمين هو الموعد المفترض للولادة، ولم يعد هو التاريخ الحقيقي للولادة. ويمكن أن يترتب على ذلك تعديل لحساب الإجازة السابقة للولادة.</w:t>
      </w:r>
    </w:p>
    <w:p w:rsidR="0073566C" w:rsidRPr="0030205C" w:rsidRDefault="0073566C" w:rsidP="0073566C">
      <w:pPr>
        <w:pStyle w:val="SingleTxt"/>
        <w:spacing w:after="0" w:line="120" w:lineRule="exact"/>
        <w:rPr>
          <w:rFonts w:hint="cs"/>
          <w:sz w:val="12"/>
          <w:rtl/>
        </w:rPr>
      </w:pPr>
    </w:p>
    <w:p w:rsidR="0073566C" w:rsidRDefault="0073566C" w:rsidP="0073566C">
      <w:pPr>
        <w:pStyle w:val="SingleTxt"/>
        <w:tabs>
          <w:tab w:val="clear" w:pos="2592"/>
          <w:tab w:val="left" w:pos="2331"/>
        </w:tabs>
        <w:rPr>
          <w:rFonts w:hint="cs"/>
          <w:rtl/>
        </w:rPr>
      </w:pPr>
      <w:r>
        <w:rPr>
          <w:rFonts w:hint="cs"/>
          <w:rtl/>
        </w:rPr>
        <w:t>2-2-1</w:t>
      </w:r>
      <w:r>
        <w:rPr>
          <w:rFonts w:hint="cs"/>
          <w:rtl/>
        </w:rPr>
        <w:tab/>
      </w:r>
      <w:r w:rsidRPr="0032329F">
        <w:rPr>
          <w:rFonts w:hint="cs"/>
          <w:rtl/>
        </w:rPr>
        <w:t>مدة إجازة الولادة</w:t>
      </w:r>
    </w:p>
    <w:p w:rsidR="0073566C" w:rsidRDefault="0073566C" w:rsidP="0073566C">
      <w:pPr>
        <w:pStyle w:val="SingleTxt"/>
        <w:tabs>
          <w:tab w:val="clear" w:pos="2592"/>
          <w:tab w:val="left" w:pos="2331"/>
        </w:tabs>
        <w:rPr>
          <w:rFonts w:hint="cs"/>
          <w:rtl/>
        </w:rPr>
      </w:pPr>
      <w:r>
        <w:rPr>
          <w:rFonts w:hint="cs"/>
          <w:rtl/>
        </w:rPr>
        <w:tab/>
        <w:t>المدة الكاملة لإجازة الولادة  هي 15 أسبوعا (17 أسبوعا في حالة تعدد المواليد). وتنقسم هذه الإجازة إلى إجازة قبل الولادة مدتها 6 أسابيع (7 أسابيع قبل 1 تموز/يوليه 2004</w:t>
      </w:r>
      <w:r w:rsidRPr="0030205C">
        <w:rPr>
          <w:vertAlign w:val="superscript"/>
          <w:rtl/>
        </w:rPr>
        <w:t>(</w:t>
      </w:r>
      <w:r>
        <w:rPr>
          <w:rStyle w:val="FootnoteReference"/>
          <w:rtl/>
        </w:rPr>
        <w:footnoteReference w:id="52"/>
      </w:r>
      <w:r w:rsidRPr="0030205C">
        <w:rPr>
          <w:vertAlign w:val="superscript"/>
          <w:rtl/>
        </w:rPr>
        <w:t>)</w:t>
      </w:r>
      <w:r>
        <w:rPr>
          <w:rFonts w:hint="cs"/>
          <w:rtl/>
        </w:rPr>
        <w:t xml:space="preserve"> )، وإجازة بعد الولادة مدتها 9 أسابيع (8 أسابيع قبل 1 تموز/يوليه 2004). وتشمل الإجازة السابقة للولادة 5 أسابيع اختيارية (6 أسابيع قبل 1 تموز/يوليه 2004) يمكن أن ترحّل (كلها أو بعضها) لما بعد الولادة، وأسبوعا إجباريا لا يمكن ترحيله إذا لم تؤخذ الإجازة. فإذا تمت الولادة بعد الموعد الذي حدده الطبيب، فإن الإجازة السابقة للولادة تمتد إلى الموعد الحقيقي للولادة. وتشمل الإجازة التالية للولادة 9 أسابيع إجبارية بعد الولادة يمكن أن تضاف إليها الإجازة المحتملة السابقة للولادة ومدتها 5 أسابيع.</w:t>
      </w:r>
    </w:p>
    <w:p w:rsidR="0073566C" w:rsidRPr="00AD7D8E" w:rsidRDefault="0073566C" w:rsidP="0073566C">
      <w:pPr>
        <w:pStyle w:val="SingleTxt"/>
        <w:tabs>
          <w:tab w:val="clear" w:pos="2592"/>
          <w:tab w:val="left" w:pos="2331"/>
        </w:tabs>
        <w:spacing w:after="0" w:line="120" w:lineRule="exact"/>
        <w:rPr>
          <w:rFonts w:hint="cs"/>
          <w:sz w:val="12"/>
          <w:rtl/>
        </w:rPr>
      </w:pPr>
    </w:p>
    <w:p w:rsidR="0073566C" w:rsidRDefault="0073566C" w:rsidP="0073566C">
      <w:pPr>
        <w:pStyle w:val="SingleTxt"/>
        <w:tabs>
          <w:tab w:val="clear" w:pos="2592"/>
          <w:tab w:val="left" w:pos="2331"/>
        </w:tabs>
        <w:rPr>
          <w:rFonts w:hint="cs"/>
          <w:rtl/>
        </w:rPr>
      </w:pPr>
      <w:r>
        <w:rPr>
          <w:rFonts w:hint="cs"/>
          <w:rtl/>
        </w:rPr>
        <w:t>2-2-2</w:t>
      </w:r>
      <w:r>
        <w:rPr>
          <w:rFonts w:hint="cs"/>
          <w:rtl/>
        </w:rPr>
        <w:tab/>
      </w:r>
      <w:r w:rsidRPr="0032329F">
        <w:rPr>
          <w:rFonts w:hint="cs"/>
          <w:rtl/>
        </w:rPr>
        <w:t>تمديد إجازة ما بعد الولادة</w:t>
      </w:r>
    </w:p>
    <w:p w:rsidR="0073566C" w:rsidRDefault="0073566C" w:rsidP="0073566C">
      <w:pPr>
        <w:pStyle w:val="SingleTxt"/>
        <w:tabs>
          <w:tab w:val="clear" w:pos="2592"/>
          <w:tab w:val="left" w:pos="2331"/>
        </w:tabs>
        <w:rPr>
          <w:rFonts w:hint="cs"/>
          <w:rtl/>
        </w:rPr>
      </w:pPr>
      <w:r>
        <w:rPr>
          <w:rFonts w:hint="cs"/>
          <w:rtl/>
        </w:rPr>
        <w:tab/>
        <w:t>أصبح من الممكن منذ 1 تموز/يوليه 2004، بالنسبة إلى إجازة ما بعد الولادة التي جرت إطالتها بجزء الإجازة السابقة للولادة غير المأخوذ، أن تمدد أيضا بأسبوعين على الأكثر في حالة تعدد المواليد. ويمكن لإجازة الولادة أن تمتد إلى 19 أسبوعا على الأكثر في حالة تعدد المواليد.</w:t>
      </w:r>
    </w:p>
    <w:p w:rsidR="0073566C" w:rsidRDefault="0073566C" w:rsidP="0073566C">
      <w:pPr>
        <w:pStyle w:val="SingleTxt"/>
        <w:tabs>
          <w:tab w:val="clear" w:pos="2592"/>
          <w:tab w:val="left" w:pos="2331"/>
        </w:tabs>
        <w:rPr>
          <w:rFonts w:hint="cs"/>
          <w:rtl/>
        </w:rPr>
      </w:pPr>
      <w:r>
        <w:rPr>
          <w:rFonts w:hint="cs"/>
          <w:rtl/>
        </w:rPr>
        <w:tab/>
        <w:t>ومنذ 1 تموز/يوليه أيضا، فإن إجازة ما بعد الولادة يمكن، إذا احتاج المولود إلى البقاء في المستشفى، أن تمدد بعد الأيام السبعة الأولى من مولده، وذلك بحد أقصى 24 أسبوعا.</w:t>
      </w:r>
    </w:p>
    <w:p w:rsidR="0073566C" w:rsidRDefault="0073566C" w:rsidP="0073566C">
      <w:pPr>
        <w:pStyle w:val="SingleTxt"/>
        <w:tabs>
          <w:tab w:val="clear" w:pos="2592"/>
          <w:tab w:val="left" w:pos="2331"/>
        </w:tabs>
        <w:rPr>
          <w:rFonts w:hint="cs"/>
          <w:rtl/>
        </w:rPr>
      </w:pPr>
      <w:r>
        <w:rPr>
          <w:rFonts w:hint="cs"/>
          <w:rtl/>
        </w:rPr>
        <w:tab/>
        <w:t>واعتبارا من 1 أيلول/سبتمبر 2006، وبالنسبة إلى حالات الولادة التي تتم اعتبارا من هذا التاريخ، فإن إجازة ما بعد الولادة المحددة بتسعة أسابيع يمكن، بناء على طلب من صاحبة الشأن، أن تزاد أسبوعا آخر إذا كانت صاحبة الشأن قد عجزت عن العمل طوال فترة الستة أسابيع السابقة للموعد الحقيقي للولادة (أو فترة الثمانية أسابيع إذا كان من المتوقع تعدد المواليد).</w:t>
      </w:r>
    </w:p>
    <w:p w:rsidR="0073566C" w:rsidRPr="008F573F" w:rsidRDefault="0073566C" w:rsidP="0073566C">
      <w:pPr>
        <w:pStyle w:val="SingleTxt"/>
        <w:tabs>
          <w:tab w:val="clear" w:pos="2592"/>
          <w:tab w:val="left" w:pos="2331"/>
        </w:tabs>
        <w:spacing w:after="0" w:line="120" w:lineRule="exact"/>
        <w:rPr>
          <w:rFonts w:hint="cs"/>
          <w:sz w:val="12"/>
          <w:rtl/>
        </w:rPr>
      </w:pPr>
    </w:p>
    <w:p w:rsidR="0073566C" w:rsidRDefault="0073566C" w:rsidP="0073566C">
      <w:pPr>
        <w:pStyle w:val="SingleTxt"/>
        <w:tabs>
          <w:tab w:val="clear" w:pos="2592"/>
          <w:tab w:val="left" w:pos="2331"/>
        </w:tabs>
        <w:rPr>
          <w:rFonts w:hint="cs"/>
          <w:rtl/>
        </w:rPr>
      </w:pPr>
      <w:r>
        <w:rPr>
          <w:rFonts w:hint="cs"/>
          <w:rtl/>
        </w:rPr>
        <w:t>2-2-3</w:t>
      </w:r>
      <w:r>
        <w:rPr>
          <w:rFonts w:hint="cs"/>
          <w:rtl/>
        </w:rPr>
        <w:tab/>
      </w:r>
      <w:r w:rsidRPr="00993694">
        <w:rPr>
          <w:rFonts w:hint="cs"/>
          <w:rtl/>
        </w:rPr>
        <w:t>استحقاقات الأمومة</w:t>
      </w:r>
    </w:p>
    <w:p w:rsidR="0073566C" w:rsidRDefault="0073566C" w:rsidP="0073566C">
      <w:pPr>
        <w:pStyle w:val="SingleTxt"/>
        <w:tabs>
          <w:tab w:val="clear" w:pos="2592"/>
          <w:tab w:val="left" w:pos="2331"/>
        </w:tabs>
        <w:rPr>
          <w:rFonts w:hint="cs"/>
          <w:rtl/>
        </w:rPr>
      </w:pPr>
      <w:r>
        <w:rPr>
          <w:rFonts w:hint="cs"/>
          <w:rtl/>
        </w:rPr>
        <w:tab/>
        <w:t>في الثلاثين يوما الأولى تدفع شركة للتأمين التضامني الاستحقاقات التي تصل إلى 82 في المائة من الأجر اليومي الإجمالي (المطلق). واعتبارا من اليوم الحادي والثلاثين وفي حالة التمديد، تصل الاستحقاقات إلى 75 في المائة من الحد الأقصى للأجر اليومي الإجمالي</w:t>
      </w:r>
      <w:r w:rsidRPr="008F573F">
        <w:rPr>
          <w:vertAlign w:val="superscript"/>
          <w:rtl/>
        </w:rPr>
        <w:t>(</w:t>
      </w:r>
      <w:r>
        <w:rPr>
          <w:rStyle w:val="FootnoteReference"/>
          <w:rtl/>
        </w:rPr>
        <w:footnoteReference w:id="53"/>
      </w:r>
      <w:r w:rsidRPr="008F573F">
        <w:rPr>
          <w:vertAlign w:val="superscript"/>
          <w:rtl/>
        </w:rPr>
        <w:t>)</w:t>
      </w:r>
      <w:r>
        <w:rPr>
          <w:rFonts w:hint="cs"/>
          <w:rtl/>
        </w:rPr>
        <w:t>. وتحصل العاطلات في بطالة كاملة على 60 في المائة من الأجر الضائع (ومع ذلك لا يمكن أن يزيد المبلغ على إعانة البطالة المقبوضة حتى هذا التاريخ)</w:t>
      </w:r>
      <w:r w:rsidRPr="008F573F">
        <w:rPr>
          <w:vertAlign w:val="superscript"/>
          <w:rtl/>
        </w:rPr>
        <w:t>(</w:t>
      </w:r>
      <w:r>
        <w:rPr>
          <w:rStyle w:val="FootnoteReference"/>
          <w:rtl/>
        </w:rPr>
        <w:footnoteReference w:id="54"/>
      </w:r>
      <w:r w:rsidRPr="008F573F">
        <w:rPr>
          <w:vertAlign w:val="superscript"/>
          <w:rtl/>
        </w:rPr>
        <w:t>)</w:t>
      </w:r>
      <w:r>
        <w:rPr>
          <w:rFonts w:hint="cs"/>
          <w:rtl/>
        </w:rPr>
        <w:t>. وتستكمل هذه الـ 60 في المائة بنسبة مئوية من الأجر تصل إلى 19.5 في المائة في الثلاثين يوما الأولى، ثم تصبح 15 في المائة.</w:t>
      </w:r>
    </w:p>
    <w:p w:rsidR="0073566C" w:rsidRDefault="0073566C" w:rsidP="0073566C">
      <w:pPr>
        <w:pStyle w:val="SingleTxt"/>
        <w:tabs>
          <w:tab w:val="clear" w:pos="2592"/>
          <w:tab w:val="left" w:pos="2331"/>
        </w:tabs>
        <w:rPr>
          <w:rFonts w:hint="cs"/>
          <w:rtl/>
        </w:rPr>
      </w:pPr>
      <w:r>
        <w:rPr>
          <w:rFonts w:hint="cs"/>
          <w:rtl/>
        </w:rPr>
        <w:t>2-2-4</w:t>
      </w:r>
      <w:r>
        <w:rPr>
          <w:rFonts w:hint="cs"/>
          <w:rtl/>
        </w:rPr>
        <w:tab/>
      </w:r>
      <w:r w:rsidRPr="00993694">
        <w:rPr>
          <w:rFonts w:hint="cs"/>
          <w:rtl/>
        </w:rPr>
        <w:t>تحويل إجازة الولادة إلى إجازة للأبوة</w:t>
      </w:r>
      <w:r w:rsidRPr="008F573F">
        <w:rPr>
          <w:vertAlign w:val="superscript"/>
          <w:rtl/>
        </w:rPr>
        <w:t>(</w:t>
      </w:r>
      <w:r>
        <w:rPr>
          <w:rStyle w:val="FootnoteReference"/>
          <w:rtl/>
        </w:rPr>
        <w:footnoteReference w:id="55"/>
      </w:r>
      <w:r w:rsidRPr="008F573F">
        <w:rPr>
          <w:vertAlign w:val="superscript"/>
          <w:rtl/>
        </w:rPr>
        <w:t>)</w:t>
      </w:r>
    </w:p>
    <w:p w:rsidR="0073566C" w:rsidRDefault="0073566C" w:rsidP="0073566C">
      <w:pPr>
        <w:pStyle w:val="SingleTxt"/>
        <w:tabs>
          <w:tab w:val="clear" w:pos="2592"/>
          <w:tab w:val="left" w:pos="2331"/>
        </w:tabs>
        <w:rPr>
          <w:rFonts w:hint="cs"/>
          <w:rtl/>
        </w:rPr>
      </w:pPr>
      <w:r>
        <w:rPr>
          <w:rFonts w:hint="cs"/>
          <w:rtl/>
        </w:rPr>
        <w:tab/>
        <w:t>يمكن لوالد الطفل، في حالة دخول الأم إلى المستشفى، أن يحصل على إجازة أبوة تبدأ اعتبارا من اليوم الثامن من ولادة الطفل، بشرط أن تزيد فترة بقاء الأم في المستشفى على 7 أيام وأن يكون المولود قد خرج من المستشفى. وتنتهي الإجازة بخروج الأم من المستشفى وفي موعد أقصاه انتهاء إجازة الولادة التي لا تكون الأم قد استوفتها عند دخولها إلى المستشفى. ويحصل الوالد في هذه الإجازة على استحقاقات تصل إلى 60 في المائة من الأجر الضائع. وفي حالة وفاة الأم، يمكن لوالد الطفل الحصول على إجازة أبوة لا تزيد مدتها على الجزء الذي لا تكون الأم عند وفاتها قد استوفته من إجازة ما بعد الولادة. ويحصل الوالد على استحقاقات في أثناء هذه الإجازة.</w:t>
      </w:r>
    </w:p>
    <w:p w:rsidR="0073566C" w:rsidRPr="008F573F" w:rsidRDefault="0073566C" w:rsidP="0073566C">
      <w:pPr>
        <w:pStyle w:val="SingleTxt"/>
        <w:tabs>
          <w:tab w:val="clear" w:pos="2592"/>
          <w:tab w:val="left" w:pos="2331"/>
        </w:tabs>
        <w:spacing w:after="0" w:line="120" w:lineRule="exact"/>
        <w:rPr>
          <w:rFonts w:hint="cs"/>
          <w:sz w:val="12"/>
          <w:rtl/>
        </w:rPr>
      </w:pPr>
    </w:p>
    <w:p w:rsidR="0073566C" w:rsidRDefault="0073566C" w:rsidP="0073566C">
      <w:pPr>
        <w:pStyle w:val="SingleTxt"/>
        <w:tabs>
          <w:tab w:val="clear" w:pos="2592"/>
          <w:tab w:val="left" w:pos="2331"/>
        </w:tabs>
        <w:rPr>
          <w:rFonts w:hint="cs"/>
          <w:rtl/>
        </w:rPr>
      </w:pPr>
      <w:r>
        <w:rPr>
          <w:rFonts w:hint="cs"/>
          <w:rtl/>
        </w:rPr>
        <w:t>2-2-5</w:t>
      </w:r>
      <w:r>
        <w:rPr>
          <w:rFonts w:hint="cs"/>
          <w:rtl/>
        </w:rPr>
        <w:tab/>
      </w:r>
      <w:r w:rsidRPr="00993694">
        <w:rPr>
          <w:rFonts w:hint="cs"/>
          <w:rtl/>
        </w:rPr>
        <w:t>إجازة الأبوة وإجازة التبني</w:t>
      </w:r>
    </w:p>
    <w:p w:rsidR="0073566C" w:rsidRDefault="0073566C" w:rsidP="0073566C">
      <w:pPr>
        <w:pStyle w:val="SingleTxt"/>
        <w:tabs>
          <w:tab w:val="clear" w:pos="2592"/>
          <w:tab w:val="left" w:pos="2331"/>
        </w:tabs>
        <w:rPr>
          <w:rFonts w:hint="cs"/>
          <w:rtl/>
        </w:rPr>
      </w:pPr>
      <w:r>
        <w:rPr>
          <w:rFonts w:hint="cs"/>
          <w:rtl/>
        </w:rPr>
        <w:tab/>
        <w:t>يحق للوالد، عند ولادة طفله، الحصول على إجازة مدتها 10 أيام</w:t>
      </w:r>
      <w:r w:rsidRPr="008F573F">
        <w:rPr>
          <w:vertAlign w:val="superscript"/>
          <w:rtl/>
        </w:rPr>
        <w:t>(</w:t>
      </w:r>
      <w:r>
        <w:rPr>
          <w:rStyle w:val="FootnoteReference"/>
          <w:rtl/>
        </w:rPr>
        <w:footnoteReference w:id="56"/>
      </w:r>
      <w:r w:rsidRPr="008F573F">
        <w:rPr>
          <w:vertAlign w:val="superscript"/>
          <w:rtl/>
        </w:rPr>
        <w:t>)</w:t>
      </w:r>
      <w:r>
        <w:rPr>
          <w:rFonts w:hint="cs"/>
          <w:rtl/>
        </w:rPr>
        <w:t xml:space="preserve"> يحددها في غضون ثلاثين يوما من تاريخ الولادة. ويمكنه الحصول على هذه الإجازة مرة واحدة أو بشكل متفرق. وفي هذه الإجازة، يحتفظ الوالد بأجره في الأيام الثلاثة الأولى منها. وفي الأيام السبعة التالية، يحصل على إعانة (استحقاقات الأبوة) في إطار التأمين ضد المرض والعجز، تماثل الإعانة التي تحصل عليها الأم في إطار تأمين الأمومة. وتصل استحقاقات إجازة الأبوة إلى 82 في المائة من الأجر الضائع (الحد الأقصى).</w:t>
      </w:r>
    </w:p>
    <w:p w:rsidR="0073566C" w:rsidRPr="00E7321D" w:rsidRDefault="0073566C" w:rsidP="0073566C">
      <w:pPr>
        <w:pStyle w:val="SingleTxt"/>
        <w:tabs>
          <w:tab w:val="clear" w:pos="2592"/>
          <w:tab w:val="left" w:pos="2331"/>
        </w:tabs>
        <w:rPr>
          <w:rFonts w:hint="cs"/>
          <w:b/>
          <w:bCs/>
          <w:rtl/>
        </w:rPr>
      </w:pPr>
      <w:r w:rsidRPr="00E7321D">
        <w:rPr>
          <w:rFonts w:hint="cs"/>
          <w:b/>
          <w:bCs/>
          <w:rtl/>
        </w:rPr>
        <w:tab/>
        <w:t>ولكل عامل (رجلا كان أو امرأة) الحق في إجازة للتبني</w:t>
      </w:r>
      <w:r w:rsidRPr="00E7321D">
        <w:rPr>
          <w:b/>
          <w:bCs/>
          <w:vertAlign w:val="superscript"/>
          <w:rtl/>
        </w:rPr>
        <w:t>(</w:t>
      </w:r>
      <w:r w:rsidRPr="00E7321D">
        <w:rPr>
          <w:rStyle w:val="FootnoteReference"/>
          <w:b/>
          <w:bCs/>
          <w:rtl/>
        </w:rPr>
        <w:footnoteReference w:id="57"/>
      </w:r>
      <w:r w:rsidRPr="00E7321D">
        <w:rPr>
          <w:b/>
          <w:bCs/>
          <w:vertAlign w:val="superscript"/>
          <w:rtl/>
        </w:rPr>
        <w:t>)</w:t>
      </w:r>
      <w:r w:rsidRPr="00E7321D">
        <w:rPr>
          <w:rFonts w:hint="cs"/>
          <w:b/>
          <w:bCs/>
          <w:rtl/>
        </w:rPr>
        <w:t xml:space="preserve"> لكي يضم الطفل المتبنَّى إلى أسرته. وهذه الإجازة، التي ينبغي أخذها كاملة في غضون شهرين من قيد الطفل في الجهة الإدارية المحلية، تصل إلى ستة أسابيع على الأكثر (إذا كان الطفل دون الثالثة من العمر) وإلى أربعة أسابيع على الأكثر (إذا بلغ الطفل الثالثة من عمره على الأقل). ويحتفظ العامل بأجره كاملا في الأيام الثلاثة الأولى. أما في الأيام التالية فإنه يحصل على استحقاقاته من شركة التأمين التضامني التابع لها.</w:t>
      </w:r>
    </w:p>
    <w:p w:rsidR="0073566C" w:rsidRPr="00993694" w:rsidRDefault="0073566C" w:rsidP="0073566C">
      <w:pPr>
        <w:pStyle w:val="SingleTxt"/>
        <w:tabs>
          <w:tab w:val="clear" w:pos="2592"/>
          <w:tab w:val="left" w:pos="2331"/>
        </w:tabs>
        <w:rPr>
          <w:rFonts w:hint="cs"/>
          <w:rtl/>
        </w:rPr>
      </w:pPr>
      <w:r w:rsidRPr="00993694">
        <w:rPr>
          <w:rFonts w:hint="cs"/>
          <w:rtl/>
        </w:rPr>
        <w:t>2-2-6</w:t>
      </w:r>
      <w:r w:rsidRPr="00993694">
        <w:rPr>
          <w:rFonts w:hint="cs"/>
          <w:rtl/>
        </w:rPr>
        <w:tab/>
        <w:t>فترات الإرضاع</w:t>
      </w:r>
      <w:r w:rsidRPr="00993694">
        <w:rPr>
          <w:vertAlign w:val="superscript"/>
          <w:rtl/>
        </w:rPr>
        <w:t>(</w:t>
      </w:r>
      <w:r w:rsidRPr="00993694">
        <w:rPr>
          <w:rStyle w:val="FootnoteReference"/>
          <w:rtl/>
        </w:rPr>
        <w:footnoteReference w:id="58"/>
      </w:r>
      <w:r w:rsidRPr="00993694">
        <w:rPr>
          <w:vertAlign w:val="superscript"/>
          <w:rtl/>
        </w:rPr>
        <w:t>)</w:t>
      </w:r>
    </w:p>
    <w:p w:rsidR="0073566C" w:rsidRPr="00993694" w:rsidRDefault="0073566C" w:rsidP="0073566C">
      <w:pPr>
        <w:pStyle w:val="SingleTxt"/>
        <w:tabs>
          <w:tab w:val="clear" w:pos="2592"/>
          <w:tab w:val="left" w:pos="2331"/>
        </w:tabs>
        <w:rPr>
          <w:rFonts w:hint="cs"/>
          <w:rtl/>
        </w:rPr>
      </w:pPr>
      <w:r w:rsidRPr="00993694">
        <w:rPr>
          <w:rFonts w:hint="cs"/>
          <w:rtl/>
        </w:rPr>
        <w:tab/>
        <w:t>اعتبارا من 1 تموز/يوليه 2002، أصبح من حق العاملات الوالدات الحصول على فترات للإرضاع بشروط معينة. وتدفع شركة التأمين التضامني استحقاقات عن ساعات فترات الإرضاع بواقع 82 في المائة من إجمالي الأجر الضائع المستحق عن ساعات أو أنصاف ساعات فترات الإرضاع. ويمكن للعاملة التوقف عن عملها لإرضاع طفلها أو استدرار لبنها. وفترة الإرضاع نصف ساعة. وللعاملة التي تقضي سبع ساعات ونصف الساعة على الأقل في عملها الحق في فترتين، إما مرة واحدة أو على مرتين. ومن حيث المبدأ، تتحدد الفترة الكلية التي يحق فيها للعاملة الحصول على فترات للإرضاع بسبعة أشهر اعتبارا من الولادة.</w:t>
      </w:r>
    </w:p>
    <w:p w:rsidR="0073566C" w:rsidRPr="00993694" w:rsidRDefault="0073566C" w:rsidP="0073566C">
      <w:pPr>
        <w:pStyle w:val="SingleTxt"/>
        <w:tabs>
          <w:tab w:val="clear" w:pos="2592"/>
          <w:tab w:val="left" w:pos="2331"/>
        </w:tabs>
        <w:spacing w:after="0" w:line="120" w:lineRule="exact"/>
        <w:rPr>
          <w:rFonts w:hint="cs"/>
          <w:sz w:val="12"/>
          <w:rtl/>
        </w:rPr>
      </w:pPr>
    </w:p>
    <w:p w:rsidR="0073566C" w:rsidRPr="00993694" w:rsidRDefault="0073566C" w:rsidP="0073566C">
      <w:pPr>
        <w:pStyle w:val="SingleTxt"/>
        <w:tabs>
          <w:tab w:val="clear" w:pos="2592"/>
          <w:tab w:val="left" w:pos="2331"/>
        </w:tabs>
        <w:rPr>
          <w:rFonts w:hint="cs"/>
          <w:rtl/>
        </w:rPr>
      </w:pPr>
      <w:r w:rsidRPr="00993694">
        <w:rPr>
          <w:rFonts w:hint="cs"/>
          <w:i/>
          <w:iCs/>
          <w:rtl/>
        </w:rPr>
        <w:t>2-3</w:t>
      </w:r>
      <w:r w:rsidRPr="00993694">
        <w:rPr>
          <w:rFonts w:hint="cs"/>
          <w:i/>
          <w:iCs/>
          <w:rtl/>
        </w:rPr>
        <w:tab/>
        <w:t>الوضع الاجتماعي للزوج المعاون</w:t>
      </w:r>
    </w:p>
    <w:p w:rsidR="0073566C" w:rsidRDefault="0073566C" w:rsidP="0073566C">
      <w:pPr>
        <w:pStyle w:val="SingleTxt"/>
        <w:tabs>
          <w:tab w:val="clear" w:pos="2592"/>
          <w:tab w:val="left" w:pos="2331"/>
        </w:tabs>
        <w:rPr>
          <w:rFonts w:hint="cs"/>
          <w:rtl/>
        </w:rPr>
      </w:pPr>
      <w:r>
        <w:rPr>
          <w:rFonts w:hint="cs"/>
          <w:rtl/>
        </w:rPr>
        <w:tab/>
        <w:t>الرجل والمرأة متساويان في الحماية الموفرة للزوج الذي يعين شخصا يعمل لحسابه الخاص. والواقع أن المرأة هي التي تستفيد في الغالب من هذا الوضع.</w:t>
      </w:r>
    </w:p>
    <w:p w:rsidR="0073566C" w:rsidRDefault="0073566C" w:rsidP="0073566C">
      <w:pPr>
        <w:pStyle w:val="SingleTxt"/>
        <w:tabs>
          <w:tab w:val="clear" w:pos="2592"/>
          <w:tab w:val="left" w:pos="2331"/>
        </w:tabs>
        <w:rPr>
          <w:rFonts w:hint="cs"/>
          <w:rtl/>
        </w:rPr>
      </w:pPr>
      <w:r>
        <w:rPr>
          <w:rFonts w:hint="cs"/>
          <w:rtl/>
        </w:rPr>
        <w:tab/>
        <w:t>وفي 1 كانون الثاني/يناير 2003 بدأ سريان نظام جديد يتعلق بالوضع الاجتماعي (والمالي) للأزواج المعاونين. والزوج المعاون هو من يكون متزوجا من شخص يعمل لحسابه الخاص؛ ولا تكون له حقوق خاصة في الضمان الاجتماعي تكون مساوية على الأقل لحقوق من يعملون لحسابهم الخاص؛ ويكون شريكا (لشخص يعمل لحسابه الخاص) ويعاون بشكل فعلي ومنتظم في المشروع.</w:t>
      </w:r>
    </w:p>
    <w:p w:rsidR="0073566C" w:rsidRPr="00C272FF" w:rsidRDefault="0073566C" w:rsidP="0073566C">
      <w:pPr>
        <w:pStyle w:val="SingleTxt"/>
        <w:tabs>
          <w:tab w:val="clear" w:pos="2592"/>
          <w:tab w:val="left" w:pos="2331"/>
        </w:tabs>
        <w:spacing w:after="0" w:line="120" w:lineRule="exact"/>
        <w:rPr>
          <w:rFonts w:hint="cs"/>
          <w:sz w:val="12"/>
          <w:rtl/>
        </w:rPr>
      </w:pPr>
    </w:p>
    <w:p w:rsidR="0073566C" w:rsidRPr="00993694" w:rsidRDefault="0073566C" w:rsidP="0073566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b w:val="0"/>
          <w:bCs w:val="0"/>
          <w:rtl/>
        </w:rPr>
      </w:pPr>
      <w:r>
        <w:rPr>
          <w:rFonts w:hint="cs"/>
          <w:rtl/>
        </w:rPr>
        <w:tab/>
      </w:r>
      <w:r>
        <w:rPr>
          <w:rFonts w:hint="cs"/>
          <w:rtl/>
        </w:rPr>
        <w:tab/>
      </w:r>
      <w:r w:rsidRPr="00993694">
        <w:rPr>
          <w:rFonts w:hint="cs"/>
          <w:b w:val="0"/>
          <w:bCs w:val="0"/>
          <w:rtl/>
        </w:rPr>
        <w:t>وقد أُدرج النظام الجديد على مرحلتين:</w:t>
      </w:r>
    </w:p>
    <w:p w:rsidR="0073566C" w:rsidRDefault="0073566C" w:rsidP="00993694">
      <w:pPr>
        <w:pStyle w:val="SingleTxt"/>
        <w:rPr>
          <w:rFonts w:hint="cs"/>
          <w:rtl/>
        </w:rPr>
      </w:pPr>
      <w:r>
        <w:rPr>
          <w:rFonts w:hint="cs"/>
          <w:rtl/>
        </w:rPr>
        <w:tab/>
        <w:t>فاعتبارا من كانون الثاني/يناير 2003، أصبح الأزواج المعاونون مدرجين إجباريا في التأمين ضد العجز عن العمل الذي يسري على العاملين لحسابهم الخاص (</w:t>
      </w:r>
      <w:r>
        <w:rPr>
          <w:rFonts w:hint="eastAsia"/>
          <w:rtl/>
        </w:rPr>
        <w:t>”الوضع الأدنى</w:t>
      </w:r>
      <w:r>
        <w:rPr>
          <w:rFonts w:hint="cs"/>
          <w:rtl/>
        </w:rPr>
        <w:t>“). ويمكن بالإضافة إلى ذلك أن ينضم هؤلاء الأزواج إلى الوضع الاجتماعي الكامل للعاملين لحسابهم الخاص، فيما عدا التأمين ضد الإفلاس (</w:t>
      </w:r>
      <w:r>
        <w:rPr>
          <w:rFonts w:hint="eastAsia"/>
          <w:rtl/>
        </w:rPr>
        <w:t>”الوضع الأقصى</w:t>
      </w:r>
      <w:r>
        <w:rPr>
          <w:rFonts w:hint="cs"/>
          <w:rtl/>
        </w:rPr>
        <w:t>“).</w:t>
      </w:r>
    </w:p>
    <w:p w:rsidR="0073566C" w:rsidRDefault="0073566C" w:rsidP="00993694">
      <w:pPr>
        <w:pStyle w:val="SingleTxt"/>
        <w:rPr>
          <w:rFonts w:hint="cs"/>
          <w:rtl/>
        </w:rPr>
      </w:pPr>
      <w:r>
        <w:rPr>
          <w:rFonts w:hint="cs"/>
          <w:rtl/>
        </w:rPr>
        <w:tab/>
        <w:t xml:space="preserve">واعتبارا من 1 تموز/يوليه 2005، أصبح الأزواج المعاونون من حيث المبدأ منضمين إلى الوضع الاجتماعي الكامل للعاملين لحسابهم الخاص. ويمكن أيضا للأزواج المعاونين المولودين قبل 1 كانون الثاني/يناير 1956 أن يظلوا، بعد 1 تموز/يوليه 2005، منضمين فقط إلى </w:t>
      </w:r>
      <w:r>
        <w:rPr>
          <w:rFonts w:hint="eastAsia"/>
          <w:rtl/>
        </w:rPr>
        <w:t>”الوضع الأدنى</w:t>
      </w:r>
      <w:r>
        <w:rPr>
          <w:rFonts w:hint="cs"/>
          <w:rtl/>
        </w:rPr>
        <w:t>“.</w:t>
      </w:r>
    </w:p>
    <w:p w:rsidR="0073566C" w:rsidRDefault="0073566C" w:rsidP="0073566C">
      <w:pPr>
        <w:pStyle w:val="SingleTxt"/>
        <w:rPr>
          <w:rFonts w:hint="cs"/>
          <w:rtl/>
        </w:rPr>
      </w:pPr>
      <w:r>
        <w:rPr>
          <w:rFonts w:hint="cs"/>
          <w:rtl/>
        </w:rPr>
        <w:tab/>
        <w:t>ويوفر الوضع الأقصى حماية أوسع مما يوفره الوضع الأدنى: المعاش التقاعدي، الرعاية الصحية، العجز عن العمل، الإعاقة، الأمومة (فيما عدا التأمين ضد الإفلاس). ويجب على الزوج المعاون المولود قبل عام 1956 الانضمام إلى صندوق التأمينات الاجتماعية الذي يشارك فيه الزوج الآخر، وذلك للحصول على حد أدنى من الحماية. وبذلك يكون مؤمّنا عليه ضد العجز عن العمل (بما في ذلك الأمومة) والإعاقة. والواقع أنه لا يملك، فيما يتعلق بهذه الأخطار، حقوقا مستمدة من حقوق الزوج الآخر. فإذا مرض، فإنه يمكن اعتباره في كفالة الزوج الآخر في إطار تأمين الرعاية الصحية.</w:t>
      </w:r>
    </w:p>
    <w:p w:rsidR="0073566C" w:rsidRDefault="0073566C" w:rsidP="0073566C">
      <w:pPr>
        <w:pStyle w:val="SingleTxt"/>
        <w:rPr>
          <w:rFonts w:hint="cs"/>
          <w:rtl/>
        </w:rPr>
      </w:pPr>
      <w:r>
        <w:rPr>
          <w:rFonts w:hint="cs"/>
          <w:rtl/>
        </w:rPr>
        <w:tab/>
      </w:r>
      <w:r>
        <w:rPr>
          <w:rFonts w:hint="cs"/>
          <w:b/>
          <w:bCs/>
          <w:rtl/>
        </w:rPr>
        <w:t>وفي 31 كانون الأول/ديسمبر 2002، انضمت 801 4 من الزوجات المعاونات إلى هذا التأمين الاختياري ضد العجز عن العمل. وفي 31 كانون الأول/ديسمبر 2005، ارتفع عددهن إلى 676 48.</w:t>
      </w:r>
    </w:p>
    <w:p w:rsidR="0073566C" w:rsidRPr="00093F0C" w:rsidRDefault="0073566C" w:rsidP="0073566C">
      <w:pPr>
        <w:pStyle w:val="SingleTxt"/>
        <w:spacing w:after="0" w:line="120" w:lineRule="exact"/>
        <w:rPr>
          <w:rFonts w:hint="cs"/>
          <w:sz w:val="12"/>
          <w:rtl/>
        </w:rPr>
      </w:pPr>
    </w:p>
    <w:p w:rsidR="0073566C" w:rsidRDefault="0073566C" w:rsidP="0073566C">
      <w:pPr>
        <w:pStyle w:val="HCh"/>
        <w:tabs>
          <w:tab w:val="right" w:pos="1022"/>
          <w:tab w:val="left" w:pos="1267"/>
          <w:tab w:val="left" w:pos="1930"/>
          <w:tab w:val="left" w:pos="2125"/>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ثانيا -</w:t>
      </w:r>
      <w:r>
        <w:rPr>
          <w:rFonts w:hint="cs"/>
          <w:rtl/>
        </w:rPr>
        <w:tab/>
        <w:t>الكيانات الاتحادية</w:t>
      </w:r>
    </w:p>
    <w:p w:rsidR="0073566C" w:rsidRDefault="0073566C" w:rsidP="0073566C">
      <w:pPr>
        <w:pStyle w:val="H1"/>
        <w:tabs>
          <w:tab w:val="right" w:pos="1022"/>
          <w:tab w:val="left" w:pos="1267"/>
          <w:tab w:val="left" w:pos="2125"/>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ألف -</w:t>
      </w:r>
      <w:r>
        <w:rPr>
          <w:rFonts w:hint="cs"/>
          <w:rtl/>
        </w:rPr>
        <w:tab/>
        <w:t>المجتمع الفلمندي</w:t>
      </w:r>
    </w:p>
    <w:p w:rsidR="0073566C" w:rsidRDefault="0073566C" w:rsidP="0073566C">
      <w:pPr>
        <w:pStyle w:val="SingleTxt"/>
        <w:rPr>
          <w:rFonts w:hint="cs"/>
          <w:rtl/>
        </w:rPr>
      </w:pPr>
      <w:r>
        <w:rPr>
          <w:rFonts w:hint="cs"/>
          <w:rtl/>
        </w:rPr>
        <w:tab/>
        <w:t>ورد في المقدمة أن الوزير الفلمندي لتكافؤ الفرص يعطي الأولوية لمسألة التطوير الوظيفي التي تكون هناك خطة عمل لها.</w:t>
      </w:r>
    </w:p>
    <w:p w:rsidR="0073566C" w:rsidRPr="00093F0C" w:rsidRDefault="0073566C" w:rsidP="0073566C">
      <w:pPr>
        <w:pStyle w:val="SingleTxt"/>
        <w:spacing w:after="0" w:line="120" w:lineRule="exact"/>
        <w:rPr>
          <w:rFonts w:hint="cs"/>
          <w:sz w:val="12"/>
          <w:rtl/>
        </w:rPr>
      </w:pPr>
    </w:p>
    <w:p w:rsidR="0073566C" w:rsidRDefault="0073566C" w:rsidP="0073566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1 -</w:t>
      </w:r>
      <w:r>
        <w:rPr>
          <w:rFonts w:hint="cs"/>
          <w:rtl/>
        </w:rPr>
        <w:tab/>
        <w:t>الفجوة في الأجور بين الجنسين/خطة عمل للفجوة في فرص العمل</w:t>
      </w:r>
    </w:p>
    <w:p w:rsidR="0073566C" w:rsidRDefault="0073566C" w:rsidP="0073566C">
      <w:pPr>
        <w:pStyle w:val="SingleTxt"/>
        <w:rPr>
          <w:rFonts w:hint="cs"/>
          <w:rtl/>
        </w:rPr>
      </w:pPr>
      <w:r>
        <w:rPr>
          <w:rFonts w:hint="cs"/>
          <w:rtl/>
        </w:rPr>
        <w:tab/>
        <w:t>يخطئ من يظن أن الفرق في الأجور بين الجنسين قد انتهى. فأجر المرأة يقل في المتوسط بمقدار 12 في المائة عن أجر الرجل. ويضاف إلى ذلك أن المهاجرات يحصلن على أجر يقل بنسبة 10 في المائة عن أجر النساء ’الغربيات‘. إن سد الفجوة في الأجور وفرص العمل هو الموضوع الجنساني المركزي - بتوجيه من السياسة الفلمندية لتكافؤ الفرص - الذي سيجري تناوله من خلال طريقة التنسيق العلنية في فترة الولاية الراهنة. وهناك علاوة على ذلك عدد من المبادرات النوعية التي تضطلع بها أيضا السياسة الفلمندية لتكافؤ الفرص في هذا السياق.</w:t>
      </w:r>
    </w:p>
    <w:p w:rsidR="0073566C" w:rsidRPr="00093F0C" w:rsidRDefault="0073566C" w:rsidP="0073566C">
      <w:pPr>
        <w:pStyle w:val="SingleTxt"/>
        <w:spacing w:after="0" w:line="120" w:lineRule="exact"/>
        <w:rPr>
          <w:rFonts w:hint="cs"/>
          <w:sz w:val="12"/>
          <w:rtl/>
        </w:rPr>
      </w:pPr>
    </w:p>
    <w:p w:rsidR="0073566C" w:rsidRDefault="0073566C" w:rsidP="0073566C">
      <w:pPr>
        <w:pStyle w:val="SingleTxt"/>
        <w:rPr>
          <w:rFonts w:hint="cs"/>
          <w:i/>
          <w:iCs/>
          <w:rtl/>
        </w:rPr>
      </w:pPr>
      <w:r>
        <w:rPr>
          <w:rFonts w:hint="cs"/>
          <w:i/>
          <w:iCs/>
          <w:rtl/>
        </w:rPr>
        <w:t>1-1</w:t>
      </w:r>
      <w:r>
        <w:rPr>
          <w:rFonts w:hint="cs"/>
          <w:i/>
          <w:iCs/>
          <w:rtl/>
        </w:rPr>
        <w:tab/>
        <w:t>البحث</w:t>
      </w:r>
    </w:p>
    <w:p w:rsidR="0073566C" w:rsidRDefault="0073566C" w:rsidP="00993694">
      <w:pPr>
        <w:pStyle w:val="SingleTxt"/>
        <w:spacing w:line="360" w:lineRule="exact"/>
        <w:rPr>
          <w:rFonts w:hint="cs"/>
          <w:rtl/>
        </w:rPr>
      </w:pPr>
      <w:r w:rsidRPr="00093F0C">
        <w:rPr>
          <w:rFonts w:hint="cs"/>
          <w:rtl/>
        </w:rPr>
        <w:tab/>
        <w:t xml:space="preserve">في خريف عام 2005، جرى منح عقد دراسة لمركز أبحاث العمل والعمالة والتعليم ولمؤسسة </w:t>
      </w:r>
      <w:r>
        <w:t>Vlerick Hogeschool</w:t>
      </w:r>
      <w:r>
        <w:rPr>
          <w:rFonts w:hint="cs"/>
          <w:rtl/>
        </w:rPr>
        <w:t xml:space="preserve"> تحت عنوان ’استكشاف نمط معين للوظائف ووضع توصيات للإصلاح وتحسين التسجيل الإحصائي‘. وقد استند عقد الدراسة هذا إلى استنتاج مفاده أن هناك وظائف عديدة تشير إلى اتجاه تصاعدي بالنسبة إلى الرجل والمرأة ما داما يستفيدان من فرص الترقي ويكونان على استعداد للاستثمار أساسا في تطوير وظائفهما. غير أنه حدث في بعض الأعوام أنهما اختارا ’وظائف ضيقة‘ واستمرا بذلك في أداء عملهما الراهن، وإن كانا لا يتنافسان من أجل الترقية، ولذلك فإن من الصعب جدا عليهما ’اللحاق بالموجة السائدة‘ والبدء من جديد في إيجاد وظيفة تكبر. وينطبق ذلك أيضا على من يختارون العمل بعض الوقت لفترة من الزمن. وتعزى هذه المشكلة إلى ’واقع ثقافي‘ (الفكرة القائلة إن على المدير الكفء أن يجعل بيئة العمل في صميم مهنته). وهذه المشكلة تمسّ الرجل والمرأة معا. ومع ذلك فإن هناك فرقا بين الجنسين: فمن الشائع عدم السعي، عن إرادة أو ’اختيار‘، وراء الترقية، وبخاصة لدى النساء ذوات الأبناء.</w:t>
      </w:r>
    </w:p>
    <w:p w:rsidR="0073566C" w:rsidRDefault="0073566C" w:rsidP="0073566C">
      <w:pPr>
        <w:pStyle w:val="SingleTxt"/>
        <w:rPr>
          <w:rFonts w:hint="cs"/>
          <w:rtl/>
        </w:rPr>
      </w:pPr>
      <w:r>
        <w:rPr>
          <w:rFonts w:hint="cs"/>
          <w:rtl/>
        </w:rPr>
        <w:tab/>
        <w:t>وستنجز هذه الدراسة في كانون الأول/ديسمبر 2006. وستتحدد الخطوات التالية على أساس هذه النتائج.</w:t>
      </w:r>
    </w:p>
    <w:p w:rsidR="0073566C" w:rsidRPr="00E2620E" w:rsidRDefault="0073566C" w:rsidP="0073566C">
      <w:pPr>
        <w:pStyle w:val="SingleTxt"/>
        <w:spacing w:after="0" w:line="120" w:lineRule="exact"/>
        <w:rPr>
          <w:rFonts w:hint="cs"/>
          <w:sz w:val="12"/>
          <w:rtl/>
        </w:rPr>
      </w:pPr>
    </w:p>
    <w:p w:rsidR="0073566C" w:rsidRDefault="0073566C" w:rsidP="0073566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2 -</w:t>
      </w:r>
      <w:r>
        <w:rPr>
          <w:rFonts w:hint="cs"/>
          <w:rtl/>
        </w:rPr>
        <w:tab/>
        <w:t>إدارة العمل الفلمندية</w:t>
      </w:r>
    </w:p>
    <w:p w:rsidR="0073566C" w:rsidRDefault="0073566C" w:rsidP="0073566C">
      <w:pPr>
        <w:pStyle w:val="SingleTxt"/>
        <w:rPr>
          <w:rFonts w:hint="cs"/>
          <w:rtl/>
        </w:rPr>
      </w:pPr>
      <w:r>
        <w:rPr>
          <w:rFonts w:hint="cs"/>
          <w:i/>
          <w:iCs/>
          <w:rtl/>
        </w:rPr>
        <w:t>2-1</w:t>
      </w:r>
      <w:r>
        <w:rPr>
          <w:rFonts w:hint="cs"/>
          <w:i/>
          <w:iCs/>
          <w:rtl/>
        </w:rPr>
        <w:tab/>
        <w:t>حالة المرأة في سوق العمل الفلمندية (2002-2005)</w:t>
      </w:r>
    </w:p>
    <w:p w:rsidR="0073566C" w:rsidRDefault="0073566C" w:rsidP="0073566C">
      <w:pPr>
        <w:pStyle w:val="SingleTxt"/>
        <w:rPr>
          <w:rFonts w:hint="cs"/>
          <w:rtl/>
        </w:rPr>
      </w:pPr>
      <w:r>
        <w:rPr>
          <w:rFonts w:hint="cs"/>
          <w:rtl/>
        </w:rPr>
        <w:tab/>
        <w:t>ازداد معدل عمل المرأة في الإقليم الفلمندي من 52.9 في المائة (في عام 1999) إلى 57.8 في المائة (في عام 2005)، وهو ما يفوق المتوسط الأوروبي (الاتحاد الأوروبي - 25: 56.3 في المائة). وظل معدل عمل الرجل ثابتا طوال الأعوام القليلة الماضية (2002-2005: + 0.2 من النقاط المئوية)، مما يدل على أن ازدياد مشاركة المرأة في سوق العمل هو الحافز الأساسي إلى الزيادة الشاملة في معدل العمل في الإقليم الفلمندي. وقد أصبح هذا الإقليم قريبا من بلوغ الهدف الأوروبي المحدد بـ 60 في المائة بحلول عام 2010. وفي الفترة من عام 1999 إلى عام 2005، انخفض الفرق في العمل بين الجنسين بواقع 4.1 نقاط مئوية، ووصل إلى 14 في المائة في عام 2005.</w:t>
      </w:r>
    </w:p>
    <w:p w:rsidR="0073566C" w:rsidRDefault="0073566C" w:rsidP="0073566C">
      <w:pPr>
        <w:pStyle w:val="SingleTxt"/>
        <w:rPr>
          <w:rFonts w:hint="cs"/>
          <w:rtl/>
        </w:rPr>
      </w:pPr>
      <w:r>
        <w:rPr>
          <w:rFonts w:hint="cs"/>
          <w:rtl/>
        </w:rPr>
        <w:tab/>
        <w:t>وهناك ملاحظة مهمة تتصل بعمل المرأة، وهي الاختلافات الواسعة بين الفئات العمرية المختلفة. ففي الفئة العمرية 55-64 عاما، يصل معدل عمل المرأة إلى 20.1 في المائة فقط (في عام 2005)، وفي الفئة العمرية 25-49 عاما، يصل المعدل إلى 79.4 في المائة (في عام 2005). وهذا يشير إلى أن الاتجاهات الاجتماعية والديمغرافية تؤدي دورا مهما (التحصيل الدراسي العالي للمرأة + عامل ’الفئة العمرية‘ للمرأة الداخلة إلى سوق العمل والباقية فيها).</w:t>
      </w:r>
    </w:p>
    <w:p w:rsidR="0073566C" w:rsidRPr="008D366F" w:rsidRDefault="00993694" w:rsidP="0073566C">
      <w:pPr>
        <w:pStyle w:val="SingleTxt"/>
        <w:spacing w:after="0" w:line="120" w:lineRule="exact"/>
        <w:rPr>
          <w:rFonts w:hint="cs"/>
          <w:sz w:val="12"/>
          <w:rtl/>
        </w:rPr>
      </w:pPr>
      <w:r>
        <w:rPr>
          <w:sz w:val="12"/>
          <w:rtl/>
        </w:rPr>
        <w:br w:type="page"/>
      </w:r>
    </w:p>
    <w:p w:rsidR="0073566C" w:rsidRPr="0090614D" w:rsidRDefault="0073566C" w:rsidP="0073566C">
      <w:pPr>
        <w:pStyle w:val="SingleTxt"/>
        <w:jc w:val="center"/>
        <w:rPr>
          <w:rFonts w:hint="cs"/>
          <w:i/>
          <w:iCs/>
        </w:rPr>
      </w:pPr>
      <w:r w:rsidRPr="0090614D">
        <w:rPr>
          <w:rFonts w:hint="cs"/>
          <w:i/>
          <w:iCs/>
          <w:rtl/>
        </w:rPr>
        <w:t>معدل عمل المرأة في الإقليم الفلمندي (1999-2005)</w:t>
      </w:r>
    </w:p>
    <w:p w:rsidR="0073566C" w:rsidRPr="00ED378D" w:rsidRDefault="0073566C" w:rsidP="0073566C">
      <w:pPr>
        <w:spacing w:line="480" w:lineRule="auto"/>
        <w:jc w:val="both"/>
        <w:rPr>
          <w:sz w:val="24"/>
          <w:szCs w:val="24"/>
        </w:rPr>
      </w:pPr>
      <w:r>
        <w:rPr>
          <w:rFonts w:hint="cs"/>
          <w:noProof/>
          <w:w w:val="100"/>
          <w:sz w:val="24"/>
          <w:szCs w:val="24"/>
          <w:rtl/>
        </w:rPr>
        <w:pict>
          <v:shape id="_x0000_s1044" type="#_x0000_t202" style="position:absolute;left:0;text-align:left;margin-left:91.3pt;margin-top:162.3pt;width:51.5pt;height:18pt;z-index:16" stroked="f">
            <v:textbox style="mso-next-textbox:#_x0000_s1044" inset="0,0,0,0">
              <w:txbxContent>
                <w:p w:rsidR="00AF077A" w:rsidRDefault="00AF077A" w:rsidP="0073566C">
                  <w:pPr>
                    <w:spacing w:line="160" w:lineRule="exact"/>
                    <w:jc w:val="center"/>
                    <w:rPr>
                      <w:rFonts w:hint="cs"/>
                      <w:sz w:val="24"/>
                      <w:szCs w:val="24"/>
                      <w:rtl/>
                    </w:rPr>
                  </w:pPr>
                  <w:r>
                    <w:rPr>
                      <w:rFonts w:hint="cs"/>
                      <w:sz w:val="24"/>
                      <w:szCs w:val="24"/>
                      <w:rtl/>
                    </w:rPr>
                    <w:t>الاتحاد</w:t>
                  </w:r>
                  <w:r>
                    <w:rPr>
                      <w:sz w:val="24"/>
                      <w:szCs w:val="24"/>
                      <w:rtl/>
                    </w:rPr>
                    <w:br/>
                  </w:r>
                  <w:r>
                    <w:rPr>
                      <w:rFonts w:hint="cs"/>
                      <w:sz w:val="24"/>
                      <w:szCs w:val="24"/>
                      <w:rtl/>
                    </w:rPr>
                    <w:t>الأوروبي - 25</w:t>
                  </w:r>
                </w:p>
                <w:p w:rsidR="00AF077A" w:rsidRPr="00A8500A" w:rsidRDefault="00AF077A" w:rsidP="0073566C">
                  <w:pPr>
                    <w:spacing w:line="240" w:lineRule="exact"/>
                    <w:jc w:val="right"/>
                    <w:rPr>
                      <w:rFonts w:hint="cs"/>
                      <w:sz w:val="24"/>
                      <w:szCs w:val="24"/>
                    </w:rPr>
                  </w:pPr>
                </w:p>
              </w:txbxContent>
            </v:textbox>
            <w10:wrap anchorx="page"/>
          </v:shape>
        </w:pict>
      </w:r>
      <w:r>
        <w:rPr>
          <w:rFonts w:hint="cs"/>
          <w:noProof/>
          <w:w w:val="100"/>
          <w:sz w:val="24"/>
          <w:szCs w:val="24"/>
          <w:rtl/>
        </w:rPr>
        <w:pict>
          <v:shape id="_x0000_s1043" type="#_x0000_t202" style="position:absolute;left:0;text-align:left;margin-left:91.15pt;margin-top:152.7pt;width:40.2pt;height:9pt;z-index:15" stroked="f">
            <v:textbox style="mso-next-textbox:#_x0000_s1043" inset="0,0,0,0">
              <w:txbxContent>
                <w:p w:rsidR="00AF077A" w:rsidRPr="00A8500A" w:rsidRDefault="00AF077A" w:rsidP="0073566C">
                  <w:pPr>
                    <w:spacing w:line="160" w:lineRule="exact"/>
                    <w:jc w:val="right"/>
                    <w:rPr>
                      <w:rFonts w:hint="cs"/>
                      <w:sz w:val="24"/>
                      <w:szCs w:val="24"/>
                    </w:rPr>
                  </w:pPr>
                  <w:r>
                    <w:rPr>
                      <w:rFonts w:hint="cs"/>
                      <w:sz w:val="24"/>
                      <w:szCs w:val="24"/>
                      <w:rtl/>
                    </w:rPr>
                    <w:t>بلجيكا</w:t>
                  </w:r>
                </w:p>
              </w:txbxContent>
            </v:textbox>
            <w10:wrap anchorx="page"/>
          </v:shape>
        </w:pict>
      </w:r>
      <w:r>
        <w:rPr>
          <w:rFonts w:hint="cs"/>
          <w:noProof/>
          <w:w w:val="100"/>
          <w:sz w:val="24"/>
          <w:szCs w:val="24"/>
          <w:rtl/>
        </w:rPr>
        <w:pict>
          <v:shape id="_x0000_s1042" type="#_x0000_t202" style="position:absolute;left:0;text-align:left;margin-left:91.3pt;margin-top:139.5pt;width:56.65pt;height:9pt;z-index:14" stroked="f">
            <v:textbox style="mso-next-textbox:#_x0000_s1042" inset="0,0,0,0">
              <w:txbxContent>
                <w:p w:rsidR="00AF077A" w:rsidRPr="00A8500A" w:rsidRDefault="00AF077A" w:rsidP="0073566C">
                  <w:pPr>
                    <w:spacing w:line="160" w:lineRule="exact"/>
                    <w:jc w:val="right"/>
                    <w:rPr>
                      <w:rFonts w:hint="cs"/>
                      <w:sz w:val="24"/>
                      <w:szCs w:val="24"/>
                    </w:rPr>
                  </w:pPr>
                  <w:r>
                    <w:rPr>
                      <w:rFonts w:hint="cs"/>
                      <w:sz w:val="24"/>
                      <w:szCs w:val="24"/>
                      <w:rtl/>
                    </w:rPr>
                    <w:t>الإقليم الفلمندي</w:t>
                  </w:r>
                </w:p>
              </w:txbxContent>
            </v:textbox>
            <w10:wrap anchorx="page"/>
          </v:shape>
        </w:pict>
      </w:r>
      <w:r>
        <w:rPr>
          <w:rFonts w:hint="cs"/>
          <w:noProof/>
          <w:w w:val="100"/>
          <w:sz w:val="24"/>
          <w:szCs w:val="24"/>
          <w:rtl/>
        </w:rPr>
        <w:pict>
          <v:shape id="_x0000_s1039" type="#_x0000_t202" style="position:absolute;left:0;text-align:left;margin-left:146.55pt;margin-top:179.7pt;width:56.65pt;height:18pt;z-index:11" stroked="f">
            <v:textbox style="mso-next-textbox:#_x0000_s1039" inset="0,0,0,0">
              <w:txbxContent>
                <w:p w:rsidR="00AF077A" w:rsidRPr="00A8500A" w:rsidRDefault="00AF077A" w:rsidP="0073566C">
                  <w:pPr>
                    <w:spacing w:line="240" w:lineRule="exact"/>
                    <w:jc w:val="right"/>
                    <w:rPr>
                      <w:rFonts w:hint="cs"/>
                      <w:sz w:val="24"/>
                      <w:szCs w:val="24"/>
                    </w:rPr>
                  </w:pPr>
                  <w:r>
                    <w:rPr>
                      <w:rFonts w:hint="cs"/>
                      <w:sz w:val="24"/>
                      <w:szCs w:val="24"/>
                      <w:rtl/>
                    </w:rPr>
                    <w:t>الإقليم الفلمندي</w:t>
                  </w:r>
                </w:p>
              </w:txbxContent>
            </v:textbox>
            <w10:wrap anchorx="page"/>
          </v:shape>
        </w:pict>
      </w:r>
      <w:r>
        <w:rPr>
          <w:rFonts w:hint="cs"/>
          <w:noProof/>
          <w:w w:val="100"/>
          <w:sz w:val="24"/>
          <w:szCs w:val="24"/>
          <w:rtl/>
        </w:rPr>
        <w:pict>
          <v:shape id="_x0000_s1040" type="#_x0000_t202" style="position:absolute;left:0;text-align:left;margin-left:278.1pt;margin-top:179.7pt;width:40.2pt;height:18pt;z-index:12" stroked="f">
            <v:textbox style="mso-next-textbox:#_x0000_s1040" inset="0,0,0,0">
              <w:txbxContent>
                <w:p w:rsidR="00AF077A" w:rsidRPr="00A8500A" w:rsidRDefault="00AF077A" w:rsidP="0073566C">
                  <w:pPr>
                    <w:spacing w:line="240" w:lineRule="exact"/>
                    <w:jc w:val="right"/>
                    <w:rPr>
                      <w:rFonts w:hint="cs"/>
                      <w:sz w:val="24"/>
                      <w:szCs w:val="24"/>
                    </w:rPr>
                  </w:pPr>
                  <w:r>
                    <w:rPr>
                      <w:rFonts w:hint="cs"/>
                      <w:sz w:val="24"/>
                      <w:szCs w:val="24"/>
                      <w:rtl/>
                    </w:rPr>
                    <w:t>بلجيكا</w:t>
                  </w:r>
                </w:p>
              </w:txbxContent>
            </v:textbox>
            <w10:wrap anchorx="page"/>
          </v:shape>
        </w:pict>
      </w:r>
      <w:r>
        <w:rPr>
          <w:rFonts w:hint="cs"/>
          <w:noProof/>
          <w:w w:val="100"/>
          <w:sz w:val="24"/>
          <w:szCs w:val="24"/>
          <w:rtl/>
        </w:rPr>
        <w:pict>
          <v:shape id="_x0000_s1041" type="#_x0000_t202" style="position:absolute;left:0;text-align:left;margin-left:409.2pt;margin-top:179.7pt;width:77.25pt;height:18pt;z-index:13" stroked="f">
            <v:textbox style="mso-next-textbox:#_x0000_s1041" inset="0,0,0,0">
              <w:txbxContent>
                <w:p w:rsidR="00AF077A" w:rsidRDefault="00AF077A" w:rsidP="0073566C">
                  <w:pPr>
                    <w:spacing w:line="240" w:lineRule="exact"/>
                    <w:jc w:val="right"/>
                    <w:rPr>
                      <w:rFonts w:hint="cs"/>
                      <w:sz w:val="24"/>
                      <w:szCs w:val="24"/>
                      <w:rtl/>
                    </w:rPr>
                  </w:pPr>
                  <w:r>
                    <w:rPr>
                      <w:rFonts w:hint="cs"/>
                      <w:sz w:val="24"/>
                      <w:szCs w:val="24"/>
                      <w:rtl/>
                    </w:rPr>
                    <w:t>الاتحاد الأوروبي - 25</w:t>
                  </w:r>
                </w:p>
                <w:p w:rsidR="00AF077A" w:rsidRPr="00A8500A" w:rsidRDefault="00AF077A" w:rsidP="0073566C">
                  <w:pPr>
                    <w:spacing w:line="240" w:lineRule="exact"/>
                    <w:jc w:val="right"/>
                    <w:rPr>
                      <w:rFonts w:hint="cs"/>
                      <w:sz w:val="24"/>
                      <w:szCs w:val="24"/>
                    </w:rPr>
                  </w:pPr>
                </w:p>
              </w:txbxContent>
            </v:textbox>
            <w10:wrap anchorx="page"/>
          </v:shape>
        </w:pict>
      </w:r>
      <w:r w:rsidRPr="00ED378D">
        <w:rPr>
          <w:sz w:val="24"/>
          <w:szCs w:val="24"/>
        </w:rPr>
        <w:pict>
          <v:shape id="_x0000_i1026" type="#_x0000_t75" style="width:450pt;height:197.25pt">
            <v:imagedata r:id="rId32" o:title=""/>
          </v:shape>
        </w:pict>
      </w:r>
    </w:p>
    <w:p w:rsidR="0073566C" w:rsidRPr="0090614D" w:rsidRDefault="0073566C" w:rsidP="0073566C">
      <w:pPr>
        <w:pStyle w:val="SingleTxt"/>
        <w:rPr>
          <w:rFonts w:hint="cs"/>
        </w:rPr>
      </w:pPr>
      <w:r w:rsidRPr="0090614D">
        <w:rPr>
          <w:rFonts w:hint="cs"/>
          <w:i/>
          <w:iCs/>
          <w:sz w:val="14"/>
          <w:szCs w:val="24"/>
          <w:rtl/>
        </w:rPr>
        <w:t>المصدر</w:t>
      </w:r>
      <w:r w:rsidRPr="0090614D">
        <w:rPr>
          <w:rFonts w:hint="cs"/>
          <w:sz w:val="14"/>
          <w:szCs w:val="24"/>
          <w:rtl/>
        </w:rPr>
        <w:t>: الدراسة الاستقصائية للقوة العاملة الأوروبية</w:t>
      </w:r>
      <w:r w:rsidRPr="0090614D">
        <w:rPr>
          <w:rFonts w:hint="cs"/>
          <w:rtl/>
        </w:rPr>
        <w:t>.</w:t>
      </w:r>
    </w:p>
    <w:p w:rsidR="00993694" w:rsidRPr="00993694" w:rsidRDefault="00993694" w:rsidP="00993694">
      <w:pPr>
        <w:tabs>
          <w:tab w:val="left" w:pos="1267"/>
          <w:tab w:val="left" w:pos="1930"/>
          <w:tab w:val="left" w:pos="2592"/>
          <w:tab w:val="left" w:pos="3254"/>
          <w:tab w:val="left" w:pos="3917"/>
          <w:tab w:val="left" w:pos="4579"/>
          <w:tab w:val="left" w:pos="5242"/>
          <w:tab w:val="left" w:pos="5904"/>
          <w:tab w:val="left" w:pos="6566"/>
        </w:tabs>
        <w:spacing w:line="120" w:lineRule="exact"/>
        <w:ind w:left="1267" w:right="1267"/>
        <w:rPr>
          <w:rFonts w:hint="cs"/>
          <w:sz w:val="10"/>
          <w:szCs w:val="24"/>
          <w:rtl/>
          <w:lang w:val="en-GB"/>
        </w:rPr>
      </w:pPr>
    </w:p>
    <w:p w:rsidR="0073566C" w:rsidRDefault="0073566C" w:rsidP="0073566C">
      <w:pPr>
        <w:pStyle w:val="SingleTxt"/>
        <w:rPr>
          <w:rFonts w:hint="cs"/>
          <w:b/>
          <w:bCs/>
          <w:rtl/>
        </w:rPr>
      </w:pPr>
      <w:r>
        <w:rPr>
          <w:rFonts w:hint="cs"/>
          <w:rtl/>
        </w:rPr>
        <w:tab/>
      </w:r>
      <w:r>
        <w:rPr>
          <w:rFonts w:hint="cs"/>
          <w:b/>
          <w:bCs/>
          <w:rtl/>
        </w:rPr>
        <w:t>تطور معدل العمل في الإقليم الفلمندي (2002-2005)</w:t>
      </w:r>
    </w:p>
    <w:tbl>
      <w:tblPr>
        <w:tblStyle w:val="TableGrid"/>
        <w:bidiVisual/>
        <w:tblW w:w="9064" w:type="dxa"/>
        <w:jc w:val="center"/>
        <w:tblInd w:w="48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438"/>
        <w:gridCol w:w="1240"/>
        <w:gridCol w:w="1133"/>
        <w:gridCol w:w="1030"/>
        <w:gridCol w:w="1133"/>
        <w:gridCol w:w="1545"/>
        <w:gridCol w:w="1545"/>
      </w:tblGrid>
      <w:tr w:rsidR="0073566C" w:rsidRPr="008D366F">
        <w:trPr>
          <w:cantSplit/>
          <w:tblHeader/>
          <w:jc w:val="center"/>
        </w:trPr>
        <w:tc>
          <w:tcPr>
            <w:tcW w:w="1438" w:type="dxa"/>
            <w:tcBorders>
              <w:top w:val="single" w:sz="4" w:space="0" w:color="auto"/>
              <w:bottom w:val="single" w:sz="12" w:space="0" w:color="auto"/>
            </w:tcBorders>
            <w:shd w:val="clear" w:color="auto" w:fill="auto"/>
            <w:vAlign w:val="bottom"/>
          </w:tcPr>
          <w:p w:rsidR="0073566C" w:rsidRPr="008D366F" w:rsidRDefault="0073566C" w:rsidP="0073566C">
            <w:pPr>
              <w:pStyle w:val="DualTxt"/>
              <w:spacing w:before="80" w:after="80" w:line="240" w:lineRule="exact"/>
              <w:rPr>
                <w:rFonts w:hint="cs"/>
                <w:i/>
                <w:iCs/>
                <w:sz w:val="16"/>
                <w:szCs w:val="24"/>
                <w:rtl/>
              </w:rPr>
            </w:pPr>
          </w:p>
        </w:tc>
        <w:tc>
          <w:tcPr>
            <w:tcW w:w="1240" w:type="dxa"/>
            <w:tcBorders>
              <w:top w:val="single" w:sz="4" w:space="0" w:color="auto"/>
              <w:bottom w:val="single" w:sz="12" w:space="0" w:color="auto"/>
            </w:tcBorders>
            <w:shd w:val="clear" w:color="auto" w:fill="auto"/>
            <w:vAlign w:val="bottom"/>
          </w:tcPr>
          <w:p w:rsidR="0073566C" w:rsidRPr="008D366F" w:rsidRDefault="0073566C" w:rsidP="0073566C">
            <w:pPr>
              <w:pStyle w:val="DualTxt"/>
              <w:spacing w:before="80" w:after="80" w:line="240" w:lineRule="exact"/>
              <w:ind w:right="144"/>
              <w:jc w:val="center"/>
              <w:rPr>
                <w:rFonts w:hint="cs"/>
                <w:i/>
                <w:iCs/>
                <w:sz w:val="16"/>
                <w:szCs w:val="24"/>
                <w:rtl/>
              </w:rPr>
            </w:pPr>
            <w:r>
              <w:rPr>
                <w:rFonts w:hint="cs"/>
                <w:i/>
                <w:iCs/>
                <w:sz w:val="16"/>
                <w:szCs w:val="24"/>
                <w:rtl/>
              </w:rPr>
              <w:t>2002</w:t>
            </w:r>
          </w:p>
        </w:tc>
        <w:tc>
          <w:tcPr>
            <w:tcW w:w="1133" w:type="dxa"/>
            <w:tcBorders>
              <w:top w:val="single" w:sz="4" w:space="0" w:color="auto"/>
              <w:bottom w:val="single" w:sz="12" w:space="0" w:color="auto"/>
            </w:tcBorders>
            <w:shd w:val="clear" w:color="auto" w:fill="auto"/>
            <w:vAlign w:val="bottom"/>
          </w:tcPr>
          <w:p w:rsidR="0073566C" w:rsidRPr="008D366F" w:rsidRDefault="0073566C" w:rsidP="0073566C">
            <w:pPr>
              <w:pStyle w:val="DualTxt"/>
              <w:spacing w:before="80" w:after="80" w:line="240" w:lineRule="exact"/>
              <w:ind w:right="144"/>
              <w:jc w:val="center"/>
              <w:rPr>
                <w:rFonts w:hint="cs"/>
                <w:i/>
                <w:iCs/>
                <w:sz w:val="16"/>
                <w:szCs w:val="24"/>
                <w:rtl/>
              </w:rPr>
            </w:pPr>
            <w:r>
              <w:rPr>
                <w:rFonts w:hint="cs"/>
                <w:i/>
                <w:iCs/>
                <w:sz w:val="16"/>
                <w:szCs w:val="24"/>
                <w:rtl/>
              </w:rPr>
              <w:t>2003</w:t>
            </w:r>
          </w:p>
        </w:tc>
        <w:tc>
          <w:tcPr>
            <w:tcW w:w="1030" w:type="dxa"/>
            <w:tcBorders>
              <w:top w:val="single" w:sz="4" w:space="0" w:color="auto"/>
              <w:bottom w:val="single" w:sz="12" w:space="0" w:color="auto"/>
            </w:tcBorders>
            <w:shd w:val="clear" w:color="auto" w:fill="auto"/>
            <w:vAlign w:val="bottom"/>
          </w:tcPr>
          <w:p w:rsidR="0073566C" w:rsidRPr="008D366F" w:rsidRDefault="0073566C" w:rsidP="0073566C">
            <w:pPr>
              <w:pStyle w:val="DualTxt"/>
              <w:spacing w:before="80" w:after="80" w:line="240" w:lineRule="exact"/>
              <w:ind w:right="144"/>
              <w:jc w:val="center"/>
              <w:rPr>
                <w:rFonts w:hint="cs"/>
                <w:i/>
                <w:iCs/>
                <w:sz w:val="16"/>
                <w:szCs w:val="24"/>
                <w:rtl/>
              </w:rPr>
            </w:pPr>
            <w:r>
              <w:rPr>
                <w:rFonts w:hint="cs"/>
                <w:i/>
                <w:iCs/>
                <w:sz w:val="16"/>
                <w:szCs w:val="24"/>
                <w:rtl/>
              </w:rPr>
              <w:t>2004</w:t>
            </w:r>
          </w:p>
        </w:tc>
        <w:tc>
          <w:tcPr>
            <w:tcW w:w="1133" w:type="dxa"/>
            <w:tcBorders>
              <w:top w:val="single" w:sz="4" w:space="0" w:color="auto"/>
              <w:bottom w:val="single" w:sz="12" w:space="0" w:color="auto"/>
            </w:tcBorders>
            <w:shd w:val="clear" w:color="auto" w:fill="auto"/>
            <w:vAlign w:val="bottom"/>
          </w:tcPr>
          <w:p w:rsidR="0073566C" w:rsidRPr="008D366F" w:rsidRDefault="0073566C" w:rsidP="0073566C">
            <w:pPr>
              <w:pStyle w:val="DualTxt"/>
              <w:spacing w:before="80" w:after="80" w:line="240" w:lineRule="exact"/>
              <w:ind w:right="144"/>
              <w:jc w:val="center"/>
              <w:rPr>
                <w:rFonts w:hint="cs"/>
                <w:i/>
                <w:iCs/>
                <w:sz w:val="16"/>
                <w:szCs w:val="24"/>
                <w:rtl/>
              </w:rPr>
            </w:pPr>
            <w:r>
              <w:rPr>
                <w:rFonts w:hint="cs"/>
                <w:i/>
                <w:iCs/>
                <w:sz w:val="16"/>
                <w:szCs w:val="24"/>
                <w:rtl/>
              </w:rPr>
              <w:t>2005</w:t>
            </w:r>
          </w:p>
        </w:tc>
        <w:tc>
          <w:tcPr>
            <w:tcW w:w="1545" w:type="dxa"/>
            <w:tcBorders>
              <w:top w:val="single" w:sz="4" w:space="0" w:color="auto"/>
              <w:bottom w:val="single" w:sz="12" w:space="0" w:color="auto"/>
            </w:tcBorders>
            <w:shd w:val="clear" w:color="auto" w:fill="auto"/>
            <w:vAlign w:val="bottom"/>
          </w:tcPr>
          <w:p w:rsidR="0073566C" w:rsidRDefault="0073566C" w:rsidP="0073566C">
            <w:pPr>
              <w:pStyle w:val="DualTxt"/>
              <w:spacing w:before="80" w:after="80" w:line="240" w:lineRule="exact"/>
              <w:ind w:right="144"/>
              <w:jc w:val="center"/>
              <w:rPr>
                <w:rFonts w:hint="cs"/>
                <w:i/>
                <w:iCs/>
                <w:sz w:val="16"/>
                <w:szCs w:val="24"/>
                <w:rtl/>
              </w:rPr>
            </w:pPr>
            <w:r>
              <w:rPr>
                <w:rFonts w:hint="cs"/>
                <w:i/>
                <w:iCs/>
                <w:sz w:val="16"/>
                <w:szCs w:val="24"/>
                <w:rtl/>
              </w:rPr>
              <w:t>التطور في الفترة</w:t>
            </w:r>
          </w:p>
          <w:p w:rsidR="0073566C" w:rsidRPr="008D366F" w:rsidRDefault="0073566C" w:rsidP="0073566C">
            <w:pPr>
              <w:pStyle w:val="DualTxt"/>
              <w:spacing w:before="80" w:after="80" w:line="240" w:lineRule="exact"/>
              <w:ind w:right="144"/>
              <w:jc w:val="center"/>
              <w:rPr>
                <w:rFonts w:hint="cs"/>
                <w:i/>
                <w:iCs/>
                <w:sz w:val="16"/>
                <w:szCs w:val="24"/>
                <w:rtl/>
              </w:rPr>
            </w:pPr>
            <w:r>
              <w:rPr>
                <w:rFonts w:hint="cs"/>
                <w:i/>
                <w:iCs/>
                <w:sz w:val="16"/>
                <w:szCs w:val="24"/>
                <w:rtl/>
              </w:rPr>
              <w:t>2004-2005*</w:t>
            </w:r>
          </w:p>
        </w:tc>
        <w:tc>
          <w:tcPr>
            <w:tcW w:w="1545" w:type="dxa"/>
            <w:tcBorders>
              <w:top w:val="single" w:sz="4" w:space="0" w:color="auto"/>
              <w:bottom w:val="single" w:sz="12" w:space="0" w:color="auto"/>
            </w:tcBorders>
            <w:shd w:val="clear" w:color="auto" w:fill="auto"/>
            <w:vAlign w:val="bottom"/>
          </w:tcPr>
          <w:p w:rsidR="0073566C" w:rsidRDefault="0073566C" w:rsidP="0073566C">
            <w:pPr>
              <w:pStyle w:val="DualTxt"/>
              <w:spacing w:before="80" w:after="80" w:line="240" w:lineRule="exact"/>
              <w:ind w:right="144"/>
              <w:jc w:val="center"/>
              <w:rPr>
                <w:rFonts w:hint="cs"/>
                <w:i/>
                <w:iCs/>
                <w:sz w:val="16"/>
                <w:szCs w:val="24"/>
                <w:rtl/>
              </w:rPr>
            </w:pPr>
            <w:r>
              <w:rPr>
                <w:rFonts w:hint="cs"/>
                <w:i/>
                <w:iCs/>
                <w:sz w:val="16"/>
                <w:szCs w:val="24"/>
                <w:rtl/>
              </w:rPr>
              <w:t>التطور في الفترة</w:t>
            </w:r>
          </w:p>
          <w:p w:rsidR="0073566C" w:rsidRPr="008D366F" w:rsidRDefault="0073566C" w:rsidP="0073566C">
            <w:pPr>
              <w:pStyle w:val="DualTxt"/>
              <w:spacing w:before="80" w:after="80" w:line="240" w:lineRule="exact"/>
              <w:ind w:right="144"/>
              <w:jc w:val="center"/>
              <w:rPr>
                <w:rFonts w:hint="cs"/>
                <w:i/>
                <w:iCs/>
                <w:sz w:val="16"/>
                <w:szCs w:val="24"/>
                <w:rtl/>
              </w:rPr>
            </w:pPr>
            <w:r>
              <w:rPr>
                <w:rFonts w:hint="cs"/>
                <w:i/>
                <w:iCs/>
                <w:sz w:val="16"/>
                <w:szCs w:val="24"/>
                <w:rtl/>
              </w:rPr>
              <w:t>2002-2005*</w:t>
            </w:r>
          </w:p>
        </w:tc>
      </w:tr>
      <w:tr w:rsidR="0073566C" w:rsidRPr="008D366F">
        <w:trPr>
          <w:cantSplit/>
          <w:jc w:val="center"/>
        </w:trPr>
        <w:tc>
          <w:tcPr>
            <w:tcW w:w="1438" w:type="dxa"/>
            <w:shd w:val="clear" w:color="auto" w:fill="auto"/>
            <w:vAlign w:val="bottom"/>
          </w:tcPr>
          <w:p w:rsidR="0073566C" w:rsidRPr="00782FD4" w:rsidRDefault="0073566C" w:rsidP="0073566C">
            <w:pPr>
              <w:pStyle w:val="DualTxt"/>
              <w:spacing w:before="40" w:after="80" w:line="240" w:lineRule="exact"/>
              <w:rPr>
                <w:rFonts w:hint="cs"/>
                <w:b/>
                <w:bCs/>
                <w:sz w:val="16"/>
                <w:szCs w:val="24"/>
                <w:rtl/>
              </w:rPr>
            </w:pPr>
            <w:r>
              <w:rPr>
                <w:rFonts w:hint="cs"/>
                <w:b/>
                <w:bCs/>
                <w:sz w:val="16"/>
                <w:szCs w:val="24"/>
                <w:rtl/>
              </w:rPr>
              <w:t>15-64 عاما</w:t>
            </w:r>
          </w:p>
        </w:tc>
        <w:tc>
          <w:tcPr>
            <w:tcW w:w="1240" w:type="dxa"/>
            <w:shd w:val="clear" w:color="auto" w:fill="auto"/>
            <w:vAlign w:val="bottom"/>
          </w:tcPr>
          <w:p w:rsidR="0073566C" w:rsidRPr="008D366F" w:rsidRDefault="0073566C" w:rsidP="0073566C">
            <w:pPr>
              <w:pStyle w:val="DualTxt"/>
              <w:spacing w:before="40" w:after="80" w:line="240" w:lineRule="exact"/>
              <w:ind w:right="144"/>
              <w:jc w:val="center"/>
              <w:rPr>
                <w:rFonts w:hint="cs"/>
                <w:sz w:val="16"/>
                <w:szCs w:val="24"/>
                <w:rtl/>
              </w:rPr>
            </w:pPr>
            <w:r>
              <w:rPr>
                <w:rFonts w:hint="cs"/>
                <w:sz w:val="16"/>
                <w:szCs w:val="24"/>
                <w:rtl/>
              </w:rPr>
              <w:t>63.5 ٪</w:t>
            </w:r>
          </w:p>
        </w:tc>
        <w:tc>
          <w:tcPr>
            <w:tcW w:w="1133" w:type="dxa"/>
            <w:shd w:val="clear" w:color="auto" w:fill="auto"/>
            <w:vAlign w:val="bottom"/>
          </w:tcPr>
          <w:p w:rsidR="0073566C" w:rsidRPr="008D366F" w:rsidRDefault="0073566C" w:rsidP="0073566C">
            <w:pPr>
              <w:pStyle w:val="DualTxt"/>
              <w:spacing w:before="40" w:after="80" w:line="240" w:lineRule="exact"/>
              <w:ind w:right="144"/>
              <w:jc w:val="center"/>
              <w:rPr>
                <w:rFonts w:hint="cs"/>
                <w:sz w:val="16"/>
                <w:szCs w:val="24"/>
                <w:rtl/>
              </w:rPr>
            </w:pPr>
            <w:r>
              <w:rPr>
                <w:rFonts w:hint="cs"/>
                <w:sz w:val="16"/>
                <w:szCs w:val="24"/>
                <w:rtl/>
              </w:rPr>
              <w:t>62.9 ٪</w:t>
            </w:r>
          </w:p>
        </w:tc>
        <w:tc>
          <w:tcPr>
            <w:tcW w:w="1030" w:type="dxa"/>
            <w:shd w:val="clear" w:color="auto" w:fill="auto"/>
            <w:vAlign w:val="bottom"/>
          </w:tcPr>
          <w:p w:rsidR="0073566C" w:rsidRPr="008D366F" w:rsidRDefault="0073566C" w:rsidP="0073566C">
            <w:pPr>
              <w:pStyle w:val="DualTxt"/>
              <w:spacing w:before="40" w:after="80" w:line="240" w:lineRule="exact"/>
              <w:ind w:right="144"/>
              <w:jc w:val="center"/>
              <w:rPr>
                <w:rFonts w:hint="cs"/>
                <w:sz w:val="16"/>
                <w:szCs w:val="24"/>
                <w:rtl/>
              </w:rPr>
            </w:pPr>
            <w:r>
              <w:rPr>
                <w:rFonts w:hint="cs"/>
                <w:sz w:val="16"/>
                <w:szCs w:val="24"/>
                <w:rtl/>
              </w:rPr>
              <w:t>64.3 ٪</w:t>
            </w:r>
          </w:p>
        </w:tc>
        <w:tc>
          <w:tcPr>
            <w:tcW w:w="1133" w:type="dxa"/>
            <w:shd w:val="clear" w:color="auto" w:fill="auto"/>
            <w:vAlign w:val="bottom"/>
          </w:tcPr>
          <w:p w:rsidR="0073566C" w:rsidRPr="008D366F" w:rsidRDefault="0073566C" w:rsidP="0073566C">
            <w:pPr>
              <w:pStyle w:val="DualTxt"/>
              <w:spacing w:before="40" w:after="80" w:line="240" w:lineRule="exact"/>
              <w:ind w:right="144"/>
              <w:jc w:val="center"/>
              <w:rPr>
                <w:rFonts w:hint="cs"/>
                <w:sz w:val="16"/>
                <w:szCs w:val="24"/>
                <w:rtl/>
              </w:rPr>
            </w:pPr>
            <w:r>
              <w:rPr>
                <w:rFonts w:hint="cs"/>
                <w:sz w:val="16"/>
                <w:szCs w:val="24"/>
                <w:rtl/>
              </w:rPr>
              <w:t>64.9 ٪</w:t>
            </w:r>
          </w:p>
        </w:tc>
        <w:tc>
          <w:tcPr>
            <w:tcW w:w="1545" w:type="dxa"/>
            <w:shd w:val="clear" w:color="auto" w:fill="auto"/>
            <w:vAlign w:val="bottom"/>
          </w:tcPr>
          <w:p w:rsidR="0073566C" w:rsidRPr="008D366F" w:rsidRDefault="0073566C" w:rsidP="0073566C">
            <w:pPr>
              <w:pStyle w:val="DualTxt"/>
              <w:spacing w:before="40" w:after="80" w:line="240" w:lineRule="exact"/>
              <w:ind w:right="144"/>
              <w:jc w:val="center"/>
              <w:rPr>
                <w:rFonts w:hint="cs"/>
                <w:sz w:val="16"/>
                <w:szCs w:val="24"/>
                <w:rtl/>
              </w:rPr>
            </w:pPr>
            <w:r>
              <w:rPr>
                <w:rFonts w:hint="cs"/>
                <w:sz w:val="16"/>
                <w:szCs w:val="24"/>
                <w:rtl/>
              </w:rPr>
              <w:t>+ 0.6</w:t>
            </w:r>
          </w:p>
        </w:tc>
        <w:tc>
          <w:tcPr>
            <w:tcW w:w="1545" w:type="dxa"/>
            <w:shd w:val="clear" w:color="auto" w:fill="auto"/>
            <w:vAlign w:val="bottom"/>
          </w:tcPr>
          <w:p w:rsidR="0073566C" w:rsidRPr="008D366F" w:rsidRDefault="0073566C" w:rsidP="0073566C">
            <w:pPr>
              <w:pStyle w:val="DualTxt"/>
              <w:spacing w:before="40" w:after="80" w:line="240" w:lineRule="exact"/>
              <w:ind w:right="144"/>
              <w:jc w:val="center"/>
              <w:rPr>
                <w:rFonts w:hint="cs"/>
                <w:sz w:val="16"/>
                <w:szCs w:val="24"/>
                <w:rtl/>
              </w:rPr>
            </w:pPr>
            <w:r>
              <w:rPr>
                <w:rFonts w:hint="cs"/>
                <w:sz w:val="16"/>
                <w:szCs w:val="24"/>
                <w:rtl/>
              </w:rPr>
              <w:t>+ 1.4</w:t>
            </w:r>
          </w:p>
        </w:tc>
      </w:tr>
      <w:tr w:rsidR="0073566C" w:rsidRPr="008D366F">
        <w:trPr>
          <w:cantSplit/>
          <w:jc w:val="center"/>
        </w:trPr>
        <w:tc>
          <w:tcPr>
            <w:tcW w:w="1438" w:type="dxa"/>
            <w:shd w:val="clear" w:color="auto" w:fill="auto"/>
            <w:vAlign w:val="bottom"/>
          </w:tcPr>
          <w:p w:rsidR="0073566C" w:rsidRPr="008D366F" w:rsidRDefault="0073566C" w:rsidP="0073566C">
            <w:pPr>
              <w:pStyle w:val="DualTxt"/>
              <w:spacing w:before="40" w:after="80" w:line="240" w:lineRule="exact"/>
              <w:rPr>
                <w:rFonts w:hint="cs"/>
                <w:sz w:val="16"/>
                <w:szCs w:val="24"/>
                <w:rtl/>
              </w:rPr>
            </w:pPr>
            <w:r>
              <w:rPr>
                <w:rFonts w:hint="cs"/>
                <w:sz w:val="16"/>
                <w:szCs w:val="24"/>
                <w:rtl/>
              </w:rPr>
              <w:t>الرجال</w:t>
            </w:r>
          </w:p>
        </w:tc>
        <w:tc>
          <w:tcPr>
            <w:tcW w:w="1240" w:type="dxa"/>
            <w:shd w:val="clear" w:color="auto" w:fill="auto"/>
            <w:vAlign w:val="bottom"/>
          </w:tcPr>
          <w:p w:rsidR="0073566C" w:rsidRPr="008D366F" w:rsidRDefault="0073566C" w:rsidP="0073566C">
            <w:pPr>
              <w:pStyle w:val="DualTxt"/>
              <w:spacing w:before="40" w:after="80" w:line="240" w:lineRule="exact"/>
              <w:ind w:right="144"/>
              <w:jc w:val="center"/>
              <w:rPr>
                <w:rFonts w:hint="cs"/>
                <w:sz w:val="16"/>
                <w:szCs w:val="24"/>
                <w:rtl/>
              </w:rPr>
            </w:pPr>
            <w:r>
              <w:rPr>
                <w:rFonts w:hint="cs"/>
                <w:sz w:val="16"/>
                <w:szCs w:val="24"/>
                <w:rtl/>
              </w:rPr>
              <w:t>71.6 ٪</w:t>
            </w:r>
          </w:p>
        </w:tc>
        <w:tc>
          <w:tcPr>
            <w:tcW w:w="1133" w:type="dxa"/>
            <w:shd w:val="clear" w:color="auto" w:fill="auto"/>
            <w:vAlign w:val="bottom"/>
          </w:tcPr>
          <w:p w:rsidR="0073566C" w:rsidRPr="008D366F" w:rsidRDefault="0073566C" w:rsidP="0073566C">
            <w:pPr>
              <w:pStyle w:val="DualTxt"/>
              <w:spacing w:before="40" w:after="80" w:line="240" w:lineRule="exact"/>
              <w:ind w:right="144"/>
              <w:jc w:val="center"/>
              <w:rPr>
                <w:rFonts w:hint="cs"/>
                <w:sz w:val="16"/>
                <w:szCs w:val="24"/>
                <w:rtl/>
              </w:rPr>
            </w:pPr>
            <w:r>
              <w:rPr>
                <w:rFonts w:hint="cs"/>
                <w:sz w:val="16"/>
                <w:szCs w:val="24"/>
                <w:rtl/>
              </w:rPr>
              <w:t>70.7 ٪</w:t>
            </w:r>
          </w:p>
        </w:tc>
        <w:tc>
          <w:tcPr>
            <w:tcW w:w="1030" w:type="dxa"/>
            <w:shd w:val="clear" w:color="auto" w:fill="auto"/>
            <w:vAlign w:val="bottom"/>
          </w:tcPr>
          <w:p w:rsidR="0073566C" w:rsidRPr="008D366F" w:rsidRDefault="0073566C" w:rsidP="0073566C">
            <w:pPr>
              <w:pStyle w:val="DualTxt"/>
              <w:spacing w:before="40" w:after="80" w:line="240" w:lineRule="exact"/>
              <w:ind w:right="144"/>
              <w:jc w:val="center"/>
              <w:rPr>
                <w:rFonts w:hint="cs"/>
                <w:sz w:val="16"/>
                <w:szCs w:val="24"/>
                <w:rtl/>
              </w:rPr>
            </w:pPr>
            <w:r>
              <w:rPr>
                <w:rFonts w:hint="cs"/>
                <w:sz w:val="16"/>
                <w:szCs w:val="24"/>
                <w:rtl/>
              </w:rPr>
              <w:t>71.6 ٪</w:t>
            </w:r>
          </w:p>
        </w:tc>
        <w:tc>
          <w:tcPr>
            <w:tcW w:w="1133" w:type="dxa"/>
            <w:shd w:val="clear" w:color="auto" w:fill="auto"/>
            <w:vAlign w:val="bottom"/>
          </w:tcPr>
          <w:p w:rsidR="0073566C" w:rsidRPr="008D366F" w:rsidRDefault="0073566C" w:rsidP="0073566C">
            <w:pPr>
              <w:pStyle w:val="DualTxt"/>
              <w:spacing w:before="40" w:after="80" w:line="240" w:lineRule="exact"/>
              <w:ind w:right="144"/>
              <w:jc w:val="center"/>
              <w:rPr>
                <w:rFonts w:hint="cs"/>
                <w:sz w:val="16"/>
                <w:szCs w:val="24"/>
                <w:rtl/>
              </w:rPr>
            </w:pPr>
            <w:r>
              <w:rPr>
                <w:rFonts w:hint="cs"/>
                <w:sz w:val="16"/>
                <w:szCs w:val="24"/>
                <w:rtl/>
              </w:rPr>
              <w:t>71.8 ٪</w:t>
            </w:r>
          </w:p>
        </w:tc>
        <w:tc>
          <w:tcPr>
            <w:tcW w:w="1545" w:type="dxa"/>
            <w:shd w:val="clear" w:color="auto" w:fill="auto"/>
            <w:vAlign w:val="bottom"/>
          </w:tcPr>
          <w:p w:rsidR="0073566C" w:rsidRPr="008D366F" w:rsidRDefault="0073566C" w:rsidP="0073566C">
            <w:pPr>
              <w:pStyle w:val="DualTxt"/>
              <w:spacing w:before="40" w:after="80" w:line="240" w:lineRule="exact"/>
              <w:ind w:right="144"/>
              <w:jc w:val="center"/>
              <w:rPr>
                <w:rFonts w:hint="cs"/>
                <w:sz w:val="16"/>
                <w:szCs w:val="24"/>
                <w:rtl/>
              </w:rPr>
            </w:pPr>
            <w:r>
              <w:rPr>
                <w:rFonts w:hint="cs"/>
                <w:sz w:val="16"/>
                <w:szCs w:val="24"/>
                <w:rtl/>
              </w:rPr>
              <w:t>+ 0.2</w:t>
            </w:r>
          </w:p>
        </w:tc>
        <w:tc>
          <w:tcPr>
            <w:tcW w:w="1545" w:type="dxa"/>
            <w:shd w:val="clear" w:color="auto" w:fill="auto"/>
            <w:vAlign w:val="bottom"/>
          </w:tcPr>
          <w:p w:rsidR="0073566C" w:rsidRPr="008D366F" w:rsidRDefault="0073566C" w:rsidP="0073566C">
            <w:pPr>
              <w:pStyle w:val="DualTxt"/>
              <w:spacing w:before="40" w:after="80" w:line="240" w:lineRule="exact"/>
              <w:ind w:right="144"/>
              <w:jc w:val="center"/>
              <w:rPr>
                <w:rFonts w:hint="cs"/>
                <w:sz w:val="16"/>
                <w:szCs w:val="24"/>
                <w:rtl/>
              </w:rPr>
            </w:pPr>
            <w:r>
              <w:rPr>
                <w:rFonts w:hint="cs"/>
                <w:sz w:val="16"/>
                <w:szCs w:val="24"/>
                <w:rtl/>
              </w:rPr>
              <w:t>+0.2</w:t>
            </w:r>
          </w:p>
        </w:tc>
      </w:tr>
      <w:tr w:rsidR="0073566C" w:rsidRPr="008D366F">
        <w:trPr>
          <w:cantSplit/>
          <w:jc w:val="center"/>
        </w:trPr>
        <w:tc>
          <w:tcPr>
            <w:tcW w:w="1438" w:type="dxa"/>
            <w:shd w:val="clear" w:color="auto" w:fill="auto"/>
            <w:vAlign w:val="bottom"/>
          </w:tcPr>
          <w:p w:rsidR="0073566C" w:rsidRPr="008D366F" w:rsidRDefault="0073566C" w:rsidP="0073566C">
            <w:pPr>
              <w:pStyle w:val="DualTxt"/>
              <w:spacing w:before="40" w:after="80" w:line="240" w:lineRule="exact"/>
              <w:rPr>
                <w:rFonts w:hint="cs"/>
                <w:sz w:val="16"/>
                <w:szCs w:val="24"/>
                <w:rtl/>
              </w:rPr>
            </w:pPr>
            <w:r>
              <w:rPr>
                <w:rFonts w:hint="cs"/>
                <w:sz w:val="16"/>
                <w:szCs w:val="24"/>
                <w:rtl/>
              </w:rPr>
              <w:t>النساء</w:t>
            </w:r>
          </w:p>
        </w:tc>
        <w:tc>
          <w:tcPr>
            <w:tcW w:w="1240" w:type="dxa"/>
            <w:shd w:val="clear" w:color="auto" w:fill="auto"/>
            <w:vAlign w:val="bottom"/>
          </w:tcPr>
          <w:p w:rsidR="0073566C" w:rsidRPr="008D366F" w:rsidRDefault="0073566C" w:rsidP="0073566C">
            <w:pPr>
              <w:pStyle w:val="DualTxt"/>
              <w:spacing w:before="40" w:after="80" w:line="240" w:lineRule="exact"/>
              <w:ind w:right="144"/>
              <w:jc w:val="center"/>
              <w:rPr>
                <w:rFonts w:hint="cs"/>
                <w:sz w:val="16"/>
                <w:szCs w:val="24"/>
                <w:rtl/>
              </w:rPr>
            </w:pPr>
            <w:r>
              <w:rPr>
                <w:rFonts w:hint="cs"/>
                <w:sz w:val="16"/>
                <w:szCs w:val="24"/>
                <w:rtl/>
              </w:rPr>
              <w:t>55.2 ٪</w:t>
            </w:r>
          </w:p>
        </w:tc>
        <w:tc>
          <w:tcPr>
            <w:tcW w:w="1133" w:type="dxa"/>
            <w:shd w:val="clear" w:color="auto" w:fill="auto"/>
            <w:vAlign w:val="bottom"/>
          </w:tcPr>
          <w:p w:rsidR="0073566C" w:rsidRPr="008D366F" w:rsidRDefault="0073566C" w:rsidP="0073566C">
            <w:pPr>
              <w:pStyle w:val="DualTxt"/>
              <w:spacing w:before="40" w:after="80" w:line="240" w:lineRule="exact"/>
              <w:ind w:right="144"/>
              <w:jc w:val="center"/>
              <w:rPr>
                <w:rFonts w:hint="cs"/>
                <w:sz w:val="16"/>
                <w:szCs w:val="24"/>
                <w:rtl/>
              </w:rPr>
            </w:pPr>
            <w:r>
              <w:rPr>
                <w:rFonts w:hint="cs"/>
                <w:sz w:val="16"/>
                <w:szCs w:val="24"/>
                <w:rtl/>
              </w:rPr>
              <w:t>55.0 ٪</w:t>
            </w:r>
          </w:p>
        </w:tc>
        <w:tc>
          <w:tcPr>
            <w:tcW w:w="1030" w:type="dxa"/>
            <w:shd w:val="clear" w:color="auto" w:fill="auto"/>
            <w:vAlign w:val="bottom"/>
          </w:tcPr>
          <w:p w:rsidR="0073566C" w:rsidRPr="008D366F" w:rsidRDefault="0073566C" w:rsidP="0073566C">
            <w:pPr>
              <w:pStyle w:val="DualTxt"/>
              <w:spacing w:before="40" w:after="80" w:line="240" w:lineRule="exact"/>
              <w:ind w:right="144"/>
              <w:jc w:val="center"/>
              <w:rPr>
                <w:rFonts w:hint="cs"/>
                <w:sz w:val="16"/>
                <w:szCs w:val="24"/>
                <w:rtl/>
              </w:rPr>
            </w:pPr>
            <w:r>
              <w:rPr>
                <w:rFonts w:hint="cs"/>
                <w:sz w:val="16"/>
                <w:szCs w:val="24"/>
                <w:rtl/>
              </w:rPr>
              <w:t>56.7 ٪</w:t>
            </w:r>
          </w:p>
        </w:tc>
        <w:tc>
          <w:tcPr>
            <w:tcW w:w="1133" w:type="dxa"/>
            <w:shd w:val="clear" w:color="auto" w:fill="auto"/>
            <w:vAlign w:val="bottom"/>
          </w:tcPr>
          <w:p w:rsidR="0073566C" w:rsidRPr="008D366F" w:rsidRDefault="0073566C" w:rsidP="0073566C">
            <w:pPr>
              <w:pStyle w:val="DualTxt"/>
              <w:spacing w:before="40" w:after="80" w:line="240" w:lineRule="exact"/>
              <w:ind w:right="144"/>
              <w:jc w:val="center"/>
              <w:rPr>
                <w:rFonts w:hint="cs"/>
                <w:sz w:val="16"/>
                <w:szCs w:val="24"/>
                <w:rtl/>
              </w:rPr>
            </w:pPr>
            <w:r>
              <w:rPr>
                <w:rFonts w:hint="cs"/>
                <w:sz w:val="16"/>
                <w:szCs w:val="24"/>
                <w:rtl/>
              </w:rPr>
              <w:t>57.8 ٪</w:t>
            </w:r>
          </w:p>
        </w:tc>
        <w:tc>
          <w:tcPr>
            <w:tcW w:w="1545" w:type="dxa"/>
            <w:shd w:val="clear" w:color="auto" w:fill="auto"/>
            <w:vAlign w:val="bottom"/>
          </w:tcPr>
          <w:p w:rsidR="0073566C" w:rsidRPr="008D366F" w:rsidRDefault="0073566C" w:rsidP="0073566C">
            <w:pPr>
              <w:pStyle w:val="DualTxt"/>
              <w:spacing w:before="40" w:after="80" w:line="240" w:lineRule="exact"/>
              <w:ind w:right="144"/>
              <w:jc w:val="center"/>
              <w:rPr>
                <w:rFonts w:hint="cs"/>
                <w:sz w:val="16"/>
                <w:szCs w:val="24"/>
                <w:rtl/>
              </w:rPr>
            </w:pPr>
            <w:r>
              <w:rPr>
                <w:rFonts w:hint="cs"/>
                <w:sz w:val="16"/>
                <w:szCs w:val="24"/>
                <w:rtl/>
              </w:rPr>
              <w:t>+ 1.1</w:t>
            </w:r>
          </w:p>
        </w:tc>
        <w:tc>
          <w:tcPr>
            <w:tcW w:w="1545" w:type="dxa"/>
            <w:shd w:val="clear" w:color="auto" w:fill="auto"/>
            <w:vAlign w:val="bottom"/>
          </w:tcPr>
          <w:p w:rsidR="0073566C" w:rsidRPr="008D366F" w:rsidRDefault="0073566C" w:rsidP="0073566C">
            <w:pPr>
              <w:pStyle w:val="DualTxt"/>
              <w:spacing w:before="40" w:after="80" w:line="240" w:lineRule="exact"/>
              <w:ind w:right="144"/>
              <w:jc w:val="center"/>
              <w:rPr>
                <w:rFonts w:hint="cs"/>
                <w:sz w:val="16"/>
                <w:szCs w:val="24"/>
                <w:rtl/>
              </w:rPr>
            </w:pPr>
            <w:r>
              <w:rPr>
                <w:rFonts w:hint="cs"/>
                <w:sz w:val="16"/>
                <w:szCs w:val="24"/>
                <w:rtl/>
              </w:rPr>
              <w:t>+ 2.6</w:t>
            </w:r>
          </w:p>
        </w:tc>
      </w:tr>
      <w:tr w:rsidR="0073566C" w:rsidRPr="008D366F">
        <w:trPr>
          <w:cantSplit/>
          <w:jc w:val="center"/>
        </w:trPr>
        <w:tc>
          <w:tcPr>
            <w:tcW w:w="1438" w:type="dxa"/>
            <w:shd w:val="clear" w:color="auto" w:fill="auto"/>
            <w:vAlign w:val="bottom"/>
          </w:tcPr>
          <w:p w:rsidR="0073566C" w:rsidRPr="008D366F" w:rsidRDefault="0073566C" w:rsidP="0073566C">
            <w:pPr>
              <w:pStyle w:val="DualTxt"/>
              <w:spacing w:before="40" w:after="80" w:line="240" w:lineRule="exact"/>
              <w:rPr>
                <w:rFonts w:hint="cs"/>
                <w:sz w:val="16"/>
                <w:szCs w:val="24"/>
                <w:rtl/>
              </w:rPr>
            </w:pPr>
          </w:p>
        </w:tc>
        <w:tc>
          <w:tcPr>
            <w:tcW w:w="1240" w:type="dxa"/>
            <w:shd w:val="clear" w:color="auto" w:fill="auto"/>
            <w:vAlign w:val="bottom"/>
          </w:tcPr>
          <w:p w:rsidR="0073566C" w:rsidRPr="008D366F" w:rsidRDefault="0073566C" w:rsidP="0073566C">
            <w:pPr>
              <w:pStyle w:val="DualTxt"/>
              <w:spacing w:before="40" w:after="80" w:line="240" w:lineRule="exact"/>
              <w:ind w:right="144"/>
              <w:jc w:val="center"/>
              <w:rPr>
                <w:rFonts w:hint="cs"/>
                <w:sz w:val="16"/>
                <w:szCs w:val="24"/>
                <w:rtl/>
              </w:rPr>
            </w:pPr>
          </w:p>
        </w:tc>
        <w:tc>
          <w:tcPr>
            <w:tcW w:w="1133" w:type="dxa"/>
            <w:shd w:val="clear" w:color="auto" w:fill="auto"/>
            <w:vAlign w:val="bottom"/>
          </w:tcPr>
          <w:p w:rsidR="0073566C" w:rsidRPr="008D366F" w:rsidRDefault="0073566C" w:rsidP="0073566C">
            <w:pPr>
              <w:pStyle w:val="DualTxt"/>
              <w:spacing w:before="40" w:after="80" w:line="240" w:lineRule="exact"/>
              <w:ind w:right="144"/>
              <w:jc w:val="center"/>
              <w:rPr>
                <w:rFonts w:hint="cs"/>
                <w:sz w:val="16"/>
                <w:szCs w:val="24"/>
                <w:rtl/>
              </w:rPr>
            </w:pPr>
          </w:p>
        </w:tc>
        <w:tc>
          <w:tcPr>
            <w:tcW w:w="1030" w:type="dxa"/>
            <w:shd w:val="clear" w:color="auto" w:fill="auto"/>
            <w:vAlign w:val="bottom"/>
          </w:tcPr>
          <w:p w:rsidR="0073566C" w:rsidRPr="008D366F" w:rsidRDefault="0073566C" w:rsidP="0073566C">
            <w:pPr>
              <w:pStyle w:val="DualTxt"/>
              <w:spacing w:before="40" w:after="80" w:line="240" w:lineRule="exact"/>
              <w:ind w:right="144"/>
              <w:jc w:val="center"/>
              <w:rPr>
                <w:rFonts w:hint="cs"/>
                <w:sz w:val="16"/>
                <w:szCs w:val="24"/>
                <w:rtl/>
              </w:rPr>
            </w:pPr>
          </w:p>
        </w:tc>
        <w:tc>
          <w:tcPr>
            <w:tcW w:w="1133" w:type="dxa"/>
            <w:shd w:val="clear" w:color="auto" w:fill="auto"/>
            <w:vAlign w:val="bottom"/>
          </w:tcPr>
          <w:p w:rsidR="0073566C" w:rsidRPr="008D366F" w:rsidRDefault="0073566C" w:rsidP="0073566C">
            <w:pPr>
              <w:pStyle w:val="DualTxt"/>
              <w:spacing w:before="40" w:after="80" w:line="240" w:lineRule="exact"/>
              <w:ind w:right="144"/>
              <w:jc w:val="center"/>
              <w:rPr>
                <w:rFonts w:hint="cs"/>
                <w:sz w:val="16"/>
                <w:szCs w:val="24"/>
                <w:rtl/>
              </w:rPr>
            </w:pPr>
          </w:p>
        </w:tc>
        <w:tc>
          <w:tcPr>
            <w:tcW w:w="1545" w:type="dxa"/>
            <w:shd w:val="clear" w:color="auto" w:fill="auto"/>
            <w:vAlign w:val="bottom"/>
          </w:tcPr>
          <w:p w:rsidR="0073566C" w:rsidRPr="008D366F" w:rsidRDefault="0073566C" w:rsidP="0073566C">
            <w:pPr>
              <w:pStyle w:val="DualTxt"/>
              <w:spacing w:before="40" w:after="80" w:line="240" w:lineRule="exact"/>
              <w:ind w:right="144"/>
              <w:jc w:val="center"/>
              <w:rPr>
                <w:rFonts w:hint="cs"/>
                <w:sz w:val="16"/>
                <w:szCs w:val="24"/>
                <w:rtl/>
              </w:rPr>
            </w:pPr>
          </w:p>
        </w:tc>
        <w:tc>
          <w:tcPr>
            <w:tcW w:w="1545" w:type="dxa"/>
            <w:shd w:val="clear" w:color="auto" w:fill="auto"/>
            <w:vAlign w:val="bottom"/>
          </w:tcPr>
          <w:p w:rsidR="0073566C" w:rsidRPr="008D366F" w:rsidRDefault="0073566C" w:rsidP="0073566C">
            <w:pPr>
              <w:pStyle w:val="DualTxt"/>
              <w:spacing w:before="40" w:after="80" w:line="240" w:lineRule="exact"/>
              <w:ind w:right="144"/>
              <w:jc w:val="center"/>
              <w:rPr>
                <w:rFonts w:hint="cs"/>
                <w:sz w:val="16"/>
                <w:szCs w:val="24"/>
                <w:rtl/>
              </w:rPr>
            </w:pPr>
          </w:p>
        </w:tc>
      </w:tr>
      <w:tr w:rsidR="0073566C" w:rsidRPr="008D366F">
        <w:trPr>
          <w:cantSplit/>
          <w:jc w:val="center"/>
        </w:trPr>
        <w:tc>
          <w:tcPr>
            <w:tcW w:w="1438" w:type="dxa"/>
            <w:shd w:val="clear" w:color="auto" w:fill="auto"/>
            <w:vAlign w:val="bottom"/>
          </w:tcPr>
          <w:p w:rsidR="0073566C" w:rsidRPr="00782FD4" w:rsidRDefault="0073566C" w:rsidP="0073566C">
            <w:pPr>
              <w:pStyle w:val="DualTxt"/>
              <w:spacing w:before="40" w:after="80" w:line="240" w:lineRule="exact"/>
              <w:rPr>
                <w:rFonts w:hint="cs"/>
                <w:b/>
                <w:bCs/>
                <w:sz w:val="16"/>
                <w:szCs w:val="24"/>
                <w:rtl/>
              </w:rPr>
            </w:pPr>
            <w:r>
              <w:rPr>
                <w:rFonts w:hint="cs"/>
                <w:b/>
                <w:bCs/>
                <w:sz w:val="16"/>
                <w:szCs w:val="24"/>
                <w:rtl/>
              </w:rPr>
              <w:t>15-24 عاما</w:t>
            </w:r>
          </w:p>
        </w:tc>
        <w:tc>
          <w:tcPr>
            <w:tcW w:w="1240" w:type="dxa"/>
            <w:shd w:val="clear" w:color="auto" w:fill="auto"/>
            <w:vAlign w:val="bottom"/>
          </w:tcPr>
          <w:p w:rsidR="0073566C" w:rsidRPr="008D366F" w:rsidRDefault="0073566C" w:rsidP="0073566C">
            <w:pPr>
              <w:pStyle w:val="DualTxt"/>
              <w:spacing w:before="40" w:after="80" w:line="240" w:lineRule="exact"/>
              <w:ind w:right="144"/>
              <w:jc w:val="center"/>
              <w:rPr>
                <w:rFonts w:hint="cs"/>
                <w:sz w:val="16"/>
                <w:szCs w:val="24"/>
                <w:rtl/>
              </w:rPr>
            </w:pPr>
            <w:r>
              <w:rPr>
                <w:rFonts w:hint="cs"/>
                <w:sz w:val="16"/>
                <w:szCs w:val="24"/>
                <w:rtl/>
              </w:rPr>
              <w:t>34.4 ٪</w:t>
            </w:r>
          </w:p>
        </w:tc>
        <w:tc>
          <w:tcPr>
            <w:tcW w:w="1133" w:type="dxa"/>
            <w:shd w:val="clear" w:color="auto" w:fill="auto"/>
            <w:vAlign w:val="bottom"/>
          </w:tcPr>
          <w:p w:rsidR="0073566C" w:rsidRPr="008D366F" w:rsidRDefault="0073566C" w:rsidP="0073566C">
            <w:pPr>
              <w:pStyle w:val="DualTxt"/>
              <w:spacing w:before="40" w:after="80" w:line="240" w:lineRule="exact"/>
              <w:ind w:right="144"/>
              <w:jc w:val="center"/>
              <w:rPr>
                <w:rFonts w:hint="cs"/>
                <w:sz w:val="16"/>
                <w:szCs w:val="24"/>
                <w:rtl/>
              </w:rPr>
            </w:pPr>
            <w:r>
              <w:rPr>
                <w:rFonts w:hint="cs"/>
                <w:sz w:val="16"/>
                <w:szCs w:val="24"/>
                <w:rtl/>
              </w:rPr>
              <w:t>32.6 ٪</w:t>
            </w:r>
          </w:p>
        </w:tc>
        <w:tc>
          <w:tcPr>
            <w:tcW w:w="1030" w:type="dxa"/>
            <w:shd w:val="clear" w:color="auto" w:fill="auto"/>
            <w:vAlign w:val="bottom"/>
          </w:tcPr>
          <w:p w:rsidR="0073566C" w:rsidRPr="008D366F" w:rsidRDefault="0073566C" w:rsidP="0073566C">
            <w:pPr>
              <w:pStyle w:val="DualTxt"/>
              <w:spacing w:before="40" w:after="80" w:line="240" w:lineRule="exact"/>
              <w:ind w:right="144"/>
              <w:jc w:val="center"/>
              <w:rPr>
                <w:rFonts w:hint="cs"/>
                <w:sz w:val="16"/>
                <w:szCs w:val="24"/>
                <w:rtl/>
              </w:rPr>
            </w:pPr>
            <w:r>
              <w:rPr>
                <w:rFonts w:hint="cs"/>
                <w:sz w:val="16"/>
                <w:szCs w:val="24"/>
                <w:rtl/>
              </w:rPr>
              <w:t>32.8 ٪</w:t>
            </w:r>
          </w:p>
        </w:tc>
        <w:tc>
          <w:tcPr>
            <w:tcW w:w="1133" w:type="dxa"/>
            <w:shd w:val="clear" w:color="auto" w:fill="auto"/>
            <w:vAlign w:val="bottom"/>
          </w:tcPr>
          <w:p w:rsidR="0073566C" w:rsidRPr="008D366F" w:rsidRDefault="0073566C" w:rsidP="0073566C">
            <w:pPr>
              <w:pStyle w:val="DualTxt"/>
              <w:spacing w:before="40" w:after="80" w:line="240" w:lineRule="exact"/>
              <w:ind w:right="144"/>
              <w:jc w:val="center"/>
              <w:rPr>
                <w:rFonts w:hint="cs"/>
                <w:sz w:val="16"/>
                <w:szCs w:val="24"/>
                <w:rtl/>
              </w:rPr>
            </w:pPr>
            <w:r>
              <w:rPr>
                <w:rFonts w:hint="cs"/>
                <w:sz w:val="16"/>
                <w:szCs w:val="24"/>
                <w:rtl/>
              </w:rPr>
              <w:t>31.8 ٪</w:t>
            </w:r>
          </w:p>
        </w:tc>
        <w:tc>
          <w:tcPr>
            <w:tcW w:w="1545" w:type="dxa"/>
            <w:shd w:val="clear" w:color="auto" w:fill="auto"/>
            <w:vAlign w:val="bottom"/>
          </w:tcPr>
          <w:p w:rsidR="0073566C" w:rsidRPr="008D366F" w:rsidRDefault="0073566C" w:rsidP="0073566C">
            <w:pPr>
              <w:pStyle w:val="DualTxt"/>
              <w:spacing w:before="40" w:after="80" w:line="240" w:lineRule="exact"/>
              <w:ind w:right="144"/>
              <w:jc w:val="center"/>
              <w:rPr>
                <w:rFonts w:hint="cs"/>
                <w:sz w:val="16"/>
                <w:szCs w:val="24"/>
                <w:rtl/>
              </w:rPr>
            </w:pPr>
            <w:r>
              <w:rPr>
                <w:rFonts w:hint="cs"/>
                <w:sz w:val="16"/>
                <w:szCs w:val="24"/>
                <w:rtl/>
              </w:rPr>
              <w:t>- 1.0</w:t>
            </w:r>
          </w:p>
        </w:tc>
        <w:tc>
          <w:tcPr>
            <w:tcW w:w="1545" w:type="dxa"/>
            <w:shd w:val="clear" w:color="auto" w:fill="auto"/>
            <w:vAlign w:val="bottom"/>
          </w:tcPr>
          <w:p w:rsidR="0073566C" w:rsidRPr="008D366F" w:rsidRDefault="0073566C" w:rsidP="0073566C">
            <w:pPr>
              <w:pStyle w:val="DualTxt"/>
              <w:spacing w:before="40" w:after="80" w:line="240" w:lineRule="exact"/>
              <w:ind w:right="144"/>
              <w:jc w:val="center"/>
              <w:rPr>
                <w:rFonts w:hint="cs"/>
                <w:sz w:val="16"/>
                <w:szCs w:val="24"/>
                <w:rtl/>
              </w:rPr>
            </w:pPr>
            <w:r>
              <w:rPr>
                <w:rFonts w:hint="cs"/>
                <w:sz w:val="16"/>
                <w:szCs w:val="24"/>
                <w:rtl/>
              </w:rPr>
              <w:t>- 2.6</w:t>
            </w:r>
          </w:p>
        </w:tc>
      </w:tr>
      <w:tr w:rsidR="0073566C" w:rsidRPr="008D366F">
        <w:trPr>
          <w:cantSplit/>
          <w:jc w:val="center"/>
        </w:trPr>
        <w:tc>
          <w:tcPr>
            <w:tcW w:w="1438" w:type="dxa"/>
            <w:shd w:val="clear" w:color="auto" w:fill="auto"/>
            <w:vAlign w:val="bottom"/>
          </w:tcPr>
          <w:p w:rsidR="0073566C" w:rsidRPr="00782FD4" w:rsidRDefault="0073566C" w:rsidP="0073566C">
            <w:pPr>
              <w:pStyle w:val="DualTxt"/>
              <w:spacing w:before="40" w:after="80" w:line="240" w:lineRule="exact"/>
              <w:rPr>
                <w:rFonts w:hint="cs"/>
                <w:sz w:val="16"/>
                <w:szCs w:val="24"/>
                <w:rtl/>
              </w:rPr>
            </w:pPr>
            <w:r>
              <w:rPr>
                <w:rFonts w:hint="cs"/>
                <w:sz w:val="16"/>
                <w:szCs w:val="24"/>
                <w:rtl/>
              </w:rPr>
              <w:t>الرجال</w:t>
            </w:r>
          </w:p>
        </w:tc>
        <w:tc>
          <w:tcPr>
            <w:tcW w:w="1240" w:type="dxa"/>
            <w:shd w:val="clear" w:color="auto" w:fill="auto"/>
            <w:vAlign w:val="bottom"/>
          </w:tcPr>
          <w:p w:rsidR="0073566C" w:rsidRPr="008D366F" w:rsidRDefault="0073566C" w:rsidP="0073566C">
            <w:pPr>
              <w:pStyle w:val="DualTxt"/>
              <w:spacing w:before="40" w:after="80" w:line="240" w:lineRule="exact"/>
              <w:ind w:right="144"/>
              <w:jc w:val="center"/>
              <w:rPr>
                <w:rFonts w:hint="cs"/>
                <w:sz w:val="16"/>
                <w:szCs w:val="24"/>
                <w:rtl/>
              </w:rPr>
            </w:pPr>
            <w:r>
              <w:rPr>
                <w:rFonts w:hint="cs"/>
                <w:sz w:val="16"/>
                <w:szCs w:val="24"/>
                <w:rtl/>
              </w:rPr>
              <w:t>37.0 ٪</w:t>
            </w:r>
          </w:p>
        </w:tc>
        <w:tc>
          <w:tcPr>
            <w:tcW w:w="1133" w:type="dxa"/>
            <w:shd w:val="clear" w:color="auto" w:fill="auto"/>
            <w:vAlign w:val="bottom"/>
          </w:tcPr>
          <w:p w:rsidR="0073566C" w:rsidRPr="008D366F" w:rsidRDefault="0073566C" w:rsidP="0073566C">
            <w:pPr>
              <w:pStyle w:val="DualTxt"/>
              <w:spacing w:before="40" w:after="80" w:line="240" w:lineRule="exact"/>
              <w:ind w:right="144"/>
              <w:jc w:val="center"/>
              <w:rPr>
                <w:rFonts w:hint="cs"/>
                <w:sz w:val="16"/>
                <w:szCs w:val="24"/>
                <w:rtl/>
              </w:rPr>
            </w:pPr>
            <w:r>
              <w:rPr>
                <w:rFonts w:hint="cs"/>
                <w:sz w:val="16"/>
                <w:szCs w:val="24"/>
                <w:rtl/>
              </w:rPr>
              <w:t>35.0 ٪</w:t>
            </w:r>
          </w:p>
        </w:tc>
        <w:tc>
          <w:tcPr>
            <w:tcW w:w="1030" w:type="dxa"/>
            <w:shd w:val="clear" w:color="auto" w:fill="auto"/>
            <w:vAlign w:val="bottom"/>
          </w:tcPr>
          <w:p w:rsidR="0073566C" w:rsidRPr="008D366F" w:rsidRDefault="0073566C" w:rsidP="0073566C">
            <w:pPr>
              <w:pStyle w:val="DualTxt"/>
              <w:spacing w:before="40" w:after="80" w:line="240" w:lineRule="exact"/>
              <w:ind w:right="144"/>
              <w:jc w:val="center"/>
              <w:rPr>
                <w:rFonts w:hint="cs"/>
                <w:sz w:val="16"/>
                <w:szCs w:val="24"/>
                <w:rtl/>
              </w:rPr>
            </w:pPr>
            <w:r>
              <w:rPr>
                <w:rFonts w:hint="cs"/>
                <w:sz w:val="16"/>
                <w:szCs w:val="24"/>
                <w:rtl/>
              </w:rPr>
              <w:t>35.1 ٪</w:t>
            </w:r>
          </w:p>
        </w:tc>
        <w:tc>
          <w:tcPr>
            <w:tcW w:w="1133" w:type="dxa"/>
            <w:shd w:val="clear" w:color="auto" w:fill="auto"/>
            <w:vAlign w:val="bottom"/>
          </w:tcPr>
          <w:p w:rsidR="0073566C" w:rsidRPr="008D366F" w:rsidRDefault="0073566C" w:rsidP="0073566C">
            <w:pPr>
              <w:pStyle w:val="DualTxt"/>
              <w:spacing w:before="40" w:after="80" w:line="240" w:lineRule="exact"/>
              <w:ind w:right="144"/>
              <w:jc w:val="center"/>
              <w:rPr>
                <w:rFonts w:hint="cs"/>
                <w:sz w:val="16"/>
                <w:szCs w:val="24"/>
                <w:rtl/>
              </w:rPr>
            </w:pPr>
            <w:r>
              <w:rPr>
                <w:rFonts w:hint="cs"/>
                <w:sz w:val="16"/>
                <w:szCs w:val="24"/>
                <w:rtl/>
              </w:rPr>
              <w:t>33.8 ٪</w:t>
            </w:r>
          </w:p>
        </w:tc>
        <w:tc>
          <w:tcPr>
            <w:tcW w:w="1545" w:type="dxa"/>
            <w:shd w:val="clear" w:color="auto" w:fill="auto"/>
            <w:vAlign w:val="bottom"/>
          </w:tcPr>
          <w:p w:rsidR="0073566C" w:rsidRPr="008D366F" w:rsidRDefault="0073566C" w:rsidP="0073566C">
            <w:pPr>
              <w:pStyle w:val="DualTxt"/>
              <w:spacing w:before="40" w:after="80" w:line="240" w:lineRule="exact"/>
              <w:ind w:right="144"/>
              <w:jc w:val="center"/>
              <w:rPr>
                <w:rFonts w:hint="cs"/>
                <w:sz w:val="16"/>
                <w:szCs w:val="24"/>
                <w:rtl/>
              </w:rPr>
            </w:pPr>
            <w:r>
              <w:rPr>
                <w:rFonts w:hint="cs"/>
                <w:sz w:val="16"/>
                <w:szCs w:val="24"/>
                <w:rtl/>
              </w:rPr>
              <w:t>- 1.3</w:t>
            </w:r>
          </w:p>
        </w:tc>
        <w:tc>
          <w:tcPr>
            <w:tcW w:w="1545" w:type="dxa"/>
            <w:shd w:val="clear" w:color="auto" w:fill="auto"/>
            <w:vAlign w:val="bottom"/>
          </w:tcPr>
          <w:p w:rsidR="0073566C" w:rsidRPr="008D366F" w:rsidRDefault="0073566C" w:rsidP="0073566C">
            <w:pPr>
              <w:pStyle w:val="DualTxt"/>
              <w:spacing w:before="40" w:after="80" w:line="240" w:lineRule="exact"/>
              <w:ind w:right="144"/>
              <w:jc w:val="center"/>
              <w:rPr>
                <w:rFonts w:hint="cs"/>
                <w:sz w:val="16"/>
                <w:szCs w:val="24"/>
                <w:rtl/>
              </w:rPr>
            </w:pPr>
            <w:r>
              <w:rPr>
                <w:rFonts w:hint="cs"/>
                <w:sz w:val="16"/>
                <w:szCs w:val="24"/>
                <w:rtl/>
              </w:rPr>
              <w:t>- 3.2</w:t>
            </w:r>
          </w:p>
        </w:tc>
      </w:tr>
      <w:tr w:rsidR="0073566C" w:rsidRPr="008D366F">
        <w:trPr>
          <w:cantSplit/>
          <w:jc w:val="center"/>
        </w:trPr>
        <w:tc>
          <w:tcPr>
            <w:tcW w:w="1438" w:type="dxa"/>
            <w:shd w:val="clear" w:color="auto" w:fill="auto"/>
            <w:vAlign w:val="bottom"/>
          </w:tcPr>
          <w:p w:rsidR="0073566C" w:rsidRPr="008D366F" w:rsidRDefault="0073566C" w:rsidP="0073566C">
            <w:pPr>
              <w:pStyle w:val="DualTxt"/>
              <w:spacing w:before="40" w:after="80" w:line="240" w:lineRule="exact"/>
              <w:rPr>
                <w:rFonts w:hint="cs"/>
                <w:sz w:val="16"/>
                <w:szCs w:val="24"/>
                <w:rtl/>
              </w:rPr>
            </w:pPr>
            <w:r>
              <w:rPr>
                <w:rFonts w:hint="cs"/>
                <w:sz w:val="16"/>
                <w:szCs w:val="24"/>
                <w:rtl/>
              </w:rPr>
              <w:t>النساء</w:t>
            </w:r>
          </w:p>
        </w:tc>
        <w:tc>
          <w:tcPr>
            <w:tcW w:w="1240" w:type="dxa"/>
            <w:shd w:val="clear" w:color="auto" w:fill="auto"/>
            <w:vAlign w:val="bottom"/>
          </w:tcPr>
          <w:p w:rsidR="0073566C" w:rsidRPr="008D366F" w:rsidRDefault="0073566C" w:rsidP="0073566C">
            <w:pPr>
              <w:pStyle w:val="DualTxt"/>
              <w:spacing w:before="40" w:after="80" w:line="240" w:lineRule="exact"/>
              <w:ind w:right="144"/>
              <w:jc w:val="center"/>
              <w:rPr>
                <w:rFonts w:hint="cs"/>
                <w:sz w:val="16"/>
                <w:szCs w:val="24"/>
                <w:rtl/>
              </w:rPr>
            </w:pPr>
            <w:r>
              <w:rPr>
                <w:rFonts w:hint="cs"/>
                <w:sz w:val="16"/>
                <w:szCs w:val="24"/>
                <w:rtl/>
              </w:rPr>
              <w:t>31.6 ٪</w:t>
            </w:r>
          </w:p>
        </w:tc>
        <w:tc>
          <w:tcPr>
            <w:tcW w:w="1133" w:type="dxa"/>
            <w:shd w:val="clear" w:color="auto" w:fill="auto"/>
            <w:vAlign w:val="bottom"/>
          </w:tcPr>
          <w:p w:rsidR="0073566C" w:rsidRPr="008D366F" w:rsidRDefault="0073566C" w:rsidP="0073566C">
            <w:pPr>
              <w:pStyle w:val="DualTxt"/>
              <w:spacing w:before="40" w:after="80" w:line="240" w:lineRule="exact"/>
              <w:ind w:right="144"/>
              <w:jc w:val="center"/>
              <w:rPr>
                <w:rFonts w:hint="cs"/>
                <w:sz w:val="16"/>
                <w:szCs w:val="24"/>
                <w:rtl/>
              </w:rPr>
            </w:pPr>
            <w:r>
              <w:rPr>
                <w:rFonts w:hint="cs"/>
                <w:sz w:val="16"/>
                <w:szCs w:val="24"/>
                <w:rtl/>
              </w:rPr>
              <w:t>30.0 ٪</w:t>
            </w:r>
          </w:p>
        </w:tc>
        <w:tc>
          <w:tcPr>
            <w:tcW w:w="1030" w:type="dxa"/>
            <w:shd w:val="clear" w:color="auto" w:fill="auto"/>
            <w:vAlign w:val="bottom"/>
          </w:tcPr>
          <w:p w:rsidR="0073566C" w:rsidRPr="008D366F" w:rsidRDefault="0073566C" w:rsidP="0073566C">
            <w:pPr>
              <w:pStyle w:val="DualTxt"/>
              <w:spacing w:before="40" w:after="80" w:line="240" w:lineRule="exact"/>
              <w:ind w:right="144"/>
              <w:jc w:val="center"/>
              <w:rPr>
                <w:rFonts w:hint="cs"/>
                <w:sz w:val="16"/>
                <w:szCs w:val="24"/>
                <w:rtl/>
              </w:rPr>
            </w:pPr>
            <w:r>
              <w:rPr>
                <w:rFonts w:hint="cs"/>
                <w:sz w:val="16"/>
                <w:szCs w:val="24"/>
                <w:rtl/>
              </w:rPr>
              <w:t>30.4</w:t>
            </w:r>
          </w:p>
        </w:tc>
        <w:tc>
          <w:tcPr>
            <w:tcW w:w="1133" w:type="dxa"/>
            <w:shd w:val="clear" w:color="auto" w:fill="auto"/>
            <w:vAlign w:val="bottom"/>
          </w:tcPr>
          <w:p w:rsidR="0073566C" w:rsidRPr="008D366F" w:rsidRDefault="0073566C" w:rsidP="0073566C">
            <w:pPr>
              <w:pStyle w:val="DualTxt"/>
              <w:spacing w:before="40" w:after="80" w:line="240" w:lineRule="exact"/>
              <w:ind w:right="144"/>
              <w:jc w:val="center"/>
              <w:rPr>
                <w:rFonts w:hint="cs"/>
                <w:sz w:val="16"/>
                <w:szCs w:val="24"/>
                <w:rtl/>
              </w:rPr>
            </w:pPr>
            <w:r>
              <w:rPr>
                <w:rFonts w:hint="cs"/>
                <w:sz w:val="16"/>
                <w:szCs w:val="24"/>
                <w:rtl/>
              </w:rPr>
              <w:t>29.7 ٪</w:t>
            </w:r>
          </w:p>
        </w:tc>
        <w:tc>
          <w:tcPr>
            <w:tcW w:w="1545" w:type="dxa"/>
            <w:shd w:val="clear" w:color="auto" w:fill="auto"/>
            <w:vAlign w:val="bottom"/>
          </w:tcPr>
          <w:p w:rsidR="0073566C" w:rsidRPr="008D366F" w:rsidRDefault="0073566C" w:rsidP="0073566C">
            <w:pPr>
              <w:pStyle w:val="DualTxt"/>
              <w:spacing w:before="40" w:after="80" w:line="240" w:lineRule="exact"/>
              <w:ind w:right="144"/>
              <w:jc w:val="center"/>
              <w:rPr>
                <w:rFonts w:hint="cs"/>
                <w:sz w:val="16"/>
                <w:szCs w:val="24"/>
                <w:rtl/>
              </w:rPr>
            </w:pPr>
            <w:r>
              <w:rPr>
                <w:rFonts w:hint="cs"/>
                <w:sz w:val="16"/>
                <w:szCs w:val="24"/>
                <w:rtl/>
              </w:rPr>
              <w:t>- 0.7</w:t>
            </w:r>
          </w:p>
        </w:tc>
        <w:tc>
          <w:tcPr>
            <w:tcW w:w="1545" w:type="dxa"/>
            <w:shd w:val="clear" w:color="auto" w:fill="auto"/>
            <w:vAlign w:val="bottom"/>
          </w:tcPr>
          <w:p w:rsidR="0073566C" w:rsidRPr="008D366F" w:rsidRDefault="0073566C" w:rsidP="0073566C">
            <w:pPr>
              <w:pStyle w:val="DualTxt"/>
              <w:spacing w:before="40" w:after="80" w:line="240" w:lineRule="exact"/>
              <w:ind w:right="144"/>
              <w:jc w:val="center"/>
              <w:rPr>
                <w:rFonts w:hint="cs"/>
                <w:sz w:val="16"/>
                <w:szCs w:val="24"/>
                <w:rtl/>
              </w:rPr>
            </w:pPr>
            <w:r>
              <w:rPr>
                <w:rFonts w:hint="cs"/>
                <w:sz w:val="16"/>
                <w:szCs w:val="24"/>
                <w:rtl/>
              </w:rPr>
              <w:t>- 1.9</w:t>
            </w:r>
          </w:p>
        </w:tc>
      </w:tr>
      <w:tr w:rsidR="0073566C" w:rsidRPr="008D366F">
        <w:trPr>
          <w:cantSplit/>
          <w:jc w:val="center"/>
        </w:trPr>
        <w:tc>
          <w:tcPr>
            <w:tcW w:w="1438" w:type="dxa"/>
            <w:shd w:val="clear" w:color="auto" w:fill="auto"/>
            <w:vAlign w:val="bottom"/>
          </w:tcPr>
          <w:p w:rsidR="0073566C" w:rsidRPr="008D366F" w:rsidRDefault="0073566C" w:rsidP="0073566C">
            <w:pPr>
              <w:pStyle w:val="DualTxt"/>
              <w:spacing w:before="40" w:after="80" w:line="240" w:lineRule="exact"/>
              <w:rPr>
                <w:rFonts w:hint="cs"/>
                <w:sz w:val="16"/>
                <w:szCs w:val="24"/>
                <w:rtl/>
              </w:rPr>
            </w:pPr>
          </w:p>
        </w:tc>
        <w:tc>
          <w:tcPr>
            <w:tcW w:w="1240" w:type="dxa"/>
            <w:shd w:val="clear" w:color="auto" w:fill="auto"/>
            <w:vAlign w:val="bottom"/>
          </w:tcPr>
          <w:p w:rsidR="0073566C" w:rsidRPr="008D366F" w:rsidRDefault="0073566C" w:rsidP="0073566C">
            <w:pPr>
              <w:pStyle w:val="DualTxt"/>
              <w:spacing w:before="40" w:after="80" w:line="240" w:lineRule="exact"/>
              <w:ind w:right="144"/>
              <w:jc w:val="center"/>
              <w:rPr>
                <w:rFonts w:hint="cs"/>
                <w:sz w:val="16"/>
                <w:szCs w:val="24"/>
                <w:rtl/>
              </w:rPr>
            </w:pPr>
          </w:p>
        </w:tc>
        <w:tc>
          <w:tcPr>
            <w:tcW w:w="1133" w:type="dxa"/>
            <w:shd w:val="clear" w:color="auto" w:fill="auto"/>
            <w:vAlign w:val="bottom"/>
          </w:tcPr>
          <w:p w:rsidR="0073566C" w:rsidRPr="008D366F" w:rsidRDefault="0073566C" w:rsidP="0073566C">
            <w:pPr>
              <w:pStyle w:val="DualTxt"/>
              <w:spacing w:before="40" w:after="80" w:line="240" w:lineRule="exact"/>
              <w:ind w:right="144"/>
              <w:jc w:val="center"/>
              <w:rPr>
                <w:rFonts w:hint="cs"/>
                <w:sz w:val="16"/>
                <w:szCs w:val="24"/>
                <w:rtl/>
              </w:rPr>
            </w:pPr>
          </w:p>
        </w:tc>
        <w:tc>
          <w:tcPr>
            <w:tcW w:w="1030" w:type="dxa"/>
            <w:shd w:val="clear" w:color="auto" w:fill="auto"/>
            <w:vAlign w:val="bottom"/>
          </w:tcPr>
          <w:p w:rsidR="0073566C" w:rsidRPr="008D366F" w:rsidRDefault="0073566C" w:rsidP="0073566C">
            <w:pPr>
              <w:pStyle w:val="DualTxt"/>
              <w:spacing w:before="40" w:after="80" w:line="240" w:lineRule="exact"/>
              <w:ind w:right="144"/>
              <w:jc w:val="center"/>
              <w:rPr>
                <w:rFonts w:hint="cs"/>
                <w:sz w:val="16"/>
                <w:szCs w:val="24"/>
                <w:rtl/>
              </w:rPr>
            </w:pPr>
          </w:p>
        </w:tc>
        <w:tc>
          <w:tcPr>
            <w:tcW w:w="1133" w:type="dxa"/>
            <w:shd w:val="clear" w:color="auto" w:fill="auto"/>
            <w:vAlign w:val="bottom"/>
          </w:tcPr>
          <w:p w:rsidR="0073566C" w:rsidRPr="008D366F" w:rsidRDefault="0073566C" w:rsidP="0073566C">
            <w:pPr>
              <w:pStyle w:val="DualTxt"/>
              <w:spacing w:before="40" w:after="80" w:line="240" w:lineRule="exact"/>
              <w:ind w:right="144"/>
              <w:jc w:val="center"/>
              <w:rPr>
                <w:rFonts w:hint="cs"/>
                <w:sz w:val="16"/>
                <w:szCs w:val="24"/>
                <w:rtl/>
              </w:rPr>
            </w:pPr>
          </w:p>
        </w:tc>
        <w:tc>
          <w:tcPr>
            <w:tcW w:w="1545" w:type="dxa"/>
            <w:shd w:val="clear" w:color="auto" w:fill="auto"/>
            <w:vAlign w:val="bottom"/>
          </w:tcPr>
          <w:p w:rsidR="0073566C" w:rsidRPr="008D366F" w:rsidRDefault="0073566C" w:rsidP="0073566C">
            <w:pPr>
              <w:pStyle w:val="DualTxt"/>
              <w:spacing w:before="40" w:after="80" w:line="240" w:lineRule="exact"/>
              <w:ind w:right="144"/>
              <w:jc w:val="center"/>
              <w:rPr>
                <w:rFonts w:hint="cs"/>
                <w:sz w:val="16"/>
                <w:szCs w:val="24"/>
                <w:rtl/>
              </w:rPr>
            </w:pPr>
          </w:p>
        </w:tc>
        <w:tc>
          <w:tcPr>
            <w:tcW w:w="1545" w:type="dxa"/>
            <w:shd w:val="clear" w:color="auto" w:fill="auto"/>
            <w:vAlign w:val="bottom"/>
          </w:tcPr>
          <w:p w:rsidR="0073566C" w:rsidRPr="008D366F" w:rsidRDefault="0073566C" w:rsidP="0073566C">
            <w:pPr>
              <w:pStyle w:val="DualTxt"/>
              <w:spacing w:before="40" w:after="80" w:line="240" w:lineRule="exact"/>
              <w:ind w:right="144"/>
              <w:jc w:val="center"/>
              <w:rPr>
                <w:rFonts w:hint="cs"/>
                <w:sz w:val="16"/>
                <w:szCs w:val="24"/>
                <w:rtl/>
              </w:rPr>
            </w:pPr>
          </w:p>
        </w:tc>
      </w:tr>
      <w:tr w:rsidR="0073566C" w:rsidRPr="008D366F">
        <w:trPr>
          <w:cantSplit/>
          <w:jc w:val="center"/>
        </w:trPr>
        <w:tc>
          <w:tcPr>
            <w:tcW w:w="1438" w:type="dxa"/>
            <w:shd w:val="clear" w:color="auto" w:fill="auto"/>
            <w:vAlign w:val="bottom"/>
          </w:tcPr>
          <w:p w:rsidR="0073566C" w:rsidRDefault="0073566C" w:rsidP="0073566C">
            <w:pPr>
              <w:pStyle w:val="DualTxt"/>
              <w:spacing w:before="40" w:after="80" w:line="240" w:lineRule="exact"/>
              <w:rPr>
                <w:rFonts w:hint="cs"/>
                <w:b/>
                <w:bCs/>
                <w:sz w:val="16"/>
                <w:szCs w:val="24"/>
                <w:rtl/>
              </w:rPr>
            </w:pPr>
            <w:r>
              <w:rPr>
                <w:rFonts w:hint="cs"/>
                <w:b/>
                <w:bCs/>
                <w:sz w:val="16"/>
                <w:szCs w:val="24"/>
                <w:rtl/>
              </w:rPr>
              <w:t>15-24 عاما</w:t>
            </w:r>
          </w:p>
          <w:p w:rsidR="0073566C" w:rsidRPr="00782FD4" w:rsidRDefault="0073566C" w:rsidP="0073566C">
            <w:pPr>
              <w:pStyle w:val="DualTxt"/>
              <w:spacing w:before="40" w:after="80" w:line="240" w:lineRule="exact"/>
              <w:rPr>
                <w:rFonts w:hint="cs"/>
                <w:b/>
                <w:bCs/>
                <w:sz w:val="16"/>
                <w:szCs w:val="24"/>
                <w:rtl/>
              </w:rPr>
            </w:pPr>
            <w:r>
              <w:rPr>
                <w:rFonts w:hint="cs"/>
                <w:b/>
                <w:bCs/>
                <w:sz w:val="16"/>
                <w:szCs w:val="24"/>
                <w:rtl/>
              </w:rPr>
              <w:t>(دون تلاميذ)</w:t>
            </w:r>
          </w:p>
        </w:tc>
        <w:tc>
          <w:tcPr>
            <w:tcW w:w="1240" w:type="dxa"/>
            <w:shd w:val="clear" w:color="auto" w:fill="auto"/>
            <w:vAlign w:val="bottom"/>
          </w:tcPr>
          <w:p w:rsidR="0073566C" w:rsidRPr="008D366F" w:rsidRDefault="0073566C" w:rsidP="0073566C">
            <w:pPr>
              <w:pStyle w:val="DualTxt"/>
              <w:spacing w:before="40" w:after="80" w:line="240" w:lineRule="exact"/>
              <w:ind w:right="144"/>
              <w:jc w:val="center"/>
              <w:rPr>
                <w:rFonts w:hint="cs"/>
                <w:sz w:val="16"/>
                <w:szCs w:val="24"/>
                <w:rtl/>
              </w:rPr>
            </w:pPr>
            <w:r>
              <w:rPr>
                <w:rFonts w:hint="cs"/>
                <w:sz w:val="16"/>
                <w:szCs w:val="24"/>
                <w:rtl/>
              </w:rPr>
              <w:t>81.9 ٪</w:t>
            </w:r>
          </w:p>
        </w:tc>
        <w:tc>
          <w:tcPr>
            <w:tcW w:w="1133" w:type="dxa"/>
            <w:shd w:val="clear" w:color="auto" w:fill="auto"/>
            <w:vAlign w:val="bottom"/>
          </w:tcPr>
          <w:p w:rsidR="0073566C" w:rsidRPr="008D366F" w:rsidRDefault="0073566C" w:rsidP="0073566C">
            <w:pPr>
              <w:pStyle w:val="DualTxt"/>
              <w:spacing w:before="40" w:after="80" w:line="240" w:lineRule="exact"/>
              <w:ind w:right="144"/>
              <w:jc w:val="center"/>
              <w:rPr>
                <w:rFonts w:hint="cs"/>
                <w:sz w:val="16"/>
                <w:szCs w:val="24"/>
                <w:rtl/>
              </w:rPr>
            </w:pPr>
            <w:r>
              <w:rPr>
                <w:rFonts w:hint="cs"/>
                <w:sz w:val="16"/>
                <w:szCs w:val="24"/>
                <w:rtl/>
              </w:rPr>
              <w:t>78.0 ٪</w:t>
            </w:r>
          </w:p>
        </w:tc>
        <w:tc>
          <w:tcPr>
            <w:tcW w:w="1030" w:type="dxa"/>
            <w:shd w:val="clear" w:color="auto" w:fill="auto"/>
            <w:vAlign w:val="bottom"/>
          </w:tcPr>
          <w:p w:rsidR="0073566C" w:rsidRPr="008D366F" w:rsidRDefault="0073566C" w:rsidP="0073566C">
            <w:pPr>
              <w:pStyle w:val="DualTxt"/>
              <w:spacing w:before="40" w:after="80" w:line="240" w:lineRule="exact"/>
              <w:ind w:right="144"/>
              <w:jc w:val="center"/>
              <w:rPr>
                <w:rFonts w:hint="cs"/>
                <w:sz w:val="16"/>
                <w:szCs w:val="24"/>
                <w:rtl/>
              </w:rPr>
            </w:pPr>
            <w:r>
              <w:rPr>
                <w:rFonts w:hint="cs"/>
                <w:sz w:val="16"/>
                <w:szCs w:val="24"/>
                <w:rtl/>
              </w:rPr>
              <w:t>79.6 ٪</w:t>
            </w:r>
          </w:p>
        </w:tc>
        <w:tc>
          <w:tcPr>
            <w:tcW w:w="1133" w:type="dxa"/>
            <w:shd w:val="clear" w:color="auto" w:fill="auto"/>
            <w:vAlign w:val="bottom"/>
          </w:tcPr>
          <w:p w:rsidR="0073566C" w:rsidRPr="008D366F" w:rsidRDefault="0073566C" w:rsidP="0073566C">
            <w:pPr>
              <w:pStyle w:val="DualTxt"/>
              <w:spacing w:before="40" w:after="80" w:line="240" w:lineRule="exact"/>
              <w:ind w:right="144"/>
              <w:jc w:val="center"/>
              <w:rPr>
                <w:rFonts w:hint="cs"/>
                <w:sz w:val="16"/>
                <w:szCs w:val="24"/>
                <w:rtl/>
              </w:rPr>
            </w:pPr>
            <w:r>
              <w:rPr>
                <w:rFonts w:hint="cs"/>
                <w:sz w:val="16"/>
                <w:szCs w:val="24"/>
                <w:rtl/>
              </w:rPr>
              <w:t>78.9 ٪</w:t>
            </w:r>
          </w:p>
        </w:tc>
        <w:tc>
          <w:tcPr>
            <w:tcW w:w="1545" w:type="dxa"/>
            <w:shd w:val="clear" w:color="auto" w:fill="auto"/>
            <w:vAlign w:val="bottom"/>
          </w:tcPr>
          <w:p w:rsidR="0073566C" w:rsidRPr="008D366F" w:rsidRDefault="0073566C" w:rsidP="0073566C">
            <w:pPr>
              <w:pStyle w:val="DualTxt"/>
              <w:spacing w:before="40" w:after="80" w:line="240" w:lineRule="exact"/>
              <w:ind w:right="144"/>
              <w:jc w:val="center"/>
              <w:rPr>
                <w:rFonts w:hint="cs"/>
                <w:sz w:val="16"/>
                <w:szCs w:val="24"/>
                <w:rtl/>
              </w:rPr>
            </w:pPr>
            <w:r>
              <w:rPr>
                <w:rFonts w:hint="cs"/>
                <w:sz w:val="16"/>
                <w:szCs w:val="24"/>
                <w:rtl/>
              </w:rPr>
              <w:t>- 0.7</w:t>
            </w:r>
          </w:p>
        </w:tc>
        <w:tc>
          <w:tcPr>
            <w:tcW w:w="1545" w:type="dxa"/>
            <w:shd w:val="clear" w:color="auto" w:fill="auto"/>
            <w:vAlign w:val="bottom"/>
          </w:tcPr>
          <w:p w:rsidR="0073566C" w:rsidRPr="008D366F" w:rsidRDefault="0073566C" w:rsidP="0073566C">
            <w:pPr>
              <w:pStyle w:val="DualTxt"/>
              <w:spacing w:before="40" w:after="80" w:line="240" w:lineRule="exact"/>
              <w:ind w:right="144"/>
              <w:jc w:val="center"/>
              <w:rPr>
                <w:rFonts w:hint="cs"/>
                <w:sz w:val="16"/>
                <w:szCs w:val="24"/>
                <w:rtl/>
              </w:rPr>
            </w:pPr>
            <w:r>
              <w:rPr>
                <w:rFonts w:hint="cs"/>
                <w:sz w:val="16"/>
                <w:szCs w:val="24"/>
                <w:rtl/>
              </w:rPr>
              <w:t>- 3.0</w:t>
            </w:r>
          </w:p>
        </w:tc>
      </w:tr>
      <w:tr w:rsidR="0073566C" w:rsidRPr="008D366F">
        <w:trPr>
          <w:cantSplit/>
          <w:jc w:val="center"/>
        </w:trPr>
        <w:tc>
          <w:tcPr>
            <w:tcW w:w="1438" w:type="dxa"/>
            <w:shd w:val="clear" w:color="auto" w:fill="auto"/>
            <w:vAlign w:val="bottom"/>
          </w:tcPr>
          <w:p w:rsidR="0073566C" w:rsidRPr="008D366F" w:rsidRDefault="0073566C" w:rsidP="0073566C">
            <w:pPr>
              <w:pStyle w:val="DualTxt"/>
              <w:spacing w:before="40" w:after="80" w:line="240" w:lineRule="exact"/>
              <w:rPr>
                <w:rFonts w:hint="cs"/>
                <w:sz w:val="16"/>
                <w:szCs w:val="24"/>
                <w:rtl/>
              </w:rPr>
            </w:pPr>
            <w:r>
              <w:rPr>
                <w:rFonts w:hint="cs"/>
                <w:sz w:val="16"/>
                <w:szCs w:val="24"/>
                <w:rtl/>
              </w:rPr>
              <w:t>الرجال</w:t>
            </w:r>
          </w:p>
        </w:tc>
        <w:tc>
          <w:tcPr>
            <w:tcW w:w="1240" w:type="dxa"/>
            <w:shd w:val="clear" w:color="auto" w:fill="auto"/>
            <w:vAlign w:val="bottom"/>
          </w:tcPr>
          <w:p w:rsidR="0073566C" w:rsidRPr="008D366F" w:rsidRDefault="0073566C" w:rsidP="0073566C">
            <w:pPr>
              <w:pStyle w:val="DualTxt"/>
              <w:spacing w:before="40" w:after="80" w:line="240" w:lineRule="exact"/>
              <w:ind w:right="144"/>
              <w:jc w:val="center"/>
              <w:rPr>
                <w:rFonts w:hint="cs"/>
                <w:sz w:val="16"/>
                <w:szCs w:val="24"/>
                <w:rtl/>
              </w:rPr>
            </w:pPr>
            <w:r>
              <w:rPr>
                <w:rFonts w:hint="cs"/>
                <w:sz w:val="16"/>
                <w:szCs w:val="24"/>
                <w:rtl/>
              </w:rPr>
              <w:t>83.6 ٪</w:t>
            </w:r>
          </w:p>
        </w:tc>
        <w:tc>
          <w:tcPr>
            <w:tcW w:w="1133" w:type="dxa"/>
            <w:shd w:val="clear" w:color="auto" w:fill="auto"/>
            <w:vAlign w:val="bottom"/>
          </w:tcPr>
          <w:p w:rsidR="0073566C" w:rsidRPr="008D366F" w:rsidRDefault="0073566C" w:rsidP="0073566C">
            <w:pPr>
              <w:pStyle w:val="DualTxt"/>
              <w:spacing w:before="40" w:after="80" w:line="240" w:lineRule="exact"/>
              <w:ind w:right="144"/>
              <w:jc w:val="center"/>
              <w:rPr>
                <w:rFonts w:hint="cs"/>
                <w:sz w:val="16"/>
                <w:szCs w:val="24"/>
                <w:rtl/>
              </w:rPr>
            </w:pPr>
            <w:r>
              <w:rPr>
                <w:rFonts w:hint="cs"/>
                <w:sz w:val="16"/>
                <w:szCs w:val="24"/>
                <w:rtl/>
              </w:rPr>
              <w:t>80.2 ٪</w:t>
            </w:r>
          </w:p>
        </w:tc>
        <w:tc>
          <w:tcPr>
            <w:tcW w:w="1030" w:type="dxa"/>
            <w:shd w:val="clear" w:color="auto" w:fill="auto"/>
            <w:vAlign w:val="bottom"/>
          </w:tcPr>
          <w:p w:rsidR="0073566C" w:rsidRPr="008D366F" w:rsidRDefault="0073566C" w:rsidP="0073566C">
            <w:pPr>
              <w:pStyle w:val="DualTxt"/>
              <w:spacing w:before="40" w:after="80" w:line="240" w:lineRule="exact"/>
              <w:ind w:right="144"/>
              <w:jc w:val="center"/>
              <w:rPr>
                <w:rFonts w:hint="cs"/>
                <w:sz w:val="16"/>
                <w:szCs w:val="24"/>
                <w:rtl/>
              </w:rPr>
            </w:pPr>
            <w:r>
              <w:rPr>
                <w:rFonts w:hint="cs"/>
                <w:sz w:val="16"/>
                <w:szCs w:val="24"/>
                <w:rtl/>
              </w:rPr>
              <w:t>82.3 ٪</w:t>
            </w:r>
          </w:p>
        </w:tc>
        <w:tc>
          <w:tcPr>
            <w:tcW w:w="1133" w:type="dxa"/>
            <w:shd w:val="clear" w:color="auto" w:fill="auto"/>
            <w:vAlign w:val="bottom"/>
          </w:tcPr>
          <w:p w:rsidR="0073566C" w:rsidRPr="008D366F" w:rsidRDefault="0073566C" w:rsidP="0073566C">
            <w:pPr>
              <w:pStyle w:val="DualTxt"/>
              <w:spacing w:before="40" w:after="80" w:line="240" w:lineRule="exact"/>
              <w:ind w:right="144"/>
              <w:jc w:val="center"/>
              <w:rPr>
                <w:rFonts w:hint="cs"/>
                <w:sz w:val="16"/>
                <w:szCs w:val="24"/>
                <w:rtl/>
              </w:rPr>
            </w:pPr>
            <w:r>
              <w:rPr>
                <w:rFonts w:hint="cs"/>
                <w:sz w:val="16"/>
                <w:szCs w:val="24"/>
                <w:rtl/>
              </w:rPr>
              <w:t>80.7 ٪</w:t>
            </w:r>
          </w:p>
        </w:tc>
        <w:tc>
          <w:tcPr>
            <w:tcW w:w="1545" w:type="dxa"/>
            <w:shd w:val="clear" w:color="auto" w:fill="auto"/>
            <w:vAlign w:val="bottom"/>
          </w:tcPr>
          <w:p w:rsidR="0073566C" w:rsidRPr="008D366F" w:rsidRDefault="0073566C" w:rsidP="0073566C">
            <w:pPr>
              <w:pStyle w:val="DualTxt"/>
              <w:spacing w:before="40" w:after="80" w:line="240" w:lineRule="exact"/>
              <w:ind w:right="144"/>
              <w:jc w:val="center"/>
              <w:rPr>
                <w:rFonts w:hint="cs"/>
                <w:sz w:val="16"/>
                <w:szCs w:val="24"/>
                <w:rtl/>
              </w:rPr>
            </w:pPr>
            <w:r>
              <w:rPr>
                <w:rFonts w:hint="cs"/>
                <w:sz w:val="16"/>
                <w:szCs w:val="24"/>
                <w:rtl/>
              </w:rPr>
              <w:t>- 1.6</w:t>
            </w:r>
          </w:p>
        </w:tc>
        <w:tc>
          <w:tcPr>
            <w:tcW w:w="1545" w:type="dxa"/>
            <w:shd w:val="clear" w:color="auto" w:fill="auto"/>
            <w:vAlign w:val="bottom"/>
          </w:tcPr>
          <w:p w:rsidR="0073566C" w:rsidRPr="008D366F" w:rsidRDefault="0073566C" w:rsidP="0073566C">
            <w:pPr>
              <w:pStyle w:val="DualTxt"/>
              <w:spacing w:before="40" w:after="80" w:line="240" w:lineRule="exact"/>
              <w:ind w:right="144"/>
              <w:jc w:val="center"/>
              <w:rPr>
                <w:rFonts w:hint="cs"/>
                <w:sz w:val="16"/>
                <w:szCs w:val="24"/>
                <w:rtl/>
              </w:rPr>
            </w:pPr>
            <w:r>
              <w:rPr>
                <w:rFonts w:hint="cs"/>
                <w:sz w:val="16"/>
                <w:szCs w:val="24"/>
                <w:rtl/>
              </w:rPr>
              <w:t>- 2.9</w:t>
            </w:r>
          </w:p>
        </w:tc>
      </w:tr>
      <w:tr w:rsidR="0073566C" w:rsidRPr="008D366F">
        <w:trPr>
          <w:cantSplit/>
          <w:jc w:val="center"/>
        </w:trPr>
        <w:tc>
          <w:tcPr>
            <w:tcW w:w="1438" w:type="dxa"/>
            <w:shd w:val="clear" w:color="auto" w:fill="auto"/>
            <w:vAlign w:val="bottom"/>
          </w:tcPr>
          <w:p w:rsidR="0073566C" w:rsidRPr="008D366F" w:rsidRDefault="0073566C" w:rsidP="0073566C">
            <w:pPr>
              <w:pStyle w:val="DualTxt"/>
              <w:spacing w:before="40" w:after="80" w:line="240" w:lineRule="exact"/>
              <w:rPr>
                <w:rFonts w:hint="cs"/>
                <w:sz w:val="16"/>
                <w:szCs w:val="24"/>
                <w:rtl/>
              </w:rPr>
            </w:pPr>
            <w:r>
              <w:rPr>
                <w:rFonts w:hint="cs"/>
                <w:sz w:val="16"/>
                <w:szCs w:val="24"/>
                <w:rtl/>
              </w:rPr>
              <w:t>النساء</w:t>
            </w:r>
          </w:p>
        </w:tc>
        <w:tc>
          <w:tcPr>
            <w:tcW w:w="1240" w:type="dxa"/>
            <w:shd w:val="clear" w:color="auto" w:fill="auto"/>
            <w:vAlign w:val="bottom"/>
          </w:tcPr>
          <w:p w:rsidR="0073566C" w:rsidRPr="008D366F" w:rsidRDefault="0073566C" w:rsidP="0073566C">
            <w:pPr>
              <w:pStyle w:val="DualTxt"/>
              <w:spacing w:before="40" w:after="80" w:line="240" w:lineRule="exact"/>
              <w:ind w:right="144"/>
              <w:jc w:val="center"/>
              <w:rPr>
                <w:rFonts w:hint="cs"/>
                <w:sz w:val="16"/>
                <w:szCs w:val="24"/>
                <w:rtl/>
              </w:rPr>
            </w:pPr>
            <w:r>
              <w:rPr>
                <w:rFonts w:hint="cs"/>
                <w:sz w:val="16"/>
                <w:szCs w:val="24"/>
                <w:rtl/>
              </w:rPr>
              <w:t>79.9 ٪</w:t>
            </w:r>
          </w:p>
        </w:tc>
        <w:tc>
          <w:tcPr>
            <w:tcW w:w="1133" w:type="dxa"/>
            <w:shd w:val="clear" w:color="auto" w:fill="auto"/>
            <w:vAlign w:val="bottom"/>
          </w:tcPr>
          <w:p w:rsidR="0073566C" w:rsidRPr="008D366F" w:rsidRDefault="0073566C" w:rsidP="0073566C">
            <w:pPr>
              <w:pStyle w:val="DualTxt"/>
              <w:spacing w:before="40" w:after="80" w:line="240" w:lineRule="exact"/>
              <w:ind w:right="144"/>
              <w:jc w:val="center"/>
              <w:rPr>
                <w:rFonts w:hint="cs"/>
                <w:sz w:val="16"/>
                <w:szCs w:val="24"/>
                <w:rtl/>
              </w:rPr>
            </w:pPr>
            <w:r>
              <w:rPr>
                <w:rFonts w:hint="cs"/>
                <w:sz w:val="16"/>
                <w:szCs w:val="24"/>
                <w:rtl/>
              </w:rPr>
              <w:t>75.3 ٪</w:t>
            </w:r>
          </w:p>
        </w:tc>
        <w:tc>
          <w:tcPr>
            <w:tcW w:w="1030" w:type="dxa"/>
            <w:shd w:val="clear" w:color="auto" w:fill="auto"/>
            <w:vAlign w:val="bottom"/>
          </w:tcPr>
          <w:p w:rsidR="0073566C" w:rsidRPr="008D366F" w:rsidRDefault="0073566C" w:rsidP="0073566C">
            <w:pPr>
              <w:pStyle w:val="DualTxt"/>
              <w:spacing w:before="40" w:after="80" w:line="240" w:lineRule="exact"/>
              <w:ind w:right="144"/>
              <w:jc w:val="center"/>
              <w:rPr>
                <w:rFonts w:hint="cs"/>
                <w:sz w:val="16"/>
                <w:szCs w:val="24"/>
                <w:rtl/>
              </w:rPr>
            </w:pPr>
            <w:r>
              <w:rPr>
                <w:rFonts w:hint="cs"/>
                <w:sz w:val="16"/>
                <w:szCs w:val="24"/>
                <w:rtl/>
              </w:rPr>
              <w:t>76.6 ٪</w:t>
            </w:r>
          </w:p>
        </w:tc>
        <w:tc>
          <w:tcPr>
            <w:tcW w:w="1133" w:type="dxa"/>
            <w:shd w:val="clear" w:color="auto" w:fill="auto"/>
            <w:vAlign w:val="bottom"/>
          </w:tcPr>
          <w:p w:rsidR="0073566C" w:rsidRPr="008D366F" w:rsidRDefault="0073566C" w:rsidP="0073566C">
            <w:pPr>
              <w:pStyle w:val="DualTxt"/>
              <w:spacing w:before="40" w:after="80" w:line="240" w:lineRule="exact"/>
              <w:ind w:right="144"/>
              <w:jc w:val="center"/>
              <w:rPr>
                <w:rFonts w:hint="cs"/>
                <w:sz w:val="16"/>
                <w:szCs w:val="24"/>
                <w:rtl/>
              </w:rPr>
            </w:pPr>
            <w:r>
              <w:rPr>
                <w:rFonts w:hint="cs"/>
                <w:sz w:val="16"/>
                <w:szCs w:val="24"/>
                <w:rtl/>
              </w:rPr>
              <w:t>77.0 ٪</w:t>
            </w:r>
          </w:p>
        </w:tc>
        <w:tc>
          <w:tcPr>
            <w:tcW w:w="1545" w:type="dxa"/>
            <w:shd w:val="clear" w:color="auto" w:fill="auto"/>
            <w:vAlign w:val="bottom"/>
          </w:tcPr>
          <w:p w:rsidR="0073566C" w:rsidRPr="008D366F" w:rsidRDefault="0073566C" w:rsidP="0073566C">
            <w:pPr>
              <w:pStyle w:val="DualTxt"/>
              <w:spacing w:before="40" w:after="80" w:line="240" w:lineRule="exact"/>
              <w:ind w:right="144"/>
              <w:jc w:val="center"/>
              <w:rPr>
                <w:rFonts w:hint="cs"/>
                <w:sz w:val="16"/>
                <w:szCs w:val="24"/>
                <w:rtl/>
              </w:rPr>
            </w:pPr>
            <w:r>
              <w:rPr>
                <w:rFonts w:hint="cs"/>
                <w:sz w:val="16"/>
                <w:szCs w:val="24"/>
                <w:rtl/>
              </w:rPr>
              <w:t>+ 0.4</w:t>
            </w:r>
          </w:p>
        </w:tc>
        <w:tc>
          <w:tcPr>
            <w:tcW w:w="1545" w:type="dxa"/>
            <w:shd w:val="clear" w:color="auto" w:fill="auto"/>
            <w:vAlign w:val="bottom"/>
          </w:tcPr>
          <w:p w:rsidR="0073566C" w:rsidRPr="008D366F" w:rsidRDefault="0073566C" w:rsidP="0073566C">
            <w:pPr>
              <w:pStyle w:val="DualTxt"/>
              <w:spacing w:before="40" w:after="80" w:line="240" w:lineRule="exact"/>
              <w:ind w:right="144"/>
              <w:jc w:val="center"/>
              <w:rPr>
                <w:rFonts w:hint="cs"/>
                <w:sz w:val="16"/>
                <w:szCs w:val="24"/>
                <w:rtl/>
              </w:rPr>
            </w:pPr>
            <w:r>
              <w:rPr>
                <w:rFonts w:hint="cs"/>
                <w:sz w:val="16"/>
                <w:szCs w:val="24"/>
                <w:rtl/>
              </w:rPr>
              <w:t>- 2.9</w:t>
            </w:r>
          </w:p>
        </w:tc>
      </w:tr>
      <w:tr w:rsidR="0073566C" w:rsidRPr="008D366F">
        <w:trPr>
          <w:cantSplit/>
          <w:jc w:val="center"/>
        </w:trPr>
        <w:tc>
          <w:tcPr>
            <w:tcW w:w="1438" w:type="dxa"/>
            <w:shd w:val="clear" w:color="auto" w:fill="auto"/>
            <w:vAlign w:val="bottom"/>
          </w:tcPr>
          <w:p w:rsidR="0073566C" w:rsidRPr="008D366F" w:rsidRDefault="0073566C" w:rsidP="0073566C">
            <w:pPr>
              <w:pStyle w:val="DualTxt"/>
              <w:spacing w:before="40" w:after="80" w:line="240" w:lineRule="exact"/>
              <w:rPr>
                <w:rFonts w:hint="cs"/>
                <w:sz w:val="16"/>
                <w:szCs w:val="24"/>
                <w:rtl/>
              </w:rPr>
            </w:pPr>
          </w:p>
        </w:tc>
        <w:tc>
          <w:tcPr>
            <w:tcW w:w="1240" w:type="dxa"/>
            <w:shd w:val="clear" w:color="auto" w:fill="auto"/>
            <w:vAlign w:val="bottom"/>
          </w:tcPr>
          <w:p w:rsidR="0073566C" w:rsidRPr="008D366F" w:rsidRDefault="0073566C" w:rsidP="0073566C">
            <w:pPr>
              <w:pStyle w:val="DualTxt"/>
              <w:spacing w:before="40" w:after="80" w:line="240" w:lineRule="exact"/>
              <w:ind w:right="144"/>
              <w:jc w:val="center"/>
              <w:rPr>
                <w:rFonts w:hint="cs"/>
                <w:sz w:val="16"/>
                <w:szCs w:val="24"/>
                <w:rtl/>
              </w:rPr>
            </w:pPr>
          </w:p>
        </w:tc>
        <w:tc>
          <w:tcPr>
            <w:tcW w:w="1133" w:type="dxa"/>
            <w:shd w:val="clear" w:color="auto" w:fill="auto"/>
            <w:vAlign w:val="bottom"/>
          </w:tcPr>
          <w:p w:rsidR="0073566C" w:rsidRPr="008D366F" w:rsidRDefault="0073566C" w:rsidP="0073566C">
            <w:pPr>
              <w:pStyle w:val="DualTxt"/>
              <w:spacing w:before="40" w:after="80" w:line="240" w:lineRule="exact"/>
              <w:ind w:right="144"/>
              <w:jc w:val="center"/>
              <w:rPr>
                <w:rFonts w:hint="cs"/>
                <w:sz w:val="16"/>
                <w:szCs w:val="24"/>
                <w:rtl/>
              </w:rPr>
            </w:pPr>
          </w:p>
        </w:tc>
        <w:tc>
          <w:tcPr>
            <w:tcW w:w="1030" w:type="dxa"/>
            <w:shd w:val="clear" w:color="auto" w:fill="auto"/>
            <w:vAlign w:val="bottom"/>
          </w:tcPr>
          <w:p w:rsidR="0073566C" w:rsidRPr="008D366F" w:rsidRDefault="0073566C" w:rsidP="0073566C">
            <w:pPr>
              <w:pStyle w:val="DualTxt"/>
              <w:spacing w:before="40" w:after="80" w:line="240" w:lineRule="exact"/>
              <w:ind w:right="144"/>
              <w:jc w:val="center"/>
              <w:rPr>
                <w:rFonts w:hint="cs"/>
                <w:sz w:val="16"/>
                <w:szCs w:val="24"/>
                <w:rtl/>
              </w:rPr>
            </w:pPr>
          </w:p>
        </w:tc>
        <w:tc>
          <w:tcPr>
            <w:tcW w:w="1133" w:type="dxa"/>
            <w:shd w:val="clear" w:color="auto" w:fill="auto"/>
            <w:vAlign w:val="bottom"/>
          </w:tcPr>
          <w:p w:rsidR="0073566C" w:rsidRPr="008D366F" w:rsidRDefault="0073566C" w:rsidP="0073566C">
            <w:pPr>
              <w:pStyle w:val="DualTxt"/>
              <w:spacing w:before="40" w:after="80" w:line="240" w:lineRule="exact"/>
              <w:ind w:right="144"/>
              <w:jc w:val="center"/>
              <w:rPr>
                <w:rFonts w:hint="cs"/>
                <w:sz w:val="16"/>
                <w:szCs w:val="24"/>
                <w:rtl/>
              </w:rPr>
            </w:pPr>
          </w:p>
        </w:tc>
        <w:tc>
          <w:tcPr>
            <w:tcW w:w="1545" w:type="dxa"/>
            <w:shd w:val="clear" w:color="auto" w:fill="auto"/>
            <w:vAlign w:val="bottom"/>
          </w:tcPr>
          <w:p w:rsidR="0073566C" w:rsidRPr="008D366F" w:rsidRDefault="0073566C" w:rsidP="0073566C">
            <w:pPr>
              <w:pStyle w:val="DualTxt"/>
              <w:spacing w:before="40" w:after="80" w:line="240" w:lineRule="exact"/>
              <w:ind w:right="144"/>
              <w:jc w:val="center"/>
              <w:rPr>
                <w:rFonts w:hint="cs"/>
                <w:sz w:val="16"/>
                <w:szCs w:val="24"/>
                <w:rtl/>
              </w:rPr>
            </w:pPr>
          </w:p>
        </w:tc>
        <w:tc>
          <w:tcPr>
            <w:tcW w:w="1545" w:type="dxa"/>
            <w:shd w:val="clear" w:color="auto" w:fill="auto"/>
            <w:vAlign w:val="bottom"/>
          </w:tcPr>
          <w:p w:rsidR="0073566C" w:rsidRPr="008D366F" w:rsidRDefault="0073566C" w:rsidP="0073566C">
            <w:pPr>
              <w:pStyle w:val="DualTxt"/>
              <w:spacing w:before="40" w:after="80" w:line="240" w:lineRule="exact"/>
              <w:ind w:right="144"/>
              <w:jc w:val="center"/>
              <w:rPr>
                <w:rFonts w:hint="cs"/>
                <w:sz w:val="16"/>
                <w:szCs w:val="24"/>
                <w:rtl/>
              </w:rPr>
            </w:pPr>
          </w:p>
        </w:tc>
      </w:tr>
      <w:tr w:rsidR="0073566C" w:rsidRPr="008D366F">
        <w:trPr>
          <w:cantSplit/>
          <w:jc w:val="center"/>
        </w:trPr>
        <w:tc>
          <w:tcPr>
            <w:tcW w:w="1438" w:type="dxa"/>
            <w:shd w:val="clear" w:color="auto" w:fill="auto"/>
            <w:vAlign w:val="bottom"/>
          </w:tcPr>
          <w:p w:rsidR="0073566C" w:rsidRPr="00782FD4" w:rsidRDefault="0073566C" w:rsidP="0073566C">
            <w:pPr>
              <w:pStyle w:val="DualTxt"/>
              <w:spacing w:before="40" w:after="80" w:line="240" w:lineRule="exact"/>
              <w:rPr>
                <w:rFonts w:hint="cs"/>
                <w:b/>
                <w:bCs/>
                <w:sz w:val="16"/>
                <w:szCs w:val="24"/>
                <w:rtl/>
              </w:rPr>
            </w:pPr>
            <w:r>
              <w:rPr>
                <w:rFonts w:hint="cs"/>
                <w:b/>
                <w:bCs/>
                <w:sz w:val="16"/>
                <w:szCs w:val="24"/>
                <w:rtl/>
              </w:rPr>
              <w:t>25-49 عاما</w:t>
            </w:r>
          </w:p>
        </w:tc>
        <w:tc>
          <w:tcPr>
            <w:tcW w:w="1240" w:type="dxa"/>
            <w:shd w:val="clear" w:color="auto" w:fill="auto"/>
            <w:vAlign w:val="bottom"/>
          </w:tcPr>
          <w:p w:rsidR="0073566C" w:rsidRPr="008D366F" w:rsidRDefault="0073566C" w:rsidP="0073566C">
            <w:pPr>
              <w:pStyle w:val="DualTxt"/>
              <w:spacing w:before="40" w:after="80" w:line="240" w:lineRule="exact"/>
              <w:ind w:right="144"/>
              <w:jc w:val="center"/>
              <w:rPr>
                <w:rFonts w:hint="cs"/>
                <w:sz w:val="16"/>
                <w:szCs w:val="24"/>
                <w:rtl/>
              </w:rPr>
            </w:pPr>
            <w:r>
              <w:rPr>
                <w:rFonts w:hint="cs"/>
                <w:sz w:val="16"/>
                <w:szCs w:val="24"/>
                <w:rtl/>
              </w:rPr>
              <w:t>84.2 ٪</w:t>
            </w:r>
          </w:p>
        </w:tc>
        <w:tc>
          <w:tcPr>
            <w:tcW w:w="1133" w:type="dxa"/>
            <w:shd w:val="clear" w:color="auto" w:fill="auto"/>
            <w:vAlign w:val="bottom"/>
          </w:tcPr>
          <w:p w:rsidR="0073566C" w:rsidRPr="008D366F" w:rsidRDefault="0073566C" w:rsidP="0073566C">
            <w:pPr>
              <w:pStyle w:val="DualTxt"/>
              <w:spacing w:before="40" w:after="80" w:line="240" w:lineRule="exact"/>
              <w:ind w:right="144"/>
              <w:jc w:val="center"/>
              <w:rPr>
                <w:rFonts w:hint="cs"/>
                <w:sz w:val="16"/>
                <w:szCs w:val="24"/>
                <w:rtl/>
              </w:rPr>
            </w:pPr>
            <w:r>
              <w:rPr>
                <w:rFonts w:hint="cs"/>
                <w:sz w:val="16"/>
                <w:szCs w:val="24"/>
                <w:rtl/>
              </w:rPr>
              <w:t>83.2 ٪</w:t>
            </w:r>
          </w:p>
        </w:tc>
        <w:tc>
          <w:tcPr>
            <w:tcW w:w="1030" w:type="dxa"/>
            <w:shd w:val="clear" w:color="auto" w:fill="auto"/>
            <w:vAlign w:val="bottom"/>
          </w:tcPr>
          <w:p w:rsidR="0073566C" w:rsidRPr="008D366F" w:rsidRDefault="0073566C" w:rsidP="0073566C">
            <w:pPr>
              <w:pStyle w:val="DualTxt"/>
              <w:spacing w:before="40" w:after="80" w:line="240" w:lineRule="exact"/>
              <w:ind w:right="144"/>
              <w:jc w:val="center"/>
              <w:rPr>
                <w:rFonts w:hint="cs"/>
                <w:sz w:val="16"/>
                <w:szCs w:val="24"/>
                <w:rtl/>
              </w:rPr>
            </w:pPr>
            <w:r>
              <w:rPr>
                <w:rFonts w:hint="cs"/>
                <w:sz w:val="16"/>
                <w:szCs w:val="24"/>
                <w:rtl/>
              </w:rPr>
              <w:t>84.9 ٪</w:t>
            </w:r>
          </w:p>
        </w:tc>
        <w:tc>
          <w:tcPr>
            <w:tcW w:w="1133" w:type="dxa"/>
            <w:shd w:val="clear" w:color="auto" w:fill="auto"/>
            <w:vAlign w:val="bottom"/>
          </w:tcPr>
          <w:p w:rsidR="0073566C" w:rsidRPr="008D366F" w:rsidRDefault="0073566C" w:rsidP="0073566C">
            <w:pPr>
              <w:pStyle w:val="DualTxt"/>
              <w:spacing w:before="40" w:after="80" w:line="240" w:lineRule="exact"/>
              <w:ind w:right="144"/>
              <w:jc w:val="center"/>
              <w:rPr>
                <w:rFonts w:hint="cs"/>
                <w:sz w:val="16"/>
                <w:szCs w:val="24"/>
                <w:rtl/>
              </w:rPr>
            </w:pPr>
            <w:r>
              <w:rPr>
                <w:rFonts w:hint="cs"/>
                <w:sz w:val="16"/>
                <w:szCs w:val="24"/>
                <w:rtl/>
              </w:rPr>
              <w:t>85.6 ٪</w:t>
            </w:r>
          </w:p>
        </w:tc>
        <w:tc>
          <w:tcPr>
            <w:tcW w:w="1545" w:type="dxa"/>
            <w:shd w:val="clear" w:color="auto" w:fill="auto"/>
            <w:vAlign w:val="bottom"/>
          </w:tcPr>
          <w:p w:rsidR="0073566C" w:rsidRPr="008D366F" w:rsidRDefault="0073566C" w:rsidP="0073566C">
            <w:pPr>
              <w:pStyle w:val="DualTxt"/>
              <w:spacing w:before="40" w:after="80" w:line="240" w:lineRule="exact"/>
              <w:ind w:right="144"/>
              <w:jc w:val="center"/>
              <w:rPr>
                <w:rFonts w:hint="cs"/>
                <w:sz w:val="16"/>
                <w:szCs w:val="24"/>
                <w:rtl/>
              </w:rPr>
            </w:pPr>
            <w:r>
              <w:rPr>
                <w:rFonts w:hint="cs"/>
                <w:sz w:val="16"/>
                <w:szCs w:val="24"/>
                <w:rtl/>
              </w:rPr>
              <w:t>+ 0.7</w:t>
            </w:r>
          </w:p>
        </w:tc>
        <w:tc>
          <w:tcPr>
            <w:tcW w:w="1545" w:type="dxa"/>
            <w:shd w:val="clear" w:color="auto" w:fill="auto"/>
            <w:vAlign w:val="bottom"/>
          </w:tcPr>
          <w:p w:rsidR="0073566C" w:rsidRPr="008D366F" w:rsidRDefault="0073566C" w:rsidP="0073566C">
            <w:pPr>
              <w:pStyle w:val="DualTxt"/>
              <w:spacing w:before="40" w:after="80" w:line="240" w:lineRule="exact"/>
              <w:ind w:right="144"/>
              <w:jc w:val="center"/>
              <w:rPr>
                <w:rFonts w:hint="cs"/>
                <w:sz w:val="16"/>
                <w:szCs w:val="24"/>
                <w:rtl/>
              </w:rPr>
            </w:pPr>
            <w:r>
              <w:rPr>
                <w:rFonts w:hint="cs"/>
                <w:sz w:val="16"/>
                <w:szCs w:val="24"/>
                <w:rtl/>
              </w:rPr>
              <w:t>+ 1.4</w:t>
            </w:r>
          </w:p>
        </w:tc>
      </w:tr>
      <w:tr w:rsidR="0073566C" w:rsidRPr="008D366F">
        <w:trPr>
          <w:cantSplit/>
          <w:jc w:val="center"/>
        </w:trPr>
        <w:tc>
          <w:tcPr>
            <w:tcW w:w="1438" w:type="dxa"/>
            <w:shd w:val="clear" w:color="auto" w:fill="auto"/>
            <w:vAlign w:val="bottom"/>
          </w:tcPr>
          <w:p w:rsidR="0073566C" w:rsidRPr="008D366F" w:rsidRDefault="0073566C" w:rsidP="0073566C">
            <w:pPr>
              <w:pStyle w:val="DualTxt"/>
              <w:spacing w:before="40" w:after="80" w:line="240" w:lineRule="exact"/>
              <w:rPr>
                <w:rFonts w:hint="cs"/>
                <w:sz w:val="16"/>
                <w:szCs w:val="24"/>
                <w:rtl/>
              </w:rPr>
            </w:pPr>
            <w:r>
              <w:rPr>
                <w:rFonts w:hint="cs"/>
                <w:sz w:val="16"/>
                <w:szCs w:val="24"/>
                <w:rtl/>
              </w:rPr>
              <w:t>الرجال</w:t>
            </w:r>
          </w:p>
        </w:tc>
        <w:tc>
          <w:tcPr>
            <w:tcW w:w="1240" w:type="dxa"/>
            <w:shd w:val="clear" w:color="auto" w:fill="auto"/>
            <w:vAlign w:val="bottom"/>
          </w:tcPr>
          <w:p w:rsidR="0073566C" w:rsidRPr="008D366F" w:rsidRDefault="0073566C" w:rsidP="0073566C">
            <w:pPr>
              <w:pStyle w:val="DualTxt"/>
              <w:spacing w:before="40" w:after="80" w:line="240" w:lineRule="exact"/>
              <w:ind w:right="144"/>
              <w:jc w:val="center"/>
              <w:rPr>
                <w:rFonts w:hint="cs"/>
                <w:sz w:val="16"/>
                <w:szCs w:val="24"/>
                <w:rtl/>
              </w:rPr>
            </w:pPr>
            <w:r>
              <w:rPr>
                <w:rFonts w:hint="cs"/>
                <w:sz w:val="16"/>
                <w:szCs w:val="24"/>
                <w:rtl/>
              </w:rPr>
              <w:t>91.9 ٪</w:t>
            </w:r>
          </w:p>
        </w:tc>
        <w:tc>
          <w:tcPr>
            <w:tcW w:w="1133" w:type="dxa"/>
            <w:shd w:val="clear" w:color="auto" w:fill="auto"/>
            <w:vAlign w:val="bottom"/>
          </w:tcPr>
          <w:p w:rsidR="0073566C" w:rsidRPr="008D366F" w:rsidRDefault="0073566C" w:rsidP="0073566C">
            <w:pPr>
              <w:pStyle w:val="DualTxt"/>
              <w:spacing w:before="40" w:after="80" w:line="240" w:lineRule="exact"/>
              <w:ind w:right="144"/>
              <w:jc w:val="center"/>
              <w:rPr>
                <w:rFonts w:hint="cs"/>
                <w:sz w:val="16"/>
                <w:szCs w:val="24"/>
                <w:rtl/>
              </w:rPr>
            </w:pPr>
            <w:r>
              <w:rPr>
                <w:rFonts w:hint="cs"/>
                <w:sz w:val="16"/>
                <w:szCs w:val="24"/>
                <w:rtl/>
              </w:rPr>
              <w:t>90.4 ٪</w:t>
            </w:r>
          </w:p>
        </w:tc>
        <w:tc>
          <w:tcPr>
            <w:tcW w:w="1030" w:type="dxa"/>
            <w:shd w:val="clear" w:color="auto" w:fill="auto"/>
            <w:vAlign w:val="bottom"/>
          </w:tcPr>
          <w:p w:rsidR="0073566C" w:rsidRPr="008D366F" w:rsidRDefault="0073566C" w:rsidP="0073566C">
            <w:pPr>
              <w:pStyle w:val="DualTxt"/>
              <w:spacing w:before="40" w:after="80" w:line="240" w:lineRule="exact"/>
              <w:ind w:right="144"/>
              <w:jc w:val="center"/>
              <w:rPr>
                <w:rFonts w:hint="cs"/>
                <w:sz w:val="16"/>
                <w:szCs w:val="24"/>
                <w:rtl/>
              </w:rPr>
            </w:pPr>
            <w:r>
              <w:rPr>
                <w:rFonts w:hint="cs"/>
                <w:sz w:val="16"/>
                <w:szCs w:val="24"/>
                <w:rtl/>
              </w:rPr>
              <w:t>92.0 ٪</w:t>
            </w:r>
          </w:p>
        </w:tc>
        <w:tc>
          <w:tcPr>
            <w:tcW w:w="1133" w:type="dxa"/>
            <w:shd w:val="clear" w:color="auto" w:fill="auto"/>
            <w:vAlign w:val="bottom"/>
          </w:tcPr>
          <w:p w:rsidR="0073566C" w:rsidRPr="008D366F" w:rsidRDefault="0073566C" w:rsidP="0073566C">
            <w:pPr>
              <w:pStyle w:val="DualTxt"/>
              <w:spacing w:before="40" w:after="80" w:line="240" w:lineRule="exact"/>
              <w:ind w:right="144"/>
              <w:jc w:val="center"/>
              <w:rPr>
                <w:rFonts w:hint="cs"/>
                <w:sz w:val="16"/>
                <w:szCs w:val="24"/>
                <w:rtl/>
              </w:rPr>
            </w:pPr>
            <w:r>
              <w:rPr>
                <w:rFonts w:hint="cs"/>
                <w:sz w:val="16"/>
                <w:szCs w:val="24"/>
                <w:rtl/>
              </w:rPr>
              <w:t>91.6 ٪</w:t>
            </w:r>
          </w:p>
        </w:tc>
        <w:tc>
          <w:tcPr>
            <w:tcW w:w="1545" w:type="dxa"/>
            <w:shd w:val="clear" w:color="auto" w:fill="auto"/>
            <w:vAlign w:val="bottom"/>
          </w:tcPr>
          <w:p w:rsidR="0073566C" w:rsidRPr="008D366F" w:rsidRDefault="0073566C" w:rsidP="0073566C">
            <w:pPr>
              <w:pStyle w:val="DualTxt"/>
              <w:spacing w:before="40" w:after="80" w:line="240" w:lineRule="exact"/>
              <w:ind w:right="144"/>
              <w:jc w:val="center"/>
              <w:rPr>
                <w:rFonts w:hint="cs"/>
                <w:sz w:val="16"/>
                <w:szCs w:val="24"/>
                <w:rtl/>
              </w:rPr>
            </w:pPr>
            <w:r>
              <w:rPr>
                <w:rFonts w:hint="cs"/>
                <w:sz w:val="16"/>
                <w:szCs w:val="24"/>
                <w:rtl/>
              </w:rPr>
              <w:t>- 0.4</w:t>
            </w:r>
          </w:p>
        </w:tc>
        <w:tc>
          <w:tcPr>
            <w:tcW w:w="1545" w:type="dxa"/>
            <w:shd w:val="clear" w:color="auto" w:fill="auto"/>
            <w:vAlign w:val="bottom"/>
          </w:tcPr>
          <w:p w:rsidR="0073566C" w:rsidRPr="008D366F" w:rsidRDefault="0073566C" w:rsidP="0073566C">
            <w:pPr>
              <w:pStyle w:val="DualTxt"/>
              <w:spacing w:before="40" w:after="80" w:line="240" w:lineRule="exact"/>
              <w:ind w:right="144"/>
              <w:jc w:val="center"/>
              <w:rPr>
                <w:rFonts w:hint="cs"/>
                <w:sz w:val="16"/>
                <w:szCs w:val="24"/>
                <w:rtl/>
              </w:rPr>
            </w:pPr>
            <w:r>
              <w:rPr>
                <w:rFonts w:hint="cs"/>
                <w:sz w:val="16"/>
                <w:szCs w:val="24"/>
                <w:rtl/>
              </w:rPr>
              <w:t>- 0.3</w:t>
            </w:r>
          </w:p>
        </w:tc>
      </w:tr>
      <w:tr w:rsidR="0073566C" w:rsidRPr="008D366F">
        <w:trPr>
          <w:cantSplit/>
          <w:jc w:val="center"/>
        </w:trPr>
        <w:tc>
          <w:tcPr>
            <w:tcW w:w="1438" w:type="dxa"/>
            <w:shd w:val="clear" w:color="auto" w:fill="auto"/>
            <w:vAlign w:val="bottom"/>
          </w:tcPr>
          <w:p w:rsidR="0073566C" w:rsidRPr="008D366F" w:rsidRDefault="0073566C" w:rsidP="0073566C">
            <w:pPr>
              <w:pStyle w:val="DualTxt"/>
              <w:spacing w:before="40" w:after="80" w:line="240" w:lineRule="exact"/>
              <w:rPr>
                <w:rFonts w:hint="cs"/>
                <w:sz w:val="16"/>
                <w:szCs w:val="24"/>
                <w:rtl/>
              </w:rPr>
            </w:pPr>
            <w:r>
              <w:rPr>
                <w:rFonts w:hint="cs"/>
                <w:sz w:val="16"/>
                <w:szCs w:val="24"/>
                <w:rtl/>
              </w:rPr>
              <w:t>النساء</w:t>
            </w:r>
          </w:p>
        </w:tc>
        <w:tc>
          <w:tcPr>
            <w:tcW w:w="1240" w:type="dxa"/>
            <w:shd w:val="clear" w:color="auto" w:fill="auto"/>
            <w:vAlign w:val="bottom"/>
          </w:tcPr>
          <w:p w:rsidR="0073566C" w:rsidRPr="008D366F" w:rsidRDefault="0073566C" w:rsidP="0073566C">
            <w:pPr>
              <w:pStyle w:val="DualTxt"/>
              <w:spacing w:before="40" w:after="80" w:line="240" w:lineRule="exact"/>
              <w:ind w:right="144"/>
              <w:jc w:val="center"/>
              <w:rPr>
                <w:rFonts w:hint="cs"/>
                <w:sz w:val="16"/>
                <w:szCs w:val="24"/>
                <w:rtl/>
              </w:rPr>
            </w:pPr>
            <w:r>
              <w:rPr>
                <w:rFonts w:hint="cs"/>
                <w:sz w:val="16"/>
                <w:szCs w:val="24"/>
                <w:rtl/>
              </w:rPr>
              <w:t>76.3 ٪</w:t>
            </w:r>
          </w:p>
        </w:tc>
        <w:tc>
          <w:tcPr>
            <w:tcW w:w="1133" w:type="dxa"/>
            <w:shd w:val="clear" w:color="auto" w:fill="auto"/>
            <w:vAlign w:val="bottom"/>
          </w:tcPr>
          <w:p w:rsidR="0073566C" w:rsidRPr="008D366F" w:rsidRDefault="0073566C" w:rsidP="0073566C">
            <w:pPr>
              <w:pStyle w:val="DualTxt"/>
              <w:spacing w:before="40" w:after="80" w:line="240" w:lineRule="exact"/>
              <w:ind w:right="144"/>
              <w:jc w:val="center"/>
              <w:rPr>
                <w:rFonts w:hint="cs"/>
                <w:sz w:val="16"/>
                <w:szCs w:val="24"/>
                <w:rtl/>
              </w:rPr>
            </w:pPr>
            <w:r>
              <w:rPr>
                <w:rFonts w:hint="cs"/>
                <w:sz w:val="16"/>
                <w:szCs w:val="24"/>
                <w:rtl/>
              </w:rPr>
              <w:t>75.8 ٪</w:t>
            </w:r>
          </w:p>
        </w:tc>
        <w:tc>
          <w:tcPr>
            <w:tcW w:w="1030" w:type="dxa"/>
            <w:shd w:val="clear" w:color="auto" w:fill="auto"/>
            <w:vAlign w:val="bottom"/>
          </w:tcPr>
          <w:p w:rsidR="0073566C" w:rsidRPr="008D366F" w:rsidRDefault="0073566C" w:rsidP="0073566C">
            <w:pPr>
              <w:pStyle w:val="DualTxt"/>
              <w:spacing w:before="40" w:after="80" w:line="240" w:lineRule="exact"/>
              <w:ind w:right="144"/>
              <w:jc w:val="center"/>
              <w:rPr>
                <w:rFonts w:hint="cs"/>
                <w:sz w:val="16"/>
                <w:szCs w:val="24"/>
                <w:rtl/>
              </w:rPr>
            </w:pPr>
            <w:r>
              <w:rPr>
                <w:rFonts w:hint="cs"/>
                <w:sz w:val="16"/>
                <w:szCs w:val="24"/>
                <w:rtl/>
              </w:rPr>
              <w:t>77.5 ٪</w:t>
            </w:r>
          </w:p>
        </w:tc>
        <w:tc>
          <w:tcPr>
            <w:tcW w:w="1133" w:type="dxa"/>
            <w:shd w:val="clear" w:color="auto" w:fill="auto"/>
            <w:vAlign w:val="bottom"/>
          </w:tcPr>
          <w:p w:rsidR="0073566C" w:rsidRPr="008D366F" w:rsidRDefault="0073566C" w:rsidP="0073566C">
            <w:pPr>
              <w:pStyle w:val="DualTxt"/>
              <w:spacing w:before="40" w:after="80" w:line="240" w:lineRule="exact"/>
              <w:ind w:right="144"/>
              <w:jc w:val="center"/>
              <w:rPr>
                <w:rFonts w:hint="cs"/>
                <w:sz w:val="16"/>
                <w:szCs w:val="24"/>
                <w:rtl/>
              </w:rPr>
            </w:pPr>
            <w:r>
              <w:rPr>
                <w:rFonts w:hint="cs"/>
                <w:sz w:val="16"/>
                <w:szCs w:val="24"/>
                <w:rtl/>
              </w:rPr>
              <w:t>79.4 ٪</w:t>
            </w:r>
          </w:p>
        </w:tc>
        <w:tc>
          <w:tcPr>
            <w:tcW w:w="1545" w:type="dxa"/>
            <w:shd w:val="clear" w:color="auto" w:fill="auto"/>
            <w:vAlign w:val="bottom"/>
          </w:tcPr>
          <w:p w:rsidR="0073566C" w:rsidRPr="008D366F" w:rsidRDefault="0073566C" w:rsidP="0073566C">
            <w:pPr>
              <w:pStyle w:val="DualTxt"/>
              <w:spacing w:before="40" w:after="80" w:line="240" w:lineRule="exact"/>
              <w:ind w:right="144"/>
              <w:jc w:val="center"/>
              <w:rPr>
                <w:rFonts w:hint="cs"/>
                <w:sz w:val="16"/>
                <w:szCs w:val="24"/>
                <w:rtl/>
              </w:rPr>
            </w:pPr>
            <w:r>
              <w:rPr>
                <w:rFonts w:hint="cs"/>
                <w:sz w:val="16"/>
                <w:szCs w:val="24"/>
                <w:rtl/>
              </w:rPr>
              <w:t>+ 1.9</w:t>
            </w:r>
          </w:p>
        </w:tc>
        <w:tc>
          <w:tcPr>
            <w:tcW w:w="1545" w:type="dxa"/>
            <w:shd w:val="clear" w:color="auto" w:fill="auto"/>
            <w:vAlign w:val="bottom"/>
          </w:tcPr>
          <w:p w:rsidR="0073566C" w:rsidRPr="008D366F" w:rsidRDefault="0073566C" w:rsidP="0073566C">
            <w:pPr>
              <w:pStyle w:val="DualTxt"/>
              <w:spacing w:before="40" w:after="80" w:line="240" w:lineRule="exact"/>
              <w:ind w:right="144"/>
              <w:jc w:val="center"/>
              <w:rPr>
                <w:rFonts w:hint="cs"/>
                <w:sz w:val="16"/>
                <w:szCs w:val="24"/>
                <w:rtl/>
              </w:rPr>
            </w:pPr>
            <w:r>
              <w:rPr>
                <w:rFonts w:hint="cs"/>
                <w:sz w:val="16"/>
                <w:szCs w:val="24"/>
                <w:rtl/>
              </w:rPr>
              <w:t>+ 3.1</w:t>
            </w:r>
          </w:p>
        </w:tc>
      </w:tr>
      <w:tr w:rsidR="0073566C" w:rsidRPr="008D366F">
        <w:trPr>
          <w:cantSplit/>
          <w:jc w:val="center"/>
        </w:trPr>
        <w:tc>
          <w:tcPr>
            <w:tcW w:w="1438" w:type="dxa"/>
            <w:shd w:val="clear" w:color="auto" w:fill="auto"/>
            <w:vAlign w:val="bottom"/>
          </w:tcPr>
          <w:p w:rsidR="0073566C" w:rsidRPr="008D366F" w:rsidRDefault="0073566C" w:rsidP="0073566C">
            <w:pPr>
              <w:pStyle w:val="DualTxt"/>
              <w:spacing w:before="40" w:after="80" w:line="240" w:lineRule="exact"/>
              <w:rPr>
                <w:rFonts w:hint="cs"/>
                <w:sz w:val="16"/>
                <w:szCs w:val="24"/>
                <w:rtl/>
              </w:rPr>
            </w:pPr>
          </w:p>
        </w:tc>
        <w:tc>
          <w:tcPr>
            <w:tcW w:w="1240" w:type="dxa"/>
            <w:shd w:val="clear" w:color="auto" w:fill="auto"/>
            <w:vAlign w:val="bottom"/>
          </w:tcPr>
          <w:p w:rsidR="0073566C" w:rsidRPr="008D366F" w:rsidRDefault="0073566C" w:rsidP="0073566C">
            <w:pPr>
              <w:pStyle w:val="DualTxt"/>
              <w:spacing w:before="40" w:after="80" w:line="240" w:lineRule="exact"/>
              <w:ind w:right="144"/>
              <w:jc w:val="center"/>
              <w:rPr>
                <w:rFonts w:hint="cs"/>
                <w:sz w:val="16"/>
                <w:szCs w:val="24"/>
                <w:rtl/>
              </w:rPr>
            </w:pPr>
          </w:p>
        </w:tc>
        <w:tc>
          <w:tcPr>
            <w:tcW w:w="1133" w:type="dxa"/>
            <w:shd w:val="clear" w:color="auto" w:fill="auto"/>
            <w:vAlign w:val="bottom"/>
          </w:tcPr>
          <w:p w:rsidR="0073566C" w:rsidRPr="008D366F" w:rsidRDefault="0073566C" w:rsidP="0073566C">
            <w:pPr>
              <w:pStyle w:val="DualTxt"/>
              <w:spacing w:before="40" w:after="80" w:line="240" w:lineRule="exact"/>
              <w:ind w:right="144"/>
              <w:jc w:val="center"/>
              <w:rPr>
                <w:rFonts w:hint="cs"/>
                <w:sz w:val="16"/>
                <w:szCs w:val="24"/>
                <w:rtl/>
              </w:rPr>
            </w:pPr>
          </w:p>
        </w:tc>
        <w:tc>
          <w:tcPr>
            <w:tcW w:w="1030" w:type="dxa"/>
            <w:shd w:val="clear" w:color="auto" w:fill="auto"/>
            <w:vAlign w:val="bottom"/>
          </w:tcPr>
          <w:p w:rsidR="0073566C" w:rsidRPr="008D366F" w:rsidRDefault="0073566C" w:rsidP="0073566C">
            <w:pPr>
              <w:pStyle w:val="DualTxt"/>
              <w:spacing w:before="40" w:after="80" w:line="240" w:lineRule="exact"/>
              <w:ind w:right="144"/>
              <w:jc w:val="center"/>
              <w:rPr>
                <w:rFonts w:hint="cs"/>
                <w:sz w:val="16"/>
                <w:szCs w:val="24"/>
                <w:rtl/>
              </w:rPr>
            </w:pPr>
          </w:p>
        </w:tc>
        <w:tc>
          <w:tcPr>
            <w:tcW w:w="1133" w:type="dxa"/>
            <w:shd w:val="clear" w:color="auto" w:fill="auto"/>
            <w:vAlign w:val="bottom"/>
          </w:tcPr>
          <w:p w:rsidR="0073566C" w:rsidRPr="008D366F" w:rsidRDefault="0073566C" w:rsidP="0073566C">
            <w:pPr>
              <w:pStyle w:val="DualTxt"/>
              <w:spacing w:before="40" w:after="80" w:line="240" w:lineRule="exact"/>
              <w:ind w:right="144"/>
              <w:jc w:val="center"/>
              <w:rPr>
                <w:rFonts w:hint="cs"/>
                <w:sz w:val="16"/>
                <w:szCs w:val="24"/>
                <w:rtl/>
              </w:rPr>
            </w:pPr>
          </w:p>
        </w:tc>
        <w:tc>
          <w:tcPr>
            <w:tcW w:w="1545" w:type="dxa"/>
            <w:shd w:val="clear" w:color="auto" w:fill="auto"/>
            <w:vAlign w:val="bottom"/>
          </w:tcPr>
          <w:p w:rsidR="0073566C" w:rsidRPr="008D366F" w:rsidRDefault="0073566C" w:rsidP="0073566C">
            <w:pPr>
              <w:pStyle w:val="DualTxt"/>
              <w:spacing w:before="40" w:after="80" w:line="240" w:lineRule="exact"/>
              <w:ind w:right="144"/>
              <w:jc w:val="center"/>
              <w:rPr>
                <w:rFonts w:hint="cs"/>
                <w:sz w:val="16"/>
                <w:szCs w:val="24"/>
                <w:rtl/>
              </w:rPr>
            </w:pPr>
          </w:p>
        </w:tc>
        <w:tc>
          <w:tcPr>
            <w:tcW w:w="1545" w:type="dxa"/>
            <w:shd w:val="clear" w:color="auto" w:fill="auto"/>
            <w:vAlign w:val="bottom"/>
          </w:tcPr>
          <w:p w:rsidR="0073566C" w:rsidRPr="008D366F" w:rsidRDefault="0073566C" w:rsidP="0073566C">
            <w:pPr>
              <w:pStyle w:val="DualTxt"/>
              <w:spacing w:before="40" w:after="80" w:line="240" w:lineRule="exact"/>
              <w:ind w:right="144"/>
              <w:jc w:val="center"/>
              <w:rPr>
                <w:rFonts w:hint="cs"/>
                <w:sz w:val="16"/>
                <w:szCs w:val="24"/>
                <w:rtl/>
              </w:rPr>
            </w:pPr>
          </w:p>
        </w:tc>
      </w:tr>
      <w:tr w:rsidR="0073566C" w:rsidRPr="008D366F">
        <w:trPr>
          <w:cantSplit/>
          <w:jc w:val="center"/>
        </w:trPr>
        <w:tc>
          <w:tcPr>
            <w:tcW w:w="1438" w:type="dxa"/>
            <w:shd w:val="clear" w:color="auto" w:fill="auto"/>
            <w:vAlign w:val="bottom"/>
          </w:tcPr>
          <w:p w:rsidR="0073566C" w:rsidRPr="00782FD4" w:rsidRDefault="0073566C" w:rsidP="0073566C">
            <w:pPr>
              <w:pStyle w:val="DualTxt"/>
              <w:spacing w:before="40" w:after="80" w:line="240" w:lineRule="exact"/>
              <w:rPr>
                <w:rFonts w:hint="cs"/>
                <w:b/>
                <w:bCs/>
                <w:sz w:val="16"/>
                <w:szCs w:val="24"/>
                <w:rtl/>
              </w:rPr>
            </w:pPr>
            <w:r w:rsidRPr="00782FD4">
              <w:rPr>
                <w:rFonts w:hint="cs"/>
                <w:b/>
                <w:bCs/>
                <w:sz w:val="16"/>
                <w:szCs w:val="24"/>
                <w:rtl/>
              </w:rPr>
              <w:t>50-64 عاما</w:t>
            </w:r>
          </w:p>
        </w:tc>
        <w:tc>
          <w:tcPr>
            <w:tcW w:w="1240" w:type="dxa"/>
            <w:shd w:val="clear" w:color="auto" w:fill="auto"/>
            <w:vAlign w:val="bottom"/>
          </w:tcPr>
          <w:p w:rsidR="0073566C" w:rsidRPr="008D366F" w:rsidRDefault="0073566C" w:rsidP="0073566C">
            <w:pPr>
              <w:pStyle w:val="DualTxt"/>
              <w:spacing w:before="40" w:after="80" w:line="240" w:lineRule="exact"/>
              <w:ind w:right="144"/>
              <w:jc w:val="center"/>
              <w:rPr>
                <w:rFonts w:hint="cs"/>
                <w:sz w:val="16"/>
                <w:szCs w:val="24"/>
                <w:rtl/>
              </w:rPr>
            </w:pPr>
            <w:r>
              <w:rPr>
                <w:rFonts w:hint="cs"/>
                <w:sz w:val="16"/>
                <w:szCs w:val="24"/>
                <w:rtl/>
              </w:rPr>
              <w:t>40.6 ٪</w:t>
            </w:r>
          </w:p>
        </w:tc>
        <w:tc>
          <w:tcPr>
            <w:tcW w:w="1133" w:type="dxa"/>
            <w:shd w:val="clear" w:color="auto" w:fill="auto"/>
            <w:vAlign w:val="bottom"/>
          </w:tcPr>
          <w:p w:rsidR="0073566C" w:rsidRPr="008D366F" w:rsidRDefault="0073566C" w:rsidP="0073566C">
            <w:pPr>
              <w:pStyle w:val="DualTxt"/>
              <w:spacing w:before="40" w:after="80" w:line="240" w:lineRule="exact"/>
              <w:ind w:right="144"/>
              <w:jc w:val="center"/>
              <w:rPr>
                <w:rFonts w:hint="cs"/>
                <w:sz w:val="16"/>
                <w:szCs w:val="24"/>
                <w:rtl/>
              </w:rPr>
            </w:pPr>
            <w:r>
              <w:rPr>
                <w:rFonts w:hint="cs"/>
                <w:sz w:val="16"/>
                <w:szCs w:val="24"/>
                <w:rtl/>
              </w:rPr>
              <w:t>42.1 ٪</w:t>
            </w:r>
          </w:p>
        </w:tc>
        <w:tc>
          <w:tcPr>
            <w:tcW w:w="1030" w:type="dxa"/>
            <w:shd w:val="clear" w:color="auto" w:fill="auto"/>
            <w:vAlign w:val="bottom"/>
          </w:tcPr>
          <w:p w:rsidR="0073566C" w:rsidRPr="008D366F" w:rsidRDefault="0073566C" w:rsidP="0073566C">
            <w:pPr>
              <w:pStyle w:val="DualTxt"/>
              <w:spacing w:before="40" w:after="80" w:line="240" w:lineRule="exact"/>
              <w:ind w:right="144"/>
              <w:jc w:val="center"/>
              <w:rPr>
                <w:rFonts w:hint="cs"/>
                <w:sz w:val="16"/>
                <w:szCs w:val="24"/>
                <w:rtl/>
              </w:rPr>
            </w:pPr>
            <w:r>
              <w:rPr>
                <w:rFonts w:hint="cs"/>
                <w:sz w:val="16"/>
                <w:szCs w:val="24"/>
                <w:rtl/>
              </w:rPr>
              <w:t>43.8 ٪</w:t>
            </w:r>
          </w:p>
        </w:tc>
        <w:tc>
          <w:tcPr>
            <w:tcW w:w="1133" w:type="dxa"/>
            <w:shd w:val="clear" w:color="auto" w:fill="auto"/>
            <w:vAlign w:val="bottom"/>
          </w:tcPr>
          <w:p w:rsidR="0073566C" w:rsidRPr="008D366F" w:rsidRDefault="0073566C" w:rsidP="0073566C">
            <w:pPr>
              <w:pStyle w:val="DualTxt"/>
              <w:spacing w:before="40" w:after="80" w:line="240" w:lineRule="exact"/>
              <w:ind w:right="144"/>
              <w:jc w:val="center"/>
              <w:rPr>
                <w:rFonts w:hint="cs"/>
                <w:sz w:val="16"/>
                <w:szCs w:val="24"/>
                <w:rtl/>
              </w:rPr>
            </w:pPr>
            <w:r>
              <w:rPr>
                <w:rFonts w:hint="cs"/>
                <w:sz w:val="16"/>
                <w:szCs w:val="24"/>
                <w:rtl/>
              </w:rPr>
              <w:t>45.9 ٪</w:t>
            </w:r>
          </w:p>
        </w:tc>
        <w:tc>
          <w:tcPr>
            <w:tcW w:w="1545" w:type="dxa"/>
            <w:shd w:val="clear" w:color="auto" w:fill="auto"/>
            <w:vAlign w:val="bottom"/>
          </w:tcPr>
          <w:p w:rsidR="0073566C" w:rsidRPr="008D366F" w:rsidRDefault="0073566C" w:rsidP="0073566C">
            <w:pPr>
              <w:pStyle w:val="DualTxt"/>
              <w:spacing w:before="40" w:after="80" w:line="240" w:lineRule="exact"/>
              <w:ind w:right="144"/>
              <w:jc w:val="center"/>
              <w:rPr>
                <w:rFonts w:hint="cs"/>
                <w:sz w:val="16"/>
                <w:szCs w:val="24"/>
                <w:rtl/>
              </w:rPr>
            </w:pPr>
            <w:r>
              <w:rPr>
                <w:rFonts w:hint="cs"/>
                <w:sz w:val="16"/>
                <w:szCs w:val="24"/>
                <w:rtl/>
              </w:rPr>
              <w:t>+ 2.1</w:t>
            </w:r>
          </w:p>
        </w:tc>
        <w:tc>
          <w:tcPr>
            <w:tcW w:w="1545" w:type="dxa"/>
            <w:shd w:val="clear" w:color="auto" w:fill="auto"/>
            <w:vAlign w:val="bottom"/>
          </w:tcPr>
          <w:p w:rsidR="0073566C" w:rsidRPr="008D366F" w:rsidRDefault="0073566C" w:rsidP="0073566C">
            <w:pPr>
              <w:pStyle w:val="DualTxt"/>
              <w:spacing w:before="40" w:after="80" w:line="240" w:lineRule="exact"/>
              <w:ind w:right="144"/>
              <w:jc w:val="center"/>
              <w:rPr>
                <w:rFonts w:hint="cs"/>
                <w:sz w:val="16"/>
                <w:szCs w:val="24"/>
                <w:rtl/>
              </w:rPr>
            </w:pPr>
            <w:r>
              <w:rPr>
                <w:rFonts w:hint="cs"/>
                <w:sz w:val="16"/>
                <w:szCs w:val="24"/>
                <w:rtl/>
              </w:rPr>
              <w:t>+ 5.3</w:t>
            </w:r>
          </w:p>
        </w:tc>
      </w:tr>
      <w:tr w:rsidR="0073566C" w:rsidRPr="008D366F">
        <w:trPr>
          <w:cantSplit/>
          <w:jc w:val="center"/>
        </w:trPr>
        <w:tc>
          <w:tcPr>
            <w:tcW w:w="1438" w:type="dxa"/>
            <w:shd w:val="clear" w:color="auto" w:fill="auto"/>
            <w:vAlign w:val="bottom"/>
          </w:tcPr>
          <w:p w:rsidR="0073566C" w:rsidRPr="008D366F" w:rsidRDefault="0073566C" w:rsidP="0073566C">
            <w:pPr>
              <w:pStyle w:val="DualTxt"/>
              <w:spacing w:before="40" w:after="80" w:line="240" w:lineRule="exact"/>
              <w:rPr>
                <w:rFonts w:hint="cs"/>
                <w:sz w:val="16"/>
                <w:szCs w:val="24"/>
                <w:rtl/>
              </w:rPr>
            </w:pPr>
            <w:r>
              <w:rPr>
                <w:rFonts w:hint="cs"/>
                <w:sz w:val="16"/>
                <w:szCs w:val="24"/>
                <w:rtl/>
              </w:rPr>
              <w:t>الرجال</w:t>
            </w:r>
          </w:p>
        </w:tc>
        <w:tc>
          <w:tcPr>
            <w:tcW w:w="1240" w:type="dxa"/>
            <w:shd w:val="clear" w:color="auto" w:fill="auto"/>
            <w:vAlign w:val="bottom"/>
          </w:tcPr>
          <w:p w:rsidR="0073566C" w:rsidRPr="008D366F" w:rsidRDefault="0073566C" w:rsidP="0073566C">
            <w:pPr>
              <w:pStyle w:val="DualTxt"/>
              <w:spacing w:before="40" w:after="80" w:line="240" w:lineRule="exact"/>
              <w:ind w:right="144"/>
              <w:jc w:val="center"/>
              <w:rPr>
                <w:rFonts w:hint="cs"/>
                <w:sz w:val="16"/>
                <w:szCs w:val="24"/>
                <w:rtl/>
              </w:rPr>
            </w:pPr>
            <w:r>
              <w:rPr>
                <w:rFonts w:hint="cs"/>
                <w:sz w:val="16"/>
                <w:szCs w:val="24"/>
                <w:rtl/>
              </w:rPr>
              <w:t>53.3 ٪</w:t>
            </w:r>
          </w:p>
        </w:tc>
        <w:tc>
          <w:tcPr>
            <w:tcW w:w="1133" w:type="dxa"/>
            <w:shd w:val="clear" w:color="auto" w:fill="auto"/>
            <w:vAlign w:val="bottom"/>
          </w:tcPr>
          <w:p w:rsidR="0073566C" w:rsidRPr="008D366F" w:rsidRDefault="0073566C" w:rsidP="0073566C">
            <w:pPr>
              <w:pStyle w:val="DualTxt"/>
              <w:spacing w:before="40" w:after="80" w:line="240" w:lineRule="exact"/>
              <w:ind w:right="144"/>
              <w:jc w:val="center"/>
              <w:rPr>
                <w:rFonts w:hint="cs"/>
                <w:sz w:val="16"/>
                <w:szCs w:val="24"/>
                <w:rtl/>
              </w:rPr>
            </w:pPr>
            <w:r>
              <w:rPr>
                <w:rFonts w:hint="cs"/>
                <w:sz w:val="16"/>
                <w:szCs w:val="24"/>
                <w:rtl/>
              </w:rPr>
              <w:t>54.2 ٪</w:t>
            </w:r>
          </w:p>
        </w:tc>
        <w:tc>
          <w:tcPr>
            <w:tcW w:w="1030" w:type="dxa"/>
            <w:shd w:val="clear" w:color="auto" w:fill="auto"/>
            <w:vAlign w:val="bottom"/>
          </w:tcPr>
          <w:p w:rsidR="0073566C" w:rsidRPr="008D366F" w:rsidRDefault="0073566C" w:rsidP="0073566C">
            <w:pPr>
              <w:pStyle w:val="DualTxt"/>
              <w:spacing w:before="40" w:after="80" w:line="240" w:lineRule="exact"/>
              <w:ind w:right="144"/>
              <w:jc w:val="center"/>
              <w:rPr>
                <w:rFonts w:hint="cs"/>
                <w:sz w:val="16"/>
                <w:szCs w:val="24"/>
                <w:rtl/>
              </w:rPr>
            </w:pPr>
            <w:r>
              <w:rPr>
                <w:rFonts w:hint="cs"/>
                <w:sz w:val="16"/>
                <w:szCs w:val="24"/>
                <w:rtl/>
              </w:rPr>
              <w:t>55.0 ٪</w:t>
            </w:r>
          </w:p>
        </w:tc>
        <w:tc>
          <w:tcPr>
            <w:tcW w:w="1133" w:type="dxa"/>
            <w:shd w:val="clear" w:color="auto" w:fill="auto"/>
            <w:vAlign w:val="bottom"/>
          </w:tcPr>
          <w:p w:rsidR="0073566C" w:rsidRPr="008D366F" w:rsidRDefault="0073566C" w:rsidP="0073566C">
            <w:pPr>
              <w:pStyle w:val="DualTxt"/>
              <w:spacing w:before="40" w:after="80" w:line="240" w:lineRule="exact"/>
              <w:ind w:right="144"/>
              <w:jc w:val="center"/>
              <w:rPr>
                <w:rFonts w:hint="cs"/>
                <w:sz w:val="16"/>
                <w:szCs w:val="24"/>
                <w:rtl/>
              </w:rPr>
            </w:pPr>
            <w:r>
              <w:rPr>
                <w:rFonts w:hint="cs"/>
                <w:sz w:val="16"/>
                <w:szCs w:val="24"/>
                <w:rtl/>
              </w:rPr>
              <w:t>57.6 ٪</w:t>
            </w:r>
          </w:p>
        </w:tc>
        <w:tc>
          <w:tcPr>
            <w:tcW w:w="1545" w:type="dxa"/>
            <w:shd w:val="clear" w:color="auto" w:fill="auto"/>
            <w:vAlign w:val="bottom"/>
          </w:tcPr>
          <w:p w:rsidR="0073566C" w:rsidRPr="008D366F" w:rsidRDefault="0073566C" w:rsidP="0073566C">
            <w:pPr>
              <w:pStyle w:val="DualTxt"/>
              <w:spacing w:before="40" w:after="80" w:line="240" w:lineRule="exact"/>
              <w:ind w:right="144"/>
              <w:jc w:val="center"/>
              <w:rPr>
                <w:rFonts w:hint="cs"/>
                <w:sz w:val="16"/>
                <w:szCs w:val="24"/>
                <w:rtl/>
              </w:rPr>
            </w:pPr>
            <w:r>
              <w:rPr>
                <w:rFonts w:hint="cs"/>
                <w:sz w:val="16"/>
                <w:szCs w:val="24"/>
                <w:rtl/>
              </w:rPr>
              <w:t>+ 2.6</w:t>
            </w:r>
          </w:p>
        </w:tc>
        <w:tc>
          <w:tcPr>
            <w:tcW w:w="1545" w:type="dxa"/>
            <w:shd w:val="clear" w:color="auto" w:fill="auto"/>
            <w:vAlign w:val="bottom"/>
          </w:tcPr>
          <w:p w:rsidR="0073566C" w:rsidRPr="008D366F" w:rsidRDefault="0073566C" w:rsidP="0073566C">
            <w:pPr>
              <w:pStyle w:val="DualTxt"/>
              <w:spacing w:before="40" w:after="80" w:line="240" w:lineRule="exact"/>
              <w:ind w:right="144"/>
              <w:jc w:val="center"/>
              <w:rPr>
                <w:rFonts w:hint="cs"/>
                <w:sz w:val="16"/>
                <w:szCs w:val="24"/>
                <w:rtl/>
              </w:rPr>
            </w:pPr>
            <w:r>
              <w:rPr>
                <w:rFonts w:hint="cs"/>
                <w:sz w:val="16"/>
                <w:szCs w:val="24"/>
                <w:rtl/>
              </w:rPr>
              <w:t>+ 4.3</w:t>
            </w:r>
          </w:p>
        </w:tc>
      </w:tr>
      <w:tr w:rsidR="0073566C" w:rsidRPr="008D366F">
        <w:trPr>
          <w:cantSplit/>
          <w:jc w:val="center"/>
        </w:trPr>
        <w:tc>
          <w:tcPr>
            <w:tcW w:w="1438" w:type="dxa"/>
            <w:shd w:val="clear" w:color="auto" w:fill="auto"/>
            <w:vAlign w:val="bottom"/>
          </w:tcPr>
          <w:p w:rsidR="0073566C" w:rsidRPr="008D366F" w:rsidRDefault="0073566C" w:rsidP="0073566C">
            <w:pPr>
              <w:pStyle w:val="DualTxt"/>
              <w:spacing w:before="40" w:after="80" w:line="240" w:lineRule="exact"/>
              <w:rPr>
                <w:rFonts w:hint="cs"/>
                <w:sz w:val="16"/>
                <w:szCs w:val="24"/>
                <w:rtl/>
              </w:rPr>
            </w:pPr>
            <w:r>
              <w:rPr>
                <w:rFonts w:hint="cs"/>
                <w:sz w:val="16"/>
                <w:szCs w:val="24"/>
                <w:rtl/>
              </w:rPr>
              <w:t>النساء</w:t>
            </w:r>
          </w:p>
        </w:tc>
        <w:tc>
          <w:tcPr>
            <w:tcW w:w="1240" w:type="dxa"/>
            <w:shd w:val="clear" w:color="auto" w:fill="auto"/>
            <w:vAlign w:val="bottom"/>
          </w:tcPr>
          <w:p w:rsidR="0073566C" w:rsidRPr="008D366F" w:rsidRDefault="0073566C" w:rsidP="0073566C">
            <w:pPr>
              <w:pStyle w:val="DualTxt"/>
              <w:spacing w:before="40" w:after="80" w:line="240" w:lineRule="exact"/>
              <w:ind w:right="144"/>
              <w:jc w:val="center"/>
              <w:rPr>
                <w:rFonts w:hint="cs"/>
                <w:sz w:val="16"/>
                <w:szCs w:val="24"/>
                <w:rtl/>
              </w:rPr>
            </w:pPr>
            <w:r>
              <w:rPr>
                <w:rFonts w:hint="cs"/>
                <w:sz w:val="16"/>
                <w:szCs w:val="24"/>
                <w:rtl/>
              </w:rPr>
              <w:t>27.7 ٪</w:t>
            </w:r>
          </w:p>
        </w:tc>
        <w:tc>
          <w:tcPr>
            <w:tcW w:w="1133" w:type="dxa"/>
            <w:shd w:val="clear" w:color="auto" w:fill="auto"/>
            <w:vAlign w:val="bottom"/>
          </w:tcPr>
          <w:p w:rsidR="0073566C" w:rsidRPr="008D366F" w:rsidRDefault="0073566C" w:rsidP="0073566C">
            <w:pPr>
              <w:pStyle w:val="DualTxt"/>
              <w:spacing w:before="40" w:after="80" w:line="240" w:lineRule="exact"/>
              <w:ind w:right="144"/>
              <w:jc w:val="center"/>
              <w:rPr>
                <w:rFonts w:hint="cs"/>
                <w:sz w:val="16"/>
                <w:szCs w:val="24"/>
                <w:rtl/>
              </w:rPr>
            </w:pPr>
            <w:r>
              <w:rPr>
                <w:rFonts w:hint="cs"/>
                <w:sz w:val="16"/>
                <w:szCs w:val="24"/>
                <w:rtl/>
              </w:rPr>
              <w:t>29.8 ٪</w:t>
            </w:r>
          </w:p>
        </w:tc>
        <w:tc>
          <w:tcPr>
            <w:tcW w:w="1030" w:type="dxa"/>
            <w:shd w:val="clear" w:color="auto" w:fill="auto"/>
            <w:vAlign w:val="bottom"/>
          </w:tcPr>
          <w:p w:rsidR="0073566C" w:rsidRPr="008D366F" w:rsidRDefault="0073566C" w:rsidP="0073566C">
            <w:pPr>
              <w:pStyle w:val="DualTxt"/>
              <w:spacing w:before="40" w:after="80" w:line="240" w:lineRule="exact"/>
              <w:ind w:right="144"/>
              <w:jc w:val="center"/>
              <w:rPr>
                <w:rFonts w:hint="cs"/>
                <w:sz w:val="16"/>
                <w:szCs w:val="24"/>
                <w:rtl/>
              </w:rPr>
            </w:pPr>
            <w:r>
              <w:rPr>
                <w:rFonts w:hint="cs"/>
                <w:sz w:val="16"/>
                <w:szCs w:val="24"/>
                <w:rtl/>
              </w:rPr>
              <w:t>32.4 ٪</w:t>
            </w:r>
          </w:p>
        </w:tc>
        <w:tc>
          <w:tcPr>
            <w:tcW w:w="1133" w:type="dxa"/>
            <w:shd w:val="clear" w:color="auto" w:fill="auto"/>
            <w:vAlign w:val="bottom"/>
          </w:tcPr>
          <w:p w:rsidR="0073566C" w:rsidRPr="008D366F" w:rsidRDefault="0073566C" w:rsidP="0073566C">
            <w:pPr>
              <w:pStyle w:val="DualTxt"/>
              <w:spacing w:before="40" w:after="80" w:line="240" w:lineRule="exact"/>
              <w:ind w:right="144"/>
              <w:jc w:val="center"/>
              <w:rPr>
                <w:rFonts w:hint="cs"/>
                <w:sz w:val="16"/>
                <w:szCs w:val="24"/>
                <w:rtl/>
              </w:rPr>
            </w:pPr>
            <w:r>
              <w:rPr>
                <w:rFonts w:hint="cs"/>
                <w:sz w:val="16"/>
                <w:szCs w:val="24"/>
                <w:rtl/>
              </w:rPr>
              <w:t>34.1 ٪</w:t>
            </w:r>
          </w:p>
        </w:tc>
        <w:tc>
          <w:tcPr>
            <w:tcW w:w="1545" w:type="dxa"/>
            <w:shd w:val="clear" w:color="auto" w:fill="auto"/>
            <w:vAlign w:val="bottom"/>
          </w:tcPr>
          <w:p w:rsidR="0073566C" w:rsidRPr="008D366F" w:rsidRDefault="0073566C" w:rsidP="0073566C">
            <w:pPr>
              <w:pStyle w:val="DualTxt"/>
              <w:spacing w:before="40" w:after="80" w:line="240" w:lineRule="exact"/>
              <w:ind w:right="144"/>
              <w:jc w:val="center"/>
              <w:rPr>
                <w:rFonts w:hint="cs"/>
                <w:sz w:val="16"/>
                <w:szCs w:val="24"/>
                <w:rtl/>
              </w:rPr>
            </w:pPr>
            <w:r>
              <w:rPr>
                <w:rFonts w:hint="cs"/>
                <w:sz w:val="16"/>
                <w:szCs w:val="24"/>
                <w:rtl/>
              </w:rPr>
              <w:t>+ 1.7</w:t>
            </w:r>
          </w:p>
        </w:tc>
        <w:tc>
          <w:tcPr>
            <w:tcW w:w="1545" w:type="dxa"/>
            <w:shd w:val="clear" w:color="auto" w:fill="auto"/>
            <w:vAlign w:val="bottom"/>
          </w:tcPr>
          <w:p w:rsidR="0073566C" w:rsidRPr="008D366F" w:rsidRDefault="0073566C" w:rsidP="0073566C">
            <w:pPr>
              <w:pStyle w:val="DualTxt"/>
              <w:spacing w:before="40" w:after="80" w:line="240" w:lineRule="exact"/>
              <w:ind w:right="144"/>
              <w:jc w:val="center"/>
              <w:rPr>
                <w:rFonts w:hint="cs"/>
                <w:sz w:val="16"/>
                <w:szCs w:val="24"/>
                <w:rtl/>
              </w:rPr>
            </w:pPr>
            <w:r>
              <w:rPr>
                <w:rFonts w:hint="cs"/>
                <w:sz w:val="16"/>
                <w:szCs w:val="24"/>
                <w:rtl/>
              </w:rPr>
              <w:t>+ 6.4</w:t>
            </w:r>
          </w:p>
        </w:tc>
      </w:tr>
      <w:tr w:rsidR="0073566C" w:rsidRPr="008D366F">
        <w:trPr>
          <w:cantSplit/>
          <w:jc w:val="center"/>
        </w:trPr>
        <w:tc>
          <w:tcPr>
            <w:tcW w:w="1438" w:type="dxa"/>
            <w:shd w:val="clear" w:color="auto" w:fill="auto"/>
            <w:vAlign w:val="bottom"/>
          </w:tcPr>
          <w:p w:rsidR="0073566C" w:rsidRPr="008D366F" w:rsidRDefault="0073566C" w:rsidP="0073566C">
            <w:pPr>
              <w:pStyle w:val="DualTxt"/>
              <w:spacing w:before="40" w:after="80" w:line="240" w:lineRule="exact"/>
              <w:rPr>
                <w:rFonts w:hint="cs"/>
                <w:sz w:val="16"/>
                <w:szCs w:val="24"/>
                <w:rtl/>
              </w:rPr>
            </w:pPr>
          </w:p>
        </w:tc>
        <w:tc>
          <w:tcPr>
            <w:tcW w:w="1240" w:type="dxa"/>
            <w:shd w:val="clear" w:color="auto" w:fill="auto"/>
            <w:vAlign w:val="bottom"/>
          </w:tcPr>
          <w:p w:rsidR="0073566C" w:rsidRPr="008D366F" w:rsidRDefault="0073566C" w:rsidP="0073566C">
            <w:pPr>
              <w:pStyle w:val="DualTxt"/>
              <w:spacing w:before="40" w:after="80" w:line="240" w:lineRule="exact"/>
              <w:ind w:right="144"/>
              <w:jc w:val="center"/>
              <w:rPr>
                <w:rFonts w:hint="cs"/>
                <w:sz w:val="16"/>
                <w:szCs w:val="24"/>
                <w:rtl/>
              </w:rPr>
            </w:pPr>
          </w:p>
        </w:tc>
        <w:tc>
          <w:tcPr>
            <w:tcW w:w="1133" w:type="dxa"/>
            <w:shd w:val="clear" w:color="auto" w:fill="auto"/>
            <w:vAlign w:val="bottom"/>
          </w:tcPr>
          <w:p w:rsidR="0073566C" w:rsidRPr="008D366F" w:rsidRDefault="0073566C" w:rsidP="0073566C">
            <w:pPr>
              <w:pStyle w:val="DualTxt"/>
              <w:spacing w:before="40" w:after="80" w:line="240" w:lineRule="exact"/>
              <w:ind w:right="144"/>
              <w:jc w:val="center"/>
              <w:rPr>
                <w:rFonts w:hint="cs"/>
                <w:sz w:val="16"/>
                <w:szCs w:val="24"/>
                <w:rtl/>
              </w:rPr>
            </w:pPr>
          </w:p>
        </w:tc>
        <w:tc>
          <w:tcPr>
            <w:tcW w:w="1030" w:type="dxa"/>
            <w:shd w:val="clear" w:color="auto" w:fill="auto"/>
            <w:vAlign w:val="bottom"/>
          </w:tcPr>
          <w:p w:rsidR="0073566C" w:rsidRPr="008D366F" w:rsidRDefault="0073566C" w:rsidP="0073566C">
            <w:pPr>
              <w:pStyle w:val="DualTxt"/>
              <w:spacing w:before="40" w:after="80" w:line="240" w:lineRule="exact"/>
              <w:ind w:right="144"/>
              <w:jc w:val="center"/>
              <w:rPr>
                <w:rFonts w:hint="cs"/>
                <w:sz w:val="16"/>
                <w:szCs w:val="24"/>
                <w:rtl/>
              </w:rPr>
            </w:pPr>
          </w:p>
        </w:tc>
        <w:tc>
          <w:tcPr>
            <w:tcW w:w="1133" w:type="dxa"/>
            <w:shd w:val="clear" w:color="auto" w:fill="auto"/>
            <w:vAlign w:val="bottom"/>
          </w:tcPr>
          <w:p w:rsidR="0073566C" w:rsidRPr="008D366F" w:rsidRDefault="0073566C" w:rsidP="0073566C">
            <w:pPr>
              <w:pStyle w:val="DualTxt"/>
              <w:spacing w:before="40" w:after="80" w:line="240" w:lineRule="exact"/>
              <w:ind w:right="144"/>
              <w:jc w:val="center"/>
              <w:rPr>
                <w:rFonts w:hint="cs"/>
                <w:sz w:val="16"/>
                <w:szCs w:val="24"/>
                <w:rtl/>
              </w:rPr>
            </w:pPr>
          </w:p>
        </w:tc>
        <w:tc>
          <w:tcPr>
            <w:tcW w:w="1545" w:type="dxa"/>
            <w:shd w:val="clear" w:color="auto" w:fill="auto"/>
            <w:vAlign w:val="bottom"/>
          </w:tcPr>
          <w:p w:rsidR="0073566C" w:rsidRPr="008D366F" w:rsidRDefault="0073566C" w:rsidP="0073566C">
            <w:pPr>
              <w:pStyle w:val="DualTxt"/>
              <w:spacing w:before="40" w:after="80" w:line="240" w:lineRule="exact"/>
              <w:ind w:right="144"/>
              <w:jc w:val="center"/>
              <w:rPr>
                <w:rFonts w:hint="cs"/>
                <w:sz w:val="16"/>
                <w:szCs w:val="24"/>
                <w:rtl/>
              </w:rPr>
            </w:pPr>
          </w:p>
        </w:tc>
        <w:tc>
          <w:tcPr>
            <w:tcW w:w="1545" w:type="dxa"/>
            <w:shd w:val="clear" w:color="auto" w:fill="auto"/>
            <w:vAlign w:val="bottom"/>
          </w:tcPr>
          <w:p w:rsidR="0073566C" w:rsidRPr="008D366F" w:rsidRDefault="0073566C" w:rsidP="0073566C">
            <w:pPr>
              <w:pStyle w:val="DualTxt"/>
              <w:spacing w:before="40" w:after="80" w:line="240" w:lineRule="exact"/>
              <w:ind w:right="144"/>
              <w:jc w:val="center"/>
              <w:rPr>
                <w:rFonts w:hint="cs"/>
                <w:sz w:val="16"/>
                <w:szCs w:val="24"/>
                <w:rtl/>
              </w:rPr>
            </w:pPr>
          </w:p>
        </w:tc>
      </w:tr>
      <w:tr w:rsidR="0073566C" w:rsidRPr="008D366F">
        <w:trPr>
          <w:cantSplit/>
          <w:jc w:val="center"/>
        </w:trPr>
        <w:tc>
          <w:tcPr>
            <w:tcW w:w="1438" w:type="dxa"/>
            <w:shd w:val="clear" w:color="auto" w:fill="auto"/>
            <w:vAlign w:val="bottom"/>
          </w:tcPr>
          <w:p w:rsidR="0073566C" w:rsidRPr="00782FD4" w:rsidRDefault="0073566C" w:rsidP="0073566C">
            <w:pPr>
              <w:pStyle w:val="DualTxt"/>
              <w:spacing w:before="40" w:after="80" w:line="240" w:lineRule="exact"/>
              <w:rPr>
                <w:rFonts w:hint="cs"/>
                <w:b/>
                <w:bCs/>
                <w:sz w:val="16"/>
                <w:szCs w:val="24"/>
                <w:rtl/>
              </w:rPr>
            </w:pPr>
            <w:r w:rsidRPr="00782FD4">
              <w:rPr>
                <w:rFonts w:hint="cs"/>
                <w:b/>
                <w:bCs/>
                <w:sz w:val="16"/>
                <w:szCs w:val="24"/>
                <w:rtl/>
              </w:rPr>
              <w:t>55-64 عاما</w:t>
            </w:r>
          </w:p>
        </w:tc>
        <w:tc>
          <w:tcPr>
            <w:tcW w:w="1240" w:type="dxa"/>
            <w:shd w:val="clear" w:color="auto" w:fill="auto"/>
            <w:vAlign w:val="bottom"/>
          </w:tcPr>
          <w:p w:rsidR="0073566C" w:rsidRPr="008D366F" w:rsidRDefault="0073566C" w:rsidP="0073566C">
            <w:pPr>
              <w:pStyle w:val="DualTxt"/>
              <w:spacing w:before="40" w:after="80" w:line="240" w:lineRule="exact"/>
              <w:ind w:right="144"/>
              <w:jc w:val="center"/>
              <w:rPr>
                <w:rFonts w:hint="cs"/>
                <w:sz w:val="16"/>
                <w:szCs w:val="24"/>
                <w:rtl/>
              </w:rPr>
            </w:pPr>
            <w:r>
              <w:rPr>
                <w:rFonts w:hint="cs"/>
                <w:sz w:val="16"/>
                <w:szCs w:val="24"/>
                <w:rtl/>
              </w:rPr>
              <w:t>25.4 ٪</w:t>
            </w:r>
          </w:p>
        </w:tc>
        <w:tc>
          <w:tcPr>
            <w:tcW w:w="1133" w:type="dxa"/>
            <w:shd w:val="clear" w:color="auto" w:fill="auto"/>
            <w:vAlign w:val="bottom"/>
          </w:tcPr>
          <w:p w:rsidR="0073566C" w:rsidRPr="008D366F" w:rsidRDefault="0073566C" w:rsidP="0073566C">
            <w:pPr>
              <w:pStyle w:val="DualTxt"/>
              <w:spacing w:before="40" w:after="80" w:line="240" w:lineRule="exact"/>
              <w:ind w:right="144"/>
              <w:jc w:val="center"/>
              <w:rPr>
                <w:rFonts w:hint="cs"/>
                <w:sz w:val="16"/>
                <w:szCs w:val="24"/>
                <w:rtl/>
              </w:rPr>
            </w:pPr>
            <w:r>
              <w:rPr>
                <w:rFonts w:hint="cs"/>
                <w:sz w:val="16"/>
                <w:szCs w:val="24"/>
                <w:rtl/>
              </w:rPr>
              <w:t>26.5 ٪</w:t>
            </w:r>
          </w:p>
        </w:tc>
        <w:tc>
          <w:tcPr>
            <w:tcW w:w="1030" w:type="dxa"/>
            <w:shd w:val="clear" w:color="auto" w:fill="auto"/>
            <w:vAlign w:val="bottom"/>
          </w:tcPr>
          <w:p w:rsidR="0073566C" w:rsidRPr="008D366F" w:rsidRDefault="0073566C" w:rsidP="0073566C">
            <w:pPr>
              <w:pStyle w:val="DualTxt"/>
              <w:spacing w:before="40" w:after="80" w:line="240" w:lineRule="exact"/>
              <w:ind w:right="144"/>
              <w:jc w:val="center"/>
              <w:rPr>
                <w:rFonts w:hint="cs"/>
                <w:sz w:val="16"/>
                <w:szCs w:val="24"/>
                <w:rtl/>
              </w:rPr>
            </w:pPr>
            <w:r>
              <w:rPr>
                <w:rFonts w:hint="cs"/>
                <w:sz w:val="16"/>
                <w:szCs w:val="24"/>
                <w:rtl/>
              </w:rPr>
              <w:t>29.5 ٪</w:t>
            </w:r>
          </w:p>
        </w:tc>
        <w:tc>
          <w:tcPr>
            <w:tcW w:w="1133" w:type="dxa"/>
            <w:shd w:val="clear" w:color="auto" w:fill="auto"/>
            <w:vAlign w:val="bottom"/>
          </w:tcPr>
          <w:p w:rsidR="0073566C" w:rsidRPr="008D366F" w:rsidRDefault="0073566C" w:rsidP="0073566C">
            <w:pPr>
              <w:pStyle w:val="DualTxt"/>
              <w:spacing w:before="40" w:after="80" w:line="240" w:lineRule="exact"/>
              <w:ind w:right="144"/>
              <w:jc w:val="center"/>
              <w:rPr>
                <w:rFonts w:hint="cs"/>
                <w:sz w:val="16"/>
                <w:szCs w:val="24"/>
                <w:rtl/>
              </w:rPr>
            </w:pPr>
            <w:r>
              <w:rPr>
                <w:rFonts w:hint="cs"/>
                <w:sz w:val="16"/>
                <w:szCs w:val="24"/>
                <w:rtl/>
              </w:rPr>
              <w:t>30.7 ٪</w:t>
            </w:r>
          </w:p>
        </w:tc>
        <w:tc>
          <w:tcPr>
            <w:tcW w:w="1545" w:type="dxa"/>
            <w:shd w:val="clear" w:color="auto" w:fill="auto"/>
            <w:vAlign w:val="bottom"/>
          </w:tcPr>
          <w:p w:rsidR="0073566C" w:rsidRPr="008D366F" w:rsidRDefault="0073566C" w:rsidP="0073566C">
            <w:pPr>
              <w:pStyle w:val="DualTxt"/>
              <w:spacing w:before="40" w:after="80" w:line="240" w:lineRule="exact"/>
              <w:ind w:right="144"/>
              <w:jc w:val="center"/>
              <w:rPr>
                <w:rFonts w:hint="cs"/>
                <w:sz w:val="16"/>
                <w:szCs w:val="24"/>
                <w:rtl/>
              </w:rPr>
            </w:pPr>
            <w:r>
              <w:rPr>
                <w:rFonts w:hint="cs"/>
                <w:sz w:val="16"/>
                <w:szCs w:val="24"/>
                <w:rtl/>
              </w:rPr>
              <w:t>+ 1.2</w:t>
            </w:r>
          </w:p>
        </w:tc>
        <w:tc>
          <w:tcPr>
            <w:tcW w:w="1545" w:type="dxa"/>
            <w:shd w:val="clear" w:color="auto" w:fill="auto"/>
            <w:vAlign w:val="bottom"/>
          </w:tcPr>
          <w:p w:rsidR="0073566C" w:rsidRPr="008D366F" w:rsidRDefault="0073566C" w:rsidP="0073566C">
            <w:pPr>
              <w:pStyle w:val="DualTxt"/>
              <w:spacing w:before="40" w:after="80" w:line="240" w:lineRule="exact"/>
              <w:ind w:right="144"/>
              <w:jc w:val="center"/>
              <w:rPr>
                <w:rFonts w:hint="cs"/>
                <w:sz w:val="16"/>
                <w:szCs w:val="24"/>
                <w:rtl/>
              </w:rPr>
            </w:pPr>
            <w:r>
              <w:rPr>
                <w:rFonts w:hint="cs"/>
                <w:sz w:val="16"/>
                <w:szCs w:val="24"/>
                <w:rtl/>
              </w:rPr>
              <w:t>+ 5.3</w:t>
            </w:r>
          </w:p>
        </w:tc>
      </w:tr>
      <w:tr w:rsidR="0073566C" w:rsidRPr="008D366F">
        <w:trPr>
          <w:cantSplit/>
          <w:jc w:val="center"/>
        </w:trPr>
        <w:tc>
          <w:tcPr>
            <w:tcW w:w="1438" w:type="dxa"/>
            <w:shd w:val="clear" w:color="auto" w:fill="auto"/>
            <w:vAlign w:val="bottom"/>
          </w:tcPr>
          <w:p w:rsidR="0073566C" w:rsidRPr="008D366F" w:rsidRDefault="0073566C" w:rsidP="0073566C">
            <w:pPr>
              <w:pStyle w:val="DualTxt"/>
              <w:spacing w:before="40" w:after="80" w:line="240" w:lineRule="exact"/>
              <w:rPr>
                <w:rFonts w:hint="cs"/>
                <w:sz w:val="16"/>
                <w:szCs w:val="24"/>
                <w:rtl/>
              </w:rPr>
            </w:pPr>
            <w:r>
              <w:rPr>
                <w:rFonts w:hint="cs"/>
                <w:sz w:val="16"/>
                <w:szCs w:val="24"/>
                <w:rtl/>
              </w:rPr>
              <w:t>الرجال</w:t>
            </w:r>
          </w:p>
        </w:tc>
        <w:tc>
          <w:tcPr>
            <w:tcW w:w="1240" w:type="dxa"/>
            <w:shd w:val="clear" w:color="auto" w:fill="auto"/>
            <w:vAlign w:val="bottom"/>
          </w:tcPr>
          <w:p w:rsidR="0073566C" w:rsidRPr="008D366F" w:rsidRDefault="0073566C" w:rsidP="0073566C">
            <w:pPr>
              <w:pStyle w:val="DualTxt"/>
              <w:spacing w:before="40" w:after="80" w:line="240" w:lineRule="exact"/>
              <w:ind w:right="144"/>
              <w:jc w:val="center"/>
              <w:rPr>
                <w:rFonts w:hint="cs"/>
                <w:sz w:val="16"/>
                <w:szCs w:val="24"/>
                <w:rtl/>
              </w:rPr>
            </w:pPr>
            <w:r>
              <w:rPr>
                <w:rFonts w:hint="cs"/>
                <w:sz w:val="16"/>
                <w:szCs w:val="24"/>
                <w:rtl/>
              </w:rPr>
              <w:t>35.5 ٪</w:t>
            </w:r>
          </w:p>
        </w:tc>
        <w:tc>
          <w:tcPr>
            <w:tcW w:w="1133" w:type="dxa"/>
            <w:shd w:val="clear" w:color="auto" w:fill="auto"/>
            <w:vAlign w:val="bottom"/>
          </w:tcPr>
          <w:p w:rsidR="0073566C" w:rsidRPr="008D366F" w:rsidRDefault="0073566C" w:rsidP="0073566C">
            <w:pPr>
              <w:pStyle w:val="DualTxt"/>
              <w:spacing w:before="40" w:after="80" w:line="240" w:lineRule="exact"/>
              <w:ind w:right="144"/>
              <w:jc w:val="center"/>
              <w:rPr>
                <w:rFonts w:hint="cs"/>
                <w:sz w:val="16"/>
                <w:szCs w:val="24"/>
                <w:rtl/>
              </w:rPr>
            </w:pPr>
            <w:r>
              <w:rPr>
                <w:rFonts w:hint="cs"/>
                <w:sz w:val="16"/>
                <w:szCs w:val="24"/>
                <w:rtl/>
              </w:rPr>
              <w:t>36.7 ٪</w:t>
            </w:r>
          </w:p>
        </w:tc>
        <w:tc>
          <w:tcPr>
            <w:tcW w:w="1030" w:type="dxa"/>
            <w:shd w:val="clear" w:color="auto" w:fill="auto"/>
            <w:vAlign w:val="bottom"/>
          </w:tcPr>
          <w:p w:rsidR="0073566C" w:rsidRPr="008D366F" w:rsidRDefault="0073566C" w:rsidP="0073566C">
            <w:pPr>
              <w:pStyle w:val="DualTxt"/>
              <w:spacing w:before="40" w:after="80" w:line="240" w:lineRule="exact"/>
              <w:ind w:right="144"/>
              <w:jc w:val="center"/>
              <w:rPr>
                <w:rFonts w:hint="cs"/>
                <w:sz w:val="16"/>
                <w:szCs w:val="24"/>
                <w:rtl/>
              </w:rPr>
            </w:pPr>
            <w:r>
              <w:rPr>
                <w:rFonts w:hint="cs"/>
                <w:sz w:val="16"/>
                <w:szCs w:val="24"/>
                <w:rtl/>
              </w:rPr>
              <w:t>39.3 ٪</w:t>
            </w:r>
          </w:p>
        </w:tc>
        <w:tc>
          <w:tcPr>
            <w:tcW w:w="1133" w:type="dxa"/>
            <w:shd w:val="clear" w:color="auto" w:fill="auto"/>
            <w:vAlign w:val="bottom"/>
          </w:tcPr>
          <w:p w:rsidR="0073566C" w:rsidRPr="008D366F" w:rsidRDefault="0073566C" w:rsidP="0073566C">
            <w:pPr>
              <w:pStyle w:val="DualTxt"/>
              <w:spacing w:before="40" w:after="80" w:line="240" w:lineRule="exact"/>
              <w:ind w:right="144"/>
              <w:jc w:val="center"/>
              <w:rPr>
                <w:rFonts w:hint="cs"/>
                <w:sz w:val="16"/>
                <w:szCs w:val="24"/>
                <w:rtl/>
              </w:rPr>
            </w:pPr>
            <w:r>
              <w:rPr>
                <w:rFonts w:hint="cs"/>
                <w:sz w:val="16"/>
                <w:szCs w:val="24"/>
                <w:rtl/>
              </w:rPr>
              <w:t>41.2 ٪</w:t>
            </w:r>
          </w:p>
        </w:tc>
        <w:tc>
          <w:tcPr>
            <w:tcW w:w="1545" w:type="dxa"/>
            <w:shd w:val="clear" w:color="auto" w:fill="auto"/>
            <w:vAlign w:val="bottom"/>
          </w:tcPr>
          <w:p w:rsidR="0073566C" w:rsidRPr="008D366F" w:rsidRDefault="0073566C" w:rsidP="0073566C">
            <w:pPr>
              <w:pStyle w:val="DualTxt"/>
              <w:spacing w:before="40" w:after="80" w:line="240" w:lineRule="exact"/>
              <w:ind w:right="144"/>
              <w:jc w:val="center"/>
              <w:rPr>
                <w:rFonts w:hint="cs"/>
                <w:sz w:val="16"/>
                <w:szCs w:val="24"/>
                <w:rtl/>
              </w:rPr>
            </w:pPr>
            <w:r>
              <w:rPr>
                <w:rFonts w:hint="cs"/>
                <w:sz w:val="16"/>
                <w:szCs w:val="24"/>
                <w:rtl/>
              </w:rPr>
              <w:t>+ 1.9</w:t>
            </w:r>
          </w:p>
        </w:tc>
        <w:tc>
          <w:tcPr>
            <w:tcW w:w="1545" w:type="dxa"/>
            <w:shd w:val="clear" w:color="auto" w:fill="auto"/>
            <w:vAlign w:val="bottom"/>
          </w:tcPr>
          <w:p w:rsidR="0073566C" w:rsidRPr="008D366F" w:rsidRDefault="0073566C" w:rsidP="0073566C">
            <w:pPr>
              <w:pStyle w:val="DualTxt"/>
              <w:spacing w:before="40" w:after="80" w:line="240" w:lineRule="exact"/>
              <w:ind w:right="144"/>
              <w:jc w:val="center"/>
              <w:rPr>
                <w:rFonts w:hint="cs"/>
                <w:sz w:val="16"/>
                <w:szCs w:val="24"/>
                <w:rtl/>
              </w:rPr>
            </w:pPr>
            <w:r>
              <w:rPr>
                <w:rFonts w:hint="cs"/>
                <w:sz w:val="16"/>
                <w:szCs w:val="24"/>
                <w:rtl/>
              </w:rPr>
              <w:t>+ 5.7</w:t>
            </w:r>
          </w:p>
        </w:tc>
      </w:tr>
      <w:tr w:rsidR="0073566C" w:rsidRPr="008D366F">
        <w:trPr>
          <w:cantSplit/>
          <w:jc w:val="center"/>
        </w:trPr>
        <w:tc>
          <w:tcPr>
            <w:tcW w:w="1438" w:type="dxa"/>
            <w:tcBorders>
              <w:bottom w:val="single" w:sz="12" w:space="0" w:color="auto"/>
            </w:tcBorders>
            <w:shd w:val="clear" w:color="auto" w:fill="auto"/>
            <w:vAlign w:val="bottom"/>
          </w:tcPr>
          <w:p w:rsidR="0073566C" w:rsidRPr="008D366F" w:rsidRDefault="0073566C" w:rsidP="0073566C">
            <w:pPr>
              <w:pStyle w:val="DualTxt"/>
              <w:spacing w:before="40" w:after="80" w:line="240" w:lineRule="exact"/>
              <w:rPr>
                <w:rFonts w:hint="cs"/>
                <w:sz w:val="16"/>
                <w:szCs w:val="24"/>
                <w:rtl/>
              </w:rPr>
            </w:pPr>
            <w:r>
              <w:rPr>
                <w:rFonts w:hint="cs"/>
                <w:sz w:val="16"/>
                <w:szCs w:val="24"/>
                <w:rtl/>
              </w:rPr>
              <w:t>النساء</w:t>
            </w:r>
          </w:p>
        </w:tc>
        <w:tc>
          <w:tcPr>
            <w:tcW w:w="1240" w:type="dxa"/>
            <w:tcBorders>
              <w:bottom w:val="single" w:sz="12" w:space="0" w:color="auto"/>
            </w:tcBorders>
            <w:shd w:val="clear" w:color="auto" w:fill="auto"/>
            <w:vAlign w:val="bottom"/>
          </w:tcPr>
          <w:p w:rsidR="0073566C" w:rsidRPr="008D366F" w:rsidRDefault="0073566C" w:rsidP="0073566C">
            <w:pPr>
              <w:pStyle w:val="DualTxt"/>
              <w:spacing w:before="40" w:after="80" w:line="240" w:lineRule="exact"/>
              <w:ind w:right="144"/>
              <w:jc w:val="center"/>
              <w:rPr>
                <w:rFonts w:hint="cs"/>
                <w:sz w:val="16"/>
                <w:szCs w:val="24"/>
                <w:rtl/>
              </w:rPr>
            </w:pPr>
            <w:r>
              <w:rPr>
                <w:rFonts w:hint="cs"/>
                <w:sz w:val="16"/>
                <w:szCs w:val="24"/>
                <w:rtl/>
              </w:rPr>
              <w:t>15.8 ٪</w:t>
            </w:r>
          </w:p>
        </w:tc>
        <w:tc>
          <w:tcPr>
            <w:tcW w:w="1133" w:type="dxa"/>
            <w:tcBorders>
              <w:bottom w:val="single" w:sz="12" w:space="0" w:color="auto"/>
            </w:tcBorders>
            <w:shd w:val="clear" w:color="auto" w:fill="auto"/>
            <w:vAlign w:val="bottom"/>
          </w:tcPr>
          <w:p w:rsidR="0073566C" w:rsidRPr="008D366F" w:rsidRDefault="0073566C" w:rsidP="0073566C">
            <w:pPr>
              <w:pStyle w:val="DualTxt"/>
              <w:spacing w:before="40" w:after="80" w:line="240" w:lineRule="exact"/>
              <w:ind w:right="144"/>
              <w:jc w:val="center"/>
              <w:rPr>
                <w:rFonts w:hint="cs"/>
                <w:sz w:val="16"/>
                <w:szCs w:val="24"/>
                <w:rtl/>
              </w:rPr>
            </w:pPr>
            <w:r>
              <w:rPr>
                <w:rFonts w:hint="cs"/>
                <w:sz w:val="16"/>
                <w:szCs w:val="24"/>
                <w:rtl/>
              </w:rPr>
              <w:t>16.4 ٪</w:t>
            </w:r>
          </w:p>
        </w:tc>
        <w:tc>
          <w:tcPr>
            <w:tcW w:w="1030" w:type="dxa"/>
            <w:tcBorders>
              <w:bottom w:val="single" w:sz="12" w:space="0" w:color="auto"/>
            </w:tcBorders>
            <w:shd w:val="clear" w:color="auto" w:fill="auto"/>
            <w:vAlign w:val="bottom"/>
          </w:tcPr>
          <w:p w:rsidR="0073566C" w:rsidRPr="008D366F" w:rsidRDefault="0073566C" w:rsidP="0073566C">
            <w:pPr>
              <w:pStyle w:val="DualTxt"/>
              <w:spacing w:before="40" w:after="80" w:line="240" w:lineRule="exact"/>
              <w:ind w:right="144"/>
              <w:jc w:val="center"/>
              <w:rPr>
                <w:rFonts w:hint="cs"/>
                <w:sz w:val="16"/>
                <w:szCs w:val="24"/>
                <w:rtl/>
              </w:rPr>
            </w:pPr>
            <w:r>
              <w:rPr>
                <w:rFonts w:hint="cs"/>
                <w:sz w:val="16"/>
                <w:szCs w:val="24"/>
                <w:rtl/>
              </w:rPr>
              <w:t>19.6 ٪</w:t>
            </w:r>
          </w:p>
        </w:tc>
        <w:tc>
          <w:tcPr>
            <w:tcW w:w="1133" w:type="dxa"/>
            <w:tcBorders>
              <w:bottom w:val="single" w:sz="12" w:space="0" w:color="auto"/>
            </w:tcBorders>
            <w:shd w:val="clear" w:color="auto" w:fill="auto"/>
            <w:vAlign w:val="bottom"/>
          </w:tcPr>
          <w:p w:rsidR="0073566C" w:rsidRPr="008D366F" w:rsidRDefault="0073566C" w:rsidP="0073566C">
            <w:pPr>
              <w:pStyle w:val="DualTxt"/>
              <w:spacing w:before="40" w:after="80" w:line="240" w:lineRule="exact"/>
              <w:ind w:right="144"/>
              <w:jc w:val="center"/>
              <w:rPr>
                <w:rFonts w:hint="cs"/>
                <w:sz w:val="16"/>
                <w:szCs w:val="24"/>
                <w:rtl/>
              </w:rPr>
            </w:pPr>
            <w:r>
              <w:rPr>
                <w:rFonts w:hint="cs"/>
                <w:sz w:val="16"/>
                <w:szCs w:val="24"/>
                <w:rtl/>
              </w:rPr>
              <w:t>20.1 ٪</w:t>
            </w:r>
          </w:p>
        </w:tc>
        <w:tc>
          <w:tcPr>
            <w:tcW w:w="1545" w:type="dxa"/>
            <w:tcBorders>
              <w:bottom w:val="single" w:sz="12" w:space="0" w:color="auto"/>
            </w:tcBorders>
            <w:shd w:val="clear" w:color="auto" w:fill="auto"/>
            <w:vAlign w:val="bottom"/>
          </w:tcPr>
          <w:p w:rsidR="0073566C" w:rsidRPr="008D366F" w:rsidRDefault="0073566C" w:rsidP="0073566C">
            <w:pPr>
              <w:pStyle w:val="DualTxt"/>
              <w:spacing w:before="40" w:after="80" w:line="240" w:lineRule="exact"/>
              <w:ind w:right="144"/>
              <w:jc w:val="center"/>
              <w:rPr>
                <w:rFonts w:hint="cs"/>
                <w:sz w:val="16"/>
                <w:szCs w:val="24"/>
                <w:rtl/>
              </w:rPr>
            </w:pPr>
            <w:r>
              <w:rPr>
                <w:rFonts w:hint="cs"/>
                <w:sz w:val="16"/>
                <w:szCs w:val="24"/>
                <w:rtl/>
              </w:rPr>
              <w:t>+ 0.5</w:t>
            </w:r>
          </w:p>
        </w:tc>
        <w:tc>
          <w:tcPr>
            <w:tcW w:w="1545" w:type="dxa"/>
            <w:tcBorders>
              <w:bottom w:val="single" w:sz="12" w:space="0" w:color="auto"/>
            </w:tcBorders>
            <w:shd w:val="clear" w:color="auto" w:fill="auto"/>
            <w:vAlign w:val="bottom"/>
          </w:tcPr>
          <w:p w:rsidR="0073566C" w:rsidRPr="008D366F" w:rsidRDefault="0073566C" w:rsidP="0073566C">
            <w:pPr>
              <w:pStyle w:val="DualTxt"/>
              <w:spacing w:before="40" w:after="80" w:line="240" w:lineRule="exact"/>
              <w:ind w:right="144"/>
              <w:jc w:val="center"/>
              <w:rPr>
                <w:rFonts w:hint="cs"/>
                <w:sz w:val="16"/>
                <w:szCs w:val="24"/>
                <w:rtl/>
              </w:rPr>
            </w:pPr>
            <w:r>
              <w:rPr>
                <w:rFonts w:hint="cs"/>
                <w:sz w:val="16"/>
                <w:szCs w:val="24"/>
                <w:rtl/>
              </w:rPr>
              <w:t>+ 4.3</w:t>
            </w:r>
          </w:p>
        </w:tc>
      </w:tr>
    </w:tbl>
    <w:p w:rsidR="0073566C" w:rsidRPr="00782FD4" w:rsidRDefault="0073566C" w:rsidP="0073566C">
      <w:pPr>
        <w:pStyle w:val="SingleTxt"/>
        <w:spacing w:after="0" w:line="120" w:lineRule="exact"/>
        <w:rPr>
          <w:rFonts w:hint="cs"/>
          <w:b/>
          <w:bCs/>
          <w:sz w:val="12"/>
          <w:rtl/>
        </w:rPr>
      </w:pPr>
    </w:p>
    <w:p w:rsidR="0073566C" w:rsidRDefault="0073566C" w:rsidP="0073566C">
      <w:pPr>
        <w:pStyle w:val="FootnoteText"/>
        <w:tabs>
          <w:tab w:val="clear" w:pos="418"/>
          <w:tab w:val="right" w:pos="1915"/>
          <w:tab w:val="left" w:pos="2016"/>
          <w:tab w:val="left" w:pos="2491"/>
          <w:tab w:val="left" w:pos="2966"/>
          <w:tab w:val="left" w:pos="3442"/>
          <w:tab w:val="left" w:pos="3917"/>
        </w:tabs>
        <w:spacing w:after="80"/>
        <w:ind w:left="2030" w:right="0" w:hanging="763"/>
        <w:rPr>
          <w:rFonts w:hint="cs"/>
          <w:rtl/>
        </w:rPr>
      </w:pPr>
      <w:r>
        <w:rPr>
          <w:rFonts w:hint="cs"/>
          <w:rtl/>
        </w:rPr>
        <w:t>*</w:t>
      </w:r>
      <w:r>
        <w:rPr>
          <w:rFonts w:hint="cs"/>
          <w:rtl/>
        </w:rPr>
        <w:tab/>
        <w:t>معبر عنه بالنقاط المئوية. المصدر: الدراسة الاستقصائية للقوة العاملة الأوروبية.</w:t>
      </w:r>
    </w:p>
    <w:p w:rsidR="0073566C" w:rsidRPr="004032B6" w:rsidRDefault="0073566C" w:rsidP="0073566C">
      <w:pPr>
        <w:pStyle w:val="FootnoteText"/>
        <w:tabs>
          <w:tab w:val="clear" w:pos="418"/>
          <w:tab w:val="right" w:pos="1915"/>
          <w:tab w:val="left" w:pos="2016"/>
          <w:tab w:val="left" w:pos="2491"/>
          <w:tab w:val="left" w:pos="2966"/>
          <w:tab w:val="left" w:pos="3442"/>
          <w:tab w:val="left" w:pos="3917"/>
        </w:tabs>
        <w:spacing w:line="120" w:lineRule="exact"/>
        <w:ind w:left="2030" w:right="0" w:hanging="763"/>
        <w:rPr>
          <w:rFonts w:hint="cs"/>
          <w:sz w:val="12"/>
          <w:rtl/>
        </w:rPr>
      </w:pPr>
    </w:p>
    <w:p w:rsidR="0073566C" w:rsidRDefault="0073566C" w:rsidP="0073566C">
      <w:pPr>
        <w:pStyle w:val="SingleTxt"/>
        <w:rPr>
          <w:rFonts w:hint="cs"/>
          <w:rtl/>
        </w:rPr>
      </w:pPr>
      <w:r>
        <w:rPr>
          <w:rFonts w:hint="cs"/>
          <w:rtl/>
        </w:rPr>
        <w:tab/>
        <w:t>وبالمقارنة بالمجموعات الأخرى المستهدفة، يتضح أن وضع المرأة في سوق العمل أوطد. والأولوية الأساسية للحكومة الفلمندية هي زيادة معدل العمل للمسنين وجماعات الأقليات والقليلي المهارة والمعوقين، لأن معدل عملهم يقل كثيرا عن معدل العمل الإجمالي للرجال والنساء.</w:t>
      </w:r>
    </w:p>
    <w:p w:rsidR="0073566C" w:rsidRDefault="0073566C" w:rsidP="00993694">
      <w:pPr>
        <w:pStyle w:val="SingleTxt"/>
        <w:rPr>
          <w:rFonts w:hint="cs"/>
          <w:i/>
          <w:iCs/>
          <w:rtl/>
        </w:rPr>
      </w:pPr>
      <w:r>
        <w:rPr>
          <w:rFonts w:hint="cs"/>
          <w:i/>
          <w:iCs/>
          <w:rtl/>
        </w:rPr>
        <w:t>2-2</w:t>
      </w:r>
      <w:r>
        <w:rPr>
          <w:rFonts w:hint="cs"/>
          <w:i/>
          <w:iCs/>
          <w:rtl/>
        </w:rPr>
        <w:tab/>
        <w:t>القوانين التشريعية الجديدة عن القضاء على جميع أشكال التمييز ضد المرأة</w:t>
      </w:r>
      <w:r w:rsidR="00993694">
        <w:rPr>
          <w:i/>
          <w:iCs/>
          <w:rtl/>
        </w:rPr>
        <w:br/>
      </w:r>
      <w:r>
        <w:rPr>
          <w:rFonts w:hint="cs"/>
          <w:i/>
          <w:iCs/>
          <w:rtl/>
        </w:rPr>
        <w:t>(2002-2006)</w:t>
      </w:r>
    </w:p>
    <w:p w:rsidR="0073566C" w:rsidRDefault="0073566C" w:rsidP="0073566C">
      <w:pPr>
        <w:pStyle w:val="SingleTxt"/>
        <w:rPr>
          <w:rFonts w:hint="cs"/>
          <w:rtl/>
        </w:rPr>
      </w:pPr>
      <w:r>
        <w:rPr>
          <w:rFonts w:hint="cs"/>
          <w:rtl/>
        </w:rPr>
        <w:tab/>
        <w:t xml:space="preserve">يوفر مرسوم الحكومة الفلمندية عن المساواة </w:t>
      </w:r>
      <w:r w:rsidR="00993694">
        <w:rPr>
          <w:rFonts w:hint="cs"/>
          <w:rtl/>
        </w:rPr>
        <w:t>في العمل في سوق العمل، المؤرخ 8</w:t>
      </w:r>
      <w:r w:rsidR="00993694">
        <w:rPr>
          <w:rFonts w:hint="eastAsia"/>
          <w:rtl/>
        </w:rPr>
        <w:t> </w:t>
      </w:r>
      <w:r>
        <w:rPr>
          <w:rFonts w:hint="cs"/>
          <w:rtl/>
        </w:rPr>
        <w:t>أيار/مايو 2002، أساسا قانونيا وطيدا لسياسة المساواة والتنوع في العمل، وينيط بالإدارات الفلمندية والوسطاء في سوق العمل دورا نشطا في بلوغ هذه الأهداف. وقد حوّل هذا المرسوم التوجيهات الأوروبية بشأن عدم التمييز إلى نظم فلمندية، واستهدف ضمان المساواة في المعاملة، مانعا أي شكل من أشكال التمييز على أساس الجنس، أو ما يسمى العرق، أو الأصل الإثني، أو الجنسية، إلخ، في مجالات التوجيه الوظيفي، والتدريب المهني، والإشراف الوظيفي، والوساطة في العمل، وكذلك في مجال ظروف عمل موظفي الحكومة والمدرسين. ويؤكد المرسوم هدف المساواة في العمل في سوق العمل الفلمندية، متجاوزا بذلك ما تشترطه التوجيهات الأوروبية، ويحث الشركات على انتهاج سياسة المساواة والتنوع في العمل. ويحدد المرسوم، علاوة على ذلك، طرائق رصد المرسوم وتقييمه المستقل، وإجراءات التعامل مع الشكاوى وإمكانية توقيع جزاءات.</w:t>
      </w:r>
    </w:p>
    <w:p w:rsidR="0073566C" w:rsidRPr="004032B6" w:rsidRDefault="0073566C" w:rsidP="0073566C">
      <w:pPr>
        <w:pStyle w:val="SingleTxt"/>
        <w:spacing w:after="0" w:line="120" w:lineRule="exact"/>
        <w:rPr>
          <w:rFonts w:hint="cs"/>
          <w:sz w:val="12"/>
          <w:rtl/>
        </w:rPr>
      </w:pPr>
    </w:p>
    <w:p w:rsidR="0073566C" w:rsidRDefault="0073566C" w:rsidP="0073566C">
      <w:pPr>
        <w:pStyle w:val="SingleTxt"/>
        <w:rPr>
          <w:rFonts w:hint="cs"/>
          <w:rtl/>
        </w:rPr>
      </w:pPr>
      <w:r>
        <w:rPr>
          <w:rFonts w:hint="cs"/>
          <w:i/>
          <w:iCs/>
          <w:rtl/>
        </w:rPr>
        <w:t>2-3</w:t>
      </w:r>
      <w:r>
        <w:rPr>
          <w:rFonts w:hint="cs"/>
          <w:i/>
          <w:iCs/>
          <w:rtl/>
        </w:rPr>
        <w:tab/>
        <w:t>مبادرات السياسة تجاه المرأة (2002-2006)</w:t>
      </w:r>
    </w:p>
    <w:p w:rsidR="0073566C" w:rsidRDefault="0073566C" w:rsidP="0073566C">
      <w:pPr>
        <w:pStyle w:val="SingleTxt"/>
        <w:tabs>
          <w:tab w:val="clear" w:pos="2592"/>
          <w:tab w:val="left" w:pos="2228"/>
        </w:tabs>
        <w:rPr>
          <w:rFonts w:hint="cs"/>
          <w:rtl/>
        </w:rPr>
      </w:pPr>
      <w:r>
        <w:rPr>
          <w:rFonts w:hint="cs"/>
          <w:rtl/>
        </w:rPr>
        <w:t>2-3-1</w:t>
      </w:r>
      <w:r>
        <w:rPr>
          <w:rFonts w:hint="cs"/>
          <w:rtl/>
        </w:rPr>
        <w:tab/>
      </w:r>
      <w:r w:rsidRPr="00993694">
        <w:rPr>
          <w:rFonts w:hint="cs"/>
          <w:rtl/>
        </w:rPr>
        <w:t>سياسة المساواة في العمل</w:t>
      </w:r>
    </w:p>
    <w:p w:rsidR="0073566C" w:rsidRDefault="0073566C" w:rsidP="0073566C">
      <w:pPr>
        <w:pStyle w:val="SingleTxt"/>
        <w:rPr>
          <w:rFonts w:hint="cs"/>
          <w:rtl/>
        </w:rPr>
      </w:pPr>
      <w:r>
        <w:rPr>
          <w:rFonts w:hint="cs"/>
          <w:rtl/>
        </w:rPr>
        <w:tab/>
        <w:t>في نهاية عام 2004، أصبح للسياسة الفلمندية للمساواة في العمل أساس قانوني راسخ، ودعم واضح من أصحاب المصالح، وهدف واضح، وتصور محدد للنمو من أجل بلوغ هذا الهدف. واتُّخذت أيضا خطوات مهمة لجعل هذه السياسة متكاملة وهيكلية.</w:t>
      </w:r>
    </w:p>
    <w:p w:rsidR="0073566C" w:rsidRDefault="0073566C" w:rsidP="0073566C">
      <w:pPr>
        <w:pStyle w:val="SingleTxt"/>
        <w:rPr>
          <w:rFonts w:hint="cs"/>
          <w:rtl/>
        </w:rPr>
      </w:pPr>
      <w:r>
        <w:rPr>
          <w:rFonts w:hint="cs"/>
          <w:rtl/>
        </w:rPr>
        <w:tab/>
        <w:t>وأُعدّ خليط متوازن من الأدوات على مختلف الصعد من أجل تنفيذ سياسة نشطة للمساواة في العمل. وعلى المستوى الفلمندي الكلي، بدأ تنفيذ مشاريع طويلة الأجل مع الشركاء الاجتماعيين ومنظمات جماعات الأقليات، بهدف تحسين التناسب بين العرض والطلب، والحصول على العمل والتدريب، ودعم التنوع في ممثلي المشاريع الصغيرة والمتوسطة وممثلي الموظفين. ويجري تشجيع تبادل الخبرات فيما بين الشركات ومعها من خلال شتى مشاريع التنوع. وعلى المستوى المتوسط، أبرمت اتفاقات مع القطاعات المختلفة: جرى تدبير مستشارين لوضع خطة عمل للتنوع القطاعي. ولدى الشركاء الاجتماعيين الإقليميين شبكة من واضعي المشاريع الذين يدعمون المنظمات (الشركات والمؤسسات والحكومات المحلية) في تنفيذ سياستها في مجال التنوع. وأخيرا وليس آخرا، تقوم الحكومة الفلمندية على الصعيد الجزئي للشركات بدعم خطط وأفضل ممارسات التنوع في المنظمات ومساندتها من خلال شبكة من المستشارين.</w:t>
      </w:r>
    </w:p>
    <w:p w:rsidR="0073566C" w:rsidRDefault="0073566C" w:rsidP="0073566C">
      <w:pPr>
        <w:pStyle w:val="SingleTxt"/>
        <w:rPr>
          <w:rFonts w:hint="cs"/>
          <w:rtl/>
        </w:rPr>
      </w:pPr>
      <w:r>
        <w:rPr>
          <w:rFonts w:hint="cs"/>
          <w:rtl/>
        </w:rPr>
        <w:tab/>
        <w:t>والجماعــات الرئيسية الثلاث المستهدفـــة بسياســة المساواة في العمــل هي المسنون (+ 50 عاما)، وجماعات الأقليات الإثنية، والمعوقون. ورغم أن المرأة لا تندرج في أي من الجماعات الرئيسية المستهدفة، فإن المسألة الجنسانية حاضرة بشكل شامل داخل الجماعات الرئيسية المستهدفة. وفي بعض التدابير يمكن أن يكون التركيز الأساسي على وضع المرأة في سوق العمل، ومن ذلك مثلا خطط أو مشاريع معينة للتنوع الجنساني تستهدف المهاجرات.</w:t>
      </w:r>
    </w:p>
    <w:p w:rsidR="0073566C" w:rsidRPr="00891E3C" w:rsidRDefault="0073566C" w:rsidP="0073566C">
      <w:pPr>
        <w:pStyle w:val="SingleTxt"/>
        <w:spacing w:after="0" w:line="120" w:lineRule="exact"/>
        <w:rPr>
          <w:rFonts w:hint="cs"/>
          <w:sz w:val="12"/>
          <w:rtl/>
        </w:rPr>
      </w:pPr>
    </w:p>
    <w:p w:rsidR="0073566C" w:rsidRDefault="0073566C" w:rsidP="0073566C">
      <w:pPr>
        <w:pStyle w:val="SingleTxt"/>
        <w:tabs>
          <w:tab w:val="clear" w:pos="2592"/>
          <w:tab w:val="left" w:pos="2228"/>
        </w:tabs>
        <w:rPr>
          <w:rFonts w:hint="cs"/>
          <w:rtl/>
        </w:rPr>
      </w:pPr>
      <w:r>
        <w:rPr>
          <w:rFonts w:hint="cs"/>
          <w:rtl/>
        </w:rPr>
        <w:t>2-3-2</w:t>
      </w:r>
      <w:r>
        <w:rPr>
          <w:rFonts w:hint="cs"/>
          <w:rtl/>
        </w:rPr>
        <w:tab/>
      </w:r>
      <w:r w:rsidRPr="00993694">
        <w:rPr>
          <w:rFonts w:hint="cs"/>
          <w:rtl/>
        </w:rPr>
        <w:t>الجمع بين العمل والحياة الأسرية</w:t>
      </w:r>
    </w:p>
    <w:p w:rsidR="0073566C" w:rsidRDefault="0073566C" w:rsidP="0073566C">
      <w:pPr>
        <w:pStyle w:val="SingleTxt"/>
        <w:tabs>
          <w:tab w:val="clear" w:pos="2592"/>
          <w:tab w:val="left" w:pos="2228"/>
        </w:tabs>
        <w:rPr>
          <w:rFonts w:hint="cs"/>
          <w:rtl/>
        </w:rPr>
      </w:pPr>
      <w:r>
        <w:rPr>
          <w:rFonts w:hint="cs"/>
          <w:rtl/>
        </w:rPr>
        <w:tab/>
        <w:t>عمدت الحكومة الفلمندية إلى التوسع في مرافق رعاية الطفل لزيادة مشاركة الرجل والمرأة في سوق العمل. وفي عام 2005 وصلت النسبة في الإقليم الفلمندي إلى 34.4 في المائة، متجاوزة بالفعل المعيار الأوروبي لعام 2010، وهو إنشاء مرافق لرعاية الطفل لـ 33 في المائة من الأطفال دون الثالثة. وفي الأعوام القادمة سيزيد الإقليم من الاستثمار في مرافق رعاية الطفل لمن هم دون الثالثة، بتوفير 000 6 مكان جديد بنهاية عام 2008.</w:t>
      </w:r>
    </w:p>
    <w:p w:rsidR="0073566C" w:rsidRDefault="0073566C" w:rsidP="0073566C">
      <w:pPr>
        <w:pStyle w:val="SingleTxt"/>
        <w:tabs>
          <w:tab w:val="clear" w:pos="2592"/>
          <w:tab w:val="left" w:pos="2228"/>
        </w:tabs>
        <w:rPr>
          <w:rFonts w:hint="cs"/>
          <w:rtl/>
        </w:rPr>
      </w:pPr>
      <w:r>
        <w:rPr>
          <w:rFonts w:hint="cs"/>
          <w:rtl/>
        </w:rPr>
        <w:tab/>
        <w:t>وتضاف حوافز التشجيع الفلمندية إلى النظام الاتحادي للرصيد الزمني/الانقطاع عن العمل. وفي عام 2005، استفاد 000 43 موظف من حوافز التشجيع الفلمندية. والواقع أن النساء أساسا (82 في المائة في عام 2005) هن اللاتي يستخدمن هذا النظام لرعاية صغار الأطفال أو فرد مريض في الأسرة، إلى جانب العمل.</w:t>
      </w:r>
    </w:p>
    <w:p w:rsidR="0073566C" w:rsidRPr="00504AE9" w:rsidRDefault="0073566C" w:rsidP="0073566C">
      <w:pPr>
        <w:pStyle w:val="SingleTxt"/>
        <w:tabs>
          <w:tab w:val="clear" w:pos="2592"/>
          <w:tab w:val="left" w:pos="2228"/>
        </w:tabs>
        <w:spacing w:after="0" w:line="120" w:lineRule="exact"/>
        <w:rPr>
          <w:rFonts w:hint="cs"/>
          <w:sz w:val="12"/>
          <w:rtl/>
        </w:rPr>
      </w:pPr>
    </w:p>
    <w:p w:rsidR="0073566C" w:rsidRDefault="0073566C" w:rsidP="0073566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باء -</w:t>
      </w:r>
      <w:r>
        <w:rPr>
          <w:rFonts w:hint="cs"/>
          <w:rtl/>
        </w:rPr>
        <w:tab/>
        <w:t>المجتمع الفرنسي</w:t>
      </w:r>
    </w:p>
    <w:p w:rsidR="0073566C" w:rsidRDefault="0073566C" w:rsidP="0073566C">
      <w:pPr>
        <w:pStyle w:val="SingleTxt"/>
        <w:rPr>
          <w:rFonts w:hint="cs"/>
          <w:rtl/>
        </w:rPr>
      </w:pPr>
      <w:r>
        <w:rPr>
          <w:rFonts w:hint="cs"/>
          <w:rtl/>
        </w:rPr>
        <w:tab/>
        <w:t>اتخذ مكتب المواليد والطفولة عدة تدابير لتمكين الرجل والمرأة من التوفيق بين المسؤوليات العائلية ومسؤوليات العمل.</w:t>
      </w:r>
    </w:p>
    <w:p w:rsidR="0073566C" w:rsidRPr="00504AE9" w:rsidRDefault="0073566C" w:rsidP="0073566C">
      <w:pPr>
        <w:pStyle w:val="SingleTxt"/>
        <w:spacing w:after="0" w:line="120" w:lineRule="exact"/>
        <w:rPr>
          <w:rFonts w:hint="cs"/>
          <w:sz w:val="12"/>
          <w:rtl/>
        </w:rPr>
      </w:pPr>
    </w:p>
    <w:p w:rsidR="0073566C" w:rsidRDefault="0073566C" w:rsidP="0073566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1-</w:t>
      </w:r>
      <w:r>
        <w:rPr>
          <w:rFonts w:hint="cs"/>
          <w:rtl/>
        </w:rPr>
        <w:tab/>
        <w:t>استقبال صغار الأطفال</w:t>
      </w:r>
    </w:p>
    <w:p w:rsidR="0073566C" w:rsidRDefault="0073566C" w:rsidP="0073566C">
      <w:pPr>
        <w:pStyle w:val="SingleTxt"/>
        <w:rPr>
          <w:rFonts w:hint="cs"/>
          <w:rtl/>
        </w:rPr>
      </w:pPr>
      <w:r>
        <w:rPr>
          <w:rFonts w:hint="cs"/>
          <w:rtl/>
        </w:rPr>
        <w:tab/>
        <w:t xml:space="preserve">في شباط/فبراير 2003، بدأ تنفيذ </w:t>
      </w:r>
      <w:r>
        <w:rPr>
          <w:rFonts w:hint="eastAsia"/>
          <w:rtl/>
        </w:rPr>
        <w:t>”خطة اللقلق الأولى</w:t>
      </w:r>
      <w:r>
        <w:rPr>
          <w:rFonts w:hint="cs"/>
          <w:rtl/>
        </w:rPr>
        <w:t xml:space="preserve">“ التي تندرج في إطار الأهداف التالية: إعداد 000 10 مكان لاستقبال الأطفال في سنّ صفر - 3 أعوام في موعد أقصاه عام 2010، والعرض المتنوع، واستمرار العرض الجيد، والاتساق الجغرافي للعرض. وأطلقت ثلاث دعوات عامة لتنفيذ المشاريع في أعوام 2003 و2004 و2005 على التوالي. وبفضل </w:t>
      </w:r>
      <w:r>
        <w:rPr>
          <w:rFonts w:hint="eastAsia"/>
          <w:rtl/>
        </w:rPr>
        <w:t>”السياسات المتلاقية</w:t>
      </w:r>
      <w:r>
        <w:rPr>
          <w:rFonts w:hint="cs"/>
          <w:rtl/>
        </w:rPr>
        <w:t>“ بين الإقليم المنوط به تطوير العمالة والمجتمع الفرنسي المسؤول عن إيجاد أماكن استقبال جيدة، أمكن فتح 913 مكانا جديدا في مجال الاستقبال الجماعي، و045 1 مكانا جديدا للاستقبال في المنازل في المجتمع الفرنسي.</w:t>
      </w:r>
    </w:p>
    <w:p w:rsidR="0073566C" w:rsidRDefault="0073566C" w:rsidP="0073566C">
      <w:pPr>
        <w:pStyle w:val="SingleTxt"/>
        <w:rPr>
          <w:rFonts w:hint="cs"/>
          <w:rtl/>
        </w:rPr>
      </w:pPr>
      <w:r>
        <w:rPr>
          <w:rFonts w:hint="cs"/>
          <w:rtl/>
        </w:rPr>
        <w:tab/>
        <w:t xml:space="preserve">وفي أوائل عام 2006، وبفضل علاقات التآزر هذه، بدأ تنفيذ </w:t>
      </w:r>
      <w:r>
        <w:rPr>
          <w:rFonts w:hint="eastAsia"/>
          <w:rtl/>
        </w:rPr>
        <w:t>”خطة اللقلق الثانية</w:t>
      </w:r>
      <w:r>
        <w:rPr>
          <w:rFonts w:hint="cs"/>
          <w:rtl/>
        </w:rPr>
        <w:t>“، في متابعة لتحقيق أهداف إعداد أماكن لاستقبال الأطفال في سن صفر - 3 أعوام. وستسمح الدعوة إلى تنفيذ مشروع الفترة 2006-2007 بفتح 648 1 مكانا جديدا في مجال الاستقبال الجماعي و572 مكانا جديدا للاستقبال في المنازل. وفيما يتعلق بعامي 2008 و2009، ستنشأ أيضا علاقات تآزر مع السياسات المسؤولة عن الهياكل الأساسية.</w:t>
      </w:r>
    </w:p>
    <w:p w:rsidR="0073566C" w:rsidRPr="00504AE9" w:rsidRDefault="0073566C" w:rsidP="0073566C">
      <w:pPr>
        <w:pStyle w:val="SingleTxt"/>
        <w:spacing w:after="0" w:line="120" w:lineRule="exact"/>
        <w:rPr>
          <w:rFonts w:hint="cs"/>
          <w:sz w:val="12"/>
          <w:rtl/>
        </w:rPr>
      </w:pPr>
    </w:p>
    <w:p w:rsidR="0073566C" w:rsidRDefault="0073566C" w:rsidP="0073566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2 -</w:t>
      </w:r>
      <w:r>
        <w:rPr>
          <w:rFonts w:hint="cs"/>
          <w:rtl/>
        </w:rPr>
        <w:tab/>
        <w:t>الاستقبال خارج المدرسة</w:t>
      </w:r>
    </w:p>
    <w:p w:rsidR="0073566C" w:rsidRDefault="0073566C" w:rsidP="0073566C">
      <w:pPr>
        <w:pStyle w:val="SingleTxt"/>
        <w:rPr>
          <w:rFonts w:hint="cs"/>
          <w:rtl/>
        </w:rPr>
      </w:pPr>
      <w:r>
        <w:rPr>
          <w:rFonts w:hint="cs"/>
          <w:rtl/>
        </w:rPr>
        <w:tab/>
        <w:t>جرى التصويت في عام 2003 على مرسوم جديد بشأن الاستقبال خارج المدرسة، وبدأ تطبيقه في عام 2004.</w:t>
      </w:r>
    </w:p>
    <w:p w:rsidR="0073566C" w:rsidRDefault="0073566C" w:rsidP="0073566C">
      <w:pPr>
        <w:pStyle w:val="SingleTxt"/>
        <w:rPr>
          <w:rFonts w:hint="cs"/>
          <w:rtl/>
        </w:rPr>
      </w:pPr>
      <w:r>
        <w:rPr>
          <w:rFonts w:hint="cs"/>
          <w:rtl/>
        </w:rPr>
        <w:tab/>
        <w:t>واشتركت بلدات عديدة في تنفيذ هذا المرسوم عن طريق إنشاء هيئة محلية لتنسيق الاستقبال، وتقديم برنامج عن التنسيق المحلي من أجل الطفولة إلى مكتب المواليد والطفولة، وهو برنامج لاستقبال الأطفال تقوم الأطراف المعنية بتنسيقه وتنظيمه. وأصدر مكتب المواليد والطفولة في عام 2005 عددا كبيرا من الموافقات على برامج التنسيق المحلي من أجل الطفولة وعلى منفذي الاستقبال، فضلا عن تقديم إعانة إلى هذه البلدات، وهيئات التدريب، ومنفذي الاستقبال. وقد حصلت 196 بلدة على إعانة تشغيل في عام 2005.</w:t>
      </w:r>
    </w:p>
    <w:p w:rsidR="0073566C" w:rsidRDefault="0073566C" w:rsidP="0073566C">
      <w:pPr>
        <w:pStyle w:val="SingleTxt"/>
        <w:rPr>
          <w:rFonts w:hint="cs"/>
          <w:rtl/>
        </w:rPr>
      </w:pPr>
      <w:r>
        <w:rPr>
          <w:rFonts w:hint="cs"/>
          <w:rtl/>
        </w:rPr>
        <w:tab/>
        <w:t>وفي عام 2004 جرى التصويت على المرسوم المتعلق بالاعتراف بمدارس الواجبات ودعمها، وبدأ تنفيذه في العام ذاته. وفي عام 2004، جرى الاعتراف بـ 302 من مواقع مدارس الواجبات، وتقــديم الإعانات إلى 292 موقعــا. وفي عام 2005، جــرى الاعتراف بـ 302 من مواقع مدارس الواجبات، وتقديم الإعانات إلى 292 موقعا.</w:t>
      </w:r>
    </w:p>
    <w:p w:rsidR="0073566C" w:rsidRDefault="0073566C" w:rsidP="0073566C">
      <w:pPr>
        <w:pStyle w:val="SingleTxt"/>
        <w:rPr>
          <w:rFonts w:hint="cs"/>
          <w:rtl/>
        </w:rPr>
      </w:pPr>
      <w:r>
        <w:rPr>
          <w:rFonts w:hint="cs"/>
          <w:rtl/>
        </w:rPr>
        <w:tab/>
        <w:t>وعلى صعيد مراكز العطلة، ظلت الزيادة ثابتة في عدد مراكز العطلة المعتمدة. وكان هناك اهتمام خاص بنوعية الاستقبال المتوخى، وخصوصا مؤهلات المشرفين.</w:t>
      </w:r>
    </w:p>
    <w:p w:rsidR="0073566C" w:rsidRPr="005922E9" w:rsidRDefault="0073566C" w:rsidP="0073566C">
      <w:pPr>
        <w:pStyle w:val="SingleTxt"/>
        <w:spacing w:after="0" w:line="120" w:lineRule="exact"/>
        <w:rPr>
          <w:rFonts w:hint="cs"/>
          <w:sz w:val="12"/>
          <w:rtl/>
        </w:rPr>
      </w:pPr>
    </w:p>
    <w:p w:rsidR="0073566C" w:rsidRDefault="0073566C" w:rsidP="0073566C">
      <w:pPr>
        <w:pStyle w:val="SingleTxt"/>
        <w:rPr>
          <w:rFonts w:hint="cs"/>
          <w:b/>
          <w:bCs/>
          <w:rtl/>
        </w:rPr>
      </w:pPr>
      <w:r>
        <w:rPr>
          <w:rFonts w:hint="cs"/>
          <w:b/>
          <w:bCs/>
          <w:rtl/>
        </w:rPr>
        <w:t>3 -</w:t>
      </w:r>
      <w:r>
        <w:rPr>
          <w:rFonts w:hint="cs"/>
          <w:b/>
          <w:bCs/>
          <w:rtl/>
        </w:rPr>
        <w:tab/>
        <w:t>الاستقبال المتخصص للطفولة المبكرة</w:t>
      </w:r>
    </w:p>
    <w:p w:rsidR="0073566C" w:rsidRPr="00993694" w:rsidRDefault="0073566C" w:rsidP="0073566C">
      <w:pPr>
        <w:pStyle w:val="SingleTxt"/>
        <w:rPr>
          <w:rFonts w:hint="cs"/>
          <w:rtl/>
        </w:rPr>
      </w:pPr>
      <w:r w:rsidRPr="00993694">
        <w:rPr>
          <w:rFonts w:hint="cs"/>
          <w:rtl/>
        </w:rPr>
        <w:tab/>
        <w:t>حرص مكتب المواليد والطفولة على تكييف النظام المتعلق بخدمات الاستقبال المتخصص، بأن سمح لأولياء الأمور الذين يعجزون مؤقتا عن توفير الحضانة الفعلية لأطفالهم ببذل مساعٍ شخصية أو الأخذ بالمشورة العائلية.</w:t>
      </w:r>
    </w:p>
    <w:p w:rsidR="0073566C" w:rsidRPr="006D2378" w:rsidRDefault="0073566C" w:rsidP="0073566C">
      <w:pPr>
        <w:pStyle w:val="SingleTxt"/>
        <w:spacing w:after="0" w:line="120" w:lineRule="exact"/>
        <w:rPr>
          <w:rFonts w:hint="cs"/>
          <w:b/>
          <w:bCs/>
          <w:sz w:val="12"/>
          <w:rtl/>
        </w:rPr>
      </w:pPr>
    </w:p>
    <w:p w:rsidR="0073566C" w:rsidRDefault="0073566C" w:rsidP="0073566C">
      <w:pPr>
        <w:pStyle w:val="SingleTxt"/>
        <w:rPr>
          <w:rFonts w:hint="cs"/>
          <w:b/>
          <w:bCs/>
          <w:rtl/>
        </w:rPr>
      </w:pPr>
      <w:r>
        <w:rPr>
          <w:rFonts w:hint="cs"/>
          <w:b/>
          <w:bCs/>
          <w:rtl/>
        </w:rPr>
        <w:t>4 -</w:t>
      </w:r>
      <w:r>
        <w:rPr>
          <w:rFonts w:hint="cs"/>
          <w:b/>
          <w:bCs/>
          <w:rtl/>
        </w:rPr>
        <w:tab/>
        <w:t>تمديد فترات انتداب الباحثين القائمين بإجازة ولادة أو إجازة أبوة</w:t>
      </w:r>
    </w:p>
    <w:p w:rsidR="0073566C" w:rsidRPr="00993694" w:rsidRDefault="0073566C" w:rsidP="0073566C">
      <w:pPr>
        <w:pStyle w:val="SingleTxt"/>
        <w:rPr>
          <w:rFonts w:hint="cs"/>
          <w:rtl/>
        </w:rPr>
      </w:pPr>
      <w:r w:rsidRPr="00993694">
        <w:rPr>
          <w:rFonts w:hint="cs"/>
          <w:rtl/>
        </w:rPr>
        <w:tab/>
        <w:t xml:space="preserve">العمل البحثي لنيل الدكتوراه هو الفترة التي تسبق إيداع ومناقشة بحث عام لنيل درجة الدكتوراه. والفترة النموذجية لهذا البحث أربعة أعوام. وحرصا على عدم حرمان الباحثين الذين يتطلعون إلى القيام بإجازة للولادة أو إجازة أبوة، فإن وزير التعليم العالي والبحث العلمي رأى أن من المناسب </w:t>
      </w:r>
      <w:r w:rsidRPr="00993694">
        <w:rPr>
          <w:rFonts w:hint="eastAsia"/>
          <w:rtl/>
        </w:rPr>
        <w:t>”تحصين</w:t>
      </w:r>
      <w:r w:rsidRPr="00993694">
        <w:rPr>
          <w:rFonts w:hint="cs"/>
          <w:rtl/>
        </w:rPr>
        <w:t>“ فترة هذه الإجازة وتمديد فترة انتدابهم أو عقد عملهم أو المنحة المرتبطة بالضمان الاجتماعي لمدة مساوية. والهدف من ذلك ألا تتأثر مدة العمل الفعلية لهؤلاء الباحثين الشبان بإجازة الولادة أو الأبوة.</w:t>
      </w:r>
    </w:p>
    <w:p w:rsidR="0073566C" w:rsidRDefault="0073566C" w:rsidP="0073566C">
      <w:pPr>
        <w:pStyle w:val="SingleTxt"/>
        <w:rPr>
          <w:rFonts w:hint="cs"/>
          <w:rtl/>
        </w:rPr>
      </w:pPr>
      <w:r>
        <w:rPr>
          <w:rFonts w:hint="cs"/>
          <w:rtl/>
        </w:rPr>
        <w:tab/>
        <w:t>إن المرسوم المؤرخ 17 كانون الأول/ديسمبر 2003، المتعلق بالمدّ التلقائي لفترات انتداب الباحثين القائمين بإجازة قبل الولادة وبعدها (الجريدة الرسمية الصادرة في 31 كانون الأول/ديسمبر 2003)، يمدّ تلقائيا فترة البحث عندما يأخذ الباحث إجازة ولادة أو أبوة.</w:t>
      </w:r>
    </w:p>
    <w:p w:rsidR="0073566C" w:rsidRPr="006D2378" w:rsidRDefault="0073566C" w:rsidP="0073566C">
      <w:pPr>
        <w:pStyle w:val="SingleTxt"/>
        <w:spacing w:after="0" w:line="120" w:lineRule="exact"/>
        <w:rPr>
          <w:rFonts w:hint="cs"/>
          <w:sz w:val="12"/>
          <w:rtl/>
        </w:rPr>
      </w:pPr>
    </w:p>
    <w:p w:rsidR="0073566C" w:rsidRDefault="0073566C" w:rsidP="0073566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جيم -</w:t>
      </w:r>
      <w:r>
        <w:rPr>
          <w:rFonts w:hint="cs"/>
          <w:rtl/>
        </w:rPr>
        <w:tab/>
        <w:t>إقليم والون</w:t>
      </w:r>
    </w:p>
    <w:p w:rsidR="0073566C" w:rsidRDefault="0073566C" w:rsidP="0073566C">
      <w:pPr>
        <w:pStyle w:val="SingleTxt"/>
        <w:rPr>
          <w:rFonts w:hint="cs"/>
          <w:rtl/>
        </w:rPr>
      </w:pPr>
      <w:r>
        <w:rPr>
          <w:rFonts w:hint="cs"/>
          <w:rtl/>
        </w:rPr>
        <w:tab/>
        <w:t>في إطار التدابير المتخذة للقضاء على التمييز ضد المرأة في مجال العمل، يجدر بالذكر في المقام الأول اعتماد إقليم والون، في 27 أيار/مايو 2004، للمرسوم المتعلق بالمساواة في المعاملة في مجال العمل والتدريب المهني.</w:t>
      </w:r>
    </w:p>
    <w:p w:rsidR="0073566C" w:rsidRDefault="0073566C" w:rsidP="0073566C">
      <w:pPr>
        <w:pStyle w:val="SingleTxt"/>
        <w:rPr>
          <w:rFonts w:hint="cs"/>
          <w:rtl/>
        </w:rPr>
      </w:pPr>
      <w:r>
        <w:rPr>
          <w:rFonts w:hint="cs"/>
          <w:rtl/>
        </w:rPr>
        <w:tab/>
        <w:t>وسنشير من جديد أيضا إلى التدابير التالية التي تخص بالتحديد الدائرة العامة الوالونية للتدريب المهني والتوظيف.</w:t>
      </w:r>
    </w:p>
    <w:p w:rsidR="0073566C" w:rsidRPr="00AF3E40" w:rsidRDefault="0073566C" w:rsidP="0073566C">
      <w:pPr>
        <w:pStyle w:val="SingleTxt"/>
        <w:spacing w:after="0" w:line="120" w:lineRule="exact"/>
        <w:rPr>
          <w:rFonts w:hint="cs"/>
          <w:sz w:val="12"/>
          <w:rtl/>
        </w:rPr>
      </w:pPr>
    </w:p>
    <w:p w:rsidR="0073566C" w:rsidRDefault="0073566C" w:rsidP="0073566C">
      <w:pPr>
        <w:pStyle w:val="SingleTxt"/>
        <w:rPr>
          <w:rFonts w:hint="cs"/>
          <w:rtl/>
        </w:rPr>
      </w:pPr>
      <w:r>
        <w:rPr>
          <w:rFonts w:hint="cs"/>
          <w:b/>
          <w:bCs/>
          <w:rtl/>
        </w:rPr>
        <w:t>1 -</w:t>
      </w:r>
      <w:r>
        <w:rPr>
          <w:rFonts w:hint="cs"/>
          <w:b/>
          <w:bCs/>
          <w:rtl/>
        </w:rPr>
        <w:tab/>
        <w:t>أحكام بدأ نفاذها في 1 نيسان/أبريل 2003 بشأن تشكيل مختلف أجهزة الدائرة العامة الوالونية للتدريب المهني والتوظيف</w:t>
      </w:r>
    </w:p>
    <w:p w:rsidR="0073566C" w:rsidRDefault="0073566C" w:rsidP="0073566C">
      <w:pPr>
        <w:pStyle w:val="SingleTxt"/>
        <w:rPr>
          <w:rFonts w:hint="cs"/>
          <w:rtl/>
        </w:rPr>
      </w:pPr>
      <w:r>
        <w:rPr>
          <w:rFonts w:hint="cs"/>
          <w:rtl/>
        </w:rPr>
        <w:tab/>
        <w:t>يتعين أن تتشكل لجنة إدارة الدائرة ومكتبها التنفيذي وكذلك الأجهزة الاستشارية الموجودة في الدائرة من الثلثين على الأكثر من ممثلي جنس واحد.</w:t>
      </w:r>
    </w:p>
    <w:p w:rsidR="0073566C" w:rsidRPr="00D802CD" w:rsidRDefault="0073566C" w:rsidP="0073566C">
      <w:pPr>
        <w:pStyle w:val="SingleTxt"/>
        <w:spacing w:after="0" w:line="120" w:lineRule="exact"/>
        <w:rPr>
          <w:rFonts w:hint="cs"/>
          <w:sz w:val="12"/>
          <w:rtl/>
        </w:rPr>
      </w:pPr>
    </w:p>
    <w:p w:rsidR="0073566C" w:rsidRDefault="0073566C" w:rsidP="0073566C">
      <w:pPr>
        <w:pStyle w:val="SingleTxt"/>
        <w:rPr>
          <w:rFonts w:hint="cs"/>
          <w:b/>
          <w:bCs/>
          <w:rtl/>
        </w:rPr>
      </w:pPr>
      <w:r>
        <w:rPr>
          <w:rFonts w:hint="cs"/>
          <w:b/>
          <w:bCs/>
          <w:rtl/>
        </w:rPr>
        <w:t>2 -</w:t>
      </w:r>
      <w:r>
        <w:rPr>
          <w:rFonts w:hint="cs"/>
          <w:b/>
          <w:bCs/>
          <w:rtl/>
        </w:rPr>
        <w:tab/>
        <w:t>أمر الحكومة الوالونية المؤرخ 8 شباط/فبراير 2002 بشأن منح مزايا معينة للمتدربين الذين يتلقون تدريبا فنيا</w:t>
      </w:r>
    </w:p>
    <w:p w:rsidR="0073566C" w:rsidRDefault="0073566C" w:rsidP="0073566C">
      <w:pPr>
        <w:pStyle w:val="SingleTxt"/>
        <w:rPr>
          <w:rFonts w:hint="cs"/>
          <w:rtl/>
        </w:rPr>
      </w:pPr>
      <w:r>
        <w:rPr>
          <w:rFonts w:hint="cs"/>
          <w:rtl/>
        </w:rPr>
        <w:tab/>
        <w:t>يمكن لبعض المتدربين في التدريب الفني الذين يعولون أطفالا الحصول على بدل إضافي لتغطية نفقات مرفق الاستقبال، أو موظف (موظفة) الرعاية النهارية، أو دار الأطفال، أو الحضانة المدرسية. والمساهمة في نفقات مرفق الاستقبال والرعاية النهارية ودار الأطفال تصل إلى 4 يورو في اليوم للطفل الواحد. أما المساهمة في نفقات الحضانة المدرسية فتصل إلى 2 يورو في اليوم للطفل الواحد.</w:t>
      </w:r>
    </w:p>
    <w:p w:rsidR="0073566C" w:rsidRPr="00EA5A3B" w:rsidRDefault="0073566C" w:rsidP="0073566C">
      <w:pPr>
        <w:pStyle w:val="SingleTxt"/>
        <w:spacing w:after="0" w:line="120" w:lineRule="exact"/>
        <w:rPr>
          <w:rFonts w:hint="cs"/>
          <w:b/>
          <w:bCs/>
          <w:sz w:val="12"/>
          <w:rtl/>
        </w:rPr>
      </w:pPr>
    </w:p>
    <w:p w:rsidR="0073566C" w:rsidRDefault="0073566C" w:rsidP="0073566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3 -</w:t>
      </w:r>
      <w:r>
        <w:rPr>
          <w:rFonts w:hint="cs"/>
          <w:rtl/>
        </w:rPr>
        <w:tab/>
        <w:t>عقـــد إدارة الدائرة العامـــة الوالونيـــة للتدريب المهني والتوظيف للفترة 2006-2010</w:t>
      </w:r>
    </w:p>
    <w:p w:rsidR="0073566C" w:rsidRDefault="0073566C" w:rsidP="0073566C">
      <w:pPr>
        <w:pStyle w:val="SingleTxt"/>
        <w:rPr>
          <w:rFonts w:hint="eastAsia"/>
          <w:rtl/>
        </w:rPr>
      </w:pPr>
      <w:r>
        <w:rPr>
          <w:rFonts w:hint="cs"/>
          <w:rtl/>
        </w:rPr>
        <w:tab/>
        <w:t xml:space="preserve">ينص عقد الإدارة في المادة 8 منه </w:t>
      </w:r>
      <w:r>
        <w:rPr>
          <w:rFonts w:hint="eastAsia"/>
          <w:rtl/>
        </w:rPr>
        <w:t>”العلاقة مع العملاء</w:t>
      </w:r>
      <w:r>
        <w:rPr>
          <w:rFonts w:hint="cs"/>
          <w:rtl/>
        </w:rPr>
        <w:t xml:space="preserve">“ على أن </w:t>
      </w:r>
      <w:r>
        <w:rPr>
          <w:rFonts w:hint="eastAsia"/>
          <w:rtl/>
        </w:rPr>
        <w:t xml:space="preserve">”تبني الدائرة مجمل عرضها للخدمات على مبدأ تكافؤ الفرص وتساوي الجنسين. </w:t>
      </w:r>
      <w:r>
        <w:rPr>
          <w:rFonts w:hint="cs"/>
          <w:rtl/>
        </w:rPr>
        <w:t>وتعكس الدائرة بشكل شامل، أو في الأنشطة المعنية حسب المقتضى، السياسات الإقليمية والاتحادية في هذه المسألة</w:t>
      </w:r>
      <w:r>
        <w:rPr>
          <w:rFonts w:hint="eastAsia"/>
          <w:rtl/>
        </w:rPr>
        <w:t>“.</w:t>
      </w:r>
    </w:p>
    <w:p w:rsidR="0073566C" w:rsidRPr="005A61BB" w:rsidRDefault="0073566C" w:rsidP="0073566C">
      <w:pPr>
        <w:pStyle w:val="SingleTxt"/>
        <w:spacing w:after="0" w:line="120" w:lineRule="exact"/>
        <w:rPr>
          <w:rFonts w:hint="cs"/>
          <w:sz w:val="12"/>
          <w:rtl/>
        </w:rPr>
      </w:pPr>
    </w:p>
    <w:p w:rsidR="0073566C" w:rsidRDefault="0073566C" w:rsidP="0073566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4 -</w:t>
      </w:r>
      <w:r>
        <w:rPr>
          <w:rFonts w:hint="cs"/>
          <w:rtl/>
        </w:rPr>
        <w:tab/>
        <w:t>إنشاء دائرة للأخلاق والتنوع</w:t>
      </w:r>
    </w:p>
    <w:p w:rsidR="0073566C" w:rsidRDefault="0073566C" w:rsidP="0073566C">
      <w:pPr>
        <w:pStyle w:val="SingleTxt"/>
        <w:rPr>
          <w:rFonts w:hint="cs"/>
          <w:rtl/>
        </w:rPr>
      </w:pPr>
      <w:r>
        <w:rPr>
          <w:rFonts w:hint="cs"/>
          <w:rtl/>
        </w:rPr>
        <w:tab/>
        <w:t>في إطار عملية إعادة التنظيم الداخلي للدائرة العامة الوالونية في عام 2003، التي شملت 3 كيانات تكميلية هي دوائر المشورة والتدريب والدعم، أنشئت دائرة للأخلاق والتنوع في إطار دائرة الدعم بالدائرة العامة. وأنشئت في هذه الدائرة وظيفة دائمة لمدير مشروع للمساواة بين الجنسين وتعميم مراعاة المنظور الجنساني.</w:t>
      </w:r>
    </w:p>
    <w:p w:rsidR="0073566C" w:rsidRPr="005A61BB" w:rsidRDefault="0073566C" w:rsidP="0073566C">
      <w:pPr>
        <w:pStyle w:val="SingleTxt"/>
        <w:spacing w:after="0" w:line="120" w:lineRule="exact"/>
        <w:rPr>
          <w:rFonts w:hint="cs"/>
          <w:sz w:val="12"/>
          <w:rtl/>
        </w:rPr>
      </w:pPr>
    </w:p>
    <w:p w:rsidR="0073566C" w:rsidRDefault="0073566C" w:rsidP="0073566C">
      <w:pPr>
        <w:pStyle w:val="SingleTxt"/>
        <w:rPr>
          <w:rFonts w:hint="cs"/>
          <w:b/>
          <w:bCs/>
          <w:rtl/>
        </w:rPr>
      </w:pPr>
      <w:r>
        <w:rPr>
          <w:rFonts w:hint="cs"/>
          <w:b/>
          <w:bCs/>
          <w:rtl/>
        </w:rPr>
        <w:t>5 -</w:t>
      </w:r>
      <w:r>
        <w:rPr>
          <w:rFonts w:hint="cs"/>
          <w:b/>
          <w:bCs/>
          <w:rtl/>
        </w:rPr>
        <w:tab/>
        <w:t>إدراج هدف ذي أولوية للأخلاق والتنوع ينطوي على البعد الجنساني في خطة الأعمال الاستراتيجية الداخلية والخارجية في الدائرة العامة الوالونية للتدريب المهني والتوظيف</w:t>
      </w:r>
    </w:p>
    <w:p w:rsidR="0073566C" w:rsidRDefault="0073566C" w:rsidP="0073566C">
      <w:pPr>
        <w:pStyle w:val="SingleTxt"/>
        <w:rPr>
          <w:rFonts w:hint="cs"/>
          <w:rtl/>
        </w:rPr>
      </w:pPr>
      <w:r>
        <w:rPr>
          <w:rFonts w:hint="cs"/>
          <w:rtl/>
        </w:rPr>
        <w:tab/>
        <w:t>تحدد خطة الأعمال الاستراتيجية الداخلية والخارجية في الدائرة استراتيجيتها لفترة تتراوح بين 3 و5 أعوام، سواء فيما يتعلق بالأهداف الخارجية أو الداخلية. وتوضح هذه الخطة المحاور الاستراتيجية، والأهداف ذات الأولوية، والتدابير ذات الأولوية المطلوب اتخاذها على المدى الطويل بتخطيط سنوي ونصف سنوي. ويجري تحديث الخطة سنويا لمراعاة تطور البيئة الخارجية والداخلية.</w:t>
      </w:r>
    </w:p>
    <w:p w:rsidR="0073566C" w:rsidRDefault="0073566C" w:rsidP="0073566C">
      <w:pPr>
        <w:pStyle w:val="SingleTxt"/>
        <w:rPr>
          <w:rFonts w:hint="cs"/>
          <w:rtl/>
        </w:rPr>
      </w:pPr>
      <w:r>
        <w:rPr>
          <w:rFonts w:hint="cs"/>
          <w:rtl/>
        </w:rPr>
        <w:tab/>
        <w:t xml:space="preserve">ومنذ آذار/مارس 2006، أصبحت خطة الأعمال في الدائرة العامة تتضمن، في محورها الاستراتيجي 1، هدف </w:t>
      </w:r>
      <w:r>
        <w:rPr>
          <w:rFonts w:hint="eastAsia"/>
          <w:rtl/>
        </w:rPr>
        <w:t>”جعل الدائرة العامة الوالونية للتدريب المهني والتوظيف من عناصر التنمية الاجتماعية والاقتصادية في إقليم والون</w:t>
      </w:r>
      <w:r>
        <w:rPr>
          <w:rFonts w:hint="cs"/>
          <w:rtl/>
        </w:rPr>
        <w:t xml:space="preserve">“، وهدفا له الأولوية في مجال إدراج بُعد الأخلاق والتنوع المتضمن البعد الجنساني: </w:t>
      </w:r>
      <w:r>
        <w:rPr>
          <w:rFonts w:hint="eastAsia"/>
          <w:rtl/>
        </w:rPr>
        <w:t>”العمل، في الداخل وبالاشتراك مع الخارج، على وضع استراتيجية للأخلاق والتنوع تكون متسقة مع استراتيجية الدائرة العامة الوالونية للتدريب المهني والتوظيف</w:t>
      </w:r>
      <w:r>
        <w:rPr>
          <w:rFonts w:hint="cs"/>
          <w:rtl/>
        </w:rPr>
        <w:t>“.</w:t>
      </w:r>
    </w:p>
    <w:p w:rsidR="0073566C" w:rsidRPr="00247534" w:rsidRDefault="0073566C" w:rsidP="0073566C">
      <w:pPr>
        <w:pStyle w:val="SingleTxt"/>
        <w:spacing w:after="0" w:line="120" w:lineRule="exact"/>
        <w:rPr>
          <w:rFonts w:hint="cs"/>
          <w:sz w:val="12"/>
          <w:rtl/>
        </w:rPr>
      </w:pPr>
    </w:p>
    <w:p w:rsidR="0073566C" w:rsidRDefault="0073566C" w:rsidP="0073566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6 -</w:t>
      </w:r>
      <w:r>
        <w:rPr>
          <w:rFonts w:hint="cs"/>
          <w:rtl/>
        </w:rPr>
        <w:tab/>
        <w:t>تشكيل اللجنة التوجيهية لشبكة للأخلاق والتنوع تشمل النهج الجنساني وتعميم مراعاة البعد الجنساني وتُنشأ داخل الدائرة العامة الوالونية للتدريب المهني والتوظيف</w:t>
      </w:r>
    </w:p>
    <w:p w:rsidR="0073566C" w:rsidRDefault="0073566C" w:rsidP="0073566C">
      <w:pPr>
        <w:pStyle w:val="SingleTxt"/>
        <w:rPr>
          <w:rFonts w:hint="cs"/>
          <w:rtl/>
        </w:rPr>
      </w:pPr>
      <w:r>
        <w:rPr>
          <w:rFonts w:hint="cs"/>
          <w:b/>
          <w:bCs/>
          <w:rtl/>
        </w:rPr>
        <w:tab/>
      </w:r>
      <w:r>
        <w:rPr>
          <w:rFonts w:hint="cs"/>
          <w:rtl/>
        </w:rPr>
        <w:t>في أيار/مايو 2006، شكلت الدائرة العامة الوالونية للتدريب المهني والتوظيف لجنة توجيهية أنيط بها تشكيل شبكة الخبرة والتكنولوجيا في مجال التنوع، الوارد وصفها في خطة الأعمال الاستراتيجية الداخلية والخارجية في الدائرة العامة الوالونية، وتوجيه وتنسيق أعمال هذه الشبكة بما يتسق مع استراتيجية الدائرة. وينبغي تشكيل هذه اللجنة التوجيهية بحيث يكون معظم أعضائها من جنس واحد.</w:t>
      </w:r>
    </w:p>
    <w:p w:rsidR="0073566C" w:rsidRPr="00C84330" w:rsidRDefault="0073566C" w:rsidP="0073566C">
      <w:pPr>
        <w:pStyle w:val="SingleTxt"/>
        <w:spacing w:after="0" w:line="120" w:lineRule="exact"/>
        <w:rPr>
          <w:rFonts w:hint="cs"/>
          <w:sz w:val="12"/>
          <w:rtl/>
        </w:rPr>
      </w:pPr>
    </w:p>
    <w:p w:rsidR="0073566C" w:rsidRDefault="0073566C" w:rsidP="0073566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7 -</w:t>
      </w:r>
      <w:r>
        <w:rPr>
          <w:rFonts w:hint="cs"/>
          <w:rtl/>
        </w:rPr>
        <w:tab/>
        <w:t>أنشطة التدريب والتوعية بالبعد الجنساني</w:t>
      </w:r>
    </w:p>
    <w:p w:rsidR="0073566C" w:rsidRDefault="0073566C" w:rsidP="0073566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cs="Times New Roman"/>
          <w:rtl/>
        </w:rPr>
        <w:t>°</w:t>
      </w:r>
      <w:r>
        <w:rPr>
          <w:rFonts w:hint="cs"/>
          <w:rtl/>
        </w:rPr>
        <w:tab/>
        <w:t>إدراج نموذج للتوعية بالبعد الجنساني في التدريب الأوّلي للمدربين والمدربات الجدد في دائرة التدريب بالدائرة العامة الوالونية للتدريب المهني والتوظيف؛</w:t>
      </w:r>
    </w:p>
    <w:p w:rsidR="0073566C" w:rsidRDefault="0073566C" w:rsidP="0073566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cs="Times New Roman"/>
          <w:rtl/>
        </w:rPr>
        <w:t>°</w:t>
      </w:r>
      <w:r>
        <w:rPr>
          <w:rFonts w:hint="cs"/>
          <w:rtl/>
        </w:rPr>
        <w:tab/>
        <w:t>تضمين قائمة عروض التدريب المستمرة في دائرة التدريب بالدائرة العامة الوالونية دورة تدريبية لمدة 3 أيام في المسائل التالية:</w:t>
      </w:r>
    </w:p>
    <w:p w:rsidR="0073566C" w:rsidRDefault="0073566C" w:rsidP="009B092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rtl/>
        </w:rPr>
        <w:tab/>
      </w:r>
      <w:r w:rsidR="009B0925">
        <w:rPr>
          <w:rFonts w:hint="cs"/>
          <w:rtl/>
        </w:rPr>
        <w:t>•</w:t>
      </w:r>
      <w:r>
        <w:rPr>
          <w:rFonts w:hint="cs"/>
          <w:rtl/>
        </w:rPr>
        <w:t xml:space="preserve">   نهج الأفكار الجامدة؛</w:t>
      </w:r>
    </w:p>
    <w:p w:rsidR="0073566C" w:rsidRDefault="0073566C" w:rsidP="009B092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rtl/>
        </w:rPr>
        <w:tab/>
      </w:r>
      <w:r w:rsidR="009B0925">
        <w:rPr>
          <w:rFonts w:hint="cs"/>
          <w:rtl/>
        </w:rPr>
        <w:t>•</w:t>
      </w:r>
      <w:r>
        <w:rPr>
          <w:rFonts w:hint="cs"/>
          <w:rtl/>
        </w:rPr>
        <w:t xml:space="preserve">   الاستدلال؛</w:t>
      </w:r>
    </w:p>
    <w:p w:rsidR="0073566C" w:rsidRDefault="0073566C" w:rsidP="009B092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rtl/>
        </w:rPr>
        <w:tab/>
      </w:r>
      <w:r w:rsidR="009B0925">
        <w:rPr>
          <w:rFonts w:hint="cs"/>
          <w:rtl/>
        </w:rPr>
        <w:t>•</w:t>
      </w:r>
      <w:r>
        <w:rPr>
          <w:rFonts w:hint="cs"/>
          <w:rtl/>
        </w:rPr>
        <w:t xml:space="preserve">   الاتصالات المراعية لقضايا الجنسين والفوارق بينهما بشكل عام؛</w:t>
      </w:r>
    </w:p>
    <w:p w:rsidR="0073566C" w:rsidRDefault="0073566C" w:rsidP="0073566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cs="Times New Roman"/>
          <w:rtl/>
        </w:rPr>
        <w:t>°</w:t>
      </w:r>
      <w:r>
        <w:rPr>
          <w:rFonts w:hint="cs"/>
          <w:rtl/>
        </w:rPr>
        <w:tab/>
        <w:t>نشر ما يلي في الشبكة الداخلية (الإنترانت) للدائرة العامة الوالونية:</w:t>
      </w:r>
    </w:p>
    <w:p w:rsidR="0073566C" w:rsidRDefault="0073566C" w:rsidP="0073566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rtl/>
        </w:rPr>
        <w:tab/>
      </w:r>
      <w:r>
        <w:rPr>
          <w:rFonts w:cs="Times New Roman"/>
          <w:rtl/>
        </w:rPr>
        <w:t>▪</w:t>
      </w:r>
      <w:r>
        <w:rPr>
          <w:rFonts w:hint="cs"/>
          <w:rtl/>
        </w:rPr>
        <w:t xml:space="preserve">   كراسة عن مسألة العنف المنزلي، بهدف توعية جميع الموظفين بالمشاكل التي يصادفها ضحايا هذا العنف؛</w:t>
      </w:r>
    </w:p>
    <w:p w:rsidR="0073566C" w:rsidRDefault="0073566C" w:rsidP="0073566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rtl/>
        </w:rPr>
        <w:tab/>
      </w:r>
      <w:r>
        <w:rPr>
          <w:rFonts w:cs="Times New Roman"/>
          <w:rtl/>
        </w:rPr>
        <w:t>▪</w:t>
      </w:r>
      <w:r>
        <w:rPr>
          <w:rFonts w:hint="cs"/>
          <w:rtl/>
        </w:rPr>
        <w:t xml:space="preserve">   ملزمة عن إيواء الأشخاص الضعاف بسبب وضعهم الاجتماعي، تتناول مشاكل </w:t>
      </w:r>
      <w:r>
        <w:rPr>
          <w:rFonts w:hint="eastAsia"/>
          <w:rtl/>
        </w:rPr>
        <w:t>”النساء العائدات</w:t>
      </w:r>
      <w:r>
        <w:rPr>
          <w:rFonts w:hint="cs"/>
          <w:rtl/>
        </w:rPr>
        <w:t>“ والأسر الوحيدة الأبوين، مع تنظيم حلقات نقاشية في مختلف الإدارات الإقليمية للدائرة العامة الوالونية تطرح للمناقشة شتى التوصيات الواردة  في الملزمة، وتحدد مسار تنفيذها من خلال تبادل الخبرات أو مساهمة الخبراء والخبيرات؛</w:t>
      </w:r>
    </w:p>
    <w:p w:rsidR="0073566C" w:rsidRDefault="0073566C" w:rsidP="0073566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rtl/>
        </w:rPr>
        <w:tab/>
      </w:r>
      <w:r>
        <w:rPr>
          <w:rFonts w:cs="Times New Roman"/>
          <w:rtl/>
        </w:rPr>
        <w:t>▪</w:t>
      </w:r>
      <w:r>
        <w:rPr>
          <w:rFonts w:hint="cs"/>
          <w:rtl/>
        </w:rPr>
        <w:t xml:space="preserve">   مقالات متنوعة عن موضوع المساواة بين المرأة والرجل (التشريع، الإعلان عن عقد حلقات دراسية، أو ندوات، أو مؤتمرات، إلخ).</w:t>
      </w:r>
    </w:p>
    <w:p w:rsidR="0073566C" w:rsidRDefault="0073566C" w:rsidP="0073566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8 -</w:t>
      </w:r>
      <w:r>
        <w:rPr>
          <w:rFonts w:hint="cs"/>
          <w:rtl/>
        </w:rPr>
        <w:tab/>
        <w:t xml:space="preserve">تحليل إمكانية إنشاء بوابة إلكترونية والونية باسم </w:t>
      </w:r>
      <w:r>
        <w:rPr>
          <w:rFonts w:hint="eastAsia"/>
          <w:rtl/>
        </w:rPr>
        <w:t>”استقبال الأطفال</w:t>
      </w:r>
      <w:r>
        <w:rPr>
          <w:rFonts w:hint="cs"/>
          <w:rtl/>
        </w:rPr>
        <w:t>“ وتحليل فكرتها</w:t>
      </w:r>
    </w:p>
    <w:p w:rsidR="0073566C" w:rsidRDefault="0073566C" w:rsidP="0073566C">
      <w:pPr>
        <w:pStyle w:val="SingleTxt"/>
        <w:rPr>
          <w:rFonts w:hint="cs"/>
          <w:rtl/>
        </w:rPr>
      </w:pPr>
      <w:r>
        <w:rPr>
          <w:rFonts w:hint="cs"/>
          <w:rtl/>
        </w:rPr>
        <w:tab/>
        <w:t xml:space="preserve">في إطار مشروع </w:t>
      </w:r>
      <w:r>
        <w:rPr>
          <w:rFonts w:hint="eastAsia"/>
          <w:rtl/>
        </w:rPr>
        <w:t>”التكافؤ، المقرنس</w:t>
      </w:r>
      <w:r>
        <w:rPr>
          <w:rFonts w:hint="cs"/>
          <w:rtl/>
        </w:rPr>
        <w:t xml:space="preserve">“، قامت دائرة الأخلاق والتنوع ودور الأطفال التابعة للدائرة العامة الوالونية للتدريب المهني والتوظيف، بالتشارك مع المركز المنسق للطفولة في مدينة شاتليه، ومدينة شاتليه، وبلدة غيربين، بتحليل إمكانية إنشاء بوابة إلكترونية والونية باسم </w:t>
      </w:r>
      <w:r>
        <w:rPr>
          <w:rFonts w:hint="eastAsia"/>
          <w:rtl/>
        </w:rPr>
        <w:t>”استقبال الأطفال</w:t>
      </w:r>
      <w:r>
        <w:rPr>
          <w:rFonts w:hint="cs"/>
          <w:rtl/>
        </w:rPr>
        <w:t>“. وهذه البوابة، التي بدأ تشغيلها منذ مطلع عام 2006، من شأنها أن تساعد على بلوغ الهدف المزدوج التالي:</w:t>
      </w:r>
    </w:p>
    <w:p w:rsidR="0073566C" w:rsidRDefault="0073566C" w:rsidP="0073566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cs="Times New Roman" w:hint="cs"/>
          <w:rtl/>
        </w:rPr>
        <w:tab/>
      </w:r>
      <w:r>
        <w:rPr>
          <w:rFonts w:cs="Times New Roman"/>
          <w:rtl/>
        </w:rPr>
        <w:t>°</w:t>
      </w:r>
      <w:r>
        <w:rPr>
          <w:rFonts w:cs="Times New Roman" w:hint="cs"/>
          <w:rtl/>
        </w:rPr>
        <w:tab/>
      </w:r>
      <w:r>
        <w:rPr>
          <w:rFonts w:hint="cs"/>
          <w:rtl/>
        </w:rPr>
        <w:t>إرشاد الوالدين الباحثين عن عمل ممن يبحثون عن مكان لاستقبال أطفالهم، وهذه المعلومة يمكن أن ينقلها، عند الاقتضاء، القائمون على عملية الإدماج؛</w:t>
      </w:r>
    </w:p>
    <w:p w:rsidR="0073566C" w:rsidRDefault="0073566C" w:rsidP="0073566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cs="Times New Roman" w:hint="cs"/>
          <w:rtl/>
        </w:rPr>
        <w:tab/>
      </w:r>
      <w:r>
        <w:rPr>
          <w:rFonts w:cs="Times New Roman"/>
          <w:rtl/>
        </w:rPr>
        <w:t>°</w:t>
      </w:r>
      <w:r>
        <w:rPr>
          <w:rFonts w:cs="Times New Roman" w:hint="cs"/>
          <w:rtl/>
        </w:rPr>
        <w:tab/>
      </w:r>
      <w:r>
        <w:rPr>
          <w:rFonts w:hint="cs"/>
          <w:rtl/>
        </w:rPr>
        <w:t>إدارة العرض والطلب في مكان الاستقبال العاجل، والاستقبال العادي، والاستقبال خارج المدرسة، بالنسبة إلى بلدات إقليم والون المشتركة في البوابة الإلكترونية.</w:t>
      </w:r>
    </w:p>
    <w:p w:rsidR="0073566C" w:rsidRDefault="0073566C" w:rsidP="0073566C">
      <w:pPr>
        <w:pStyle w:val="SingleTxt"/>
        <w:rPr>
          <w:rFonts w:hint="cs"/>
          <w:rtl/>
        </w:rPr>
      </w:pPr>
      <w:r>
        <w:rPr>
          <w:rFonts w:hint="cs"/>
          <w:rtl/>
        </w:rPr>
        <w:tab/>
        <w:t>وستساعد هذه الأداة أيضا، في جميع أنحاء إقليم والون وفي البلدات، على التعريف بعرض استقبال الأطفال في سن صفر - 12 عاما، وتحليل احتياجات السكان. وفي هذا الوقت ستتيح هذه الأداة في النهاية تطبيق سياسات استقبال الأطفال التي تلبي الاحتياجات المحددة.</w:t>
      </w:r>
    </w:p>
    <w:p w:rsidR="0073566C" w:rsidRPr="00A972A2" w:rsidRDefault="0073566C" w:rsidP="0073566C">
      <w:pPr>
        <w:pStyle w:val="SingleTxt"/>
        <w:spacing w:after="0" w:line="120" w:lineRule="exact"/>
        <w:rPr>
          <w:rFonts w:hint="cs"/>
          <w:sz w:val="12"/>
          <w:rtl/>
        </w:rPr>
      </w:pPr>
    </w:p>
    <w:p w:rsidR="0073566C" w:rsidRDefault="00993694" w:rsidP="0073566C">
      <w:pPr>
        <w:pStyle w:val="SingleTxt"/>
        <w:rPr>
          <w:rFonts w:hint="cs"/>
          <w:rtl/>
        </w:rPr>
      </w:pPr>
      <w:r>
        <w:rPr>
          <w:b/>
          <w:bCs/>
          <w:rtl/>
        </w:rPr>
        <w:br w:type="page"/>
      </w:r>
      <w:r w:rsidR="0073566C">
        <w:rPr>
          <w:rFonts w:hint="cs"/>
          <w:b/>
          <w:bCs/>
          <w:rtl/>
        </w:rPr>
        <w:t>9 -</w:t>
      </w:r>
      <w:r w:rsidR="0073566C">
        <w:rPr>
          <w:rFonts w:hint="cs"/>
          <w:b/>
          <w:bCs/>
          <w:rtl/>
        </w:rPr>
        <w:tab/>
        <w:t>التدابير المتصلة بالقضاء على التمييز في المجال المهني</w:t>
      </w:r>
    </w:p>
    <w:p w:rsidR="0073566C" w:rsidRDefault="0073566C" w:rsidP="0073566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ساهمت دائرة التدريب في الدائرة العامة الوالونية للتدريب المهني والتوظيف، بوصفها شريكة، في مشروعين للتكافؤ (</w:t>
      </w:r>
      <w:r>
        <w:rPr>
          <w:rFonts w:hint="eastAsia"/>
          <w:rtl/>
        </w:rPr>
        <w:t>”مرصد التعاقب</w:t>
      </w:r>
      <w:r>
        <w:rPr>
          <w:rFonts w:hint="cs"/>
          <w:rtl/>
        </w:rPr>
        <w:t>“ في مشروع التكافؤ الأول و</w:t>
      </w:r>
      <w:r>
        <w:rPr>
          <w:rFonts w:hint="eastAsia"/>
          <w:rtl/>
        </w:rPr>
        <w:t>”التنوع في البناء</w:t>
      </w:r>
      <w:r>
        <w:rPr>
          <w:rFonts w:hint="cs"/>
          <w:rtl/>
        </w:rPr>
        <w:t>“ في مشروع التكافؤ الثاني) يهدفان بصفة خاصة إلى إدماج المرأة في مهن البناء.</w:t>
      </w:r>
    </w:p>
    <w:p w:rsidR="0073566C" w:rsidRDefault="0073566C" w:rsidP="0073566C">
      <w:pPr>
        <w:pStyle w:val="SingleTxt"/>
        <w:rPr>
          <w:rFonts w:hint="cs"/>
          <w:rtl/>
        </w:rPr>
      </w:pPr>
      <w:r>
        <w:rPr>
          <w:rFonts w:hint="cs"/>
          <w:rtl/>
        </w:rPr>
        <w:tab/>
        <w:t xml:space="preserve">وفي إطار مشروع التكافؤ الثاني، أصبحت كيانات الدائرة العامة الوالونية تشترك الآن في أنشطة ميدانية يضطلع بها برنامجا </w:t>
      </w:r>
      <w:r>
        <w:rPr>
          <w:rFonts w:hint="eastAsia"/>
          <w:rtl/>
        </w:rPr>
        <w:t>”النساء في مهن البناء</w:t>
      </w:r>
      <w:r>
        <w:rPr>
          <w:rFonts w:hint="cs"/>
          <w:rtl/>
        </w:rPr>
        <w:t>“ في شارلروا ولييج.</w:t>
      </w:r>
    </w:p>
    <w:p w:rsidR="0073566C" w:rsidRDefault="0073566C" w:rsidP="0073566C">
      <w:pPr>
        <w:pStyle w:val="SingleTxt"/>
        <w:rPr>
          <w:rFonts w:hint="cs"/>
          <w:rtl/>
        </w:rPr>
      </w:pPr>
      <w:r>
        <w:rPr>
          <w:rFonts w:hint="cs"/>
          <w:rtl/>
        </w:rPr>
        <w:tab/>
        <w:t>وأصبحت كل دائرة في الدائرة العامة الوالونية تهتم بإعلام المرأة وتوجيهها وتدريبها وإدماجها في مهن البناء الثلاث (التبليط والمقايسة والطلاء) تشترك بنشاط في البرامج والأفرقة العاملة المختلفة الموجودة في المشروع، بما في ذلك دائرتا المشورة والتدريب التابعتان للدائرة العامة الوالونية وذواتا العلاقة مع المؤسسات.</w:t>
      </w:r>
    </w:p>
    <w:p w:rsidR="0073566C" w:rsidRDefault="0073566C" w:rsidP="0073566C">
      <w:pPr>
        <w:pStyle w:val="SingleTxt"/>
        <w:rPr>
          <w:rFonts w:hint="cs"/>
          <w:rtl/>
        </w:rPr>
      </w:pPr>
      <w:r>
        <w:rPr>
          <w:rFonts w:hint="cs"/>
          <w:rtl/>
        </w:rPr>
        <w:tab/>
        <w:t>وينفَّذ هذا المشروع بالتشارك مع معهد تدريب المؤسسات الصغيرة والمتوسطة واتحاد البناء في والون وصندوق التدريب على البناء، وتضاف  إلى ذلك، في إطار البرامج، الغرف والاتحادات والنقابات والقائمون المحليون على عملية الإدماج.</w:t>
      </w:r>
    </w:p>
    <w:p w:rsidR="0073566C" w:rsidRDefault="0073566C" w:rsidP="0073566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وقد دخلت دائرة التدريب في الدائرة العامة الوالونية أيضا في علاقة تشاركية أوروبية مع مشروع التكافؤ الأول لتحسين تمثيل المرأة في مهن نقل البضائع والأشخاص ومهن الإمدادات. وكان مما انتهت إليه هذه العلاقة التشاركية بوجه خاص، التي انضمت إليها رابطة تطوير التدريب المهني في مجال النقل ومعهد التدريب على أساليب التركيب والمناولة في فرنسا، والاتحاد الوطني للنقل البري للبضائع في البرتغال، وضع مذكرة لتضمين التوجيه </w:t>
      </w:r>
      <w:r>
        <w:t>96/26/CE</w:t>
      </w:r>
      <w:r>
        <w:rPr>
          <w:rFonts w:hint="cs"/>
          <w:rtl/>
        </w:rPr>
        <w:t xml:space="preserve"> تعديلا لمضمون الاختبار الذي لا بد من أن يخضع له الأشخاص من الجنسين الذين سيتولون مستقبلا مسؤولية المؤسسات في قطاعات النقل البري للبضائع والأشخاص. وتطالب هذه المذكرة بأن تضاف إلى الاختبار محتويات مفاهيمية عن مبادئ وقواعد القانون المجتمعي في مسألة تكافؤ الفرص بين المرأة والرجل.</w:t>
      </w:r>
    </w:p>
    <w:p w:rsidR="0073566C" w:rsidRDefault="0073566C" w:rsidP="0073566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وترد في جميع عروض التدريب المقدمة من دائرة التدريب في الدائرة العامة الوالونية الإشارة </w:t>
      </w:r>
      <w:r>
        <w:rPr>
          <w:rFonts w:hint="eastAsia"/>
          <w:rtl/>
        </w:rPr>
        <w:t>”ر/ن</w:t>
      </w:r>
      <w:r>
        <w:rPr>
          <w:rFonts w:hint="cs"/>
          <w:rtl/>
        </w:rPr>
        <w:t>“، ويجري بقدر الإمكان تجنب استخدام صيغة المؤنث أو المذكر في الحديث عن المهنة.</w:t>
      </w:r>
    </w:p>
    <w:p w:rsidR="0073566C" w:rsidRDefault="0073566C" w:rsidP="0073566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وترد بانتظام، منذ عام 2002، عبارة </w:t>
      </w:r>
      <w:r>
        <w:rPr>
          <w:rFonts w:hint="eastAsia"/>
          <w:rtl/>
        </w:rPr>
        <w:t>”</w:t>
      </w:r>
      <w:r>
        <w:rPr>
          <w:rFonts w:hint="cs"/>
          <w:i/>
          <w:iCs/>
          <w:rtl/>
        </w:rPr>
        <w:t>جميع معلوماتنا متاحة للرجال والنساء</w:t>
      </w:r>
      <w:r>
        <w:rPr>
          <w:rFonts w:hint="cs"/>
          <w:rtl/>
        </w:rPr>
        <w:t>“ في الحملات الإعلامية التي تنظمها دائرة التدريب في الدائرة العامة الوالونية في الفترة من عام 2002 إلى عام 2006 في شكل كتيبات (كتيب واحد عام و12 كراسة مطوية مواضيعية) تقدم مجمل عروض التدريب التي تتيحها مراكز التدريب في الدائرة العامة الوالونية.</w:t>
      </w:r>
    </w:p>
    <w:p w:rsidR="0073566C" w:rsidRPr="00B33B79" w:rsidRDefault="0073566C" w:rsidP="0073566C">
      <w:pPr>
        <w:pStyle w:val="SingleTxt"/>
        <w:spacing w:after="0" w:line="120" w:lineRule="exact"/>
        <w:rPr>
          <w:rFonts w:hint="cs"/>
          <w:sz w:val="12"/>
          <w:rtl/>
        </w:rPr>
      </w:pPr>
    </w:p>
    <w:p w:rsidR="0073566C" w:rsidRDefault="0073566C" w:rsidP="0073566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10 -</w:t>
      </w:r>
      <w:r>
        <w:rPr>
          <w:rFonts w:hint="cs"/>
          <w:rtl/>
        </w:rPr>
        <w:tab/>
        <w:t>المساواة بين المرأة والرجل في مجال الاتصال</w:t>
      </w:r>
    </w:p>
    <w:p w:rsidR="0073566C" w:rsidRDefault="0073566C" w:rsidP="0073566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eastAsia"/>
          <w:rtl/>
        </w:rPr>
      </w:pPr>
      <w:r>
        <w:rPr>
          <w:rFonts w:hint="cs"/>
          <w:rtl/>
        </w:rPr>
        <w:tab/>
        <w:t>•</w:t>
      </w:r>
      <w:r>
        <w:rPr>
          <w:rFonts w:hint="cs"/>
          <w:rtl/>
        </w:rPr>
        <w:tab/>
        <w:t xml:space="preserve">تقوم مديرية الاتصال والتسويق في الدائرة العامة الوالونية للتدريب المهني والتوظيف بتضمين رسالتها الإخبارية المؤسسية المسماة </w:t>
      </w:r>
      <w:r>
        <w:rPr>
          <w:rFonts w:hint="eastAsia"/>
          <w:rtl/>
        </w:rPr>
        <w:t>”نظرات على التشغيل والتدريب</w:t>
      </w:r>
      <w:r>
        <w:rPr>
          <w:rFonts w:hint="cs"/>
          <w:rtl/>
        </w:rPr>
        <w:t xml:space="preserve"> المهني</w:t>
      </w:r>
      <w:r>
        <w:rPr>
          <w:rFonts w:hint="eastAsia"/>
          <w:rtl/>
        </w:rPr>
        <w:t>“، التي تصدر منذ كانون الأول/ديسمبر 2003، مقالات عن المساواة بين المرأة والرجل تتحدث عن السياسات الداخلية والتدابير المتخذة بالتشارك مع الخارج.</w:t>
      </w:r>
    </w:p>
    <w:p w:rsidR="0073566C" w:rsidRDefault="0073566C" w:rsidP="0073566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ومنذ عام 2004 تشترك مديرية الاتصال كل عام، مع دائرة الأخلاق والتنوع في الدائرة العامة الوالونية، ومجلس مون في الدائرة العامة، والبرنامج المحلي الذي وضعته هيئة تنسيق تكافؤ الفرص في إقليم إينو، في تنظيم حدث يقام في إطار اليوم الدولي للمرأة.</w:t>
      </w:r>
    </w:p>
    <w:p w:rsidR="0073566C" w:rsidRDefault="0073566C" w:rsidP="0073566C">
      <w:pPr>
        <w:pStyle w:val="SingleTxt"/>
        <w:rPr>
          <w:rFonts w:hint="cs"/>
          <w:rtl/>
        </w:rPr>
      </w:pPr>
      <w:r>
        <w:rPr>
          <w:rFonts w:hint="cs"/>
          <w:rtl/>
        </w:rPr>
        <w:tab/>
        <w:t>وتشترك الدائرة العامة الوالونية في هذا الحدث بإلقاء الضوء على شتى التدابير التي اتخذتها في مسألة المساواة بين المرأة والرجل. وفي مناسبة هذا الحدث يقدم موظفو وموظفات دائرة المشورة ودائرة التدريب في الدائرة العامة الوالونية كل الخبرات اللازمة لكل من يبحث عن عمل أو تدريب، ولكن بوجه أخص للمرأة، نظرا إلى مناسبة الحدث.</w:t>
      </w:r>
    </w:p>
    <w:p w:rsidR="0073566C" w:rsidRPr="008D1931" w:rsidRDefault="0073566C" w:rsidP="0073566C">
      <w:pPr>
        <w:pStyle w:val="SingleTxt"/>
        <w:spacing w:after="0" w:line="120" w:lineRule="exact"/>
        <w:rPr>
          <w:rFonts w:hint="cs"/>
          <w:sz w:val="12"/>
          <w:rtl/>
        </w:rPr>
      </w:pPr>
    </w:p>
    <w:p w:rsidR="0073566C" w:rsidRDefault="0073566C" w:rsidP="0073566C">
      <w:pPr>
        <w:pStyle w:val="SingleTxt"/>
        <w:rPr>
          <w:rFonts w:hint="cs"/>
          <w:b/>
          <w:bCs/>
          <w:rtl/>
        </w:rPr>
      </w:pPr>
      <w:r>
        <w:rPr>
          <w:rFonts w:hint="cs"/>
          <w:b/>
          <w:bCs/>
          <w:rtl/>
        </w:rPr>
        <w:t>11 -</w:t>
      </w:r>
      <w:r>
        <w:rPr>
          <w:rFonts w:hint="cs"/>
          <w:b/>
          <w:bCs/>
          <w:rtl/>
        </w:rPr>
        <w:tab/>
        <w:t>تعميم مراعاة المساواة بين الجنسين في إدارة الموارد البشرية في الدائرة العامة الوالونية للتدريب المهني والتوظيف</w:t>
      </w:r>
    </w:p>
    <w:p w:rsidR="0073566C" w:rsidRDefault="0073566C" w:rsidP="0073566C">
      <w:pPr>
        <w:pStyle w:val="SingleTxt"/>
        <w:rPr>
          <w:rFonts w:hint="eastAsia"/>
          <w:rtl/>
        </w:rPr>
      </w:pPr>
      <w:r w:rsidRPr="008D1931">
        <w:rPr>
          <w:rFonts w:hint="cs"/>
          <w:rtl/>
        </w:rPr>
        <w:tab/>
        <w:t>في إطار مشروعي تعميم مراعاة المساواة بين الجنسين - تعميم مر</w:t>
      </w:r>
      <w:r>
        <w:rPr>
          <w:rFonts w:hint="cs"/>
          <w:rtl/>
        </w:rPr>
        <w:t xml:space="preserve">اعاة المساواة بين الجنسين (1999-2000) وديميتر (2001) - اللذين تنفذهما الدائرة العامة الوالونية للتدريب المهني والتوظيف في إطار برنامج العمل المجتمعي الرابع المتوسط الأجل لتكافؤ الفرص بين المرأة والرجل، شكلت لجنة توجيهية باسم </w:t>
      </w:r>
      <w:r>
        <w:rPr>
          <w:rFonts w:hint="eastAsia"/>
          <w:rtl/>
        </w:rPr>
        <w:t>”</w:t>
      </w:r>
      <w:r>
        <w:rPr>
          <w:rFonts w:hint="cs"/>
          <w:i/>
          <w:iCs/>
          <w:rtl/>
        </w:rPr>
        <w:t>تعميم مراعاة المساواة بين الجنسين وإدارة الموارد البشرية</w:t>
      </w:r>
      <w:r>
        <w:rPr>
          <w:rFonts w:hint="eastAsia"/>
          <w:rtl/>
        </w:rPr>
        <w:t>“، أدت إلى تعزيز وضع خطة للمساواة المهنية في الدائرة العامة الوالونية.</w:t>
      </w:r>
    </w:p>
    <w:p w:rsidR="0073566C" w:rsidRDefault="0073566C" w:rsidP="0073566C">
      <w:pPr>
        <w:pStyle w:val="SingleTxt"/>
        <w:rPr>
          <w:rFonts w:hint="cs"/>
          <w:rtl/>
        </w:rPr>
      </w:pPr>
      <w:r>
        <w:rPr>
          <w:rFonts w:hint="cs"/>
          <w:rtl/>
        </w:rPr>
        <w:tab/>
        <w:t xml:space="preserve">وفي مرحلة أولى من العمل، أجريت دراسة استقصائية بين مجموع موظفي المكتب تناولت إحساسهم بمسألة المساواة بين الجنسين، وبوجه أخص بمسألة ظروف العمل، وبيئة العمل، وتنظيم الوقت الخاص ووقت العمل، والأمن، والتفرقة الأفقية والرأسية، والمساواة بين الجنسين، والحصول على المعلومات والتدريب المستمر، واستقبال الأطفال وتقاسم الأعباء المنزلية، والمرور بالتسلسل الإداري، إلخ، وذلك وفقا لخطة الاستبيان المعنون </w:t>
      </w:r>
      <w:r>
        <w:rPr>
          <w:rFonts w:hint="eastAsia"/>
          <w:rtl/>
        </w:rPr>
        <w:t>”التدابير الإيجابية</w:t>
      </w:r>
      <w:r>
        <w:rPr>
          <w:rFonts w:hint="cs"/>
          <w:rtl/>
        </w:rPr>
        <w:t>“ الموجود حينئذ لدى مديرية تكافؤ الفرص في وزارة العمالة والعمل الشريكة في هذا العمل.</w:t>
      </w:r>
    </w:p>
    <w:p w:rsidR="0073566C" w:rsidRDefault="0073566C" w:rsidP="0073566C">
      <w:pPr>
        <w:pStyle w:val="SingleTxt"/>
        <w:rPr>
          <w:rFonts w:hint="cs"/>
          <w:rtl/>
        </w:rPr>
      </w:pPr>
      <w:r>
        <w:rPr>
          <w:rFonts w:hint="cs"/>
          <w:rtl/>
        </w:rPr>
        <w:tab/>
        <w:t>وجرى تحليل للنتائج نشرت نتائجه في الشبكة الداخلية (الإنترانت) للدائرة العامة الوالونية. وسيجري قريبا إدراج التدابير التي تضم البعد الجنساني والتنوع في إدارة الموارد البشرية بالدائرة العامة الوالونية في جدول أعمال اللجنة التوجيهية لشبكة الأخلاق والتنوع المنشأة حديثا (انظر النقطتين 5 و6).</w:t>
      </w:r>
    </w:p>
    <w:p w:rsidR="0073566C" w:rsidRPr="00EB7B8F" w:rsidRDefault="0073566C" w:rsidP="0073566C">
      <w:pPr>
        <w:pStyle w:val="SingleTxt"/>
        <w:spacing w:after="0" w:line="120" w:lineRule="exact"/>
        <w:rPr>
          <w:rFonts w:hint="cs"/>
          <w:sz w:val="12"/>
          <w:rtl/>
        </w:rPr>
      </w:pPr>
    </w:p>
    <w:p w:rsidR="0073566C" w:rsidRDefault="0073566C" w:rsidP="0073566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دال -</w:t>
      </w:r>
      <w:r>
        <w:rPr>
          <w:rFonts w:hint="cs"/>
          <w:rtl/>
        </w:rPr>
        <w:tab/>
        <w:t>إقليم بروكسل العاصمة</w:t>
      </w:r>
    </w:p>
    <w:p w:rsidR="0073566C" w:rsidRDefault="0073566C" w:rsidP="0073566C">
      <w:pPr>
        <w:pStyle w:val="SingleTxt"/>
        <w:rPr>
          <w:rFonts w:hint="cs"/>
          <w:rtl/>
        </w:rPr>
      </w:pPr>
      <w:r>
        <w:rPr>
          <w:rFonts w:hint="cs"/>
          <w:rtl/>
        </w:rPr>
        <w:tab/>
        <w:t>اعتُمدت مبادرات عديدة على صعيد بروكسل للتصدي للمشاركة الناقصة للمرأة في سوق العمل وللتمييز الذي تتعرض له في هذه السوق. والمقصود بوجه عام نصوص غير ملزمة، والمقصود في حالة التنوع أدوات يجري فيها تحليل وضع النساء باعتبارهن مجموعة نوعية بدلا من تحليل هذا الوضع في إطار شامل.</w:t>
      </w:r>
    </w:p>
    <w:p w:rsidR="0073566C" w:rsidRDefault="0073566C" w:rsidP="0073566C">
      <w:pPr>
        <w:pStyle w:val="SingleTxt"/>
        <w:rPr>
          <w:rFonts w:hint="cs"/>
          <w:rtl/>
        </w:rPr>
      </w:pPr>
      <w:r>
        <w:rPr>
          <w:rFonts w:hint="cs"/>
          <w:rtl/>
        </w:rPr>
        <w:tab/>
        <w:t>ويوضح تقرير عام 2005 عن الحقوق الأساسية عدم كفاية مشاركة المرأة في سوق العمل والتمييز الذي تتعرض له</w:t>
      </w:r>
      <w:r w:rsidRPr="009B5767">
        <w:rPr>
          <w:vertAlign w:val="superscript"/>
          <w:rtl/>
        </w:rPr>
        <w:t>(</w:t>
      </w:r>
      <w:r>
        <w:rPr>
          <w:rStyle w:val="FootnoteReference"/>
          <w:rtl/>
        </w:rPr>
        <w:footnoteReference w:id="59"/>
      </w:r>
      <w:r w:rsidRPr="009B5767">
        <w:rPr>
          <w:vertAlign w:val="superscript"/>
          <w:rtl/>
        </w:rPr>
        <w:t>)</w:t>
      </w:r>
      <w:r>
        <w:rPr>
          <w:rFonts w:hint="cs"/>
          <w:rtl/>
        </w:rPr>
        <w:t xml:space="preserve">. وخُصّصت في مكتب بروكسل الإقليمي للعمالة نافذة للاستعلام عن التمييز في التشغيل. وهذه النافذة مخصصة لأرباب العمل وللباحثين عن عمل معا. وفي حالة تعرض هؤلاء للتمييز في </w:t>
      </w:r>
      <w:r w:rsidRPr="005F4288">
        <w:rPr>
          <w:rFonts w:hint="cs"/>
          <w:rtl/>
        </w:rPr>
        <w:t>التعيين، فإن بإمكانهم طلب</w:t>
      </w:r>
      <w:r>
        <w:rPr>
          <w:rFonts w:hint="cs"/>
          <w:rtl/>
        </w:rPr>
        <w:t xml:space="preserve"> المساعدة في تحليل حالة التمييز والشروع في المقاضاة في النهاية</w:t>
      </w:r>
      <w:r w:rsidRPr="009B5767">
        <w:rPr>
          <w:vertAlign w:val="superscript"/>
          <w:rtl/>
        </w:rPr>
        <w:t>(</w:t>
      </w:r>
      <w:r>
        <w:rPr>
          <w:rStyle w:val="FootnoteReference"/>
          <w:rtl/>
        </w:rPr>
        <w:footnoteReference w:id="60"/>
      </w:r>
      <w:r w:rsidRPr="009B5767">
        <w:rPr>
          <w:vertAlign w:val="superscript"/>
          <w:rtl/>
        </w:rPr>
        <w:t>)</w:t>
      </w:r>
      <w:r>
        <w:rPr>
          <w:rFonts w:hint="cs"/>
          <w:rtl/>
        </w:rPr>
        <w:t>.</w:t>
      </w:r>
    </w:p>
    <w:p w:rsidR="0073566C" w:rsidRDefault="0073566C" w:rsidP="0073566C">
      <w:pPr>
        <w:pStyle w:val="SingleTxt"/>
        <w:rPr>
          <w:rFonts w:hint="cs"/>
          <w:rtl/>
        </w:rPr>
      </w:pPr>
      <w:r>
        <w:rPr>
          <w:rFonts w:hint="cs"/>
          <w:rtl/>
        </w:rPr>
        <w:tab/>
        <w:t>وقد اعتمد اقتراح بقرار يتعلق بمساواة الرجل والمرأة في المعاملة فيما يتصل بظروف العمل، والحصول على عمل، وفرص الترقي، وكذلك الحصول على مهنة مستقلة في سوق العمل بإقليم بروكسل</w:t>
      </w:r>
      <w:r w:rsidRPr="009B5767">
        <w:rPr>
          <w:vertAlign w:val="superscript"/>
          <w:rtl/>
        </w:rPr>
        <w:t>(</w:t>
      </w:r>
      <w:r>
        <w:rPr>
          <w:rStyle w:val="FootnoteReference"/>
          <w:rtl/>
        </w:rPr>
        <w:footnoteReference w:id="61"/>
      </w:r>
      <w:r w:rsidRPr="009B5767">
        <w:rPr>
          <w:vertAlign w:val="superscript"/>
          <w:rtl/>
        </w:rPr>
        <w:t>)</w:t>
      </w:r>
      <w:r>
        <w:rPr>
          <w:rFonts w:hint="cs"/>
          <w:rtl/>
        </w:rPr>
        <w:t>. ويدعو هذا الاقتراح إلى اتخاذ سلسلة من التدابير لتحسين الوضع، وبخاصة في مجال المعلومات، ومراعاة التمييز الذي تتعرض له المهاجرات بالذات، إلخ.</w:t>
      </w:r>
    </w:p>
    <w:p w:rsidR="0073566C" w:rsidRDefault="0073566C" w:rsidP="0073566C">
      <w:pPr>
        <w:pStyle w:val="SingleTxt"/>
        <w:rPr>
          <w:rFonts w:hint="cs"/>
          <w:rtl/>
        </w:rPr>
      </w:pPr>
      <w:r>
        <w:rPr>
          <w:rFonts w:hint="cs"/>
          <w:rtl/>
        </w:rPr>
        <w:tab/>
        <w:t>وفي إطار الميثاق الاجتماعي لتشغيل البروكسليين، تعهد الشركاء الاجتماعيون بتشجيع تشغيل البروكسليين من خلال مكافحة أي شكل للتمييز، والعمل بشكل أساسي على تعزيز تكافؤ الفرص بين الرجل والمرأة. وفي هذا الإطار أناط المجلس الاقتصادي والاجتماعي لإقليم بروكسل العاصمة بمرصد بروكسل لسوق  العمل والمؤهلات النظر في وضع المرأة في سوق العمل ببروكسل.</w:t>
      </w:r>
    </w:p>
    <w:p w:rsidR="0073566C" w:rsidRDefault="0073566C" w:rsidP="0073566C">
      <w:pPr>
        <w:pStyle w:val="SingleTxt"/>
        <w:rPr>
          <w:rFonts w:hint="cs"/>
          <w:rtl/>
        </w:rPr>
      </w:pPr>
      <w:r>
        <w:rPr>
          <w:rFonts w:hint="cs"/>
          <w:rtl/>
        </w:rPr>
        <w:tab/>
        <w:t>وقد لخصت دراسة أولى الخطوط العريضة لوضع المرأة في سوق العمل في بروكسل. وفي المنشور الثاني، ورد تحليل لمشاركة المرأة والرجل في التدابير المتعلقة بالعمل والتدريب المهني، وكذلك في تدابير مرافقة الباحثين عن عمل. وستكون نتائج هاتين الدراستين عونا للمجلس الاقتصادي والاجتماعي لإقليم بروكسل العاصمة في وضع خطة عمل ترمي إلى تشجيع تكافؤ الفرص بين الجنسين.</w:t>
      </w:r>
    </w:p>
    <w:p w:rsidR="0073566C" w:rsidRDefault="0073566C" w:rsidP="0073566C">
      <w:pPr>
        <w:pStyle w:val="SingleTxt"/>
        <w:rPr>
          <w:rFonts w:hint="cs"/>
          <w:rtl/>
        </w:rPr>
      </w:pPr>
      <w:r>
        <w:rPr>
          <w:rFonts w:hint="cs"/>
          <w:rtl/>
        </w:rPr>
        <w:tab/>
        <w:t>وفي كانون الأول/ديسمبر 2005، اقترح وزير العمل في بروكسل ميثاقا للتنوع في المؤسسات. ويساعد مكتب بروكسل الإقليمي للعمالة المؤسسات على الامتثال لهذا الميثاق من خلال المساعدة التي يقدمها المستشارون في مجال التنوع.</w:t>
      </w:r>
    </w:p>
    <w:p w:rsidR="0073566C" w:rsidRPr="00AB6963" w:rsidRDefault="0073566C" w:rsidP="0073566C">
      <w:pPr>
        <w:pStyle w:val="SingleTxt"/>
        <w:spacing w:after="0" w:line="120" w:lineRule="exact"/>
        <w:rPr>
          <w:rFonts w:hint="cs"/>
          <w:sz w:val="12"/>
          <w:rtl/>
        </w:rPr>
      </w:pPr>
    </w:p>
    <w:p w:rsidR="0073566C" w:rsidRDefault="0073566C" w:rsidP="0073566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المادة 12</w:t>
      </w:r>
    </w:p>
    <w:p w:rsidR="0073566C" w:rsidRDefault="0073566C" w:rsidP="0073566C">
      <w:pPr>
        <w:pStyle w:val="HCh"/>
        <w:tabs>
          <w:tab w:val="right" w:pos="1022"/>
          <w:tab w:val="left" w:pos="1267"/>
          <w:tab w:val="left" w:pos="1930"/>
          <w:tab w:val="left" w:pos="2228"/>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أولا -</w:t>
      </w:r>
      <w:r>
        <w:rPr>
          <w:rFonts w:hint="cs"/>
          <w:rtl/>
        </w:rPr>
        <w:tab/>
        <w:t>على المستوى الاتحادي</w:t>
      </w:r>
    </w:p>
    <w:p w:rsidR="0073566C" w:rsidRDefault="0073566C" w:rsidP="0073566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1 -</w:t>
      </w:r>
      <w:r>
        <w:rPr>
          <w:rFonts w:hint="cs"/>
          <w:rtl/>
        </w:rPr>
        <w:tab/>
        <w:t>التدابير المواتية للمرأة المتخذة في مجال الرعاية الصحية في الفترة 2002-2006</w:t>
      </w:r>
    </w:p>
    <w:p w:rsidR="0073566C" w:rsidRDefault="0073566C" w:rsidP="00993694">
      <w:pPr>
        <w:pStyle w:val="SingleTxt"/>
        <w:rPr>
          <w:rFonts w:hint="cs"/>
          <w:rtl/>
        </w:rPr>
      </w:pPr>
      <w:r>
        <w:rPr>
          <w:rFonts w:hint="cs"/>
          <w:rtl/>
        </w:rPr>
        <w:tab/>
        <w:t xml:space="preserve">آذار/مارس 2002: نص التأمين ضد المرض على سداد التكاليف في التخصصين </w:t>
      </w:r>
      <w:r>
        <w:t>Menopur</w:t>
      </w:r>
      <w:r>
        <w:rPr>
          <w:rFonts w:hint="cs"/>
          <w:rtl/>
        </w:rPr>
        <w:t xml:space="preserve"> و</w:t>
      </w:r>
      <w:r>
        <w:t>Metrodin</w:t>
      </w:r>
      <w:r>
        <w:rPr>
          <w:rFonts w:hint="cs"/>
          <w:rtl/>
        </w:rPr>
        <w:t xml:space="preserve"> اللذين يعالجان مشاكل الخصوبة.</w:t>
      </w:r>
    </w:p>
    <w:p w:rsidR="0073566C" w:rsidRDefault="0073566C" w:rsidP="00993694">
      <w:pPr>
        <w:pStyle w:val="SingleTxt"/>
        <w:rPr>
          <w:rFonts w:hint="cs"/>
          <w:rtl/>
        </w:rPr>
      </w:pPr>
      <w:r>
        <w:rPr>
          <w:rFonts w:hint="cs"/>
          <w:rtl/>
        </w:rPr>
        <w:tab/>
        <w:t>منذ حزيران/يونيه 2002 أصبح البرنامج الوطني للكشف عن سرطان الثدي يسمح لمن تتراوح أعمارهن بين 50 و69 عاما بالاستفادة من الفحص المجاني للثدي مرة كل عامين. وقد أطلقت الدولة الاتحادية هذا البرنامج بالتعاون مع المجتمعات.</w:t>
      </w:r>
    </w:p>
    <w:p w:rsidR="0073566C" w:rsidRPr="00993694" w:rsidRDefault="0073566C" w:rsidP="00993694">
      <w:pPr>
        <w:pStyle w:val="SingleTxt"/>
        <w:rPr>
          <w:rFonts w:hint="cs"/>
          <w:rtl/>
        </w:rPr>
      </w:pPr>
      <w:r>
        <w:rPr>
          <w:rFonts w:hint="cs"/>
          <w:rtl/>
        </w:rPr>
        <w:tab/>
      </w:r>
      <w:r w:rsidRPr="00993694">
        <w:rPr>
          <w:rFonts w:hint="cs"/>
          <w:rtl/>
        </w:rPr>
        <w:t>تموز/يوليه 2002: يمكن للعاملات الوالدات، بشروط معينة، الحصول على فترات للإرضاع. وتتولى شركة التأمين دفع استحقاقات فترات الإرضاع.</w:t>
      </w:r>
    </w:p>
    <w:p w:rsidR="0073566C" w:rsidRDefault="0073566C" w:rsidP="00993694">
      <w:pPr>
        <w:pStyle w:val="SingleTxt"/>
        <w:rPr>
          <w:rFonts w:hint="cs"/>
          <w:rtl/>
        </w:rPr>
      </w:pPr>
      <w:r>
        <w:rPr>
          <w:rFonts w:hint="cs"/>
          <w:rtl/>
        </w:rPr>
        <w:tab/>
        <w:t xml:space="preserve">تشرين الثاني/نوفمبر 2002: يردّ التأمين ضد المرض تكاليف فحص الثدي بإبرة بطريقة </w:t>
      </w:r>
      <w:r>
        <w:t>mammotome</w:t>
      </w:r>
      <w:r>
        <w:rPr>
          <w:rFonts w:hint="cs"/>
          <w:rtl/>
        </w:rPr>
        <w:t>. وبهذه الإبرة يمكن الحصول على نسيج حي من الثدي دون الحاجة إلى عملية أكبر لهذا الغرض. وبذلك يمكن للمرأة تفادي البقاء في المستشفى، والندوب التي تنجم عن هذه العملية أصغر بكثير. وما دام التأمين الإجباري ضد المرض يرد التكاليف، فإن معنى ذلك أن جميع النساء يحصلن على هذا العلاج.</w:t>
      </w:r>
    </w:p>
    <w:p w:rsidR="0073566C" w:rsidRPr="00993694" w:rsidRDefault="0073566C" w:rsidP="00993694">
      <w:pPr>
        <w:pStyle w:val="SingleTxt"/>
        <w:rPr>
          <w:rFonts w:hint="cs"/>
          <w:rtl/>
        </w:rPr>
      </w:pPr>
      <w:r>
        <w:rPr>
          <w:rFonts w:hint="cs"/>
          <w:rtl/>
        </w:rPr>
        <w:tab/>
      </w:r>
      <w:r w:rsidRPr="00993694">
        <w:rPr>
          <w:rFonts w:hint="cs"/>
          <w:rtl/>
        </w:rPr>
        <w:t>من آذار/مارس 2003 إلى كانون الثاني/يناير 2005: من المتوقع استجابة تأمين الرعاية الصحية في حالات جراحات الترقيع الدقيقة للمرضى الذين يعالجون كيميائيا و/أو إشعاعيا (يردّ التأمين الإجباري 120 يورو كل عامين)، والمرضى الذين يتساقط الشعر لديهم في مساحة تزيد على 30 في المائة (بعد إصابتهم بمرض جريبات الشعر)، و/أو يصابون بالصلع الندبي الناجم عن سبب جسدي كيميائي أو جراحي أو التهابي، الذي تزيد مساحته على 30 في المائة (يردّ مبلغ 180 يورو). ويمكن أن تتجدد الاستجابة بعد انقضاء 24 شهرا على الاستجابة السابقة.</w:t>
      </w:r>
    </w:p>
    <w:p w:rsidR="0073566C" w:rsidRDefault="0073566C" w:rsidP="00993694">
      <w:pPr>
        <w:pStyle w:val="SingleTxt"/>
        <w:rPr>
          <w:rFonts w:hint="cs"/>
          <w:rtl/>
        </w:rPr>
      </w:pPr>
      <w:r>
        <w:rPr>
          <w:rFonts w:hint="cs"/>
          <w:rtl/>
        </w:rPr>
        <w:tab/>
        <w:t>تموز/يوليه 2003: يمكن للنساء اللاتي يلجأن إلى الإخصاب الأنبوبي استرداد التكاليف المختبرية. ويتحمل التأمين ضد المرض هذه التكاليف بحد أقصى 182 1 يورو لكل فحص. أما تكاليف الاستشارة فتتحملها المريضات.</w:t>
      </w:r>
    </w:p>
    <w:p w:rsidR="0073566C" w:rsidRDefault="0073566C" w:rsidP="0073566C">
      <w:pPr>
        <w:pStyle w:val="SingleTxt"/>
        <w:rPr>
          <w:rFonts w:hint="cs"/>
          <w:rtl/>
        </w:rPr>
      </w:pPr>
      <w:r>
        <w:rPr>
          <w:rFonts w:hint="cs"/>
          <w:rtl/>
        </w:rPr>
        <w:tab/>
        <w:t>وللانتفاع باسترداد تكاليف الإخصاب الأنبوبي بواقع 182 1 يورو لكل فحص، يشترط وفاء المطالِبات بعدة شروط: ألا يزيد العمر على 42 عاما؛ زرع عدد محدود من المُضغ وفقا لعمر المريضة وترتيب الدورة؛ ردّ تكاليف 6 فحوص على الأكثر لكل مريضة؛ التوجه إلى واحد من المراكز المتخصصة المعتمدة وعددها 18 مركزا.</w:t>
      </w:r>
    </w:p>
    <w:p w:rsidR="0073566C" w:rsidRDefault="0073566C" w:rsidP="00993694">
      <w:pPr>
        <w:pStyle w:val="SingleTxt"/>
        <w:rPr>
          <w:rFonts w:hint="cs"/>
          <w:rtl/>
        </w:rPr>
      </w:pPr>
      <w:r>
        <w:rPr>
          <w:rFonts w:hint="cs"/>
          <w:rtl/>
        </w:rPr>
        <w:tab/>
        <w:t>نيسان/أبريل 2004: أصبح من اختصاص المعهد الوطني للتأمين ضد المرض والعجز منذ الآن إبرام اتفاق مع شركات التأمين لتمويل تكلفة شراء النساء دون الواحدة والعشرين من العمر لبعض وسائل منع الحمل. والهدف من ذلك التصدي للحمل غير المرغوب فيه. وتواكب هذه التدابير حملات تدريب وتوعية.</w:t>
      </w:r>
    </w:p>
    <w:p w:rsidR="0073566C" w:rsidRDefault="0073566C" w:rsidP="00993694">
      <w:pPr>
        <w:pStyle w:val="SingleTxt"/>
        <w:rPr>
          <w:rFonts w:hint="cs"/>
          <w:rtl/>
        </w:rPr>
      </w:pPr>
      <w:r>
        <w:rPr>
          <w:rFonts w:hint="cs"/>
          <w:rtl/>
        </w:rPr>
        <w:tab/>
        <w:t>كانون الثاني/يناير 2006: في إطار الخطة الوطنية لمكافحة التسمم بالتبغ، يُتوقع استجابة تأمين الرعاية الصحية للمساعدة والخدمات المتعلقة بالأدوية التي تقدمها مراكز معينة لإقلاع الحوامل وأقرانهن عن التدخين.</w:t>
      </w:r>
    </w:p>
    <w:p w:rsidR="0073566C" w:rsidRDefault="0073566C" w:rsidP="00993694">
      <w:pPr>
        <w:pStyle w:val="SingleTxt"/>
        <w:rPr>
          <w:rFonts w:hint="cs"/>
          <w:rtl/>
        </w:rPr>
      </w:pPr>
      <w:r>
        <w:rPr>
          <w:rFonts w:hint="cs"/>
          <w:rtl/>
        </w:rPr>
        <w:tab/>
        <w:t>شباط/فبراير 2006: يستجيب تأمين الرعاية الصحية لخدمتين جديدتين تساعدان، في الثلث الأول من فترة الحمل، على تحديد العوامل المنطوية على خطر الإصابة بالمغولية (متلازمة داون).</w:t>
      </w:r>
    </w:p>
    <w:p w:rsidR="0073566C" w:rsidRDefault="0073566C" w:rsidP="00993694">
      <w:pPr>
        <w:pStyle w:val="SingleTxt"/>
        <w:rPr>
          <w:rFonts w:hint="cs"/>
          <w:rtl/>
        </w:rPr>
      </w:pPr>
      <w:r>
        <w:rPr>
          <w:rFonts w:hint="cs"/>
          <w:rtl/>
        </w:rPr>
        <w:tab/>
        <w:t xml:space="preserve">حزيران/يونيه 2006: يمكن الآن إبرام اتفاق، رهنا بالوفاء بشروط معينة، بين لجنة التأمين في دائرة الرعاية الصحية التابعة للمعهد الوطني للتأمين ضد المرض والعجز والمراكز المتخصصة، بمقتضاه يشترك التأمين الإجباري للرعاية الصحية في تمويل علاج المستفيدات المصابات بسرطان الثدي بعقار مساعد و/أو بعقار </w:t>
      </w:r>
      <w:r>
        <w:t>Herceptin</w:t>
      </w:r>
      <w:r>
        <w:rPr>
          <w:rFonts w:hint="cs"/>
          <w:rtl/>
        </w:rPr>
        <w:t xml:space="preserve"> الحديث.</w:t>
      </w:r>
    </w:p>
    <w:p w:rsidR="0073566C" w:rsidRDefault="0073566C" w:rsidP="00993694">
      <w:pPr>
        <w:pStyle w:val="SingleTxt"/>
        <w:rPr>
          <w:rFonts w:hint="cs"/>
          <w:rtl/>
        </w:rPr>
      </w:pPr>
      <w:r>
        <w:rPr>
          <w:rFonts w:hint="cs"/>
          <w:rtl/>
        </w:rPr>
        <w:tab/>
        <w:t>تموز/يوليه 2006: تنفيذا للقرار المتعلق بتمديد إجازة الولادة الذي اتخذه مجلس الوزراء في الاجتماع الطارئ المعقود في 20 آذار/مارس 2004، يزاد أسبوع على فترة إجازة الولادة عندما تعجز العاملة، نتيجة لمرض أو حادث، عن العمل طوال الفترة التي تبدأ من الأسبوع السادس السابق لموعد الولادة، أو من الأسبوع الثامن عند تعدد المواليد. ويتعين على العاملة أن تطلب هذا التمديد.</w:t>
      </w:r>
    </w:p>
    <w:p w:rsidR="0073566C" w:rsidRPr="003A6288" w:rsidRDefault="0073566C" w:rsidP="0073566C">
      <w:pPr>
        <w:pStyle w:val="SingleTxt"/>
        <w:spacing w:after="0" w:line="120" w:lineRule="exact"/>
        <w:rPr>
          <w:rFonts w:hint="cs"/>
          <w:sz w:val="12"/>
          <w:rtl/>
        </w:rPr>
      </w:pPr>
    </w:p>
    <w:p w:rsidR="0073566C" w:rsidRDefault="0073566C" w:rsidP="0073566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2 -</w:t>
      </w:r>
      <w:r>
        <w:rPr>
          <w:rFonts w:hint="cs"/>
          <w:rtl/>
        </w:rPr>
        <w:tab/>
        <w:t>الدراسات التي أجراها المعهد المعني بالمساواة بين المرأة والرجل في مجال الصحة</w:t>
      </w:r>
    </w:p>
    <w:p w:rsidR="0073566C" w:rsidRDefault="0073566C" w:rsidP="0073566C">
      <w:pPr>
        <w:pStyle w:val="SingleTxt"/>
        <w:rPr>
          <w:rFonts w:hint="cs"/>
          <w:rtl/>
        </w:rPr>
      </w:pPr>
      <w:r>
        <w:rPr>
          <w:rFonts w:hint="cs"/>
          <w:rtl/>
        </w:rPr>
        <w:tab/>
        <w:t>وضع المعهد المعني بالمساواة بين المرأة والرجل تقريرا عن الحقوق الجنسية والإنجابية، بناء على طلب موجه من مجلس أوروبا إلى وزير الصحة الاتحادي بشأن كيفية إدراج تعميم مراعاة البعد الجنساني في السياسات الصحية.</w:t>
      </w:r>
    </w:p>
    <w:p w:rsidR="0073566C" w:rsidRDefault="0073566C" w:rsidP="0073566C">
      <w:pPr>
        <w:pStyle w:val="SingleTxt"/>
        <w:rPr>
          <w:rFonts w:hint="cs"/>
          <w:rtl/>
        </w:rPr>
      </w:pPr>
      <w:r>
        <w:rPr>
          <w:rFonts w:hint="cs"/>
          <w:rtl/>
        </w:rPr>
        <w:tab/>
        <w:t>وقد أجرى المعهد العلمي للصحة العامة الدراسة الاستقصائية الصحية في أعوام 1997 و2001 و2004. وشملت هذه الدراسة أكثر من 000 10 شخص موزعين حسب الإقليم والمقاطعة والمجتمع. وتضمّنت الدراسة أسئلة عن الحالة الصحية، ونمط الحياة، والوقاية، والاستفادة من الخدمات الصحية، والصحة والمجتمع. وتألفت الدراسة الاستقصائية الصحية من 3 قوائم من الأسئلة: القائمة الأولى تتعلق بمعلومات عامة عن الأسرة، وتتعلق القائمة الثانية بأفراد الأسرة الذين تخطّوا الخامسة عشرة من العمر والذين يتعين أن يجيبوا على الأسئلة بأنفسهم، وأخيرا ترد أسئلة القائمة الثالثة الموجهة إلى جميع أفراد الأسرة (ومنهم بالطبع من هم دون الخامسة عشرة من العمر).</w:t>
      </w:r>
    </w:p>
    <w:p w:rsidR="0073566C" w:rsidRPr="00083DF1" w:rsidRDefault="0073566C" w:rsidP="0073566C">
      <w:pPr>
        <w:pStyle w:val="SingleTxt"/>
        <w:spacing w:after="0" w:line="120" w:lineRule="exact"/>
        <w:rPr>
          <w:rFonts w:hint="cs"/>
          <w:sz w:val="12"/>
          <w:rtl/>
        </w:rPr>
      </w:pPr>
    </w:p>
    <w:p w:rsidR="0073566C" w:rsidRDefault="00993694" w:rsidP="0073566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tl/>
        </w:rPr>
        <w:br w:type="page"/>
      </w:r>
      <w:r w:rsidR="0073566C">
        <w:rPr>
          <w:rFonts w:hint="cs"/>
          <w:rtl/>
        </w:rPr>
        <w:tab/>
      </w:r>
      <w:r w:rsidR="0073566C">
        <w:rPr>
          <w:rFonts w:hint="cs"/>
          <w:rtl/>
        </w:rPr>
        <w:tab/>
        <w:t>3 -</w:t>
      </w:r>
      <w:r w:rsidR="0073566C">
        <w:rPr>
          <w:rFonts w:hint="cs"/>
          <w:rtl/>
        </w:rPr>
        <w:tab/>
        <w:t>الأرقام والإحصاءات المتعلقة بصحة البلجيكيات</w:t>
      </w:r>
    </w:p>
    <w:p w:rsidR="0073566C" w:rsidRDefault="0073566C" w:rsidP="0073566C">
      <w:pPr>
        <w:pStyle w:val="SingleTxt"/>
        <w:rPr>
          <w:rFonts w:hint="cs"/>
          <w:i/>
          <w:iCs/>
          <w:rtl/>
        </w:rPr>
      </w:pPr>
      <w:r>
        <w:rPr>
          <w:rFonts w:hint="cs"/>
          <w:i/>
          <w:iCs/>
          <w:rtl/>
        </w:rPr>
        <w:t>3-1</w:t>
      </w:r>
      <w:r>
        <w:rPr>
          <w:rFonts w:hint="cs"/>
          <w:i/>
          <w:iCs/>
          <w:rtl/>
        </w:rPr>
        <w:tab/>
        <w:t>النسبة المئوية للنساء الناشطات جنسيا اللاتي استخدمن إحدى وسائل منع الحمل (هنّ أو القرين) في العام الماضي، حسب الفئة العمرية، 2004</w:t>
      </w:r>
      <w:r w:rsidRPr="00083DF1">
        <w:rPr>
          <w:i/>
          <w:iCs/>
          <w:vertAlign w:val="superscript"/>
          <w:rtl/>
        </w:rPr>
        <w:t>(</w:t>
      </w:r>
      <w:r w:rsidRPr="00770D92">
        <w:rPr>
          <w:rStyle w:val="FootnoteReference"/>
          <w:rtl/>
        </w:rPr>
        <w:footnoteReference w:id="62"/>
      </w:r>
      <w:r w:rsidRPr="00083DF1">
        <w:rPr>
          <w:i/>
          <w:iCs/>
          <w:vertAlign w:val="superscript"/>
          <w:rtl/>
        </w:rPr>
        <w:t>)</w:t>
      </w:r>
    </w:p>
    <w:p w:rsidR="0073566C" w:rsidRPr="00083DF1" w:rsidRDefault="0073566C" w:rsidP="0073566C">
      <w:pPr>
        <w:pStyle w:val="SingleTxt"/>
        <w:spacing w:after="0" w:line="120" w:lineRule="exact"/>
        <w:rPr>
          <w:rFonts w:hint="cs"/>
          <w:i/>
          <w:iCs/>
          <w:sz w:val="12"/>
          <w:rtl/>
        </w:rPr>
      </w:pPr>
    </w:p>
    <w:tbl>
      <w:tblPr>
        <w:tblStyle w:val="TableGrid"/>
        <w:bidiVisual/>
        <w:tblW w:w="3399" w:type="dxa"/>
        <w:jc w:val="center"/>
        <w:tblInd w:w="21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442"/>
        <w:gridCol w:w="1030"/>
        <w:gridCol w:w="927"/>
      </w:tblGrid>
      <w:tr w:rsidR="0073566C" w:rsidRPr="00993694">
        <w:trPr>
          <w:cantSplit/>
          <w:tblHeader/>
          <w:jc w:val="center"/>
        </w:trPr>
        <w:tc>
          <w:tcPr>
            <w:tcW w:w="1442" w:type="dxa"/>
            <w:tcBorders>
              <w:top w:val="single" w:sz="4" w:space="0" w:color="auto"/>
              <w:bottom w:val="single" w:sz="12" w:space="0" w:color="auto"/>
            </w:tcBorders>
            <w:shd w:val="clear" w:color="auto" w:fill="auto"/>
            <w:vAlign w:val="bottom"/>
          </w:tcPr>
          <w:p w:rsidR="0073566C" w:rsidRPr="00993694" w:rsidRDefault="0073566C" w:rsidP="0073566C">
            <w:pPr>
              <w:pStyle w:val="DualTxt"/>
              <w:spacing w:before="80" w:after="80" w:line="240" w:lineRule="exact"/>
              <w:jc w:val="center"/>
              <w:rPr>
                <w:rFonts w:hint="cs"/>
                <w:i/>
                <w:iCs/>
                <w:sz w:val="16"/>
                <w:szCs w:val="24"/>
                <w:rtl/>
              </w:rPr>
            </w:pPr>
            <w:r w:rsidRPr="00993694">
              <w:rPr>
                <w:rFonts w:hint="cs"/>
                <w:i/>
                <w:iCs/>
                <w:sz w:val="16"/>
                <w:szCs w:val="24"/>
                <w:rtl/>
              </w:rPr>
              <w:t>العمر</w:t>
            </w:r>
          </w:p>
        </w:tc>
        <w:tc>
          <w:tcPr>
            <w:tcW w:w="1030" w:type="dxa"/>
            <w:tcBorders>
              <w:top w:val="single" w:sz="4" w:space="0" w:color="auto"/>
              <w:bottom w:val="single" w:sz="12" w:space="0" w:color="auto"/>
            </w:tcBorders>
            <w:shd w:val="clear" w:color="auto" w:fill="auto"/>
            <w:vAlign w:val="bottom"/>
          </w:tcPr>
          <w:p w:rsidR="0073566C" w:rsidRPr="00993694" w:rsidRDefault="0073566C" w:rsidP="0073566C">
            <w:pPr>
              <w:pStyle w:val="DualTxt"/>
              <w:spacing w:before="80" w:after="80" w:line="240" w:lineRule="exact"/>
              <w:ind w:right="144"/>
              <w:jc w:val="center"/>
              <w:rPr>
                <w:rFonts w:hint="cs"/>
                <w:i/>
                <w:iCs/>
                <w:sz w:val="16"/>
                <w:szCs w:val="24"/>
                <w:rtl/>
              </w:rPr>
            </w:pPr>
            <w:r w:rsidRPr="00993694">
              <w:rPr>
                <w:rFonts w:hint="cs"/>
                <w:i/>
                <w:iCs/>
                <w:sz w:val="16"/>
                <w:szCs w:val="24"/>
                <w:rtl/>
              </w:rPr>
              <w:t>نعم</w:t>
            </w:r>
          </w:p>
        </w:tc>
        <w:tc>
          <w:tcPr>
            <w:tcW w:w="927" w:type="dxa"/>
            <w:tcBorders>
              <w:top w:val="single" w:sz="4" w:space="0" w:color="auto"/>
              <w:bottom w:val="single" w:sz="12" w:space="0" w:color="auto"/>
            </w:tcBorders>
            <w:shd w:val="clear" w:color="auto" w:fill="auto"/>
            <w:vAlign w:val="bottom"/>
          </w:tcPr>
          <w:p w:rsidR="0073566C" w:rsidRPr="00993694" w:rsidRDefault="0073566C" w:rsidP="0073566C">
            <w:pPr>
              <w:pStyle w:val="DualTxt"/>
              <w:spacing w:before="80" w:after="80" w:line="240" w:lineRule="exact"/>
              <w:ind w:right="144"/>
              <w:jc w:val="center"/>
              <w:rPr>
                <w:rFonts w:hint="cs"/>
                <w:i/>
                <w:iCs/>
                <w:sz w:val="16"/>
                <w:szCs w:val="24"/>
                <w:rtl/>
              </w:rPr>
            </w:pPr>
            <w:r w:rsidRPr="00993694">
              <w:rPr>
                <w:rFonts w:hint="cs"/>
                <w:i/>
                <w:iCs/>
                <w:sz w:val="16"/>
                <w:szCs w:val="24"/>
                <w:rtl/>
              </w:rPr>
              <w:t>لا</w:t>
            </w:r>
          </w:p>
        </w:tc>
      </w:tr>
      <w:tr w:rsidR="0073566C" w:rsidRPr="001917DC">
        <w:trPr>
          <w:cantSplit/>
          <w:jc w:val="center"/>
        </w:trPr>
        <w:tc>
          <w:tcPr>
            <w:tcW w:w="1442" w:type="dxa"/>
            <w:shd w:val="clear" w:color="auto" w:fill="auto"/>
            <w:vAlign w:val="bottom"/>
          </w:tcPr>
          <w:p w:rsidR="0073566C" w:rsidRPr="001917DC" w:rsidRDefault="0073566C" w:rsidP="0073566C">
            <w:pPr>
              <w:pStyle w:val="DualTxt"/>
              <w:spacing w:before="40" w:after="80" w:line="240" w:lineRule="exact"/>
              <w:jc w:val="center"/>
              <w:rPr>
                <w:rFonts w:hint="cs"/>
                <w:i/>
                <w:iCs/>
                <w:sz w:val="16"/>
                <w:szCs w:val="24"/>
                <w:rtl/>
              </w:rPr>
            </w:pPr>
            <w:r>
              <w:rPr>
                <w:rFonts w:hint="cs"/>
                <w:i/>
                <w:iCs/>
                <w:sz w:val="16"/>
                <w:szCs w:val="24"/>
                <w:rtl/>
              </w:rPr>
              <w:t>15-19 عاما</w:t>
            </w:r>
          </w:p>
        </w:tc>
        <w:tc>
          <w:tcPr>
            <w:tcW w:w="1030" w:type="dxa"/>
            <w:shd w:val="clear" w:color="auto" w:fill="auto"/>
            <w:vAlign w:val="bottom"/>
          </w:tcPr>
          <w:p w:rsidR="0073566C" w:rsidRPr="001917DC" w:rsidRDefault="0073566C" w:rsidP="0073566C">
            <w:pPr>
              <w:pStyle w:val="DualTxt"/>
              <w:spacing w:before="40" w:after="80" w:line="240" w:lineRule="exact"/>
              <w:ind w:right="144"/>
              <w:jc w:val="center"/>
              <w:rPr>
                <w:rFonts w:hint="cs"/>
                <w:sz w:val="16"/>
                <w:szCs w:val="24"/>
                <w:rtl/>
              </w:rPr>
            </w:pPr>
            <w:r>
              <w:rPr>
                <w:rFonts w:hint="cs"/>
                <w:sz w:val="16"/>
                <w:szCs w:val="24"/>
                <w:rtl/>
              </w:rPr>
              <w:t>83.5</w:t>
            </w:r>
          </w:p>
        </w:tc>
        <w:tc>
          <w:tcPr>
            <w:tcW w:w="927" w:type="dxa"/>
            <w:shd w:val="clear" w:color="auto" w:fill="auto"/>
            <w:vAlign w:val="bottom"/>
          </w:tcPr>
          <w:p w:rsidR="0073566C" w:rsidRPr="001917DC" w:rsidRDefault="0073566C" w:rsidP="0073566C">
            <w:pPr>
              <w:pStyle w:val="DualTxt"/>
              <w:spacing w:before="40" w:after="80" w:line="240" w:lineRule="exact"/>
              <w:ind w:right="144"/>
              <w:jc w:val="center"/>
              <w:rPr>
                <w:rFonts w:hint="cs"/>
                <w:sz w:val="16"/>
                <w:szCs w:val="24"/>
                <w:rtl/>
              </w:rPr>
            </w:pPr>
            <w:r>
              <w:rPr>
                <w:rFonts w:hint="cs"/>
                <w:sz w:val="16"/>
                <w:szCs w:val="24"/>
                <w:rtl/>
              </w:rPr>
              <w:t>16.5</w:t>
            </w:r>
          </w:p>
        </w:tc>
      </w:tr>
      <w:tr w:rsidR="0073566C" w:rsidRPr="001917DC">
        <w:trPr>
          <w:cantSplit/>
          <w:jc w:val="center"/>
        </w:trPr>
        <w:tc>
          <w:tcPr>
            <w:tcW w:w="1442" w:type="dxa"/>
            <w:shd w:val="clear" w:color="auto" w:fill="auto"/>
            <w:vAlign w:val="bottom"/>
          </w:tcPr>
          <w:p w:rsidR="0073566C" w:rsidRPr="001917DC" w:rsidRDefault="0073566C" w:rsidP="0073566C">
            <w:pPr>
              <w:pStyle w:val="DualTxt"/>
              <w:spacing w:before="40" w:after="80" w:line="240" w:lineRule="exact"/>
              <w:jc w:val="center"/>
              <w:rPr>
                <w:rFonts w:hint="cs"/>
                <w:i/>
                <w:iCs/>
                <w:sz w:val="16"/>
                <w:szCs w:val="24"/>
                <w:rtl/>
              </w:rPr>
            </w:pPr>
            <w:r>
              <w:rPr>
                <w:rFonts w:hint="cs"/>
                <w:i/>
                <w:iCs/>
                <w:sz w:val="16"/>
                <w:szCs w:val="24"/>
                <w:rtl/>
              </w:rPr>
              <w:t>20-24 عاما</w:t>
            </w:r>
          </w:p>
        </w:tc>
        <w:tc>
          <w:tcPr>
            <w:tcW w:w="1030" w:type="dxa"/>
            <w:shd w:val="clear" w:color="auto" w:fill="auto"/>
            <w:vAlign w:val="bottom"/>
          </w:tcPr>
          <w:p w:rsidR="0073566C" w:rsidRPr="001917DC" w:rsidRDefault="0073566C" w:rsidP="0073566C">
            <w:pPr>
              <w:pStyle w:val="DualTxt"/>
              <w:spacing w:before="40" w:after="80" w:line="240" w:lineRule="exact"/>
              <w:ind w:right="144"/>
              <w:jc w:val="center"/>
              <w:rPr>
                <w:rFonts w:hint="cs"/>
                <w:sz w:val="16"/>
                <w:szCs w:val="24"/>
                <w:rtl/>
              </w:rPr>
            </w:pPr>
            <w:r>
              <w:rPr>
                <w:rFonts w:hint="cs"/>
                <w:sz w:val="16"/>
                <w:szCs w:val="24"/>
                <w:rtl/>
              </w:rPr>
              <w:t>86.4</w:t>
            </w:r>
          </w:p>
        </w:tc>
        <w:tc>
          <w:tcPr>
            <w:tcW w:w="927" w:type="dxa"/>
            <w:shd w:val="clear" w:color="auto" w:fill="auto"/>
            <w:vAlign w:val="bottom"/>
          </w:tcPr>
          <w:p w:rsidR="0073566C" w:rsidRPr="001917DC" w:rsidRDefault="0073566C" w:rsidP="0073566C">
            <w:pPr>
              <w:pStyle w:val="DualTxt"/>
              <w:spacing w:before="40" w:after="80" w:line="240" w:lineRule="exact"/>
              <w:ind w:right="144"/>
              <w:jc w:val="center"/>
              <w:rPr>
                <w:rFonts w:hint="cs"/>
                <w:sz w:val="16"/>
                <w:szCs w:val="24"/>
                <w:rtl/>
              </w:rPr>
            </w:pPr>
            <w:r>
              <w:rPr>
                <w:rFonts w:hint="cs"/>
                <w:sz w:val="16"/>
                <w:szCs w:val="24"/>
                <w:rtl/>
              </w:rPr>
              <w:t>13.6</w:t>
            </w:r>
          </w:p>
        </w:tc>
      </w:tr>
      <w:tr w:rsidR="0073566C" w:rsidRPr="001917DC">
        <w:trPr>
          <w:cantSplit/>
          <w:jc w:val="center"/>
        </w:trPr>
        <w:tc>
          <w:tcPr>
            <w:tcW w:w="1442" w:type="dxa"/>
            <w:shd w:val="clear" w:color="auto" w:fill="auto"/>
            <w:vAlign w:val="bottom"/>
          </w:tcPr>
          <w:p w:rsidR="0073566C" w:rsidRPr="001917DC" w:rsidRDefault="0073566C" w:rsidP="0073566C">
            <w:pPr>
              <w:pStyle w:val="DualTxt"/>
              <w:spacing w:before="40" w:after="80" w:line="240" w:lineRule="exact"/>
              <w:jc w:val="center"/>
              <w:rPr>
                <w:rFonts w:hint="cs"/>
                <w:i/>
                <w:iCs/>
                <w:sz w:val="16"/>
                <w:szCs w:val="24"/>
                <w:rtl/>
              </w:rPr>
            </w:pPr>
            <w:r>
              <w:rPr>
                <w:rFonts w:hint="cs"/>
                <w:i/>
                <w:iCs/>
                <w:sz w:val="16"/>
                <w:szCs w:val="24"/>
                <w:rtl/>
              </w:rPr>
              <w:t>25-29 عاما</w:t>
            </w:r>
          </w:p>
        </w:tc>
        <w:tc>
          <w:tcPr>
            <w:tcW w:w="1030" w:type="dxa"/>
            <w:shd w:val="clear" w:color="auto" w:fill="auto"/>
            <w:vAlign w:val="bottom"/>
          </w:tcPr>
          <w:p w:rsidR="0073566C" w:rsidRPr="001917DC" w:rsidRDefault="0073566C" w:rsidP="0073566C">
            <w:pPr>
              <w:pStyle w:val="DualTxt"/>
              <w:spacing w:before="40" w:after="80" w:line="240" w:lineRule="exact"/>
              <w:ind w:right="144"/>
              <w:jc w:val="center"/>
              <w:rPr>
                <w:rFonts w:hint="cs"/>
                <w:sz w:val="16"/>
                <w:szCs w:val="24"/>
                <w:rtl/>
              </w:rPr>
            </w:pPr>
            <w:r>
              <w:rPr>
                <w:rFonts w:hint="cs"/>
                <w:sz w:val="16"/>
                <w:szCs w:val="24"/>
                <w:rtl/>
              </w:rPr>
              <w:t>82.9</w:t>
            </w:r>
          </w:p>
        </w:tc>
        <w:tc>
          <w:tcPr>
            <w:tcW w:w="927" w:type="dxa"/>
            <w:shd w:val="clear" w:color="auto" w:fill="auto"/>
            <w:vAlign w:val="bottom"/>
          </w:tcPr>
          <w:p w:rsidR="0073566C" w:rsidRPr="001917DC" w:rsidRDefault="0073566C" w:rsidP="0073566C">
            <w:pPr>
              <w:pStyle w:val="DualTxt"/>
              <w:spacing w:before="40" w:after="80" w:line="240" w:lineRule="exact"/>
              <w:ind w:right="144"/>
              <w:jc w:val="center"/>
              <w:rPr>
                <w:rFonts w:hint="cs"/>
                <w:sz w:val="16"/>
                <w:szCs w:val="24"/>
                <w:rtl/>
              </w:rPr>
            </w:pPr>
            <w:r>
              <w:rPr>
                <w:rFonts w:hint="cs"/>
                <w:sz w:val="16"/>
                <w:szCs w:val="24"/>
                <w:rtl/>
              </w:rPr>
              <w:t>17.1</w:t>
            </w:r>
          </w:p>
        </w:tc>
      </w:tr>
      <w:tr w:rsidR="0073566C" w:rsidRPr="001917DC">
        <w:trPr>
          <w:cantSplit/>
          <w:jc w:val="center"/>
        </w:trPr>
        <w:tc>
          <w:tcPr>
            <w:tcW w:w="1442" w:type="dxa"/>
            <w:shd w:val="clear" w:color="auto" w:fill="auto"/>
            <w:vAlign w:val="bottom"/>
          </w:tcPr>
          <w:p w:rsidR="0073566C" w:rsidRPr="001917DC" w:rsidRDefault="0073566C" w:rsidP="0073566C">
            <w:pPr>
              <w:pStyle w:val="DualTxt"/>
              <w:spacing w:before="40" w:after="80" w:line="240" w:lineRule="exact"/>
              <w:jc w:val="center"/>
              <w:rPr>
                <w:rFonts w:hint="cs"/>
                <w:i/>
                <w:iCs/>
                <w:sz w:val="16"/>
                <w:szCs w:val="24"/>
                <w:rtl/>
              </w:rPr>
            </w:pPr>
            <w:r>
              <w:rPr>
                <w:rFonts w:hint="cs"/>
                <w:i/>
                <w:iCs/>
                <w:sz w:val="16"/>
                <w:szCs w:val="24"/>
                <w:rtl/>
              </w:rPr>
              <w:t>30-34 عاما</w:t>
            </w:r>
          </w:p>
        </w:tc>
        <w:tc>
          <w:tcPr>
            <w:tcW w:w="1030" w:type="dxa"/>
            <w:shd w:val="clear" w:color="auto" w:fill="auto"/>
            <w:vAlign w:val="bottom"/>
          </w:tcPr>
          <w:p w:rsidR="0073566C" w:rsidRPr="001917DC" w:rsidRDefault="0073566C" w:rsidP="0073566C">
            <w:pPr>
              <w:pStyle w:val="DualTxt"/>
              <w:spacing w:before="40" w:after="80" w:line="240" w:lineRule="exact"/>
              <w:ind w:right="144"/>
              <w:jc w:val="center"/>
              <w:rPr>
                <w:rFonts w:hint="cs"/>
                <w:sz w:val="16"/>
                <w:szCs w:val="24"/>
                <w:rtl/>
              </w:rPr>
            </w:pPr>
            <w:r>
              <w:rPr>
                <w:rFonts w:hint="cs"/>
                <w:sz w:val="16"/>
                <w:szCs w:val="24"/>
                <w:rtl/>
              </w:rPr>
              <w:t>71.9</w:t>
            </w:r>
          </w:p>
        </w:tc>
        <w:tc>
          <w:tcPr>
            <w:tcW w:w="927" w:type="dxa"/>
            <w:shd w:val="clear" w:color="auto" w:fill="auto"/>
            <w:vAlign w:val="bottom"/>
          </w:tcPr>
          <w:p w:rsidR="0073566C" w:rsidRPr="001917DC" w:rsidRDefault="0073566C" w:rsidP="0073566C">
            <w:pPr>
              <w:pStyle w:val="DualTxt"/>
              <w:spacing w:before="40" w:after="80" w:line="240" w:lineRule="exact"/>
              <w:ind w:right="144"/>
              <w:jc w:val="center"/>
              <w:rPr>
                <w:rFonts w:hint="cs"/>
                <w:sz w:val="16"/>
                <w:szCs w:val="24"/>
                <w:rtl/>
              </w:rPr>
            </w:pPr>
            <w:r>
              <w:rPr>
                <w:rFonts w:hint="cs"/>
                <w:sz w:val="16"/>
                <w:szCs w:val="24"/>
                <w:rtl/>
              </w:rPr>
              <w:t>28.1</w:t>
            </w:r>
          </w:p>
        </w:tc>
      </w:tr>
      <w:tr w:rsidR="0073566C" w:rsidRPr="001917DC">
        <w:trPr>
          <w:cantSplit/>
          <w:jc w:val="center"/>
        </w:trPr>
        <w:tc>
          <w:tcPr>
            <w:tcW w:w="1442" w:type="dxa"/>
            <w:shd w:val="clear" w:color="auto" w:fill="auto"/>
            <w:vAlign w:val="bottom"/>
          </w:tcPr>
          <w:p w:rsidR="0073566C" w:rsidRPr="001917DC" w:rsidRDefault="0073566C" w:rsidP="0073566C">
            <w:pPr>
              <w:pStyle w:val="DualTxt"/>
              <w:spacing w:before="40" w:after="80" w:line="240" w:lineRule="exact"/>
              <w:jc w:val="center"/>
              <w:rPr>
                <w:rFonts w:hint="cs"/>
                <w:sz w:val="16"/>
                <w:szCs w:val="24"/>
                <w:rtl/>
              </w:rPr>
            </w:pPr>
            <w:r>
              <w:rPr>
                <w:rFonts w:hint="cs"/>
                <w:sz w:val="16"/>
                <w:szCs w:val="24"/>
                <w:rtl/>
              </w:rPr>
              <w:t>35-39 عاما</w:t>
            </w:r>
          </w:p>
        </w:tc>
        <w:tc>
          <w:tcPr>
            <w:tcW w:w="1030" w:type="dxa"/>
            <w:shd w:val="clear" w:color="auto" w:fill="auto"/>
            <w:vAlign w:val="bottom"/>
          </w:tcPr>
          <w:p w:rsidR="0073566C" w:rsidRPr="001917DC" w:rsidRDefault="0073566C" w:rsidP="0073566C">
            <w:pPr>
              <w:pStyle w:val="DualTxt"/>
              <w:spacing w:before="40" w:after="80" w:line="240" w:lineRule="exact"/>
              <w:ind w:right="144"/>
              <w:jc w:val="center"/>
              <w:rPr>
                <w:rFonts w:hint="cs"/>
                <w:sz w:val="16"/>
                <w:szCs w:val="24"/>
                <w:rtl/>
              </w:rPr>
            </w:pPr>
            <w:r>
              <w:rPr>
                <w:rFonts w:hint="cs"/>
                <w:sz w:val="16"/>
                <w:szCs w:val="24"/>
                <w:rtl/>
              </w:rPr>
              <w:t>74.0</w:t>
            </w:r>
          </w:p>
        </w:tc>
        <w:tc>
          <w:tcPr>
            <w:tcW w:w="927" w:type="dxa"/>
            <w:shd w:val="clear" w:color="auto" w:fill="auto"/>
            <w:vAlign w:val="bottom"/>
          </w:tcPr>
          <w:p w:rsidR="0073566C" w:rsidRPr="001917DC" w:rsidRDefault="0073566C" w:rsidP="0073566C">
            <w:pPr>
              <w:pStyle w:val="DualTxt"/>
              <w:spacing w:before="40" w:after="80" w:line="240" w:lineRule="exact"/>
              <w:ind w:right="144"/>
              <w:jc w:val="center"/>
              <w:rPr>
                <w:rFonts w:hint="cs"/>
                <w:sz w:val="16"/>
                <w:szCs w:val="24"/>
                <w:rtl/>
              </w:rPr>
            </w:pPr>
            <w:r>
              <w:rPr>
                <w:rFonts w:hint="cs"/>
                <w:sz w:val="16"/>
                <w:szCs w:val="24"/>
                <w:rtl/>
              </w:rPr>
              <w:t>26.0</w:t>
            </w:r>
          </w:p>
        </w:tc>
      </w:tr>
      <w:tr w:rsidR="0073566C" w:rsidRPr="001917DC">
        <w:trPr>
          <w:cantSplit/>
          <w:jc w:val="center"/>
        </w:trPr>
        <w:tc>
          <w:tcPr>
            <w:tcW w:w="1442" w:type="dxa"/>
            <w:shd w:val="clear" w:color="auto" w:fill="auto"/>
            <w:vAlign w:val="bottom"/>
          </w:tcPr>
          <w:p w:rsidR="0073566C" w:rsidRPr="001917DC" w:rsidRDefault="0073566C" w:rsidP="0073566C">
            <w:pPr>
              <w:pStyle w:val="DualTxt"/>
              <w:spacing w:before="40" w:after="80" w:line="240" w:lineRule="exact"/>
              <w:jc w:val="center"/>
              <w:rPr>
                <w:rFonts w:hint="cs"/>
                <w:i/>
                <w:iCs/>
                <w:sz w:val="16"/>
                <w:szCs w:val="24"/>
                <w:rtl/>
              </w:rPr>
            </w:pPr>
            <w:r>
              <w:rPr>
                <w:rFonts w:hint="cs"/>
                <w:i/>
                <w:iCs/>
                <w:sz w:val="16"/>
                <w:szCs w:val="24"/>
                <w:rtl/>
              </w:rPr>
              <w:t>40-44 عاما</w:t>
            </w:r>
          </w:p>
        </w:tc>
        <w:tc>
          <w:tcPr>
            <w:tcW w:w="1030" w:type="dxa"/>
            <w:shd w:val="clear" w:color="auto" w:fill="auto"/>
            <w:vAlign w:val="bottom"/>
          </w:tcPr>
          <w:p w:rsidR="0073566C" w:rsidRPr="001917DC" w:rsidRDefault="0073566C" w:rsidP="0073566C">
            <w:pPr>
              <w:pStyle w:val="DualTxt"/>
              <w:spacing w:before="40" w:after="80" w:line="240" w:lineRule="exact"/>
              <w:ind w:right="144"/>
              <w:jc w:val="center"/>
              <w:rPr>
                <w:rFonts w:hint="cs"/>
                <w:sz w:val="16"/>
                <w:szCs w:val="24"/>
                <w:rtl/>
              </w:rPr>
            </w:pPr>
            <w:r>
              <w:rPr>
                <w:rFonts w:hint="cs"/>
                <w:sz w:val="16"/>
                <w:szCs w:val="24"/>
                <w:rtl/>
              </w:rPr>
              <w:t>69.1</w:t>
            </w:r>
          </w:p>
        </w:tc>
        <w:tc>
          <w:tcPr>
            <w:tcW w:w="927" w:type="dxa"/>
            <w:shd w:val="clear" w:color="auto" w:fill="auto"/>
            <w:vAlign w:val="bottom"/>
          </w:tcPr>
          <w:p w:rsidR="0073566C" w:rsidRPr="001917DC" w:rsidRDefault="0073566C" w:rsidP="0073566C">
            <w:pPr>
              <w:pStyle w:val="DualTxt"/>
              <w:spacing w:before="40" w:after="80" w:line="240" w:lineRule="exact"/>
              <w:ind w:right="144"/>
              <w:jc w:val="center"/>
              <w:rPr>
                <w:rFonts w:hint="cs"/>
                <w:sz w:val="16"/>
                <w:szCs w:val="24"/>
                <w:rtl/>
              </w:rPr>
            </w:pPr>
            <w:r>
              <w:rPr>
                <w:rFonts w:hint="cs"/>
                <w:sz w:val="16"/>
                <w:szCs w:val="24"/>
                <w:rtl/>
              </w:rPr>
              <w:t>30.9</w:t>
            </w:r>
          </w:p>
        </w:tc>
      </w:tr>
      <w:tr w:rsidR="0073566C" w:rsidRPr="001917DC">
        <w:trPr>
          <w:cantSplit/>
          <w:jc w:val="center"/>
        </w:trPr>
        <w:tc>
          <w:tcPr>
            <w:tcW w:w="1442" w:type="dxa"/>
            <w:tcBorders>
              <w:bottom w:val="single" w:sz="12" w:space="0" w:color="auto"/>
            </w:tcBorders>
            <w:shd w:val="clear" w:color="auto" w:fill="auto"/>
            <w:vAlign w:val="bottom"/>
          </w:tcPr>
          <w:p w:rsidR="0073566C" w:rsidRDefault="0073566C" w:rsidP="0073566C">
            <w:pPr>
              <w:pStyle w:val="DualTxt"/>
              <w:spacing w:before="40" w:after="80" w:line="240" w:lineRule="exact"/>
              <w:jc w:val="center"/>
              <w:rPr>
                <w:rFonts w:hint="cs"/>
                <w:i/>
                <w:iCs/>
                <w:sz w:val="16"/>
                <w:szCs w:val="24"/>
                <w:rtl/>
              </w:rPr>
            </w:pPr>
            <w:r>
              <w:rPr>
                <w:rFonts w:hint="cs"/>
                <w:i/>
                <w:iCs/>
                <w:sz w:val="16"/>
                <w:szCs w:val="24"/>
                <w:rtl/>
              </w:rPr>
              <w:t>45-49 عاما</w:t>
            </w:r>
          </w:p>
        </w:tc>
        <w:tc>
          <w:tcPr>
            <w:tcW w:w="1030" w:type="dxa"/>
            <w:tcBorders>
              <w:bottom w:val="single" w:sz="12" w:space="0" w:color="auto"/>
            </w:tcBorders>
            <w:shd w:val="clear" w:color="auto" w:fill="auto"/>
            <w:vAlign w:val="bottom"/>
          </w:tcPr>
          <w:p w:rsidR="0073566C" w:rsidRDefault="0073566C" w:rsidP="0073566C">
            <w:pPr>
              <w:pStyle w:val="DualTxt"/>
              <w:spacing w:before="40" w:after="80" w:line="240" w:lineRule="exact"/>
              <w:ind w:right="144"/>
              <w:jc w:val="center"/>
              <w:rPr>
                <w:rFonts w:hint="cs"/>
                <w:sz w:val="16"/>
                <w:szCs w:val="24"/>
                <w:rtl/>
              </w:rPr>
            </w:pPr>
            <w:r>
              <w:rPr>
                <w:rFonts w:hint="cs"/>
                <w:sz w:val="16"/>
                <w:szCs w:val="24"/>
                <w:rtl/>
              </w:rPr>
              <w:t>63.4</w:t>
            </w:r>
          </w:p>
        </w:tc>
        <w:tc>
          <w:tcPr>
            <w:tcW w:w="927" w:type="dxa"/>
            <w:tcBorders>
              <w:bottom w:val="single" w:sz="12" w:space="0" w:color="auto"/>
            </w:tcBorders>
            <w:shd w:val="clear" w:color="auto" w:fill="auto"/>
            <w:vAlign w:val="bottom"/>
          </w:tcPr>
          <w:p w:rsidR="0073566C" w:rsidRDefault="0073566C" w:rsidP="0073566C">
            <w:pPr>
              <w:pStyle w:val="DualTxt"/>
              <w:spacing w:before="40" w:after="80" w:line="240" w:lineRule="exact"/>
              <w:ind w:right="144"/>
              <w:jc w:val="center"/>
              <w:rPr>
                <w:rFonts w:hint="cs"/>
                <w:sz w:val="16"/>
                <w:szCs w:val="24"/>
                <w:rtl/>
              </w:rPr>
            </w:pPr>
            <w:r>
              <w:rPr>
                <w:rFonts w:hint="cs"/>
                <w:sz w:val="16"/>
                <w:szCs w:val="24"/>
                <w:rtl/>
              </w:rPr>
              <w:t>36.6</w:t>
            </w:r>
          </w:p>
        </w:tc>
      </w:tr>
    </w:tbl>
    <w:p w:rsidR="0073566C" w:rsidRPr="001917DC" w:rsidRDefault="0073566C" w:rsidP="0073566C">
      <w:pPr>
        <w:pStyle w:val="SingleTxt"/>
        <w:spacing w:after="0" w:line="120" w:lineRule="exact"/>
        <w:rPr>
          <w:rFonts w:hint="cs"/>
          <w:i/>
          <w:iCs/>
          <w:sz w:val="12"/>
          <w:rtl/>
        </w:rPr>
      </w:pPr>
    </w:p>
    <w:p w:rsidR="0073566C" w:rsidRPr="001917DC" w:rsidRDefault="0073566C" w:rsidP="0073566C">
      <w:pPr>
        <w:pStyle w:val="SingleTxt"/>
        <w:rPr>
          <w:rFonts w:hint="cs"/>
          <w:rtl/>
        </w:rPr>
      </w:pPr>
      <w:r w:rsidRPr="001917DC">
        <w:rPr>
          <w:rFonts w:hint="cs"/>
          <w:rtl/>
        </w:rPr>
        <w:tab/>
        <w:t>تتراجع النسبة المئوية لمستخدمات وسيلة لمنع الحمل مع السن. فقد استخدمت 83.9 في المائة من الفتيات الناشطات جنسيا، اللاتي تتراوح أعمارهن بين 15 و24 عاما، إحدى وسائل منع الحمل في العام السابق. وتنخفض هذه النسبة إلى 63.4 في المائة في الفئة الع</w:t>
      </w:r>
      <w:r>
        <w:rPr>
          <w:rFonts w:hint="cs"/>
          <w:rtl/>
        </w:rPr>
        <w:t>مرية 45-49 عاما. والفرق بين الف</w:t>
      </w:r>
      <w:r w:rsidRPr="001917DC">
        <w:rPr>
          <w:rFonts w:hint="cs"/>
          <w:rtl/>
        </w:rPr>
        <w:t>ئة العمرية الصغرى والفئة العمرية الأكبر منها هو وحده الذي له مغزى. أما الفروق في استخدام وسيلة لمنع الحمل بين النساء اللاتي حصلن على مستوى تدريب مختلف فلا تكون كبيرة بعد تعديل الأعمار.</w:t>
      </w:r>
    </w:p>
    <w:p w:rsidR="0073566C" w:rsidRPr="00A876F2" w:rsidRDefault="0073566C" w:rsidP="0073566C">
      <w:pPr>
        <w:pStyle w:val="SingleTxt"/>
        <w:spacing w:after="0" w:line="120" w:lineRule="exact"/>
        <w:rPr>
          <w:rFonts w:hint="cs"/>
          <w:sz w:val="12"/>
          <w:rtl/>
        </w:rPr>
      </w:pPr>
    </w:p>
    <w:p w:rsidR="0073566C" w:rsidRDefault="00086998" w:rsidP="0073566C">
      <w:pPr>
        <w:pStyle w:val="SingleTxt"/>
        <w:rPr>
          <w:rFonts w:hint="cs"/>
          <w:i/>
          <w:iCs/>
          <w:rtl/>
        </w:rPr>
      </w:pPr>
      <w:r>
        <w:rPr>
          <w:i/>
          <w:iCs/>
          <w:rtl/>
        </w:rPr>
        <w:br w:type="page"/>
      </w:r>
      <w:r w:rsidR="0073566C">
        <w:rPr>
          <w:rFonts w:hint="cs"/>
          <w:i/>
          <w:iCs/>
          <w:rtl/>
        </w:rPr>
        <w:t>3-2</w:t>
      </w:r>
      <w:r w:rsidR="0073566C">
        <w:rPr>
          <w:rFonts w:hint="cs"/>
          <w:i/>
          <w:iCs/>
          <w:rtl/>
        </w:rPr>
        <w:tab/>
        <w:t>عدد ونسبة حالات الإجهاض حسب السن وعدد حالات الإجهاض ومعدل الإجهاض حسب السن، 2003</w:t>
      </w:r>
      <w:r w:rsidR="0073566C" w:rsidRPr="00A876F2">
        <w:rPr>
          <w:vertAlign w:val="superscript"/>
          <w:rtl/>
        </w:rPr>
        <w:t>(</w:t>
      </w:r>
      <w:r w:rsidR="0073566C">
        <w:rPr>
          <w:rStyle w:val="FootnoteReference"/>
          <w:rtl/>
        </w:rPr>
        <w:footnoteReference w:id="63"/>
      </w:r>
      <w:r w:rsidR="0073566C" w:rsidRPr="00A876F2">
        <w:rPr>
          <w:vertAlign w:val="superscript"/>
          <w:rtl/>
        </w:rPr>
        <w:t>)</w:t>
      </w:r>
      <w:r w:rsidR="0073566C">
        <w:rPr>
          <w:rFonts w:hint="cs"/>
          <w:i/>
          <w:iCs/>
          <w:rtl/>
        </w:rPr>
        <w:t xml:space="preserve"> </w:t>
      </w:r>
    </w:p>
    <w:tbl>
      <w:tblPr>
        <w:tblStyle w:val="TableGrid"/>
        <w:bidiVisual/>
        <w:tblW w:w="7294" w:type="dxa"/>
        <w:jc w:val="center"/>
        <w:tblInd w:w="14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236"/>
        <w:gridCol w:w="1114"/>
        <w:gridCol w:w="1133"/>
        <w:gridCol w:w="1854"/>
        <w:gridCol w:w="1957"/>
      </w:tblGrid>
      <w:tr w:rsidR="0073566C" w:rsidRPr="00993694">
        <w:trPr>
          <w:cantSplit/>
          <w:tblHeader/>
          <w:jc w:val="center"/>
        </w:trPr>
        <w:tc>
          <w:tcPr>
            <w:tcW w:w="1236" w:type="dxa"/>
            <w:tcBorders>
              <w:top w:val="single" w:sz="4" w:space="0" w:color="auto"/>
              <w:bottom w:val="single" w:sz="12" w:space="0" w:color="auto"/>
            </w:tcBorders>
            <w:shd w:val="clear" w:color="auto" w:fill="auto"/>
            <w:vAlign w:val="bottom"/>
          </w:tcPr>
          <w:p w:rsidR="0073566C" w:rsidRPr="00993694" w:rsidRDefault="0073566C" w:rsidP="00993694">
            <w:pPr>
              <w:pStyle w:val="DualTxt"/>
              <w:spacing w:before="80" w:after="80" w:line="240" w:lineRule="exact"/>
              <w:rPr>
                <w:rFonts w:hint="cs"/>
                <w:i/>
                <w:iCs/>
                <w:sz w:val="16"/>
                <w:szCs w:val="24"/>
                <w:rtl/>
              </w:rPr>
            </w:pPr>
            <w:r w:rsidRPr="00993694">
              <w:rPr>
                <w:rFonts w:hint="cs"/>
                <w:i/>
                <w:iCs/>
                <w:sz w:val="16"/>
                <w:szCs w:val="24"/>
                <w:rtl/>
              </w:rPr>
              <w:t>الفئات العمرية</w:t>
            </w:r>
          </w:p>
        </w:tc>
        <w:tc>
          <w:tcPr>
            <w:tcW w:w="1114" w:type="dxa"/>
            <w:tcBorders>
              <w:top w:val="single" w:sz="4" w:space="0" w:color="auto"/>
              <w:bottom w:val="single" w:sz="12" w:space="0" w:color="auto"/>
            </w:tcBorders>
            <w:shd w:val="clear" w:color="auto" w:fill="auto"/>
            <w:vAlign w:val="bottom"/>
          </w:tcPr>
          <w:p w:rsidR="0073566C" w:rsidRPr="00993694" w:rsidRDefault="0073566C" w:rsidP="00993694">
            <w:pPr>
              <w:pStyle w:val="DualTxt"/>
              <w:spacing w:before="80" w:after="80" w:line="240" w:lineRule="exact"/>
              <w:ind w:right="144"/>
              <w:rPr>
                <w:rFonts w:hint="cs"/>
                <w:i/>
                <w:iCs/>
                <w:sz w:val="16"/>
                <w:szCs w:val="24"/>
                <w:rtl/>
              </w:rPr>
            </w:pPr>
            <w:r w:rsidRPr="00993694">
              <w:rPr>
                <w:rFonts w:hint="cs"/>
                <w:i/>
                <w:iCs/>
                <w:sz w:val="16"/>
                <w:szCs w:val="24"/>
                <w:rtl/>
              </w:rPr>
              <w:t>عدد حالات الإجهاض</w:t>
            </w:r>
          </w:p>
        </w:tc>
        <w:tc>
          <w:tcPr>
            <w:tcW w:w="1133" w:type="dxa"/>
            <w:tcBorders>
              <w:top w:val="single" w:sz="4" w:space="0" w:color="auto"/>
              <w:bottom w:val="single" w:sz="12" w:space="0" w:color="auto"/>
            </w:tcBorders>
            <w:shd w:val="clear" w:color="auto" w:fill="auto"/>
            <w:vAlign w:val="bottom"/>
          </w:tcPr>
          <w:p w:rsidR="0073566C" w:rsidRPr="00993694" w:rsidRDefault="0073566C" w:rsidP="00993694">
            <w:pPr>
              <w:pStyle w:val="DualTxt"/>
              <w:spacing w:before="80" w:after="80" w:line="240" w:lineRule="exact"/>
              <w:ind w:right="144"/>
              <w:rPr>
                <w:rFonts w:hint="cs"/>
                <w:i/>
                <w:iCs/>
                <w:sz w:val="16"/>
                <w:szCs w:val="24"/>
                <w:rtl/>
              </w:rPr>
            </w:pPr>
            <w:r w:rsidRPr="00993694">
              <w:rPr>
                <w:rFonts w:hint="cs"/>
                <w:i/>
                <w:iCs/>
                <w:sz w:val="16"/>
                <w:szCs w:val="24"/>
                <w:rtl/>
              </w:rPr>
              <w:t>النصيب من حالات الإجهاض</w:t>
            </w:r>
          </w:p>
        </w:tc>
        <w:tc>
          <w:tcPr>
            <w:tcW w:w="1854" w:type="dxa"/>
            <w:tcBorders>
              <w:top w:val="single" w:sz="4" w:space="0" w:color="auto"/>
              <w:bottom w:val="single" w:sz="12" w:space="0" w:color="auto"/>
            </w:tcBorders>
            <w:shd w:val="clear" w:color="auto" w:fill="auto"/>
            <w:vAlign w:val="bottom"/>
          </w:tcPr>
          <w:p w:rsidR="0073566C" w:rsidRPr="00993694" w:rsidRDefault="0073566C" w:rsidP="00993694">
            <w:pPr>
              <w:pStyle w:val="DualTxt"/>
              <w:spacing w:before="80" w:after="80" w:line="240" w:lineRule="exact"/>
              <w:ind w:right="144"/>
              <w:rPr>
                <w:rFonts w:hint="cs"/>
                <w:i/>
                <w:iCs/>
                <w:sz w:val="16"/>
                <w:szCs w:val="24"/>
                <w:rtl/>
              </w:rPr>
            </w:pPr>
            <w:r w:rsidRPr="00993694">
              <w:rPr>
                <w:rFonts w:hint="cs"/>
                <w:i/>
                <w:iCs/>
                <w:sz w:val="16"/>
                <w:szCs w:val="24"/>
                <w:rtl/>
              </w:rPr>
              <w:t>عدد حالات الإجهاض</w:t>
            </w:r>
          </w:p>
          <w:p w:rsidR="0073566C" w:rsidRPr="00993694" w:rsidRDefault="0073566C" w:rsidP="00993694">
            <w:pPr>
              <w:pStyle w:val="DualTxt"/>
              <w:spacing w:before="80" w:after="80" w:line="240" w:lineRule="exact"/>
              <w:ind w:right="144"/>
              <w:rPr>
                <w:rFonts w:hint="cs"/>
                <w:i/>
                <w:iCs/>
                <w:sz w:val="16"/>
                <w:szCs w:val="24"/>
                <w:rtl/>
              </w:rPr>
            </w:pPr>
            <w:r w:rsidRPr="00993694">
              <w:rPr>
                <w:rFonts w:hint="cs"/>
                <w:i/>
                <w:iCs/>
                <w:sz w:val="16"/>
                <w:szCs w:val="24"/>
                <w:rtl/>
              </w:rPr>
              <w:t>(لكل 000 1 امرأة)</w:t>
            </w:r>
          </w:p>
        </w:tc>
        <w:tc>
          <w:tcPr>
            <w:tcW w:w="1957" w:type="dxa"/>
            <w:tcBorders>
              <w:top w:val="single" w:sz="4" w:space="0" w:color="auto"/>
              <w:bottom w:val="single" w:sz="12" w:space="0" w:color="auto"/>
            </w:tcBorders>
            <w:shd w:val="clear" w:color="auto" w:fill="auto"/>
            <w:vAlign w:val="bottom"/>
          </w:tcPr>
          <w:p w:rsidR="0073566C" w:rsidRPr="00993694" w:rsidRDefault="0073566C" w:rsidP="00993694">
            <w:pPr>
              <w:pStyle w:val="DualTxt"/>
              <w:spacing w:before="80" w:after="80" w:line="240" w:lineRule="exact"/>
              <w:ind w:right="144"/>
              <w:rPr>
                <w:rFonts w:hint="cs"/>
                <w:i/>
                <w:iCs/>
                <w:sz w:val="16"/>
                <w:szCs w:val="24"/>
                <w:rtl/>
              </w:rPr>
            </w:pPr>
            <w:r w:rsidRPr="00993694">
              <w:rPr>
                <w:rFonts w:hint="cs"/>
                <w:i/>
                <w:iCs/>
                <w:sz w:val="16"/>
                <w:szCs w:val="24"/>
                <w:rtl/>
              </w:rPr>
              <w:t>معدل الإجهاض</w:t>
            </w:r>
          </w:p>
          <w:p w:rsidR="0073566C" w:rsidRPr="00993694" w:rsidRDefault="0073566C" w:rsidP="00993694">
            <w:pPr>
              <w:pStyle w:val="DualTxt"/>
              <w:spacing w:before="80" w:after="80" w:line="240" w:lineRule="exact"/>
              <w:ind w:right="144"/>
              <w:rPr>
                <w:rFonts w:hint="cs"/>
                <w:i/>
                <w:iCs/>
                <w:sz w:val="16"/>
                <w:szCs w:val="24"/>
                <w:rtl/>
              </w:rPr>
            </w:pPr>
            <w:r w:rsidRPr="00993694">
              <w:rPr>
                <w:rFonts w:hint="cs"/>
                <w:i/>
                <w:iCs/>
                <w:sz w:val="16"/>
                <w:szCs w:val="24"/>
                <w:rtl/>
              </w:rPr>
              <w:t>(لكل 100 حالة حمل)</w:t>
            </w:r>
          </w:p>
        </w:tc>
      </w:tr>
      <w:tr w:rsidR="0073566C" w:rsidRPr="00A876F2">
        <w:trPr>
          <w:cantSplit/>
          <w:jc w:val="center"/>
        </w:trPr>
        <w:tc>
          <w:tcPr>
            <w:tcW w:w="1236" w:type="dxa"/>
            <w:shd w:val="clear" w:color="auto" w:fill="auto"/>
            <w:vAlign w:val="bottom"/>
          </w:tcPr>
          <w:p w:rsidR="0073566C" w:rsidRPr="00A967DD" w:rsidRDefault="0073566C" w:rsidP="00086998">
            <w:pPr>
              <w:pStyle w:val="DualTxt"/>
              <w:spacing w:before="40" w:after="80" w:line="200" w:lineRule="exact"/>
              <w:rPr>
                <w:rFonts w:hint="cs"/>
                <w:i/>
                <w:iCs/>
                <w:sz w:val="16"/>
                <w:szCs w:val="24"/>
                <w:rtl/>
              </w:rPr>
            </w:pPr>
            <w:r w:rsidRPr="00A967DD">
              <w:rPr>
                <w:rFonts w:hint="cs"/>
                <w:i/>
                <w:iCs/>
                <w:sz w:val="16"/>
                <w:szCs w:val="24"/>
                <w:rtl/>
              </w:rPr>
              <w:t>10-14</w:t>
            </w:r>
          </w:p>
        </w:tc>
        <w:tc>
          <w:tcPr>
            <w:tcW w:w="1114" w:type="dxa"/>
            <w:shd w:val="clear" w:color="auto" w:fill="auto"/>
            <w:vAlign w:val="bottom"/>
          </w:tcPr>
          <w:p w:rsidR="0073566C" w:rsidRPr="00A876F2" w:rsidRDefault="0073566C" w:rsidP="00086998">
            <w:pPr>
              <w:pStyle w:val="DualTxt"/>
              <w:spacing w:before="40" w:after="80" w:line="200" w:lineRule="exact"/>
              <w:ind w:right="144"/>
              <w:rPr>
                <w:rFonts w:hint="cs"/>
                <w:sz w:val="16"/>
                <w:szCs w:val="24"/>
                <w:rtl/>
              </w:rPr>
            </w:pPr>
            <w:r>
              <w:rPr>
                <w:rFonts w:hint="cs"/>
                <w:sz w:val="16"/>
                <w:szCs w:val="24"/>
                <w:rtl/>
              </w:rPr>
              <w:t>65</w:t>
            </w:r>
          </w:p>
        </w:tc>
        <w:tc>
          <w:tcPr>
            <w:tcW w:w="1133" w:type="dxa"/>
            <w:shd w:val="clear" w:color="auto" w:fill="auto"/>
            <w:vAlign w:val="bottom"/>
          </w:tcPr>
          <w:p w:rsidR="0073566C" w:rsidRPr="00A876F2" w:rsidRDefault="0073566C" w:rsidP="00086998">
            <w:pPr>
              <w:pStyle w:val="DualTxt"/>
              <w:spacing w:before="40" w:after="80" w:line="200" w:lineRule="exact"/>
              <w:ind w:right="144"/>
              <w:jc w:val="center"/>
              <w:rPr>
                <w:rFonts w:hint="cs"/>
                <w:sz w:val="16"/>
                <w:szCs w:val="24"/>
                <w:rtl/>
              </w:rPr>
            </w:pPr>
            <w:r>
              <w:rPr>
                <w:rFonts w:hint="cs"/>
                <w:sz w:val="16"/>
                <w:szCs w:val="24"/>
                <w:rtl/>
              </w:rPr>
              <w:t>0.4</w:t>
            </w:r>
          </w:p>
        </w:tc>
        <w:tc>
          <w:tcPr>
            <w:tcW w:w="1854" w:type="dxa"/>
            <w:shd w:val="clear" w:color="auto" w:fill="auto"/>
            <w:vAlign w:val="bottom"/>
          </w:tcPr>
          <w:p w:rsidR="0073566C" w:rsidRPr="00A876F2" w:rsidRDefault="0073566C" w:rsidP="00086998">
            <w:pPr>
              <w:pStyle w:val="DualTxt"/>
              <w:spacing w:before="40" w:after="80" w:line="200" w:lineRule="exact"/>
              <w:ind w:right="144"/>
              <w:jc w:val="center"/>
              <w:rPr>
                <w:rFonts w:hint="cs"/>
                <w:sz w:val="16"/>
                <w:szCs w:val="24"/>
                <w:rtl/>
              </w:rPr>
            </w:pPr>
            <w:r>
              <w:rPr>
                <w:rFonts w:hint="cs"/>
                <w:sz w:val="16"/>
                <w:szCs w:val="24"/>
                <w:rtl/>
              </w:rPr>
              <w:t>-</w:t>
            </w:r>
          </w:p>
        </w:tc>
        <w:tc>
          <w:tcPr>
            <w:tcW w:w="1957" w:type="dxa"/>
            <w:shd w:val="clear" w:color="auto" w:fill="auto"/>
            <w:vAlign w:val="bottom"/>
          </w:tcPr>
          <w:p w:rsidR="0073566C" w:rsidRPr="00A876F2" w:rsidRDefault="0073566C" w:rsidP="00086998">
            <w:pPr>
              <w:pStyle w:val="DualTxt"/>
              <w:spacing w:before="40" w:after="80" w:line="200" w:lineRule="exact"/>
              <w:ind w:right="144"/>
              <w:jc w:val="center"/>
              <w:rPr>
                <w:rFonts w:hint="cs"/>
                <w:sz w:val="16"/>
                <w:szCs w:val="24"/>
                <w:rtl/>
              </w:rPr>
            </w:pPr>
            <w:r>
              <w:rPr>
                <w:rFonts w:hint="cs"/>
                <w:sz w:val="16"/>
                <w:szCs w:val="24"/>
                <w:rtl/>
              </w:rPr>
              <w:t>73.01</w:t>
            </w:r>
          </w:p>
        </w:tc>
      </w:tr>
      <w:tr w:rsidR="0073566C" w:rsidRPr="00A876F2">
        <w:trPr>
          <w:cantSplit/>
          <w:jc w:val="center"/>
        </w:trPr>
        <w:tc>
          <w:tcPr>
            <w:tcW w:w="1236" w:type="dxa"/>
            <w:shd w:val="clear" w:color="auto" w:fill="auto"/>
            <w:vAlign w:val="bottom"/>
          </w:tcPr>
          <w:p w:rsidR="0073566C" w:rsidRPr="00A967DD" w:rsidRDefault="0073566C" w:rsidP="00086998">
            <w:pPr>
              <w:pStyle w:val="DualTxt"/>
              <w:spacing w:before="40" w:after="80" w:line="200" w:lineRule="exact"/>
              <w:rPr>
                <w:rFonts w:hint="cs"/>
                <w:i/>
                <w:iCs/>
                <w:sz w:val="16"/>
                <w:szCs w:val="24"/>
                <w:rtl/>
              </w:rPr>
            </w:pPr>
            <w:r w:rsidRPr="00A967DD">
              <w:rPr>
                <w:rFonts w:hint="cs"/>
                <w:i/>
                <w:iCs/>
                <w:sz w:val="16"/>
                <w:szCs w:val="24"/>
                <w:rtl/>
              </w:rPr>
              <w:t>15-19</w:t>
            </w:r>
          </w:p>
        </w:tc>
        <w:tc>
          <w:tcPr>
            <w:tcW w:w="1114" w:type="dxa"/>
            <w:shd w:val="clear" w:color="auto" w:fill="auto"/>
            <w:vAlign w:val="bottom"/>
          </w:tcPr>
          <w:p w:rsidR="0073566C" w:rsidRPr="00A876F2" w:rsidRDefault="0073566C" w:rsidP="00086998">
            <w:pPr>
              <w:pStyle w:val="DualTxt"/>
              <w:spacing w:before="40" w:after="80" w:line="200" w:lineRule="exact"/>
              <w:ind w:right="144"/>
              <w:rPr>
                <w:rFonts w:hint="cs"/>
                <w:sz w:val="16"/>
                <w:szCs w:val="24"/>
                <w:rtl/>
              </w:rPr>
            </w:pPr>
            <w:r>
              <w:rPr>
                <w:rFonts w:hint="cs"/>
                <w:sz w:val="16"/>
                <w:szCs w:val="24"/>
                <w:rtl/>
              </w:rPr>
              <w:t>097 2</w:t>
            </w:r>
          </w:p>
        </w:tc>
        <w:tc>
          <w:tcPr>
            <w:tcW w:w="1133" w:type="dxa"/>
            <w:shd w:val="clear" w:color="auto" w:fill="auto"/>
            <w:vAlign w:val="bottom"/>
          </w:tcPr>
          <w:p w:rsidR="0073566C" w:rsidRPr="00A876F2" w:rsidRDefault="0073566C" w:rsidP="00086998">
            <w:pPr>
              <w:pStyle w:val="DualTxt"/>
              <w:spacing w:before="40" w:after="80" w:line="200" w:lineRule="exact"/>
              <w:ind w:right="144"/>
              <w:jc w:val="center"/>
              <w:rPr>
                <w:rFonts w:hint="cs"/>
                <w:sz w:val="16"/>
                <w:szCs w:val="24"/>
                <w:rtl/>
              </w:rPr>
            </w:pPr>
            <w:r>
              <w:rPr>
                <w:rFonts w:hint="cs"/>
                <w:sz w:val="16"/>
                <w:szCs w:val="24"/>
                <w:rtl/>
              </w:rPr>
              <w:t>13.5</w:t>
            </w:r>
          </w:p>
        </w:tc>
        <w:tc>
          <w:tcPr>
            <w:tcW w:w="1854" w:type="dxa"/>
            <w:shd w:val="clear" w:color="auto" w:fill="auto"/>
            <w:vAlign w:val="bottom"/>
          </w:tcPr>
          <w:p w:rsidR="0073566C" w:rsidRPr="00A876F2" w:rsidRDefault="0073566C" w:rsidP="00086998">
            <w:pPr>
              <w:pStyle w:val="DualTxt"/>
              <w:spacing w:before="40" w:after="80" w:line="200" w:lineRule="exact"/>
              <w:ind w:right="144"/>
              <w:jc w:val="center"/>
              <w:rPr>
                <w:rFonts w:hint="cs"/>
                <w:sz w:val="16"/>
                <w:szCs w:val="24"/>
                <w:rtl/>
              </w:rPr>
            </w:pPr>
            <w:r>
              <w:rPr>
                <w:rFonts w:hint="cs"/>
                <w:sz w:val="16"/>
                <w:szCs w:val="24"/>
                <w:rtl/>
              </w:rPr>
              <w:t>7.31</w:t>
            </w:r>
          </w:p>
        </w:tc>
        <w:tc>
          <w:tcPr>
            <w:tcW w:w="1957" w:type="dxa"/>
            <w:shd w:val="clear" w:color="auto" w:fill="auto"/>
            <w:vAlign w:val="bottom"/>
          </w:tcPr>
          <w:p w:rsidR="0073566C" w:rsidRPr="00A876F2" w:rsidRDefault="0073566C" w:rsidP="00086998">
            <w:pPr>
              <w:pStyle w:val="DualTxt"/>
              <w:spacing w:before="40" w:after="80" w:line="200" w:lineRule="exact"/>
              <w:ind w:right="144"/>
              <w:jc w:val="center"/>
              <w:rPr>
                <w:rFonts w:hint="cs"/>
                <w:sz w:val="16"/>
                <w:szCs w:val="24"/>
                <w:rtl/>
              </w:rPr>
            </w:pPr>
            <w:r>
              <w:rPr>
                <w:rFonts w:hint="cs"/>
                <w:sz w:val="16"/>
                <w:szCs w:val="24"/>
                <w:rtl/>
              </w:rPr>
              <w:t>39.08</w:t>
            </w:r>
          </w:p>
        </w:tc>
      </w:tr>
      <w:tr w:rsidR="0073566C" w:rsidRPr="00A876F2">
        <w:trPr>
          <w:cantSplit/>
          <w:jc w:val="center"/>
        </w:trPr>
        <w:tc>
          <w:tcPr>
            <w:tcW w:w="1236" w:type="dxa"/>
            <w:shd w:val="clear" w:color="auto" w:fill="auto"/>
            <w:vAlign w:val="bottom"/>
          </w:tcPr>
          <w:p w:rsidR="0073566C" w:rsidRPr="00A967DD" w:rsidRDefault="0073566C" w:rsidP="00086998">
            <w:pPr>
              <w:pStyle w:val="DualTxt"/>
              <w:spacing w:before="40" w:after="80" w:line="200" w:lineRule="exact"/>
              <w:rPr>
                <w:rFonts w:hint="cs"/>
                <w:i/>
                <w:iCs/>
                <w:sz w:val="16"/>
                <w:szCs w:val="24"/>
                <w:rtl/>
              </w:rPr>
            </w:pPr>
            <w:r w:rsidRPr="00A967DD">
              <w:rPr>
                <w:rFonts w:hint="cs"/>
                <w:i/>
                <w:iCs/>
                <w:sz w:val="16"/>
                <w:szCs w:val="24"/>
                <w:rtl/>
              </w:rPr>
              <w:t>20-24</w:t>
            </w:r>
          </w:p>
        </w:tc>
        <w:tc>
          <w:tcPr>
            <w:tcW w:w="1114" w:type="dxa"/>
            <w:shd w:val="clear" w:color="auto" w:fill="auto"/>
            <w:vAlign w:val="bottom"/>
          </w:tcPr>
          <w:p w:rsidR="0073566C" w:rsidRPr="00A876F2" w:rsidRDefault="0073566C" w:rsidP="00086998">
            <w:pPr>
              <w:pStyle w:val="DualTxt"/>
              <w:spacing w:before="40" w:after="80" w:line="200" w:lineRule="exact"/>
              <w:ind w:right="144"/>
              <w:rPr>
                <w:rFonts w:hint="cs"/>
                <w:sz w:val="16"/>
                <w:szCs w:val="24"/>
                <w:rtl/>
              </w:rPr>
            </w:pPr>
            <w:r>
              <w:rPr>
                <w:rFonts w:hint="cs"/>
                <w:sz w:val="16"/>
                <w:szCs w:val="24"/>
                <w:rtl/>
              </w:rPr>
              <w:t>023 4</w:t>
            </w:r>
          </w:p>
        </w:tc>
        <w:tc>
          <w:tcPr>
            <w:tcW w:w="1133" w:type="dxa"/>
            <w:shd w:val="clear" w:color="auto" w:fill="auto"/>
            <w:vAlign w:val="bottom"/>
          </w:tcPr>
          <w:p w:rsidR="0073566C" w:rsidRPr="00A876F2" w:rsidRDefault="0073566C" w:rsidP="00086998">
            <w:pPr>
              <w:pStyle w:val="DualTxt"/>
              <w:spacing w:before="40" w:after="80" w:line="200" w:lineRule="exact"/>
              <w:ind w:right="144"/>
              <w:jc w:val="center"/>
              <w:rPr>
                <w:rFonts w:hint="cs"/>
                <w:sz w:val="16"/>
                <w:szCs w:val="24"/>
                <w:rtl/>
              </w:rPr>
            </w:pPr>
            <w:r>
              <w:rPr>
                <w:rFonts w:hint="cs"/>
                <w:sz w:val="16"/>
                <w:szCs w:val="24"/>
                <w:rtl/>
              </w:rPr>
              <w:t>25.9</w:t>
            </w:r>
          </w:p>
        </w:tc>
        <w:tc>
          <w:tcPr>
            <w:tcW w:w="1854" w:type="dxa"/>
            <w:shd w:val="clear" w:color="auto" w:fill="auto"/>
            <w:vAlign w:val="bottom"/>
          </w:tcPr>
          <w:p w:rsidR="0073566C" w:rsidRPr="00A876F2" w:rsidRDefault="0073566C" w:rsidP="00086998">
            <w:pPr>
              <w:pStyle w:val="DualTxt"/>
              <w:spacing w:before="40" w:after="80" w:line="200" w:lineRule="exact"/>
              <w:ind w:right="144"/>
              <w:jc w:val="center"/>
              <w:rPr>
                <w:rFonts w:hint="cs"/>
                <w:sz w:val="16"/>
                <w:szCs w:val="24"/>
                <w:rtl/>
              </w:rPr>
            </w:pPr>
            <w:r>
              <w:rPr>
                <w:rFonts w:hint="cs"/>
                <w:sz w:val="16"/>
                <w:szCs w:val="24"/>
                <w:rtl/>
              </w:rPr>
              <w:t>12.61</w:t>
            </w:r>
          </w:p>
        </w:tc>
        <w:tc>
          <w:tcPr>
            <w:tcW w:w="1957" w:type="dxa"/>
            <w:shd w:val="clear" w:color="auto" w:fill="auto"/>
            <w:vAlign w:val="bottom"/>
          </w:tcPr>
          <w:p w:rsidR="0073566C" w:rsidRPr="00A876F2" w:rsidRDefault="0073566C" w:rsidP="00086998">
            <w:pPr>
              <w:pStyle w:val="DualTxt"/>
              <w:spacing w:before="40" w:after="80" w:line="200" w:lineRule="exact"/>
              <w:ind w:right="144"/>
              <w:jc w:val="center"/>
              <w:rPr>
                <w:rFonts w:hint="cs"/>
                <w:sz w:val="16"/>
                <w:szCs w:val="24"/>
                <w:rtl/>
              </w:rPr>
            </w:pPr>
            <w:r>
              <w:rPr>
                <w:rFonts w:hint="cs"/>
                <w:sz w:val="16"/>
                <w:szCs w:val="24"/>
                <w:rtl/>
              </w:rPr>
              <w:t>16.2</w:t>
            </w:r>
          </w:p>
        </w:tc>
      </w:tr>
      <w:tr w:rsidR="0073566C" w:rsidRPr="00A876F2">
        <w:trPr>
          <w:cantSplit/>
          <w:jc w:val="center"/>
        </w:trPr>
        <w:tc>
          <w:tcPr>
            <w:tcW w:w="1236" w:type="dxa"/>
            <w:shd w:val="clear" w:color="auto" w:fill="auto"/>
            <w:vAlign w:val="bottom"/>
          </w:tcPr>
          <w:p w:rsidR="0073566C" w:rsidRPr="00A967DD" w:rsidRDefault="0073566C" w:rsidP="00086998">
            <w:pPr>
              <w:pStyle w:val="DualTxt"/>
              <w:spacing w:before="40" w:after="80" w:line="200" w:lineRule="exact"/>
              <w:rPr>
                <w:rFonts w:hint="cs"/>
                <w:i/>
                <w:iCs/>
                <w:sz w:val="16"/>
                <w:szCs w:val="24"/>
                <w:rtl/>
              </w:rPr>
            </w:pPr>
            <w:r w:rsidRPr="00A967DD">
              <w:rPr>
                <w:rFonts w:hint="cs"/>
                <w:i/>
                <w:iCs/>
                <w:sz w:val="16"/>
                <w:szCs w:val="24"/>
                <w:rtl/>
              </w:rPr>
              <w:t>25-29</w:t>
            </w:r>
          </w:p>
        </w:tc>
        <w:tc>
          <w:tcPr>
            <w:tcW w:w="1114" w:type="dxa"/>
            <w:shd w:val="clear" w:color="auto" w:fill="auto"/>
            <w:vAlign w:val="bottom"/>
          </w:tcPr>
          <w:p w:rsidR="0073566C" w:rsidRPr="00A876F2" w:rsidRDefault="0073566C" w:rsidP="00086998">
            <w:pPr>
              <w:pStyle w:val="DualTxt"/>
              <w:spacing w:before="40" w:after="80" w:line="200" w:lineRule="exact"/>
              <w:ind w:right="144"/>
              <w:rPr>
                <w:rFonts w:hint="cs"/>
                <w:sz w:val="16"/>
                <w:szCs w:val="24"/>
                <w:rtl/>
              </w:rPr>
            </w:pPr>
            <w:r>
              <w:rPr>
                <w:rFonts w:hint="cs"/>
                <w:sz w:val="16"/>
                <w:szCs w:val="24"/>
                <w:rtl/>
              </w:rPr>
              <w:t>411 3</w:t>
            </w:r>
          </w:p>
        </w:tc>
        <w:tc>
          <w:tcPr>
            <w:tcW w:w="1133" w:type="dxa"/>
            <w:shd w:val="clear" w:color="auto" w:fill="auto"/>
            <w:vAlign w:val="bottom"/>
          </w:tcPr>
          <w:p w:rsidR="0073566C" w:rsidRPr="00A876F2" w:rsidRDefault="0073566C" w:rsidP="00086998">
            <w:pPr>
              <w:pStyle w:val="DualTxt"/>
              <w:spacing w:before="40" w:after="80" w:line="200" w:lineRule="exact"/>
              <w:ind w:right="144"/>
              <w:jc w:val="center"/>
              <w:rPr>
                <w:rFonts w:hint="cs"/>
                <w:sz w:val="16"/>
                <w:szCs w:val="24"/>
                <w:rtl/>
              </w:rPr>
            </w:pPr>
            <w:r>
              <w:rPr>
                <w:rFonts w:hint="cs"/>
                <w:sz w:val="16"/>
                <w:szCs w:val="24"/>
                <w:rtl/>
              </w:rPr>
              <w:t>21.9</w:t>
            </w:r>
          </w:p>
        </w:tc>
        <w:tc>
          <w:tcPr>
            <w:tcW w:w="1854" w:type="dxa"/>
            <w:shd w:val="clear" w:color="auto" w:fill="auto"/>
            <w:vAlign w:val="bottom"/>
          </w:tcPr>
          <w:p w:rsidR="0073566C" w:rsidRPr="00A876F2" w:rsidRDefault="0073566C" w:rsidP="00086998">
            <w:pPr>
              <w:pStyle w:val="DualTxt"/>
              <w:spacing w:before="40" w:after="80" w:line="200" w:lineRule="exact"/>
              <w:ind w:right="144"/>
              <w:jc w:val="center"/>
              <w:rPr>
                <w:rFonts w:hint="cs"/>
                <w:sz w:val="16"/>
                <w:szCs w:val="24"/>
                <w:rtl/>
              </w:rPr>
            </w:pPr>
            <w:r>
              <w:rPr>
                <w:rFonts w:hint="cs"/>
                <w:sz w:val="16"/>
                <w:szCs w:val="24"/>
                <w:rtl/>
              </w:rPr>
              <w:t>10.52</w:t>
            </w:r>
          </w:p>
        </w:tc>
        <w:tc>
          <w:tcPr>
            <w:tcW w:w="1957" w:type="dxa"/>
            <w:shd w:val="clear" w:color="auto" w:fill="auto"/>
            <w:vAlign w:val="bottom"/>
          </w:tcPr>
          <w:p w:rsidR="0073566C" w:rsidRPr="00A876F2" w:rsidRDefault="0073566C" w:rsidP="00086998">
            <w:pPr>
              <w:pStyle w:val="DualTxt"/>
              <w:spacing w:before="40" w:after="80" w:line="200" w:lineRule="exact"/>
              <w:ind w:right="144"/>
              <w:jc w:val="center"/>
              <w:rPr>
                <w:rFonts w:hint="cs"/>
                <w:sz w:val="16"/>
                <w:szCs w:val="24"/>
                <w:rtl/>
              </w:rPr>
            </w:pPr>
            <w:r>
              <w:rPr>
                <w:rFonts w:hint="cs"/>
                <w:sz w:val="16"/>
                <w:szCs w:val="24"/>
                <w:rtl/>
              </w:rPr>
              <w:t>7</w:t>
            </w:r>
          </w:p>
        </w:tc>
      </w:tr>
      <w:tr w:rsidR="0073566C" w:rsidRPr="00A876F2">
        <w:trPr>
          <w:cantSplit/>
          <w:jc w:val="center"/>
        </w:trPr>
        <w:tc>
          <w:tcPr>
            <w:tcW w:w="1236" w:type="dxa"/>
            <w:shd w:val="clear" w:color="auto" w:fill="auto"/>
            <w:vAlign w:val="bottom"/>
          </w:tcPr>
          <w:p w:rsidR="0073566C" w:rsidRPr="00A967DD" w:rsidRDefault="0073566C" w:rsidP="00086998">
            <w:pPr>
              <w:pStyle w:val="DualTxt"/>
              <w:spacing w:before="40" w:after="80" w:line="200" w:lineRule="exact"/>
              <w:rPr>
                <w:rFonts w:hint="cs"/>
                <w:i/>
                <w:iCs/>
                <w:sz w:val="16"/>
                <w:szCs w:val="24"/>
                <w:rtl/>
              </w:rPr>
            </w:pPr>
            <w:r w:rsidRPr="00A967DD">
              <w:rPr>
                <w:rFonts w:hint="cs"/>
                <w:i/>
                <w:iCs/>
                <w:sz w:val="16"/>
                <w:szCs w:val="24"/>
                <w:rtl/>
              </w:rPr>
              <w:t>30-34</w:t>
            </w:r>
          </w:p>
        </w:tc>
        <w:tc>
          <w:tcPr>
            <w:tcW w:w="1114" w:type="dxa"/>
            <w:shd w:val="clear" w:color="auto" w:fill="auto"/>
            <w:vAlign w:val="bottom"/>
          </w:tcPr>
          <w:p w:rsidR="0073566C" w:rsidRPr="00A876F2" w:rsidRDefault="0073566C" w:rsidP="00086998">
            <w:pPr>
              <w:pStyle w:val="DualTxt"/>
              <w:spacing w:before="40" w:after="80" w:line="200" w:lineRule="exact"/>
              <w:ind w:right="144"/>
              <w:rPr>
                <w:rFonts w:hint="cs"/>
                <w:sz w:val="16"/>
                <w:szCs w:val="24"/>
                <w:rtl/>
              </w:rPr>
            </w:pPr>
            <w:r>
              <w:rPr>
                <w:rFonts w:hint="cs"/>
                <w:sz w:val="16"/>
                <w:szCs w:val="24"/>
                <w:rtl/>
              </w:rPr>
              <w:t>001 3</w:t>
            </w:r>
          </w:p>
        </w:tc>
        <w:tc>
          <w:tcPr>
            <w:tcW w:w="1133" w:type="dxa"/>
            <w:shd w:val="clear" w:color="auto" w:fill="auto"/>
            <w:vAlign w:val="bottom"/>
          </w:tcPr>
          <w:p w:rsidR="0073566C" w:rsidRPr="00A876F2" w:rsidRDefault="0073566C" w:rsidP="00086998">
            <w:pPr>
              <w:pStyle w:val="DualTxt"/>
              <w:spacing w:before="40" w:after="80" w:line="200" w:lineRule="exact"/>
              <w:ind w:right="144"/>
              <w:jc w:val="center"/>
              <w:rPr>
                <w:rFonts w:hint="cs"/>
                <w:sz w:val="16"/>
                <w:szCs w:val="24"/>
                <w:rtl/>
              </w:rPr>
            </w:pPr>
            <w:r>
              <w:rPr>
                <w:rFonts w:hint="cs"/>
                <w:sz w:val="16"/>
                <w:szCs w:val="24"/>
                <w:rtl/>
              </w:rPr>
              <w:t>19.3</w:t>
            </w:r>
          </w:p>
        </w:tc>
        <w:tc>
          <w:tcPr>
            <w:tcW w:w="1854" w:type="dxa"/>
            <w:shd w:val="clear" w:color="auto" w:fill="auto"/>
            <w:vAlign w:val="bottom"/>
          </w:tcPr>
          <w:p w:rsidR="0073566C" w:rsidRPr="00A876F2" w:rsidRDefault="0073566C" w:rsidP="00086998">
            <w:pPr>
              <w:pStyle w:val="DualTxt"/>
              <w:spacing w:before="40" w:after="80" w:line="200" w:lineRule="exact"/>
              <w:ind w:right="144"/>
              <w:jc w:val="center"/>
              <w:rPr>
                <w:rFonts w:hint="cs"/>
                <w:sz w:val="16"/>
                <w:szCs w:val="24"/>
                <w:rtl/>
              </w:rPr>
            </w:pPr>
            <w:r>
              <w:rPr>
                <w:rFonts w:hint="cs"/>
                <w:sz w:val="16"/>
                <w:szCs w:val="24"/>
                <w:rtl/>
              </w:rPr>
              <w:t>8.2</w:t>
            </w:r>
          </w:p>
        </w:tc>
        <w:tc>
          <w:tcPr>
            <w:tcW w:w="1957" w:type="dxa"/>
            <w:shd w:val="clear" w:color="auto" w:fill="auto"/>
            <w:vAlign w:val="bottom"/>
          </w:tcPr>
          <w:p w:rsidR="0073566C" w:rsidRPr="00A876F2" w:rsidRDefault="0073566C" w:rsidP="00086998">
            <w:pPr>
              <w:pStyle w:val="DualTxt"/>
              <w:spacing w:before="40" w:after="80" w:line="200" w:lineRule="exact"/>
              <w:ind w:right="144"/>
              <w:jc w:val="center"/>
              <w:rPr>
                <w:rFonts w:hint="cs"/>
                <w:sz w:val="16"/>
                <w:szCs w:val="24"/>
                <w:rtl/>
              </w:rPr>
            </w:pPr>
            <w:r>
              <w:rPr>
                <w:rFonts w:hint="cs"/>
                <w:sz w:val="16"/>
                <w:szCs w:val="24"/>
                <w:rtl/>
              </w:rPr>
              <w:t>7.8</w:t>
            </w:r>
          </w:p>
        </w:tc>
      </w:tr>
      <w:tr w:rsidR="0073566C" w:rsidRPr="00A876F2">
        <w:trPr>
          <w:cantSplit/>
          <w:jc w:val="center"/>
        </w:trPr>
        <w:tc>
          <w:tcPr>
            <w:tcW w:w="1236" w:type="dxa"/>
            <w:shd w:val="clear" w:color="auto" w:fill="auto"/>
            <w:vAlign w:val="bottom"/>
          </w:tcPr>
          <w:p w:rsidR="0073566C" w:rsidRPr="00A967DD" w:rsidRDefault="0073566C" w:rsidP="00086998">
            <w:pPr>
              <w:pStyle w:val="DualTxt"/>
              <w:spacing w:before="40" w:after="80" w:line="200" w:lineRule="exact"/>
              <w:rPr>
                <w:rFonts w:hint="cs"/>
                <w:i/>
                <w:iCs/>
                <w:sz w:val="16"/>
                <w:szCs w:val="24"/>
                <w:rtl/>
              </w:rPr>
            </w:pPr>
            <w:r w:rsidRPr="00A967DD">
              <w:rPr>
                <w:rFonts w:hint="cs"/>
                <w:i/>
                <w:iCs/>
                <w:sz w:val="16"/>
                <w:szCs w:val="24"/>
                <w:rtl/>
              </w:rPr>
              <w:t>35-39</w:t>
            </w:r>
          </w:p>
        </w:tc>
        <w:tc>
          <w:tcPr>
            <w:tcW w:w="1114" w:type="dxa"/>
            <w:shd w:val="clear" w:color="auto" w:fill="auto"/>
            <w:vAlign w:val="bottom"/>
          </w:tcPr>
          <w:p w:rsidR="0073566C" w:rsidRPr="00A876F2" w:rsidRDefault="0073566C" w:rsidP="00086998">
            <w:pPr>
              <w:pStyle w:val="DualTxt"/>
              <w:spacing w:before="40" w:after="80" w:line="200" w:lineRule="exact"/>
              <w:ind w:right="144"/>
              <w:rPr>
                <w:rFonts w:hint="cs"/>
                <w:sz w:val="16"/>
                <w:szCs w:val="24"/>
                <w:rtl/>
              </w:rPr>
            </w:pPr>
            <w:r>
              <w:rPr>
                <w:rFonts w:hint="cs"/>
                <w:sz w:val="16"/>
                <w:szCs w:val="24"/>
                <w:rtl/>
              </w:rPr>
              <w:t>107 2</w:t>
            </w:r>
          </w:p>
        </w:tc>
        <w:tc>
          <w:tcPr>
            <w:tcW w:w="1133" w:type="dxa"/>
            <w:shd w:val="clear" w:color="auto" w:fill="auto"/>
            <w:vAlign w:val="bottom"/>
          </w:tcPr>
          <w:p w:rsidR="0073566C" w:rsidRPr="00A876F2" w:rsidRDefault="0073566C" w:rsidP="00086998">
            <w:pPr>
              <w:pStyle w:val="DualTxt"/>
              <w:spacing w:before="40" w:after="80" w:line="200" w:lineRule="exact"/>
              <w:ind w:right="144"/>
              <w:jc w:val="center"/>
              <w:rPr>
                <w:rFonts w:hint="cs"/>
                <w:sz w:val="16"/>
                <w:szCs w:val="24"/>
                <w:rtl/>
              </w:rPr>
            </w:pPr>
            <w:r>
              <w:rPr>
                <w:rFonts w:hint="cs"/>
                <w:sz w:val="16"/>
                <w:szCs w:val="24"/>
                <w:rtl/>
              </w:rPr>
              <w:t>13.5</w:t>
            </w:r>
          </w:p>
        </w:tc>
        <w:tc>
          <w:tcPr>
            <w:tcW w:w="1854" w:type="dxa"/>
            <w:shd w:val="clear" w:color="auto" w:fill="auto"/>
            <w:vAlign w:val="bottom"/>
          </w:tcPr>
          <w:p w:rsidR="0073566C" w:rsidRPr="00A876F2" w:rsidRDefault="0073566C" w:rsidP="00086998">
            <w:pPr>
              <w:pStyle w:val="DualTxt"/>
              <w:spacing w:before="40" w:after="80" w:line="200" w:lineRule="exact"/>
              <w:ind w:right="144"/>
              <w:jc w:val="center"/>
              <w:rPr>
                <w:rFonts w:hint="cs"/>
                <w:sz w:val="16"/>
                <w:szCs w:val="24"/>
                <w:rtl/>
              </w:rPr>
            </w:pPr>
            <w:r>
              <w:rPr>
                <w:rFonts w:hint="cs"/>
                <w:sz w:val="16"/>
                <w:szCs w:val="24"/>
                <w:rtl/>
              </w:rPr>
              <w:t>5.33</w:t>
            </w:r>
          </w:p>
        </w:tc>
        <w:tc>
          <w:tcPr>
            <w:tcW w:w="1957" w:type="dxa"/>
            <w:shd w:val="clear" w:color="auto" w:fill="auto"/>
            <w:vAlign w:val="bottom"/>
          </w:tcPr>
          <w:p w:rsidR="0073566C" w:rsidRPr="00A876F2" w:rsidRDefault="0073566C" w:rsidP="00086998">
            <w:pPr>
              <w:pStyle w:val="DualTxt"/>
              <w:spacing w:before="40" w:after="80" w:line="200" w:lineRule="exact"/>
              <w:ind w:right="144"/>
              <w:jc w:val="center"/>
              <w:rPr>
                <w:rFonts w:hint="cs"/>
                <w:sz w:val="16"/>
                <w:szCs w:val="24"/>
                <w:rtl/>
              </w:rPr>
            </w:pPr>
            <w:r>
              <w:rPr>
                <w:rFonts w:hint="cs"/>
                <w:sz w:val="16"/>
                <w:szCs w:val="24"/>
                <w:rtl/>
              </w:rPr>
              <w:t>14.67</w:t>
            </w:r>
          </w:p>
        </w:tc>
      </w:tr>
      <w:tr w:rsidR="0073566C" w:rsidRPr="00A876F2">
        <w:trPr>
          <w:cantSplit/>
          <w:jc w:val="center"/>
        </w:trPr>
        <w:tc>
          <w:tcPr>
            <w:tcW w:w="1236" w:type="dxa"/>
            <w:shd w:val="clear" w:color="auto" w:fill="auto"/>
            <w:vAlign w:val="bottom"/>
          </w:tcPr>
          <w:p w:rsidR="0073566C" w:rsidRPr="00A967DD" w:rsidRDefault="0073566C" w:rsidP="00086998">
            <w:pPr>
              <w:pStyle w:val="DualTxt"/>
              <w:spacing w:before="40" w:after="80" w:line="200" w:lineRule="exact"/>
              <w:rPr>
                <w:rFonts w:hint="cs"/>
                <w:i/>
                <w:iCs/>
                <w:sz w:val="16"/>
                <w:szCs w:val="24"/>
                <w:rtl/>
              </w:rPr>
            </w:pPr>
            <w:r w:rsidRPr="00A967DD">
              <w:rPr>
                <w:rFonts w:hint="cs"/>
                <w:i/>
                <w:iCs/>
                <w:sz w:val="16"/>
                <w:szCs w:val="24"/>
                <w:rtl/>
              </w:rPr>
              <w:t>40-44</w:t>
            </w:r>
          </w:p>
        </w:tc>
        <w:tc>
          <w:tcPr>
            <w:tcW w:w="1114" w:type="dxa"/>
            <w:shd w:val="clear" w:color="auto" w:fill="auto"/>
            <w:vAlign w:val="bottom"/>
          </w:tcPr>
          <w:p w:rsidR="0073566C" w:rsidRPr="00A876F2" w:rsidRDefault="0073566C" w:rsidP="00086998">
            <w:pPr>
              <w:pStyle w:val="DualTxt"/>
              <w:spacing w:before="40" w:after="80" w:line="200" w:lineRule="exact"/>
              <w:ind w:right="144"/>
              <w:rPr>
                <w:rFonts w:hint="cs"/>
                <w:sz w:val="16"/>
                <w:szCs w:val="24"/>
                <w:rtl/>
              </w:rPr>
            </w:pPr>
            <w:r>
              <w:rPr>
                <w:rFonts w:hint="cs"/>
                <w:sz w:val="16"/>
                <w:szCs w:val="24"/>
                <w:rtl/>
              </w:rPr>
              <w:t>810</w:t>
            </w:r>
          </w:p>
        </w:tc>
        <w:tc>
          <w:tcPr>
            <w:tcW w:w="1133" w:type="dxa"/>
            <w:shd w:val="clear" w:color="auto" w:fill="auto"/>
            <w:vAlign w:val="bottom"/>
          </w:tcPr>
          <w:p w:rsidR="0073566C" w:rsidRPr="00A876F2" w:rsidRDefault="0073566C" w:rsidP="00086998">
            <w:pPr>
              <w:pStyle w:val="DualTxt"/>
              <w:spacing w:before="40" w:after="80" w:line="200" w:lineRule="exact"/>
              <w:ind w:right="144"/>
              <w:jc w:val="center"/>
              <w:rPr>
                <w:rFonts w:hint="cs"/>
                <w:sz w:val="16"/>
                <w:szCs w:val="24"/>
                <w:rtl/>
              </w:rPr>
            </w:pPr>
            <w:r>
              <w:rPr>
                <w:rFonts w:hint="cs"/>
                <w:sz w:val="16"/>
                <w:szCs w:val="24"/>
                <w:rtl/>
              </w:rPr>
              <w:t>5.2</w:t>
            </w:r>
          </w:p>
        </w:tc>
        <w:tc>
          <w:tcPr>
            <w:tcW w:w="1854" w:type="dxa"/>
            <w:shd w:val="clear" w:color="auto" w:fill="auto"/>
            <w:vAlign w:val="bottom"/>
          </w:tcPr>
          <w:p w:rsidR="0073566C" w:rsidRPr="00A876F2" w:rsidRDefault="0073566C" w:rsidP="00086998">
            <w:pPr>
              <w:pStyle w:val="DualTxt"/>
              <w:spacing w:before="40" w:after="80" w:line="200" w:lineRule="exact"/>
              <w:ind w:right="144"/>
              <w:jc w:val="center"/>
              <w:rPr>
                <w:rFonts w:hint="cs"/>
                <w:sz w:val="16"/>
                <w:szCs w:val="24"/>
                <w:rtl/>
              </w:rPr>
            </w:pPr>
            <w:r>
              <w:rPr>
                <w:rFonts w:hint="cs"/>
                <w:sz w:val="16"/>
                <w:szCs w:val="24"/>
                <w:rtl/>
              </w:rPr>
              <w:t>2.21</w:t>
            </w:r>
          </w:p>
        </w:tc>
        <w:tc>
          <w:tcPr>
            <w:tcW w:w="1957" w:type="dxa"/>
            <w:shd w:val="clear" w:color="auto" w:fill="auto"/>
            <w:vAlign w:val="bottom"/>
          </w:tcPr>
          <w:p w:rsidR="0073566C" w:rsidRPr="00A876F2" w:rsidRDefault="0073566C" w:rsidP="00086998">
            <w:pPr>
              <w:pStyle w:val="DualTxt"/>
              <w:spacing w:before="40" w:after="80" w:line="200" w:lineRule="exact"/>
              <w:ind w:right="144"/>
              <w:jc w:val="center"/>
              <w:rPr>
                <w:rFonts w:hint="cs"/>
                <w:sz w:val="16"/>
                <w:szCs w:val="24"/>
                <w:rtl/>
              </w:rPr>
            </w:pPr>
            <w:r>
              <w:rPr>
                <w:rFonts w:hint="cs"/>
                <w:sz w:val="16"/>
                <w:szCs w:val="24"/>
                <w:rtl/>
              </w:rPr>
              <w:t>27.78</w:t>
            </w:r>
          </w:p>
        </w:tc>
      </w:tr>
      <w:tr w:rsidR="0073566C" w:rsidRPr="00A876F2">
        <w:trPr>
          <w:cantSplit/>
          <w:jc w:val="center"/>
        </w:trPr>
        <w:tc>
          <w:tcPr>
            <w:tcW w:w="1236" w:type="dxa"/>
            <w:tcBorders>
              <w:bottom w:val="single" w:sz="12" w:space="0" w:color="auto"/>
            </w:tcBorders>
            <w:shd w:val="clear" w:color="auto" w:fill="auto"/>
            <w:vAlign w:val="bottom"/>
          </w:tcPr>
          <w:p w:rsidR="0073566C" w:rsidRPr="00A967DD" w:rsidRDefault="0073566C" w:rsidP="00086998">
            <w:pPr>
              <w:pStyle w:val="DualTxt"/>
              <w:spacing w:before="40" w:after="80" w:line="200" w:lineRule="exact"/>
              <w:rPr>
                <w:rFonts w:hint="cs"/>
                <w:i/>
                <w:iCs/>
                <w:sz w:val="16"/>
                <w:szCs w:val="24"/>
                <w:rtl/>
              </w:rPr>
            </w:pPr>
            <w:r w:rsidRPr="00A967DD">
              <w:rPr>
                <w:i/>
                <w:iCs/>
                <w:sz w:val="16"/>
                <w:szCs w:val="24"/>
              </w:rPr>
              <w:t>&lt;</w:t>
            </w:r>
            <w:r w:rsidRPr="00A967DD">
              <w:rPr>
                <w:rFonts w:hint="cs"/>
                <w:i/>
                <w:iCs/>
                <w:sz w:val="16"/>
                <w:szCs w:val="24"/>
                <w:rtl/>
              </w:rPr>
              <w:t xml:space="preserve"> 45</w:t>
            </w:r>
          </w:p>
        </w:tc>
        <w:tc>
          <w:tcPr>
            <w:tcW w:w="1114" w:type="dxa"/>
            <w:tcBorders>
              <w:bottom w:val="single" w:sz="12" w:space="0" w:color="auto"/>
            </w:tcBorders>
            <w:shd w:val="clear" w:color="auto" w:fill="auto"/>
            <w:vAlign w:val="bottom"/>
          </w:tcPr>
          <w:p w:rsidR="0073566C" w:rsidRPr="00A876F2" w:rsidRDefault="0073566C" w:rsidP="00086998">
            <w:pPr>
              <w:pStyle w:val="DualTxt"/>
              <w:spacing w:before="40" w:after="80" w:line="200" w:lineRule="exact"/>
              <w:ind w:right="144"/>
              <w:rPr>
                <w:rFonts w:hint="cs"/>
                <w:sz w:val="16"/>
                <w:szCs w:val="24"/>
                <w:rtl/>
              </w:rPr>
            </w:pPr>
            <w:r>
              <w:rPr>
                <w:rFonts w:hint="cs"/>
                <w:sz w:val="16"/>
                <w:szCs w:val="24"/>
                <w:rtl/>
              </w:rPr>
              <w:t>68</w:t>
            </w:r>
          </w:p>
        </w:tc>
        <w:tc>
          <w:tcPr>
            <w:tcW w:w="1133" w:type="dxa"/>
            <w:tcBorders>
              <w:bottom w:val="single" w:sz="12" w:space="0" w:color="auto"/>
            </w:tcBorders>
            <w:shd w:val="clear" w:color="auto" w:fill="auto"/>
            <w:vAlign w:val="bottom"/>
          </w:tcPr>
          <w:p w:rsidR="0073566C" w:rsidRPr="00A876F2" w:rsidRDefault="0073566C" w:rsidP="00086998">
            <w:pPr>
              <w:pStyle w:val="DualTxt"/>
              <w:spacing w:before="40" w:after="80" w:line="200" w:lineRule="exact"/>
              <w:ind w:right="144"/>
              <w:jc w:val="center"/>
              <w:rPr>
                <w:rFonts w:hint="cs"/>
                <w:sz w:val="16"/>
                <w:szCs w:val="24"/>
                <w:rtl/>
              </w:rPr>
            </w:pPr>
            <w:r>
              <w:rPr>
                <w:rFonts w:hint="cs"/>
                <w:sz w:val="16"/>
                <w:szCs w:val="24"/>
                <w:rtl/>
              </w:rPr>
              <w:t>0.4</w:t>
            </w:r>
          </w:p>
        </w:tc>
        <w:tc>
          <w:tcPr>
            <w:tcW w:w="1854" w:type="dxa"/>
            <w:tcBorders>
              <w:bottom w:val="single" w:sz="12" w:space="0" w:color="auto"/>
            </w:tcBorders>
            <w:shd w:val="clear" w:color="auto" w:fill="auto"/>
            <w:vAlign w:val="bottom"/>
          </w:tcPr>
          <w:p w:rsidR="0073566C" w:rsidRPr="00A876F2" w:rsidRDefault="0073566C" w:rsidP="00086998">
            <w:pPr>
              <w:pStyle w:val="DualTxt"/>
              <w:spacing w:before="40" w:after="80" w:line="200" w:lineRule="exact"/>
              <w:ind w:right="144"/>
              <w:jc w:val="center"/>
              <w:rPr>
                <w:rFonts w:hint="cs"/>
                <w:sz w:val="16"/>
                <w:szCs w:val="24"/>
                <w:rtl/>
              </w:rPr>
            </w:pPr>
            <w:r>
              <w:rPr>
                <w:rFonts w:hint="cs"/>
                <w:sz w:val="16"/>
                <w:szCs w:val="24"/>
                <w:rtl/>
              </w:rPr>
              <w:t>-</w:t>
            </w:r>
          </w:p>
        </w:tc>
        <w:tc>
          <w:tcPr>
            <w:tcW w:w="1957" w:type="dxa"/>
            <w:tcBorders>
              <w:bottom w:val="single" w:sz="12" w:space="0" w:color="auto"/>
            </w:tcBorders>
            <w:shd w:val="clear" w:color="auto" w:fill="auto"/>
            <w:vAlign w:val="bottom"/>
          </w:tcPr>
          <w:p w:rsidR="0073566C" w:rsidRPr="00A876F2" w:rsidRDefault="0073566C" w:rsidP="00086998">
            <w:pPr>
              <w:pStyle w:val="DualTxt"/>
              <w:spacing w:before="40" w:after="80" w:line="200" w:lineRule="exact"/>
              <w:ind w:right="144"/>
              <w:jc w:val="center"/>
              <w:rPr>
                <w:rFonts w:hint="cs"/>
                <w:sz w:val="16"/>
                <w:szCs w:val="24"/>
                <w:rtl/>
              </w:rPr>
            </w:pPr>
            <w:r>
              <w:rPr>
                <w:rFonts w:hint="cs"/>
                <w:sz w:val="16"/>
                <w:szCs w:val="24"/>
                <w:rtl/>
              </w:rPr>
              <w:t>-</w:t>
            </w:r>
          </w:p>
        </w:tc>
      </w:tr>
      <w:tr w:rsidR="0073566C" w:rsidRPr="00A967DD">
        <w:trPr>
          <w:cantSplit/>
          <w:jc w:val="center"/>
        </w:trPr>
        <w:tc>
          <w:tcPr>
            <w:tcW w:w="1236" w:type="dxa"/>
            <w:tcBorders>
              <w:top w:val="single" w:sz="12" w:space="0" w:color="auto"/>
              <w:bottom w:val="single" w:sz="12" w:space="0" w:color="auto"/>
            </w:tcBorders>
            <w:shd w:val="clear" w:color="auto" w:fill="auto"/>
            <w:vAlign w:val="bottom"/>
          </w:tcPr>
          <w:p w:rsidR="0073566C" w:rsidRPr="00A967DD" w:rsidRDefault="0073566C" w:rsidP="0073566C">
            <w:pPr>
              <w:pStyle w:val="DualTxt"/>
              <w:spacing w:before="40" w:after="80" w:line="240" w:lineRule="exact"/>
              <w:jc w:val="center"/>
              <w:rPr>
                <w:rFonts w:hint="cs"/>
                <w:b/>
                <w:bCs/>
                <w:i/>
                <w:iCs/>
                <w:sz w:val="16"/>
                <w:szCs w:val="24"/>
                <w:rtl/>
              </w:rPr>
            </w:pPr>
            <w:r w:rsidRPr="00A967DD">
              <w:rPr>
                <w:rFonts w:hint="cs"/>
                <w:b/>
                <w:bCs/>
                <w:i/>
                <w:iCs/>
                <w:sz w:val="16"/>
                <w:szCs w:val="24"/>
                <w:rtl/>
              </w:rPr>
              <w:t>المجموع</w:t>
            </w:r>
          </w:p>
        </w:tc>
        <w:tc>
          <w:tcPr>
            <w:tcW w:w="1114" w:type="dxa"/>
            <w:tcBorders>
              <w:top w:val="single" w:sz="12" w:space="0" w:color="auto"/>
              <w:bottom w:val="single" w:sz="12" w:space="0" w:color="auto"/>
            </w:tcBorders>
            <w:shd w:val="clear" w:color="auto" w:fill="auto"/>
            <w:vAlign w:val="bottom"/>
          </w:tcPr>
          <w:p w:rsidR="0073566C" w:rsidRPr="00A967DD" w:rsidRDefault="0073566C" w:rsidP="0073566C">
            <w:pPr>
              <w:pStyle w:val="DualTxt"/>
              <w:spacing w:before="40" w:after="80" w:line="240" w:lineRule="exact"/>
              <w:ind w:right="144"/>
              <w:jc w:val="center"/>
              <w:rPr>
                <w:rFonts w:hint="cs"/>
                <w:b/>
                <w:bCs/>
                <w:i/>
                <w:iCs/>
                <w:sz w:val="16"/>
                <w:szCs w:val="24"/>
                <w:rtl/>
              </w:rPr>
            </w:pPr>
            <w:r w:rsidRPr="00A967DD">
              <w:rPr>
                <w:rFonts w:hint="cs"/>
                <w:b/>
                <w:bCs/>
                <w:i/>
                <w:iCs/>
                <w:sz w:val="16"/>
                <w:szCs w:val="24"/>
                <w:rtl/>
              </w:rPr>
              <w:t>591 15</w:t>
            </w:r>
          </w:p>
        </w:tc>
        <w:tc>
          <w:tcPr>
            <w:tcW w:w="1133" w:type="dxa"/>
            <w:tcBorders>
              <w:top w:val="single" w:sz="12" w:space="0" w:color="auto"/>
              <w:bottom w:val="single" w:sz="12" w:space="0" w:color="auto"/>
            </w:tcBorders>
            <w:shd w:val="clear" w:color="auto" w:fill="auto"/>
            <w:vAlign w:val="bottom"/>
          </w:tcPr>
          <w:p w:rsidR="0073566C" w:rsidRPr="00A967DD" w:rsidRDefault="0073566C" w:rsidP="0073566C">
            <w:pPr>
              <w:pStyle w:val="DualTxt"/>
              <w:spacing w:before="40" w:after="80" w:line="240" w:lineRule="exact"/>
              <w:ind w:right="144"/>
              <w:jc w:val="center"/>
              <w:rPr>
                <w:rFonts w:hint="cs"/>
                <w:b/>
                <w:bCs/>
                <w:i/>
                <w:iCs/>
                <w:sz w:val="16"/>
                <w:szCs w:val="24"/>
                <w:rtl/>
              </w:rPr>
            </w:pPr>
            <w:r w:rsidRPr="00A967DD">
              <w:rPr>
                <w:rFonts w:hint="cs"/>
                <w:b/>
                <w:bCs/>
                <w:i/>
                <w:iCs/>
                <w:sz w:val="16"/>
                <w:szCs w:val="24"/>
                <w:rtl/>
              </w:rPr>
              <w:t>100.0</w:t>
            </w:r>
          </w:p>
        </w:tc>
        <w:tc>
          <w:tcPr>
            <w:tcW w:w="1854" w:type="dxa"/>
            <w:tcBorders>
              <w:top w:val="single" w:sz="12" w:space="0" w:color="auto"/>
              <w:bottom w:val="single" w:sz="12" w:space="0" w:color="auto"/>
            </w:tcBorders>
            <w:shd w:val="clear" w:color="auto" w:fill="auto"/>
            <w:vAlign w:val="bottom"/>
          </w:tcPr>
          <w:p w:rsidR="0073566C" w:rsidRPr="00A967DD" w:rsidRDefault="0073566C" w:rsidP="0073566C">
            <w:pPr>
              <w:pStyle w:val="DualTxt"/>
              <w:spacing w:before="40" w:after="80" w:line="240" w:lineRule="exact"/>
              <w:ind w:right="144"/>
              <w:jc w:val="center"/>
              <w:rPr>
                <w:rFonts w:hint="cs"/>
                <w:b/>
                <w:bCs/>
                <w:i/>
                <w:iCs/>
                <w:sz w:val="16"/>
                <w:szCs w:val="24"/>
                <w:rtl/>
              </w:rPr>
            </w:pPr>
            <w:r w:rsidRPr="00A967DD">
              <w:rPr>
                <w:rFonts w:hint="cs"/>
                <w:b/>
                <w:bCs/>
                <w:i/>
                <w:iCs/>
                <w:sz w:val="16"/>
                <w:szCs w:val="24"/>
                <w:rtl/>
              </w:rPr>
              <w:t>7.9</w:t>
            </w:r>
          </w:p>
        </w:tc>
        <w:tc>
          <w:tcPr>
            <w:tcW w:w="1957" w:type="dxa"/>
            <w:tcBorders>
              <w:top w:val="single" w:sz="12" w:space="0" w:color="auto"/>
              <w:bottom w:val="single" w:sz="12" w:space="0" w:color="auto"/>
            </w:tcBorders>
            <w:shd w:val="clear" w:color="auto" w:fill="auto"/>
            <w:vAlign w:val="bottom"/>
          </w:tcPr>
          <w:p w:rsidR="0073566C" w:rsidRPr="00A967DD" w:rsidRDefault="0073566C" w:rsidP="0073566C">
            <w:pPr>
              <w:pStyle w:val="DualTxt"/>
              <w:spacing w:before="40" w:after="80" w:line="240" w:lineRule="exact"/>
              <w:ind w:right="144"/>
              <w:jc w:val="center"/>
              <w:rPr>
                <w:rFonts w:hint="cs"/>
                <w:b/>
                <w:bCs/>
                <w:i/>
                <w:iCs/>
                <w:sz w:val="16"/>
                <w:szCs w:val="24"/>
                <w:rtl/>
              </w:rPr>
            </w:pPr>
            <w:r w:rsidRPr="00A967DD">
              <w:rPr>
                <w:rFonts w:hint="cs"/>
                <w:b/>
                <w:bCs/>
                <w:i/>
                <w:iCs/>
                <w:sz w:val="16"/>
                <w:szCs w:val="24"/>
                <w:rtl/>
              </w:rPr>
              <w:t>12.92</w:t>
            </w:r>
          </w:p>
        </w:tc>
      </w:tr>
    </w:tbl>
    <w:p w:rsidR="0073566C" w:rsidRPr="00E9370B" w:rsidRDefault="0073566C" w:rsidP="0073566C">
      <w:pPr>
        <w:pStyle w:val="SingleTxt"/>
        <w:spacing w:after="0" w:line="120" w:lineRule="exact"/>
        <w:rPr>
          <w:rFonts w:hint="cs"/>
          <w:i/>
          <w:iCs/>
          <w:sz w:val="12"/>
          <w:rtl/>
        </w:rPr>
      </w:pPr>
    </w:p>
    <w:p w:rsidR="0073566C" w:rsidRDefault="0073566C" w:rsidP="0073566C">
      <w:pPr>
        <w:pStyle w:val="SingleTxt"/>
        <w:rPr>
          <w:rFonts w:hint="cs"/>
          <w:rtl/>
        </w:rPr>
      </w:pPr>
      <w:r w:rsidRPr="00E9370B">
        <w:rPr>
          <w:rFonts w:hint="cs"/>
          <w:rtl/>
        </w:rPr>
        <w:tab/>
        <w:t>في عام 2003، جرت 595 15 حالة إجهاض إجمالا في بلجيكا. وكان متوسط أعمار المجهضات 27 عاما. وتتراوح أعمار النساء اللاتي يخترن الإجهاض بين 20 و30 عاما (47.5 في المائة).</w:t>
      </w:r>
    </w:p>
    <w:p w:rsidR="0073566C" w:rsidRDefault="0073566C" w:rsidP="0073566C">
      <w:pPr>
        <w:pStyle w:val="SingleTxt"/>
        <w:rPr>
          <w:rFonts w:hint="cs"/>
          <w:i/>
          <w:iCs/>
          <w:rtl/>
        </w:rPr>
      </w:pPr>
      <w:r>
        <w:rPr>
          <w:rFonts w:hint="cs"/>
          <w:i/>
          <w:iCs/>
          <w:rtl/>
        </w:rPr>
        <w:t>3-3</w:t>
      </w:r>
      <w:r>
        <w:rPr>
          <w:rFonts w:hint="cs"/>
          <w:i/>
          <w:iCs/>
          <w:rtl/>
        </w:rPr>
        <w:tab/>
        <w:t>عدد ونسبة البلجيكيين الذين أصيبوا بعدوى فيروس نقص المناعة البشرية، حسب الجنس والفئة العمرية (31 كانون الأول/ديسمبر 2004)</w:t>
      </w:r>
      <w:r w:rsidRPr="00E9370B">
        <w:rPr>
          <w:i/>
          <w:iCs/>
          <w:vertAlign w:val="superscript"/>
          <w:rtl/>
        </w:rPr>
        <w:t>(</w:t>
      </w:r>
      <w:r w:rsidRPr="00770D92">
        <w:rPr>
          <w:rStyle w:val="FootnoteReference"/>
          <w:rtl/>
        </w:rPr>
        <w:footnoteReference w:id="64"/>
      </w:r>
      <w:r w:rsidRPr="00E9370B">
        <w:rPr>
          <w:i/>
          <w:iCs/>
          <w:vertAlign w:val="superscript"/>
          <w:rtl/>
        </w:rPr>
        <w:t>)</w:t>
      </w:r>
      <w:r>
        <w:rPr>
          <w:rFonts w:hint="cs"/>
          <w:i/>
          <w:iCs/>
          <w:rtl/>
        </w:rPr>
        <w:t xml:space="preserve"> </w:t>
      </w:r>
    </w:p>
    <w:tbl>
      <w:tblPr>
        <w:tblStyle w:val="TableGrid"/>
        <w:bidiVisual/>
        <w:tblW w:w="6554" w:type="dxa"/>
        <w:jc w:val="center"/>
        <w:tblInd w:w="14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043"/>
        <w:gridCol w:w="822"/>
        <w:gridCol w:w="924"/>
        <w:gridCol w:w="107"/>
        <w:gridCol w:w="1034"/>
        <w:gridCol w:w="856"/>
        <w:gridCol w:w="827"/>
        <w:gridCol w:w="941"/>
      </w:tblGrid>
      <w:tr w:rsidR="0073566C" w:rsidRPr="00086998">
        <w:trPr>
          <w:cantSplit/>
          <w:tblHeader/>
          <w:jc w:val="center"/>
        </w:trPr>
        <w:tc>
          <w:tcPr>
            <w:tcW w:w="1043" w:type="dxa"/>
            <w:vMerge w:val="restart"/>
            <w:tcBorders>
              <w:top w:val="single" w:sz="4" w:space="0" w:color="auto"/>
            </w:tcBorders>
            <w:shd w:val="clear" w:color="auto" w:fill="auto"/>
            <w:vAlign w:val="bottom"/>
          </w:tcPr>
          <w:p w:rsidR="0073566C" w:rsidRPr="00086998" w:rsidRDefault="0073566C" w:rsidP="0073566C">
            <w:pPr>
              <w:pStyle w:val="DualTxt"/>
              <w:spacing w:before="80" w:after="80" w:line="240" w:lineRule="exact"/>
              <w:jc w:val="center"/>
              <w:rPr>
                <w:rFonts w:hint="cs"/>
                <w:i/>
                <w:iCs/>
                <w:sz w:val="16"/>
                <w:szCs w:val="24"/>
                <w:rtl/>
              </w:rPr>
            </w:pPr>
            <w:r w:rsidRPr="00086998">
              <w:rPr>
                <w:rFonts w:hint="cs"/>
                <w:i/>
                <w:iCs/>
                <w:sz w:val="16"/>
                <w:szCs w:val="24"/>
                <w:rtl/>
              </w:rPr>
              <w:t>العمر</w:t>
            </w:r>
          </w:p>
        </w:tc>
        <w:tc>
          <w:tcPr>
            <w:tcW w:w="2887" w:type="dxa"/>
            <w:gridSpan w:val="4"/>
            <w:tcBorders>
              <w:top w:val="single" w:sz="4" w:space="0" w:color="auto"/>
            </w:tcBorders>
            <w:shd w:val="clear" w:color="auto" w:fill="auto"/>
            <w:vAlign w:val="bottom"/>
          </w:tcPr>
          <w:p w:rsidR="0073566C" w:rsidRPr="00086998" w:rsidRDefault="0073566C" w:rsidP="0073566C">
            <w:pPr>
              <w:pStyle w:val="DualTxt"/>
              <w:spacing w:before="80" w:after="80" w:line="240" w:lineRule="exact"/>
              <w:ind w:right="144"/>
              <w:jc w:val="center"/>
              <w:rPr>
                <w:rFonts w:hint="cs"/>
                <w:i/>
                <w:iCs/>
                <w:sz w:val="16"/>
                <w:szCs w:val="24"/>
                <w:rtl/>
              </w:rPr>
            </w:pPr>
            <w:r w:rsidRPr="00086998">
              <w:rPr>
                <w:rFonts w:hint="cs"/>
                <w:i/>
                <w:iCs/>
                <w:sz w:val="16"/>
                <w:szCs w:val="24"/>
                <w:rtl/>
              </w:rPr>
              <w:t>العدد</w:t>
            </w:r>
          </w:p>
        </w:tc>
        <w:tc>
          <w:tcPr>
            <w:tcW w:w="2624" w:type="dxa"/>
            <w:gridSpan w:val="3"/>
            <w:tcBorders>
              <w:top w:val="single" w:sz="4" w:space="0" w:color="auto"/>
            </w:tcBorders>
            <w:shd w:val="clear" w:color="auto" w:fill="auto"/>
            <w:vAlign w:val="bottom"/>
          </w:tcPr>
          <w:p w:rsidR="0073566C" w:rsidRPr="00086998" w:rsidRDefault="0073566C" w:rsidP="0073566C">
            <w:pPr>
              <w:pStyle w:val="DualTxt"/>
              <w:spacing w:before="80" w:after="80" w:line="240" w:lineRule="exact"/>
              <w:ind w:right="144"/>
              <w:jc w:val="center"/>
              <w:rPr>
                <w:rFonts w:hint="cs"/>
                <w:i/>
                <w:iCs/>
                <w:sz w:val="16"/>
                <w:szCs w:val="24"/>
                <w:rtl/>
              </w:rPr>
            </w:pPr>
            <w:r w:rsidRPr="00086998">
              <w:rPr>
                <w:rFonts w:hint="cs"/>
                <w:i/>
                <w:iCs/>
                <w:sz w:val="16"/>
                <w:szCs w:val="24"/>
                <w:rtl/>
              </w:rPr>
              <w:t>النصيب</w:t>
            </w:r>
          </w:p>
        </w:tc>
      </w:tr>
      <w:tr w:rsidR="0073566C" w:rsidRPr="000C0ED5">
        <w:trPr>
          <w:cantSplit/>
          <w:tblHeader/>
          <w:jc w:val="center"/>
        </w:trPr>
        <w:tc>
          <w:tcPr>
            <w:tcW w:w="1043" w:type="dxa"/>
            <w:vMerge/>
            <w:tcBorders>
              <w:bottom w:val="single" w:sz="12" w:space="0" w:color="auto"/>
            </w:tcBorders>
            <w:shd w:val="clear" w:color="auto" w:fill="auto"/>
            <w:vAlign w:val="bottom"/>
          </w:tcPr>
          <w:p w:rsidR="0073566C" w:rsidRPr="000C0ED5" w:rsidRDefault="0073566C" w:rsidP="0073566C">
            <w:pPr>
              <w:pStyle w:val="DualTxt"/>
              <w:spacing w:after="80" w:line="240" w:lineRule="exact"/>
              <w:jc w:val="center"/>
              <w:rPr>
                <w:rFonts w:hint="cs"/>
                <w:b/>
                <w:bCs/>
                <w:i/>
                <w:iCs/>
                <w:sz w:val="16"/>
                <w:szCs w:val="24"/>
                <w:rtl/>
              </w:rPr>
            </w:pPr>
          </w:p>
        </w:tc>
        <w:tc>
          <w:tcPr>
            <w:tcW w:w="822" w:type="dxa"/>
            <w:tcBorders>
              <w:bottom w:val="single" w:sz="12" w:space="0" w:color="auto"/>
            </w:tcBorders>
            <w:shd w:val="clear" w:color="auto" w:fill="auto"/>
            <w:vAlign w:val="bottom"/>
          </w:tcPr>
          <w:p w:rsidR="0073566C" w:rsidRPr="00086998" w:rsidRDefault="0073566C" w:rsidP="0073566C">
            <w:pPr>
              <w:pStyle w:val="DualTxt"/>
              <w:spacing w:after="80" w:line="240" w:lineRule="exact"/>
              <w:ind w:right="144"/>
              <w:jc w:val="center"/>
              <w:rPr>
                <w:rFonts w:hint="cs"/>
                <w:i/>
                <w:iCs/>
                <w:sz w:val="16"/>
                <w:szCs w:val="24"/>
                <w:rtl/>
              </w:rPr>
            </w:pPr>
            <w:r w:rsidRPr="00086998">
              <w:rPr>
                <w:rFonts w:hint="cs"/>
                <w:i/>
                <w:iCs/>
                <w:sz w:val="16"/>
                <w:szCs w:val="24"/>
                <w:rtl/>
              </w:rPr>
              <w:t>النساء</w:t>
            </w:r>
          </w:p>
        </w:tc>
        <w:tc>
          <w:tcPr>
            <w:tcW w:w="924" w:type="dxa"/>
            <w:tcBorders>
              <w:bottom w:val="single" w:sz="12" w:space="0" w:color="auto"/>
            </w:tcBorders>
            <w:shd w:val="clear" w:color="auto" w:fill="auto"/>
            <w:vAlign w:val="bottom"/>
          </w:tcPr>
          <w:p w:rsidR="0073566C" w:rsidRPr="00086998" w:rsidRDefault="0073566C" w:rsidP="0073566C">
            <w:pPr>
              <w:pStyle w:val="DualTxt"/>
              <w:spacing w:after="80" w:line="240" w:lineRule="exact"/>
              <w:ind w:right="144"/>
              <w:jc w:val="center"/>
              <w:rPr>
                <w:rFonts w:hint="cs"/>
                <w:i/>
                <w:iCs/>
                <w:sz w:val="16"/>
                <w:szCs w:val="24"/>
                <w:rtl/>
              </w:rPr>
            </w:pPr>
            <w:r w:rsidRPr="00086998">
              <w:rPr>
                <w:rFonts w:hint="cs"/>
                <w:i/>
                <w:iCs/>
                <w:sz w:val="16"/>
                <w:szCs w:val="24"/>
                <w:rtl/>
              </w:rPr>
              <w:t>الرجال</w:t>
            </w:r>
          </w:p>
        </w:tc>
        <w:tc>
          <w:tcPr>
            <w:tcW w:w="1141" w:type="dxa"/>
            <w:gridSpan w:val="2"/>
            <w:tcBorders>
              <w:bottom w:val="single" w:sz="12" w:space="0" w:color="auto"/>
            </w:tcBorders>
            <w:shd w:val="clear" w:color="auto" w:fill="auto"/>
            <w:vAlign w:val="bottom"/>
          </w:tcPr>
          <w:p w:rsidR="0073566C" w:rsidRPr="00086998" w:rsidRDefault="0073566C" w:rsidP="0073566C">
            <w:pPr>
              <w:pStyle w:val="DualTxt"/>
              <w:spacing w:after="80" w:line="240" w:lineRule="exact"/>
              <w:ind w:right="144"/>
              <w:jc w:val="center"/>
              <w:rPr>
                <w:rFonts w:hint="cs"/>
                <w:i/>
                <w:iCs/>
                <w:sz w:val="16"/>
                <w:szCs w:val="24"/>
                <w:rtl/>
              </w:rPr>
            </w:pPr>
            <w:r w:rsidRPr="00086998">
              <w:rPr>
                <w:rFonts w:hint="cs"/>
                <w:i/>
                <w:iCs/>
                <w:sz w:val="16"/>
                <w:szCs w:val="24"/>
                <w:rtl/>
              </w:rPr>
              <w:t>المجموع</w:t>
            </w:r>
          </w:p>
        </w:tc>
        <w:tc>
          <w:tcPr>
            <w:tcW w:w="856" w:type="dxa"/>
            <w:tcBorders>
              <w:bottom w:val="single" w:sz="12" w:space="0" w:color="auto"/>
            </w:tcBorders>
            <w:shd w:val="clear" w:color="auto" w:fill="auto"/>
            <w:vAlign w:val="bottom"/>
          </w:tcPr>
          <w:p w:rsidR="0073566C" w:rsidRPr="00086998" w:rsidRDefault="0073566C" w:rsidP="0073566C">
            <w:pPr>
              <w:pStyle w:val="DualTxt"/>
              <w:spacing w:after="80" w:line="240" w:lineRule="exact"/>
              <w:ind w:right="144"/>
              <w:jc w:val="center"/>
              <w:rPr>
                <w:rFonts w:hint="cs"/>
                <w:i/>
                <w:iCs/>
                <w:sz w:val="16"/>
                <w:szCs w:val="24"/>
                <w:rtl/>
              </w:rPr>
            </w:pPr>
            <w:r w:rsidRPr="00086998">
              <w:rPr>
                <w:rFonts w:hint="cs"/>
                <w:i/>
                <w:iCs/>
                <w:sz w:val="16"/>
                <w:szCs w:val="24"/>
                <w:rtl/>
              </w:rPr>
              <w:t>النساء</w:t>
            </w:r>
          </w:p>
        </w:tc>
        <w:tc>
          <w:tcPr>
            <w:tcW w:w="827" w:type="dxa"/>
            <w:tcBorders>
              <w:bottom w:val="single" w:sz="12" w:space="0" w:color="auto"/>
            </w:tcBorders>
            <w:shd w:val="clear" w:color="auto" w:fill="auto"/>
            <w:vAlign w:val="bottom"/>
          </w:tcPr>
          <w:p w:rsidR="0073566C" w:rsidRPr="00086998" w:rsidRDefault="0073566C" w:rsidP="0073566C">
            <w:pPr>
              <w:pStyle w:val="DualTxt"/>
              <w:spacing w:after="80" w:line="240" w:lineRule="exact"/>
              <w:ind w:right="144"/>
              <w:jc w:val="center"/>
              <w:rPr>
                <w:rFonts w:hint="cs"/>
                <w:i/>
                <w:iCs/>
                <w:sz w:val="16"/>
                <w:szCs w:val="24"/>
                <w:rtl/>
              </w:rPr>
            </w:pPr>
            <w:r w:rsidRPr="00086998">
              <w:rPr>
                <w:rFonts w:hint="cs"/>
                <w:i/>
                <w:iCs/>
                <w:sz w:val="16"/>
                <w:szCs w:val="24"/>
                <w:rtl/>
              </w:rPr>
              <w:t>الرجال</w:t>
            </w:r>
          </w:p>
        </w:tc>
        <w:tc>
          <w:tcPr>
            <w:tcW w:w="941" w:type="dxa"/>
            <w:tcBorders>
              <w:bottom w:val="single" w:sz="12" w:space="0" w:color="auto"/>
            </w:tcBorders>
            <w:shd w:val="clear" w:color="auto" w:fill="auto"/>
            <w:vAlign w:val="bottom"/>
          </w:tcPr>
          <w:p w:rsidR="0073566C" w:rsidRPr="00086998" w:rsidRDefault="0073566C" w:rsidP="0073566C">
            <w:pPr>
              <w:pStyle w:val="DualTxt"/>
              <w:spacing w:after="80" w:line="240" w:lineRule="exact"/>
              <w:ind w:right="144"/>
              <w:jc w:val="center"/>
              <w:rPr>
                <w:rFonts w:hint="cs"/>
                <w:i/>
                <w:iCs/>
                <w:sz w:val="16"/>
                <w:szCs w:val="24"/>
                <w:rtl/>
              </w:rPr>
            </w:pPr>
            <w:r w:rsidRPr="00086998">
              <w:rPr>
                <w:rFonts w:hint="cs"/>
                <w:i/>
                <w:iCs/>
                <w:sz w:val="16"/>
                <w:szCs w:val="24"/>
                <w:rtl/>
              </w:rPr>
              <w:t>المجموع</w:t>
            </w:r>
          </w:p>
        </w:tc>
      </w:tr>
      <w:tr w:rsidR="0073566C" w:rsidRPr="007140DF">
        <w:trPr>
          <w:cantSplit/>
          <w:jc w:val="center"/>
        </w:trPr>
        <w:tc>
          <w:tcPr>
            <w:tcW w:w="1043" w:type="dxa"/>
            <w:shd w:val="clear" w:color="auto" w:fill="auto"/>
            <w:vAlign w:val="bottom"/>
          </w:tcPr>
          <w:p w:rsidR="0073566C" w:rsidRPr="007E7820" w:rsidRDefault="0073566C" w:rsidP="0073566C">
            <w:pPr>
              <w:pStyle w:val="DualTxt"/>
              <w:spacing w:before="40" w:after="80" w:line="240" w:lineRule="exact"/>
              <w:rPr>
                <w:rFonts w:hint="cs"/>
                <w:i/>
                <w:iCs/>
                <w:sz w:val="16"/>
                <w:szCs w:val="24"/>
                <w:rtl/>
              </w:rPr>
            </w:pPr>
            <w:r w:rsidRPr="007E7820">
              <w:rPr>
                <w:rFonts w:hint="cs"/>
                <w:i/>
                <w:iCs/>
                <w:sz w:val="16"/>
                <w:szCs w:val="24"/>
                <w:rtl/>
              </w:rPr>
              <w:t>15-24</w:t>
            </w:r>
          </w:p>
        </w:tc>
        <w:tc>
          <w:tcPr>
            <w:tcW w:w="822" w:type="dxa"/>
            <w:shd w:val="clear" w:color="auto" w:fill="auto"/>
            <w:vAlign w:val="bottom"/>
          </w:tcPr>
          <w:p w:rsidR="0073566C" w:rsidRPr="007140DF" w:rsidRDefault="0073566C" w:rsidP="0073566C">
            <w:pPr>
              <w:pStyle w:val="DualTxt"/>
              <w:spacing w:before="40" w:after="80" w:line="240" w:lineRule="exact"/>
              <w:ind w:right="144"/>
              <w:rPr>
                <w:rFonts w:hint="cs"/>
                <w:sz w:val="16"/>
                <w:szCs w:val="24"/>
                <w:rtl/>
              </w:rPr>
            </w:pPr>
            <w:r>
              <w:rPr>
                <w:rFonts w:hint="cs"/>
                <w:sz w:val="16"/>
                <w:szCs w:val="24"/>
                <w:rtl/>
              </w:rPr>
              <w:t>170</w:t>
            </w:r>
          </w:p>
        </w:tc>
        <w:tc>
          <w:tcPr>
            <w:tcW w:w="1031" w:type="dxa"/>
            <w:gridSpan w:val="2"/>
            <w:shd w:val="clear" w:color="auto" w:fill="auto"/>
            <w:vAlign w:val="bottom"/>
          </w:tcPr>
          <w:p w:rsidR="0073566C" w:rsidRPr="007140DF" w:rsidRDefault="0073566C" w:rsidP="0073566C">
            <w:pPr>
              <w:pStyle w:val="DualTxt"/>
              <w:spacing w:before="40" w:after="80" w:line="240" w:lineRule="exact"/>
              <w:ind w:right="144"/>
              <w:rPr>
                <w:rFonts w:hint="cs"/>
                <w:sz w:val="16"/>
                <w:szCs w:val="24"/>
                <w:rtl/>
              </w:rPr>
            </w:pPr>
            <w:r>
              <w:rPr>
                <w:rFonts w:hint="cs"/>
                <w:sz w:val="16"/>
                <w:szCs w:val="24"/>
                <w:rtl/>
              </w:rPr>
              <w:t>378</w:t>
            </w:r>
          </w:p>
        </w:tc>
        <w:tc>
          <w:tcPr>
            <w:tcW w:w="1034" w:type="dxa"/>
            <w:shd w:val="clear" w:color="auto" w:fill="auto"/>
            <w:vAlign w:val="bottom"/>
          </w:tcPr>
          <w:p w:rsidR="0073566C" w:rsidRPr="007E7820" w:rsidRDefault="0073566C" w:rsidP="0073566C">
            <w:pPr>
              <w:pStyle w:val="DualTxt"/>
              <w:spacing w:before="40" w:after="80" w:line="240" w:lineRule="exact"/>
              <w:ind w:right="144"/>
              <w:rPr>
                <w:rFonts w:hint="cs"/>
                <w:i/>
                <w:iCs/>
                <w:sz w:val="16"/>
                <w:szCs w:val="24"/>
                <w:rtl/>
              </w:rPr>
            </w:pPr>
            <w:r w:rsidRPr="007E7820">
              <w:rPr>
                <w:rFonts w:hint="cs"/>
                <w:i/>
                <w:iCs/>
                <w:sz w:val="16"/>
                <w:szCs w:val="24"/>
                <w:rtl/>
              </w:rPr>
              <w:t>548</w:t>
            </w:r>
          </w:p>
        </w:tc>
        <w:tc>
          <w:tcPr>
            <w:tcW w:w="856" w:type="dxa"/>
            <w:shd w:val="clear" w:color="auto" w:fill="auto"/>
            <w:vAlign w:val="bottom"/>
          </w:tcPr>
          <w:p w:rsidR="0073566C" w:rsidRPr="007140DF" w:rsidRDefault="0073566C" w:rsidP="0073566C">
            <w:pPr>
              <w:pStyle w:val="DualTxt"/>
              <w:spacing w:before="40" w:after="80" w:line="240" w:lineRule="exact"/>
              <w:ind w:right="144"/>
              <w:rPr>
                <w:rFonts w:hint="cs"/>
                <w:sz w:val="16"/>
                <w:szCs w:val="24"/>
                <w:rtl/>
              </w:rPr>
            </w:pPr>
            <w:r>
              <w:rPr>
                <w:rFonts w:hint="cs"/>
                <w:sz w:val="16"/>
                <w:szCs w:val="24"/>
                <w:rtl/>
              </w:rPr>
              <w:t>31.5</w:t>
            </w:r>
          </w:p>
        </w:tc>
        <w:tc>
          <w:tcPr>
            <w:tcW w:w="827" w:type="dxa"/>
            <w:shd w:val="clear" w:color="auto" w:fill="auto"/>
            <w:vAlign w:val="bottom"/>
          </w:tcPr>
          <w:p w:rsidR="0073566C" w:rsidRPr="007140DF" w:rsidRDefault="0073566C" w:rsidP="0073566C">
            <w:pPr>
              <w:pStyle w:val="DualTxt"/>
              <w:spacing w:before="40" w:after="80" w:line="240" w:lineRule="exact"/>
              <w:ind w:right="144"/>
              <w:rPr>
                <w:rFonts w:hint="cs"/>
                <w:sz w:val="16"/>
                <w:szCs w:val="24"/>
                <w:rtl/>
              </w:rPr>
            </w:pPr>
            <w:r>
              <w:rPr>
                <w:rFonts w:hint="cs"/>
                <w:sz w:val="16"/>
                <w:szCs w:val="24"/>
                <w:rtl/>
              </w:rPr>
              <w:t>69.0</w:t>
            </w:r>
          </w:p>
        </w:tc>
        <w:tc>
          <w:tcPr>
            <w:tcW w:w="941" w:type="dxa"/>
            <w:shd w:val="clear" w:color="auto" w:fill="auto"/>
            <w:vAlign w:val="bottom"/>
          </w:tcPr>
          <w:p w:rsidR="0073566C" w:rsidRPr="000C0ED5" w:rsidRDefault="0073566C" w:rsidP="0073566C">
            <w:pPr>
              <w:pStyle w:val="DualTxt"/>
              <w:spacing w:before="40" w:after="80" w:line="240" w:lineRule="exact"/>
              <w:ind w:right="144"/>
              <w:rPr>
                <w:rFonts w:hint="cs"/>
                <w:i/>
                <w:iCs/>
                <w:sz w:val="16"/>
                <w:szCs w:val="24"/>
                <w:rtl/>
              </w:rPr>
            </w:pPr>
            <w:r w:rsidRPr="000C0ED5">
              <w:rPr>
                <w:rFonts w:hint="cs"/>
                <w:i/>
                <w:iCs/>
                <w:sz w:val="16"/>
                <w:szCs w:val="24"/>
                <w:rtl/>
              </w:rPr>
              <w:t>100.0</w:t>
            </w:r>
          </w:p>
        </w:tc>
      </w:tr>
      <w:tr w:rsidR="0073566C" w:rsidRPr="007140DF">
        <w:trPr>
          <w:cantSplit/>
          <w:jc w:val="center"/>
        </w:trPr>
        <w:tc>
          <w:tcPr>
            <w:tcW w:w="1043" w:type="dxa"/>
            <w:shd w:val="clear" w:color="auto" w:fill="auto"/>
            <w:vAlign w:val="bottom"/>
          </w:tcPr>
          <w:p w:rsidR="0073566C" w:rsidRPr="007E7820" w:rsidRDefault="0073566C" w:rsidP="0073566C">
            <w:pPr>
              <w:pStyle w:val="DualTxt"/>
              <w:spacing w:before="40" w:after="80" w:line="240" w:lineRule="exact"/>
              <w:rPr>
                <w:rFonts w:hint="cs"/>
                <w:i/>
                <w:iCs/>
                <w:sz w:val="16"/>
                <w:szCs w:val="24"/>
                <w:rtl/>
              </w:rPr>
            </w:pPr>
            <w:r w:rsidRPr="007E7820">
              <w:rPr>
                <w:rFonts w:hint="cs"/>
                <w:i/>
                <w:iCs/>
                <w:sz w:val="16"/>
                <w:szCs w:val="24"/>
                <w:rtl/>
              </w:rPr>
              <w:t>25-34</w:t>
            </w:r>
          </w:p>
        </w:tc>
        <w:tc>
          <w:tcPr>
            <w:tcW w:w="822" w:type="dxa"/>
            <w:shd w:val="clear" w:color="auto" w:fill="auto"/>
            <w:vAlign w:val="bottom"/>
          </w:tcPr>
          <w:p w:rsidR="0073566C" w:rsidRPr="007140DF" w:rsidRDefault="0073566C" w:rsidP="0073566C">
            <w:pPr>
              <w:pStyle w:val="DualTxt"/>
              <w:spacing w:before="40" w:after="80" w:line="240" w:lineRule="exact"/>
              <w:ind w:right="144"/>
              <w:rPr>
                <w:rFonts w:hint="cs"/>
                <w:sz w:val="16"/>
                <w:szCs w:val="24"/>
                <w:rtl/>
              </w:rPr>
            </w:pPr>
            <w:r>
              <w:rPr>
                <w:rFonts w:hint="cs"/>
                <w:sz w:val="16"/>
                <w:szCs w:val="24"/>
                <w:rtl/>
              </w:rPr>
              <w:t>357</w:t>
            </w:r>
          </w:p>
        </w:tc>
        <w:tc>
          <w:tcPr>
            <w:tcW w:w="1031" w:type="dxa"/>
            <w:gridSpan w:val="2"/>
            <w:shd w:val="clear" w:color="auto" w:fill="auto"/>
            <w:vAlign w:val="bottom"/>
          </w:tcPr>
          <w:p w:rsidR="0073566C" w:rsidRPr="007140DF" w:rsidRDefault="0073566C" w:rsidP="0073566C">
            <w:pPr>
              <w:pStyle w:val="DualTxt"/>
              <w:spacing w:before="40" w:after="80" w:line="240" w:lineRule="exact"/>
              <w:ind w:right="144"/>
              <w:rPr>
                <w:rFonts w:hint="cs"/>
                <w:sz w:val="16"/>
                <w:szCs w:val="24"/>
                <w:rtl/>
              </w:rPr>
            </w:pPr>
            <w:r>
              <w:rPr>
                <w:rFonts w:hint="cs"/>
                <w:sz w:val="16"/>
                <w:szCs w:val="24"/>
                <w:rtl/>
              </w:rPr>
              <w:t>537 1</w:t>
            </w:r>
          </w:p>
        </w:tc>
        <w:tc>
          <w:tcPr>
            <w:tcW w:w="1034" w:type="dxa"/>
            <w:shd w:val="clear" w:color="auto" w:fill="auto"/>
            <w:vAlign w:val="bottom"/>
          </w:tcPr>
          <w:p w:rsidR="0073566C" w:rsidRPr="007E7820" w:rsidRDefault="0073566C" w:rsidP="0073566C">
            <w:pPr>
              <w:pStyle w:val="DualTxt"/>
              <w:spacing w:before="40" w:after="80" w:line="240" w:lineRule="exact"/>
              <w:ind w:right="144"/>
              <w:rPr>
                <w:rFonts w:hint="cs"/>
                <w:i/>
                <w:iCs/>
                <w:sz w:val="16"/>
                <w:szCs w:val="24"/>
                <w:rtl/>
              </w:rPr>
            </w:pPr>
            <w:r w:rsidRPr="007E7820">
              <w:rPr>
                <w:rFonts w:hint="cs"/>
                <w:i/>
                <w:iCs/>
                <w:sz w:val="16"/>
                <w:szCs w:val="24"/>
                <w:rtl/>
              </w:rPr>
              <w:t>894 1</w:t>
            </w:r>
          </w:p>
        </w:tc>
        <w:tc>
          <w:tcPr>
            <w:tcW w:w="856" w:type="dxa"/>
            <w:shd w:val="clear" w:color="auto" w:fill="auto"/>
            <w:vAlign w:val="bottom"/>
          </w:tcPr>
          <w:p w:rsidR="0073566C" w:rsidRPr="007140DF" w:rsidRDefault="0073566C" w:rsidP="0073566C">
            <w:pPr>
              <w:pStyle w:val="DualTxt"/>
              <w:spacing w:before="40" w:after="80" w:line="240" w:lineRule="exact"/>
              <w:ind w:right="144"/>
              <w:rPr>
                <w:rFonts w:hint="cs"/>
                <w:sz w:val="16"/>
                <w:szCs w:val="24"/>
                <w:rtl/>
              </w:rPr>
            </w:pPr>
            <w:r>
              <w:rPr>
                <w:rFonts w:hint="cs"/>
                <w:sz w:val="16"/>
                <w:szCs w:val="24"/>
                <w:rtl/>
              </w:rPr>
              <w:t>18.8</w:t>
            </w:r>
          </w:p>
        </w:tc>
        <w:tc>
          <w:tcPr>
            <w:tcW w:w="827" w:type="dxa"/>
            <w:shd w:val="clear" w:color="auto" w:fill="auto"/>
            <w:vAlign w:val="bottom"/>
          </w:tcPr>
          <w:p w:rsidR="0073566C" w:rsidRPr="007140DF" w:rsidRDefault="0073566C" w:rsidP="0073566C">
            <w:pPr>
              <w:pStyle w:val="DualTxt"/>
              <w:spacing w:before="40" w:after="80" w:line="240" w:lineRule="exact"/>
              <w:ind w:right="144"/>
              <w:rPr>
                <w:rFonts w:hint="cs"/>
                <w:sz w:val="16"/>
                <w:szCs w:val="24"/>
                <w:rtl/>
              </w:rPr>
            </w:pPr>
            <w:r>
              <w:rPr>
                <w:rFonts w:hint="cs"/>
                <w:sz w:val="16"/>
                <w:szCs w:val="24"/>
                <w:rtl/>
              </w:rPr>
              <w:t>81.2</w:t>
            </w:r>
          </w:p>
        </w:tc>
        <w:tc>
          <w:tcPr>
            <w:tcW w:w="941" w:type="dxa"/>
            <w:shd w:val="clear" w:color="auto" w:fill="auto"/>
            <w:vAlign w:val="bottom"/>
          </w:tcPr>
          <w:p w:rsidR="0073566C" w:rsidRPr="000C0ED5" w:rsidRDefault="0073566C" w:rsidP="0073566C">
            <w:pPr>
              <w:pStyle w:val="DualTxt"/>
              <w:spacing w:before="40" w:after="80" w:line="240" w:lineRule="exact"/>
              <w:ind w:right="144"/>
              <w:rPr>
                <w:rFonts w:hint="cs"/>
                <w:i/>
                <w:iCs/>
                <w:sz w:val="16"/>
                <w:szCs w:val="24"/>
                <w:rtl/>
              </w:rPr>
            </w:pPr>
            <w:r w:rsidRPr="000C0ED5">
              <w:rPr>
                <w:rFonts w:hint="cs"/>
                <w:i/>
                <w:iCs/>
                <w:sz w:val="16"/>
                <w:szCs w:val="24"/>
                <w:rtl/>
              </w:rPr>
              <w:t>100.0</w:t>
            </w:r>
          </w:p>
        </w:tc>
      </w:tr>
      <w:tr w:rsidR="0073566C" w:rsidRPr="007140DF">
        <w:trPr>
          <w:cantSplit/>
          <w:jc w:val="center"/>
        </w:trPr>
        <w:tc>
          <w:tcPr>
            <w:tcW w:w="1043" w:type="dxa"/>
            <w:shd w:val="clear" w:color="auto" w:fill="auto"/>
            <w:vAlign w:val="bottom"/>
          </w:tcPr>
          <w:p w:rsidR="0073566C" w:rsidRPr="007E7820" w:rsidRDefault="0073566C" w:rsidP="0073566C">
            <w:pPr>
              <w:pStyle w:val="DualTxt"/>
              <w:spacing w:before="40" w:after="80" w:line="240" w:lineRule="exact"/>
              <w:rPr>
                <w:rFonts w:hint="cs"/>
                <w:i/>
                <w:iCs/>
                <w:sz w:val="16"/>
                <w:szCs w:val="24"/>
                <w:rtl/>
              </w:rPr>
            </w:pPr>
            <w:r w:rsidRPr="007E7820">
              <w:rPr>
                <w:rFonts w:hint="cs"/>
                <w:i/>
                <w:iCs/>
                <w:sz w:val="16"/>
                <w:szCs w:val="24"/>
                <w:rtl/>
              </w:rPr>
              <w:t>35-49</w:t>
            </w:r>
          </w:p>
        </w:tc>
        <w:tc>
          <w:tcPr>
            <w:tcW w:w="822" w:type="dxa"/>
            <w:shd w:val="clear" w:color="auto" w:fill="auto"/>
            <w:vAlign w:val="bottom"/>
          </w:tcPr>
          <w:p w:rsidR="0073566C" w:rsidRPr="007140DF" w:rsidRDefault="0073566C" w:rsidP="0073566C">
            <w:pPr>
              <w:pStyle w:val="DualTxt"/>
              <w:spacing w:before="40" w:after="80" w:line="240" w:lineRule="exact"/>
              <w:ind w:right="144"/>
              <w:rPr>
                <w:rFonts w:hint="cs"/>
                <w:sz w:val="16"/>
                <w:szCs w:val="24"/>
                <w:rtl/>
              </w:rPr>
            </w:pPr>
            <w:r>
              <w:rPr>
                <w:rFonts w:hint="cs"/>
                <w:sz w:val="16"/>
                <w:szCs w:val="24"/>
                <w:rtl/>
              </w:rPr>
              <w:t>293</w:t>
            </w:r>
          </w:p>
        </w:tc>
        <w:tc>
          <w:tcPr>
            <w:tcW w:w="1031" w:type="dxa"/>
            <w:gridSpan w:val="2"/>
            <w:shd w:val="clear" w:color="auto" w:fill="auto"/>
            <w:vAlign w:val="bottom"/>
          </w:tcPr>
          <w:p w:rsidR="0073566C" w:rsidRPr="007140DF" w:rsidRDefault="0073566C" w:rsidP="0073566C">
            <w:pPr>
              <w:pStyle w:val="DualTxt"/>
              <w:spacing w:before="40" w:after="80" w:line="240" w:lineRule="exact"/>
              <w:ind w:right="144"/>
              <w:rPr>
                <w:rFonts w:hint="cs"/>
                <w:sz w:val="16"/>
                <w:szCs w:val="24"/>
                <w:rtl/>
              </w:rPr>
            </w:pPr>
            <w:r>
              <w:rPr>
                <w:rFonts w:hint="cs"/>
                <w:sz w:val="16"/>
                <w:szCs w:val="24"/>
                <w:rtl/>
              </w:rPr>
              <w:t>651 1</w:t>
            </w:r>
          </w:p>
        </w:tc>
        <w:tc>
          <w:tcPr>
            <w:tcW w:w="1034" w:type="dxa"/>
            <w:shd w:val="clear" w:color="auto" w:fill="auto"/>
            <w:vAlign w:val="bottom"/>
          </w:tcPr>
          <w:p w:rsidR="0073566C" w:rsidRPr="007E7820" w:rsidRDefault="0073566C" w:rsidP="0073566C">
            <w:pPr>
              <w:pStyle w:val="DualTxt"/>
              <w:spacing w:before="40" w:after="80" w:line="240" w:lineRule="exact"/>
              <w:ind w:right="144"/>
              <w:rPr>
                <w:rFonts w:hint="cs"/>
                <w:i/>
                <w:iCs/>
                <w:sz w:val="16"/>
                <w:szCs w:val="24"/>
                <w:rtl/>
              </w:rPr>
            </w:pPr>
            <w:r w:rsidRPr="007E7820">
              <w:rPr>
                <w:rFonts w:hint="cs"/>
                <w:i/>
                <w:iCs/>
                <w:sz w:val="16"/>
                <w:szCs w:val="24"/>
                <w:rtl/>
              </w:rPr>
              <w:t>944 1</w:t>
            </w:r>
          </w:p>
        </w:tc>
        <w:tc>
          <w:tcPr>
            <w:tcW w:w="856" w:type="dxa"/>
            <w:shd w:val="clear" w:color="auto" w:fill="auto"/>
            <w:vAlign w:val="bottom"/>
          </w:tcPr>
          <w:p w:rsidR="0073566C" w:rsidRPr="007140DF" w:rsidRDefault="0073566C" w:rsidP="0073566C">
            <w:pPr>
              <w:pStyle w:val="DualTxt"/>
              <w:spacing w:before="40" w:after="80" w:line="240" w:lineRule="exact"/>
              <w:ind w:right="144"/>
              <w:rPr>
                <w:rFonts w:hint="cs"/>
                <w:sz w:val="16"/>
                <w:szCs w:val="24"/>
                <w:rtl/>
              </w:rPr>
            </w:pPr>
            <w:r>
              <w:rPr>
                <w:rFonts w:hint="cs"/>
                <w:sz w:val="16"/>
                <w:szCs w:val="24"/>
                <w:rtl/>
              </w:rPr>
              <w:t>15.1</w:t>
            </w:r>
          </w:p>
        </w:tc>
        <w:tc>
          <w:tcPr>
            <w:tcW w:w="827" w:type="dxa"/>
            <w:shd w:val="clear" w:color="auto" w:fill="auto"/>
            <w:vAlign w:val="bottom"/>
          </w:tcPr>
          <w:p w:rsidR="0073566C" w:rsidRPr="007140DF" w:rsidRDefault="0073566C" w:rsidP="0073566C">
            <w:pPr>
              <w:pStyle w:val="DualTxt"/>
              <w:spacing w:before="40" w:after="80" w:line="240" w:lineRule="exact"/>
              <w:ind w:right="144"/>
              <w:rPr>
                <w:rFonts w:hint="cs"/>
                <w:sz w:val="16"/>
                <w:szCs w:val="24"/>
                <w:rtl/>
              </w:rPr>
            </w:pPr>
            <w:r>
              <w:rPr>
                <w:rFonts w:hint="cs"/>
                <w:sz w:val="16"/>
                <w:szCs w:val="24"/>
                <w:rtl/>
              </w:rPr>
              <w:t>84.9</w:t>
            </w:r>
          </w:p>
        </w:tc>
        <w:tc>
          <w:tcPr>
            <w:tcW w:w="941" w:type="dxa"/>
            <w:shd w:val="clear" w:color="auto" w:fill="auto"/>
            <w:vAlign w:val="bottom"/>
          </w:tcPr>
          <w:p w:rsidR="0073566C" w:rsidRPr="000C0ED5" w:rsidRDefault="0073566C" w:rsidP="0073566C">
            <w:pPr>
              <w:pStyle w:val="DualTxt"/>
              <w:spacing w:before="40" w:after="80" w:line="240" w:lineRule="exact"/>
              <w:ind w:right="144"/>
              <w:rPr>
                <w:rFonts w:hint="cs"/>
                <w:i/>
                <w:iCs/>
                <w:sz w:val="16"/>
                <w:szCs w:val="24"/>
                <w:rtl/>
              </w:rPr>
            </w:pPr>
            <w:r w:rsidRPr="000C0ED5">
              <w:rPr>
                <w:rFonts w:hint="cs"/>
                <w:i/>
                <w:iCs/>
                <w:sz w:val="16"/>
                <w:szCs w:val="24"/>
                <w:rtl/>
              </w:rPr>
              <w:t>100.0</w:t>
            </w:r>
          </w:p>
        </w:tc>
      </w:tr>
      <w:tr w:rsidR="0073566C" w:rsidRPr="007140DF">
        <w:trPr>
          <w:cantSplit/>
          <w:jc w:val="center"/>
        </w:trPr>
        <w:tc>
          <w:tcPr>
            <w:tcW w:w="1043" w:type="dxa"/>
            <w:tcBorders>
              <w:bottom w:val="single" w:sz="12" w:space="0" w:color="auto"/>
            </w:tcBorders>
            <w:shd w:val="clear" w:color="auto" w:fill="auto"/>
            <w:vAlign w:val="bottom"/>
          </w:tcPr>
          <w:p w:rsidR="0073566C" w:rsidRPr="007E7820" w:rsidRDefault="0073566C" w:rsidP="0073566C">
            <w:pPr>
              <w:pStyle w:val="DualTxt"/>
              <w:spacing w:before="40" w:after="80" w:line="240" w:lineRule="exact"/>
              <w:rPr>
                <w:rFonts w:hint="cs"/>
                <w:i/>
                <w:iCs/>
                <w:sz w:val="16"/>
                <w:szCs w:val="24"/>
                <w:rtl/>
              </w:rPr>
            </w:pPr>
            <w:r w:rsidRPr="007E7820">
              <w:rPr>
                <w:rFonts w:hint="cs"/>
                <w:i/>
                <w:iCs/>
                <w:sz w:val="16"/>
                <w:szCs w:val="24"/>
                <w:rtl/>
              </w:rPr>
              <w:t>50 +</w:t>
            </w:r>
          </w:p>
        </w:tc>
        <w:tc>
          <w:tcPr>
            <w:tcW w:w="822" w:type="dxa"/>
            <w:tcBorders>
              <w:bottom w:val="single" w:sz="12" w:space="0" w:color="auto"/>
            </w:tcBorders>
            <w:shd w:val="clear" w:color="auto" w:fill="auto"/>
            <w:vAlign w:val="bottom"/>
          </w:tcPr>
          <w:p w:rsidR="0073566C" w:rsidRPr="007140DF" w:rsidRDefault="0073566C" w:rsidP="0073566C">
            <w:pPr>
              <w:pStyle w:val="DualTxt"/>
              <w:spacing w:before="40" w:after="80" w:line="240" w:lineRule="exact"/>
              <w:ind w:right="144"/>
              <w:rPr>
                <w:rFonts w:hint="cs"/>
                <w:sz w:val="16"/>
                <w:szCs w:val="24"/>
                <w:rtl/>
              </w:rPr>
            </w:pPr>
            <w:r>
              <w:rPr>
                <w:rFonts w:hint="cs"/>
                <w:sz w:val="16"/>
                <w:szCs w:val="24"/>
                <w:rtl/>
              </w:rPr>
              <w:t>135</w:t>
            </w:r>
          </w:p>
        </w:tc>
        <w:tc>
          <w:tcPr>
            <w:tcW w:w="1031" w:type="dxa"/>
            <w:gridSpan w:val="2"/>
            <w:tcBorders>
              <w:bottom w:val="single" w:sz="12" w:space="0" w:color="auto"/>
            </w:tcBorders>
            <w:shd w:val="clear" w:color="auto" w:fill="auto"/>
            <w:vAlign w:val="bottom"/>
          </w:tcPr>
          <w:p w:rsidR="0073566C" w:rsidRPr="007140DF" w:rsidRDefault="0073566C" w:rsidP="0073566C">
            <w:pPr>
              <w:pStyle w:val="DualTxt"/>
              <w:spacing w:before="40" w:after="80" w:line="240" w:lineRule="exact"/>
              <w:ind w:right="144"/>
              <w:rPr>
                <w:rFonts w:hint="cs"/>
                <w:sz w:val="16"/>
                <w:szCs w:val="24"/>
                <w:rtl/>
              </w:rPr>
            </w:pPr>
            <w:r>
              <w:rPr>
                <w:rFonts w:hint="cs"/>
                <w:sz w:val="16"/>
                <w:szCs w:val="24"/>
                <w:rtl/>
              </w:rPr>
              <w:t>654</w:t>
            </w:r>
          </w:p>
        </w:tc>
        <w:tc>
          <w:tcPr>
            <w:tcW w:w="1034" w:type="dxa"/>
            <w:tcBorders>
              <w:bottom w:val="single" w:sz="12" w:space="0" w:color="auto"/>
            </w:tcBorders>
            <w:shd w:val="clear" w:color="auto" w:fill="auto"/>
            <w:vAlign w:val="bottom"/>
          </w:tcPr>
          <w:p w:rsidR="0073566C" w:rsidRPr="007E7820" w:rsidRDefault="0073566C" w:rsidP="0073566C">
            <w:pPr>
              <w:pStyle w:val="DualTxt"/>
              <w:spacing w:before="40" w:after="80" w:line="240" w:lineRule="exact"/>
              <w:ind w:right="144"/>
              <w:rPr>
                <w:rFonts w:hint="cs"/>
                <w:i/>
                <w:iCs/>
                <w:sz w:val="16"/>
                <w:szCs w:val="24"/>
                <w:rtl/>
              </w:rPr>
            </w:pPr>
            <w:r w:rsidRPr="007E7820">
              <w:rPr>
                <w:rFonts w:hint="cs"/>
                <w:i/>
                <w:iCs/>
                <w:sz w:val="16"/>
                <w:szCs w:val="24"/>
                <w:rtl/>
              </w:rPr>
              <w:t>789</w:t>
            </w:r>
          </w:p>
        </w:tc>
        <w:tc>
          <w:tcPr>
            <w:tcW w:w="856" w:type="dxa"/>
            <w:tcBorders>
              <w:bottom w:val="single" w:sz="12" w:space="0" w:color="auto"/>
            </w:tcBorders>
            <w:shd w:val="clear" w:color="auto" w:fill="auto"/>
            <w:vAlign w:val="bottom"/>
          </w:tcPr>
          <w:p w:rsidR="0073566C" w:rsidRPr="007140DF" w:rsidRDefault="0073566C" w:rsidP="0073566C">
            <w:pPr>
              <w:pStyle w:val="DualTxt"/>
              <w:spacing w:before="40" w:after="80" w:line="240" w:lineRule="exact"/>
              <w:ind w:right="144"/>
              <w:rPr>
                <w:rFonts w:hint="cs"/>
                <w:sz w:val="16"/>
                <w:szCs w:val="24"/>
                <w:rtl/>
              </w:rPr>
            </w:pPr>
            <w:r>
              <w:rPr>
                <w:rFonts w:hint="cs"/>
                <w:sz w:val="16"/>
                <w:szCs w:val="24"/>
                <w:rtl/>
              </w:rPr>
              <w:t>17.1</w:t>
            </w:r>
          </w:p>
        </w:tc>
        <w:tc>
          <w:tcPr>
            <w:tcW w:w="827" w:type="dxa"/>
            <w:tcBorders>
              <w:bottom w:val="single" w:sz="12" w:space="0" w:color="auto"/>
            </w:tcBorders>
            <w:shd w:val="clear" w:color="auto" w:fill="auto"/>
            <w:vAlign w:val="bottom"/>
          </w:tcPr>
          <w:p w:rsidR="0073566C" w:rsidRPr="007140DF" w:rsidRDefault="0073566C" w:rsidP="0073566C">
            <w:pPr>
              <w:pStyle w:val="DualTxt"/>
              <w:spacing w:before="40" w:after="80" w:line="240" w:lineRule="exact"/>
              <w:ind w:right="144"/>
              <w:rPr>
                <w:rFonts w:hint="cs"/>
                <w:sz w:val="16"/>
                <w:szCs w:val="24"/>
                <w:rtl/>
              </w:rPr>
            </w:pPr>
            <w:r>
              <w:rPr>
                <w:rFonts w:hint="cs"/>
                <w:sz w:val="16"/>
                <w:szCs w:val="24"/>
                <w:rtl/>
              </w:rPr>
              <w:t>82.9</w:t>
            </w:r>
          </w:p>
        </w:tc>
        <w:tc>
          <w:tcPr>
            <w:tcW w:w="941" w:type="dxa"/>
            <w:tcBorders>
              <w:bottom w:val="single" w:sz="12" w:space="0" w:color="auto"/>
            </w:tcBorders>
            <w:shd w:val="clear" w:color="auto" w:fill="auto"/>
            <w:vAlign w:val="bottom"/>
          </w:tcPr>
          <w:p w:rsidR="0073566C" w:rsidRPr="000C0ED5" w:rsidRDefault="0073566C" w:rsidP="0073566C">
            <w:pPr>
              <w:pStyle w:val="DualTxt"/>
              <w:spacing w:before="40" w:after="80" w:line="240" w:lineRule="exact"/>
              <w:ind w:right="144"/>
              <w:rPr>
                <w:rFonts w:hint="cs"/>
                <w:i/>
                <w:iCs/>
                <w:sz w:val="16"/>
                <w:szCs w:val="24"/>
                <w:rtl/>
              </w:rPr>
            </w:pPr>
            <w:r w:rsidRPr="000C0ED5">
              <w:rPr>
                <w:rFonts w:hint="cs"/>
                <w:i/>
                <w:iCs/>
                <w:sz w:val="16"/>
                <w:szCs w:val="24"/>
                <w:rtl/>
              </w:rPr>
              <w:t>100.0</w:t>
            </w:r>
          </w:p>
        </w:tc>
      </w:tr>
      <w:tr w:rsidR="0073566C" w:rsidRPr="000C0ED5">
        <w:trPr>
          <w:cantSplit/>
          <w:jc w:val="center"/>
        </w:trPr>
        <w:tc>
          <w:tcPr>
            <w:tcW w:w="1043" w:type="dxa"/>
            <w:tcBorders>
              <w:top w:val="single" w:sz="12" w:space="0" w:color="auto"/>
              <w:bottom w:val="single" w:sz="12" w:space="0" w:color="auto"/>
            </w:tcBorders>
            <w:shd w:val="clear" w:color="auto" w:fill="auto"/>
            <w:vAlign w:val="bottom"/>
          </w:tcPr>
          <w:p w:rsidR="0073566C" w:rsidRPr="000C0ED5" w:rsidRDefault="0073566C" w:rsidP="0073566C">
            <w:pPr>
              <w:pStyle w:val="DualTxt"/>
              <w:spacing w:before="40" w:after="80" w:line="240" w:lineRule="exact"/>
              <w:rPr>
                <w:rFonts w:hint="cs"/>
                <w:b/>
                <w:bCs/>
                <w:i/>
                <w:iCs/>
                <w:sz w:val="16"/>
                <w:szCs w:val="24"/>
                <w:rtl/>
              </w:rPr>
            </w:pPr>
            <w:r w:rsidRPr="000C0ED5">
              <w:rPr>
                <w:rFonts w:hint="cs"/>
                <w:b/>
                <w:bCs/>
                <w:i/>
                <w:iCs/>
                <w:sz w:val="16"/>
                <w:szCs w:val="24"/>
                <w:rtl/>
              </w:rPr>
              <w:t>المجموع</w:t>
            </w:r>
          </w:p>
        </w:tc>
        <w:tc>
          <w:tcPr>
            <w:tcW w:w="822" w:type="dxa"/>
            <w:tcBorders>
              <w:top w:val="single" w:sz="12" w:space="0" w:color="auto"/>
              <w:bottom w:val="single" w:sz="12" w:space="0" w:color="auto"/>
            </w:tcBorders>
            <w:shd w:val="clear" w:color="auto" w:fill="auto"/>
            <w:vAlign w:val="bottom"/>
          </w:tcPr>
          <w:p w:rsidR="0073566C" w:rsidRPr="000C0ED5" w:rsidRDefault="0073566C" w:rsidP="0073566C">
            <w:pPr>
              <w:pStyle w:val="DualTxt"/>
              <w:spacing w:before="40" w:after="80" w:line="240" w:lineRule="exact"/>
              <w:ind w:right="144"/>
              <w:rPr>
                <w:rFonts w:hint="cs"/>
                <w:b/>
                <w:bCs/>
                <w:i/>
                <w:iCs/>
                <w:sz w:val="16"/>
                <w:szCs w:val="24"/>
                <w:rtl/>
              </w:rPr>
            </w:pPr>
            <w:r w:rsidRPr="000C0ED5">
              <w:rPr>
                <w:rFonts w:hint="cs"/>
                <w:b/>
                <w:bCs/>
                <w:i/>
                <w:iCs/>
                <w:sz w:val="16"/>
                <w:szCs w:val="24"/>
                <w:rtl/>
              </w:rPr>
              <w:t>955</w:t>
            </w:r>
          </w:p>
        </w:tc>
        <w:tc>
          <w:tcPr>
            <w:tcW w:w="1031" w:type="dxa"/>
            <w:gridSpan w:val="2"/>
            <w:tcBorders>
              <w:top w:val="single" w:sz="12" w:space="0" w:color="auto"/>
              <w:bottom w:val="single" w:sz="12" w:space="0" w:color="auto"/>
            </w:tcBorders>
            <w:shd w:val="clear" w:color="auto" w:fill="auto"/>
            <w:vAlign w:val="bottom"/>
          </w:tcPr>
          <w:p w:rsidR="0073566C" w:rsidRPr="000C0ED5" w:rsidRDefault="0073566C" w:rsidP="0073566C">
            <w:pPr>
              <w:pStyle w:val="DualTxt"/>
              <w:spacing w:before="40" w:after="80" w:line="240" w:lineRule="exact"/>
              <w:ind w:right="144"/>
              <w:rPr>
                <w:rFonts w:hint="cs"/>
                <w:b/>
                <w:bCs/>
                <w:i/>
                <w:iCs/>
                <w:sz w:val="16"/>
                <w:szCs w:val="24"/>
                <w:rtl/>
              </w:rPr>
            </w:pPr>
            <w:r w:rsidRPr="000C0ED5">
              <w:rPr>
                <w:rFonts w:hint="cs"/>
                <w:b/>
                <w:bCs/>
                <w:i/>
                <w:iCs/>
                <w:sz w:val="16"/>
                <w:szCs w:val="24"/>
                <w:rtl/>
              </w:rPr>
              <w:t>220 4</w:t>
            </w:r>
          </w:p>
        </w:tc>
        <w:tc>
          <w:tcPr>
            <w:tcW w:w="1034" w:type="dxa"/>
            <w:tcBorders>
              <w:top w:val="single" w:sz="12" w:space="0" w:color="auto"/>
              <w:bottom w:val="single" w:sz="12" w:space="0" w:color="auto"/>
            </w:tcBorders>
            <w:shd w:val="clear" w:color="auto" w:fill="auto"/>
            <w:vAlign w:val="bottom"/>
          </w:tcPr>
          <w:p w:rsidR="0073566C" w:rsidRPr="000C0ED5" w:rsidRDefault="0073566C" w:rsidP="0073566C">
            <w:pPr>
              <w:pStyle w:val="DualTxt"/>
              <w:spacing w:before="40" w:after="80" w:line="240" w:lineRule="exact"/>
              <w:ind w:right="144"/>
              <w:rPr>
                <w:rFonts w:hint="cs"/>
                <w:b/>
                <w:bCs/>
                <w:i/>
                <w:iCs/>
                <w:sz w:val="16"/>
                <w:szCs w:val="24"/>
                <w:rtl/>
              </w:rPr>
            </w:pPr>
            <w:r w:rsidRPr="000C0ED5">
              <w:rPr>
                <w:rFonts w:hint="cs"/>
                <w:b/>
                <w:bCs/>
                <w:i/>
                <w:iCs/>
                <w:sz w:val="16"/>
                <w:szCs w:val="24"/>
                <w:rtl/>
              </w:rPr>
              <w:t>175 5</w:t>
            </w:r>
          </w:p>
        </w:tc>
        <w:tc>
          <w:tcPr>
            <w:tcW w:w="856" w:type="dxa"/>
            <w:tcBorders>
              <w:top w:val="single" w:sz="12" w:space="0" w:color="auto"/>
              <w:bottom w:val="single" w:sz="12" w:space="0" w:color="auto"/>
            </w:tcBorders>
            <w:shd w:val="clear" w:color="auto" w:fill="auto"/>
            <w:vAlign w:val="bottom"/>
          </w:tcPr>
          <w:p w:rsidR="0073566C" w:rsidRPr="000C0ED5" w:rsidRDefault="0073566C" w:rsidP="0073566C">
            <w:pPr>
              <w:pStyle w:val="DualTxt"/>
              <w:spacing w:before="40" w:after="80" w:line="240" w:lineRule="exact"/>
              <w:ind w:right="144"/>
              <w:rPr>
                <w:rFonts w:hint="cs"/>
                <w:b/>
                <w:bCs/>
                <w:i/>
                <w:iCs/>
                <w:sz w:val="16"/>
                <w:szCs w:val="24"/>
                <w:rtl/>
              </w:rPr>
            </w:pPr>
            <w:r w:rsidRPr="000C0ED5">
              <w:rPr>
                <w:rFonts w:hint="cs"/>
                <w:b/>
                <w:bCs/>
                <w:i/>
                <w:iCs/>
                <w:sz w:val="16"/>
                <w:szCs w:val="24"/>
                <w:rtl/>
              </w:rPr>
              <w:t>18.5</w:t>
            </w:r>
          </w:p>
        </w:tc>
        <w:tc>
          <w:tcPr>
            <w:tcW w:w="827" w:type="dxa"/>
            <w:tcBorders>
              <w:top w:val="single" w:sz="12" w:space="0" w:color="auto"/>
              <w:bottom w:val="single" w:sz="12" w:space="0" w:color="auto"/>
            </w:tcBorders>
            <w:shd w:val="clear" w:color="auto" w:fill="auto"/>
            <w:vAlign w:val="bottom"/>
          </w:tcPr>
          <w:p w:rsidR="0073566C" w:rsidRPr="000C0ED5" w:rsidRDefault="0073566C" w:rsidP="0073566C">
            <w:pPr>
              <w:pStyle w:val="DualTxt"/>
              <w:spacing w:before="40" w:after="80" w:line="240" w:lineRule="exact"/>
              <w:ind w:right="144"/>
              <w:rPr>
                <w:rFonts w:hint="cs"/>
                <w:b/>
                <w:bCs/>
                <w:i/>
                <w:iCs/>
                <w:sz w:val="16"/>
                <w:szCs w:val="24"/>
                <w:rtl/>
              </w:rPr>
            </w:pPr>
            <w:r w:rsidRPr="000C0ED5">
              <w:rPr>
                <w:rFonts w:hint="cs"/>
                <w:b/>
                <w:bCs/>
                <w:i/>
                <w:iCs/>
                <w:sz w:val="16"/>
                <w:szCs w:val="24"/>
                <w:rtl/>
              </w:rPr>
              <w:t>81.5</w:t>
            </w:r>
          </w:p>
        </w:tc>
        <w:tc>
          <w:tcPr>
            <w:tcW w:w="941" w:type="dxa"/>
            <w:tcBorders>
              <w:top w:val="single" w:sz="12" w:space="0" w:color="auto"/>
              <w:bottom w:val="single" w:sz="12" w:space="0" w:color="auto"/>
            </w:tcBorders>
            <w:shd w:val="clear" w:color="auto" w:fill="auto"/>
            <w:vAlign w:val="bottom"/>
          </w:tcPr>
          <w:p w:rsidR="0073566C" w:rsidRPr="000C0ED5" w:rsidRDefault="0073566C" w:rsidP="0073566C">
            <w:pPr>
              <w:pStyle w:val="DualTxt"/>
              <w:spacing w:before="40" w:after="80" w:line="240" w:lineRule="exact"/>
              <w:ind w:right="144"/>
              <w:rPr>
                <w:rFonts w:hint="cs"/>
                <w:b/>
                <w:bCs/>
                <w:i/>
                <w:iCs/>
                <w:sz w:val="16"/>
                <w:szCs w:val="24"/>
                <w:rtl/>
              </w:rPr>
            </w:pPr>
            <w:r w:rsidRPr="000C0ED5">
              <w:rPr>
                <w:rFonts w:hint="cs"/>
                <w:b/>
                <w:bCs/>
                <w:i/>
                <w:iCs/>
                <w:sz w:val="16"/>
                <w:szCs w:val="24"/>
                <w:rtl/>
              </w:rPr>
              <w:t>100.0</w:t>
            </w:r>
          </w:p>
        </w:tc>
      </w:tr>
    </w:tbl>
    <w:p w:rsidR="0073566C" w:rsidRPr="00994E23" w:rsidRDefault="0073566C" w:rsidP="0073566C">
      <w:pPr>
        <w:pStyle w:val="SingleTxt"/>
        <w:spacing w:after="0" w:line="120" w:lineRule="exact"/>
        <w:rPr>
          <w:rFonts w:hint="cs"/>
          <w:sz w:val="12"/>
          <w:rtl/>
        </w:rPr>
      </w:pPr>
    </w:p>
    <w:p w:rsidR="0073566C" w:rsidRDefault="0073566C" w:rsidP="0073566C">
      <w:pPr>
        <w:pStyle w:val="SingleTxt"/>
        <w:rPr>
          <w:rFonts w:hint="cs"/>
          <w:rtl/>
        </w:rPr>
      </w:pPr>
      <w:r>
        <w:rPr>
          <w:rFonts w:hint="cs"/>
          <w:rtl/>
        </w:rPr>
        <w:tab/>
        <w:t>يزيد عدد المصابين بعدوى فيروس نقص المناعة البشرية أربع مرات على عدد المصابات. وفي أواخر كانون الأول/ديسمبر 2004، أصيب بالفيروس 220 4 رجلا و955 امرأة. والفئة العمرية الأكثر تضررا بين الرجال هي 30-34 عاما، وبين النساء 25-29 عاما. وكلما كان حاملو الفيروس أصغر سنّا كان نصيب النساء أكبر.</w:t>
      </w:r>
    </w:p>
    <w:p w:rsidR="0073566C" w:rsidRPr="00994E23" w:rsidRDefault="0073566C" w:rsidP="0073566C">
      <w:pPr>
        <w:pStyle w:val="SingleTxt"/>
        <w:spacing w:after="0" w:line="120" w:lineRule="exact"/>
        <w:rPr>
          <w:rFonts w:hint="cs"/>
          <w:sz w:val="12"/>
          <w:rtl/>
        </w:rPr>
      </w:pPr>
    </w:p>
    <w:p w:rsidR="0073566C" w:rsidRDefault="0073566C" w:rsidP="0073566C">
      <w:pPr>
        <w:pStyle w:val="HCh"/>
        <w:tabs>
          <w:tab w:val="right" w:pos="1022"/>
          <w:tab w:val="left" w:pos="1267"/>
          <w:tab w:val="left" w:pos="1930"/>
          <w:tab w:val="left" w:pos="2125"/>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ثانيا -</w:t>
      </w:r>
      <w:r>
        <w:rPr>
          <w:rFonts w:hint="cs"/>
          <w:rtl/>
        </w:rPr>
        <w:tab/>
        <w:t>الكيانات الاتحادية</w:t>
      </w:r>
    </w:p>
    <w:p w:rsidR="0073566C" w:rsidRDefault="0073566C" w:rsidP="0073566C">
      <w:pPr>
        <w:pStyle w:val="H1"/>
        <w:tabs>
          <w:tab w:val="right" w:pos="1022"/>
          <w:tab w:val="left" w:pos="1267"/>
          <w:tab w:val="left" w:pos="2022"/>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ألف -</w:t>
      </w:r>
      <w:r>
        <w:rPr>
          <w:rFonts w:hint="cs"/>
          <w:rtl/>
        </w:rPr>
        <w:tab/>
        <w:t>الإقليم والمجتمع الفلمنديان</w:t>
      </w:r>
    </w:p>
    <w:p w:rsidR="0073566C" w:rsidRDefault="0073566C" w:rsidP="0073566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1 -</w:t>
      </w:r>
      <w:r>
        <w:rPr>
          <w:rFonts w:hint="cs"/>
          <w:rtl/>
        </w:rPr>
        <w:tab/>
        <w:t>الإدارة الفلمندية للرفاهية والرعاية الصحية وشؤون الأسرة - الوكالة الفلمندية للرعاية والصحة</w:t>
      </w:r>
    </w:p>
    <w:p w:rsidR="0073566C" w:rsidRDefault="0073566C" w:rsidP="0073566C">
      <w:pPr>
        <w:pStyle w:val="SingleTxt"/>
        <w:rPr>
          <w:rFonts w:hint="cs"/>
          <w:rtl/>
        </w:rPr>
      </w:pPr>
      <w:r>
        <w:rPr>
          <w:rFonts w:hint="cs"/>
          <w:i/>
          <w:iCs/>
          <w:rtl/>
        </w:rPr>
        <w:t>1-1</w:t>
      </w:r>
      <w:r>
        <w:rPr>
          <w:rFonts w:hint="cs"/>
          <w:i/>
          <w:iCs/>
          <w:rtl/>
        </w:rPr>
        <w:tab/>
        <w:t>تشكيل الهيئات الاستشارية</w:t>
      </w:r>
    </w:p>
    <w:p w:rsidR="0073566C" w:rsidRDefault="0073566C" w:rsidP="0073566C">
      <w:pPr>
        <w:pStyle w:val="SingleTxt"/>
        <w:rPr>
          <w:rFonts w:hint="cs"/>
          <w:rtl/>
        </w:rPr>
      </w:pPr>
      <w:r>
        <w:rPr>
          <w:rFonts w:hint="cs"/>
          <w:rtl/>
        </w:rPr>
        <w:tab/>
        <w:t>أرسى القانون المؤرخ 20 تموز/يوليه 1990 رسميا تمثيلا متوازنا للجنسين، وذلك بتشجيعه للوجود المتوازن للرجل والمرأة في الهيئات ذات الاختصاص الاستشاري. ومن جديد نص قانون إنشاء المجلس الاستشاري الفلمندي وقانون إنشاء مجلس الصحة الفلمندي، بشكل واضح، على إمكان أن يكون ثلثا الأعضاء على الأكثر من جنس واحد، وعلى أن يكون نواب الرئيس من جنس مختلف.</w:t>
      </w:r>
    </w:p>
    <w:p w:rsidR="0073566C" w:rsidRPr="00994E23" w:rsidRDefault="0073566C" w:rsidP="0073566C">
      <w:pPr>
        <w:pStyle w:val="SingleTxt"/>
        <w:spacing w:after="0" w:line="120" w:lineRule="exact"/>
        <w:rPr>
          <w:rFonts w:hint="cs"/>
          <w:sz w:val="12"/>
          <w:rtl/>
        </w:rPr>
      </w:pPr>
    </w:p>
    <w:p w:rsidR="0073566C" w:rsidRDefault="0073566C" w:rsidP="0073566C">
      <w:pPr>
        <w:pStyle w:val="SingleTxt"/>
        <w:rPr>
          <w:rFonts w:hint="cs"/>
          <w:rtl/>
        </w:rPr>
      </w:pPr>
      <w:r>
        <w:rPr>
          <w:rFonts w:hint="cs"/>
          <w:i/>
          <w:iCs/>
          <w:rtl/>
        </w:rPr>
        <w:t>1-2</w:t>
      </w:r>
      <w:r>
        <w:rPr>
          <w:rFonts w:hint="cs"/>
          <w:i/>
          <w:iCs/>
          <w:rtl/>
        </w:rPr>
        <w:tab/>
        <w:t>الكشف عن سرطان الثدي</w:t>
      </w:r>
    </w:p>
    <w:p w:rsidR="0073566C" w:rsidRDefault="0073566C" w:rsidP="0073566C">
      <w:pPr>
        <w:pStyle w:val="SingleTxt"/>
        <w:rPr>
          <w:rFonts w:hint="cs"/>
          <w:rtl/>
        </w:rPr>
      </w:pPr>
      <w:r>
        <w:rPr>
          <w:rFonts w:hint="cs"/>
          <w:rtl/>
        </w:rPr>
        <w:tab/>
        <w:t>في حزيران/يونيه 2001، بدأ تنفيذ برنامج منظم للكشف عن سرطان الثدي، بدعوة جميع النساء اللاتي تتراوح أعمارهن بين 50 و69 عاما إلى فحص الثدي كل عامين بالتصوير الإشعاعي. وهؤلاء النساء إما أن يحيلهن الممارس العام أو طبيب أمراض النساء، أو أن يتقدمن بأنفسهن بعد استلامهن دعوة مكتوبة. ويستعان بالشبكات الصحية المحلية لتشجيع الجماعة المستهدفة على تلبية هذه الدعوات إلى الفحص. وإلى جانب الوحدات الثابتة للتصوير الإشعاعي للثدي التي تضم أطباء أشعة معتمدين (44 في البداية و168 الآن)، فإن في الإقليم الفلمندي وحدتين متنقلتين للتصوير الإشعاعي للثدي يمكن استدعاؤهما إلى المناطق التي لا توجد فيها سوى أعداد قليلة جدا من هذه الوحدات. ويصل معدل المشاركة إلى 35 في المائة تقريبا من جميع النساء في الجماعة المستهدفة.</w:t>
      </w:r>
    </w:p>
    <w:p w:rsidR="0073566C" w:rsidRPr="0003007D" w:rsidRDefault="0073566C" w:rsidP="0073566C">
      <w:pPr>
        <w:pStyle w:val="SingleTxt"/>
        <w:spacing w:after="0" w:line="120" w:lineRule="exact"/>
        <w:rPr>
          <w:rFonts w:hint="cs"/>
          <w:sz w:val="12"/>
          <w:rtl/>
        </w:rPr>
      </w:pPr>
    </w:p>
    <w:p w:rsidR="0073566C" w:rsidRDefault="0073566C" w:rsidP="0073566C">
      <w:pPr>
        <w:pStyle w:val="SingleTxt"/>
        <w:rPr>
          <w:rFonts w:hint="cs"/>
          <w:rtl/>
        </w:rPr>
      </w:pPr>
      <w:r w:rsidRPr="0003007D">
        <w:rPr>
          <w:rFonts w:hint="cs"/>
          <w:i/>
          <w:iCs/>
          <w:rtl/>
        </w:rPr>
        <w:t>1-3</w:t>
      </w:r>
      <w:r w:rsidRPr="0003007D">
        <w:rPr>
          <w:rFonts w:hint="cs"/>
          <w:i/>
          <w:iCs/>
          <w:rtl/>
        </w:rPr>
        <w:tab/>
        <w:t>الصحة الجنسية والإنجابية</w:t>
      </w:r>
    </w:p>
    <w:p w:rsidR="0073566C" w:rsidRDefault="0073566C" w:rsidP="0073566C">
      <w:pPr>
        <w:pStyle w:val="SingleTxt"/>
        <w:rPr>
          <w:rFonts w:hint="cs"/>
          <w:rtl/>
        </w:rPr>
      </w:pPr>
      <w:r>
        <w:rPr>
          <w:rFonts w:hint="cs"/>
          <w:rtl/>
        </w:rPr>
        <w:tab/>
        <w:t xml:space="preserve">تنفذ الحكومة الفلمندية سياستها في مجال الصحة الجنسية والإنجابية بالعمل مع عدد من المنظمات ذات الخبرة التي أبرمت معها اتفاقات طويلة الأجل (5 أعوام). </w:t>
      </w:r>
    </w:p>
    <w:p w:rsidR="0073566C" w:rsidRDefault="0073566C" w:rsidP="0073566C">
      <w:pPr>
        <w:pStyle w:val="SingleTxt"/>
        <w:rPr>
          <w:rFonts w:hint="cs"/>
          <w:rtl/>
        </w:rPr>
      </w:pPr>
      <w:r>
        <w:rPr>
          <w:rFonts w:hint="cs"/>
          <w:rtl/>
        </w:rPr>
        <w:tab/>
        <w:t xml:space="preserve">وأهم هذه المنظمات </w:t>
      </w:r>
      <w:r>
        <w:t>vzw Sensoa</w:t>
      </w:r>
      <w:r>
        <w:rPr>
          <w:rFonts w:hint="cs"/>
          <w:rtl/>
        </w:rPr>
        <w:t xml:space="preserve"> الناشطة في مجال الصحة الجنسية والرعاية، وهي مركز ذو خبرة فيما يتعلق بفيروس نقص المناعة البشرية/الإيدز والأمراض التي تنتقل بالاتصال الجنسي. ومن شتى الجماعات المحددة المستهدفة التي تركز عليها هذه المنظمة (الشباب، المثليون، السحاقيات، ثنائيو الجنس، المهاجرون، المصابون بفيروس نقص المناعة البشرية)، تحظى النساء بالطبع باهتمام خاص. فالكتيبات على سبيل المثال تركز بصفة خاصة على تنظيم النسل، وبعض أجزاء الموقع على الإنترنت موضوع خصيصا للنساء، الخ. ويجري الآن ، بالتعاون مع ’مركز دعم الفتيات والنساء المهاجرات‘، إنشاء موقع على الإنترنت للشباب المسلم.</w:t>
      </w:r>
    </w:p>
    <w:p w:rsidR="0073566C" w:rsidRDefault="0073566C" w:rsidP="0073566C">
      <w:pPr>
        <w:pStyle w:val="SingleTxt"/>
        <w:rPr>
          <w:rFonts w:hint="cs"/>
          <w:rtl/>
        </w:rPr>
      </w:pPr>
      <w:r>
        <w:rPr>
          <w:rFonts w:hint="cs"/>
          <w:rtl/>
        </w:rPr>
        <w:tab/>
        <w:t xml:space="preserve">وقد رسمت منظمتا </w:t>
      </w:r>
      <w:r>
        <w:t>vzw Pasop</w:t>
      </w:r>
      <w:r>
        <w:rPr>
          <w:rFonts w:hint="cs"/>
          <w:rtl/>
        </w:rPr>
        <w:t xml:space="preserve"> (لشرق وغرب الإقليم الفلمندي) </w:t>
      </w:r>
      <w:r w:rsidRPr="0003007D">
        <w:rPr>
          <w:rFonts w:hint="cs"/>
          <w:rtl/>
        </w:rPr>
        <w:t>و</w:t>
      </w:r>
      <w:r w:rsidRPr="0003007D">
        <w:rPr>
          <w:u w:val="single"/>
        </w:rPr>
        <w:t>GH@pro</w:t>
      </w:r>
      <w:r>
        <w:rPr>
          <w:rFonts w:hint="cs"/>
          <w:rtl/>
        </w:rPr>
        <w:t xml:space="preserve"> (لمدينة أنتويرب) لنفسيهما صورة مميزة باعتبارهما منظمتين تقومان بأعمال ميدانية تتصل بالوقاية والمشورة، وتتوجه بصفة خاصة إلى المشتغلين بالجنس. وهنا لا نكاد نجد إلا النساء. وتحصل هاتان المنظمتان على إعانات لتعزيز الصحة الجنسية للمشتغلين بالجنس. وتخصص المنظمتان أوقاتا للاستشارة يمكن خلالها للمشتغلين بالجنس الحصول على معلومات أو التقدم للفحص الطبي. ويحقن كل مشتغل بلقاح ضد التهاب الكبد باء، ثم تُتابع حالته بعد ذلك. وفي عام 2005 زارت المنظمتين 725 1 من المشتغلات بالجنس في الإقليم الفلمندي.</w:t>
      </w:r>
    </w:p>
    <w:p w:rsidR="0073566C" w:rsidRPr="002911D9" w:rsidRDefault="0073566C" w:rsidP="0073566C">
      <w:pPr>
        <w:pStyle w:val="SingleTxt"/>
        <w:spacing w:after="0" w:line="120" w:lineRule="exact"/>
        <w:rPr>
          <w:rFonts w:hint="cs"/>
          <w:sz w:val="12"/>
          <w:rtl/>
        </w:rPr>
      </w:pPr>
    </w:p>
    <w:p w:rsidR="0073566C" w:rsidRDefault="0073566C" w:rsidP="0073566C">
      <w:pPr>
        <w:pStyle w:val="SingleTxt"/>
        <w:rPr>
          <w:rFonts w:hint="cs"/>
          <w:i/>
          <w:iCs/>
          <w:rtl/>
        </w:rPr>
      </w:pPr>
      <w:r>
        <w:rPr>
          <w:rFonts w:hint="cs"/>
          <w:i/>
          <w:iCs/>
          <w:rtl/>
        </w:rPr>
        <w:t>1-4</w:t>
      </w:r>
      <w:r>
        <w:rPr>
          <w:rFonts w:hint="cs"/>
          <w:i/>
          <w:iCs/>
          <w:rtl/>
        </w:rPr>
        <w:tab/>
        <w:t>الدعم قبل الولادة وبعدها</w:t>
      </w:r>
    </w:p>
    <w:p w:rsidR="0073566C" w:rsidRDefault="0073566C" w:rsidP="0073566C">
      <w:pPr>
        <w:pStyle w:val="SingleTxt"/>
        <w:rPr>
          <w:rFonts w:hint="cs"/>
          <w:rtl/>
        </w:rPr>
      </w:pPr>
      <w:r w:rsidRPr="002911D9">
        <w:rPr>
          <w:rFonts w:hint="cs"/>
          <w:rtl/>
        </w:rPr>
        <w:tab/>
        <w:t>هذا الدعم توفره مؤسسة</w:t>
      </w:r>
      <w:r>
        <w:rPr>
          <w:rFonts w:hint="cs"/>
          <w:rtl/>
        </w:rPr>
        <w:t xml:space="preserve"> الطفل والأسرة، وهي مؤسسة فلمندية عامة تقدم المساعدة والمشورة في مجال رفاهية الطفل ورعايته. ومهمة المؤسسة اتخاذ التدابير اللازمة للوقاية من الوفاة في فترة ما حول الولادة والولادة المبتسرة، وتعزيز نماء الطفل داخل الأسرة والمجتمع، ودعم الوالدين، ولا سيما صحة الأم في فترة الحمل وبعد الولادة. وفي سياق هذه المهمة يكرَّس الاهتمام لتوفير الرعاية الوقائية، سواء قبل الولادة أو بعدها.</w:t>
      </w:r>
    </w:p>
    <w:p w:rsidR="0073566C" w:rsidRDefault="0073566C" w:rsidP="0073566C">
      <w:pPr>
        <w:pStyle w:val="SingleTxt"/>
        <w:rPr>
          <w:rFonts w:hint="cs"/>
          <w:rtl/>
        </w:rPr>
      </w:pPr>
      <w:r>
        <w:rPr>
          <w:rFonts w:hint="cs"/>
          <w:rtl/>
        </w:rPr>
        <w:tab/>
        <w:t>وفي سياق ما قبل الولادة، تعقد أمسيات إعلامية لآباء وأمهات المستقبل ينصبّ الاهتمام فيها، في جملة أمور، على نمط الحياة السليمة. وتقدم الإعانات أيضا إلى مكاتب الاستشارات السابقة للولادة التي تقدم المساعدة المتعلقة بالحمل، وبخاصة في المناطق التي تضم أعدادا كبيرة من الأسر المحرومة.</w:t>
      </w:r>
    </w:p>
    <w:p w:rsidR="0073566C" w:rsidRDefault="0073566C" w:rsidP="0073566C">
      <w:pPr>
        <w:pStyle w:val="SingleTxt"/>
        <w:rPr>
          <w:rFonts w:hint="cs"/>
          <w:rtl/>
        </w:rPr>
      </w:pPr>
      <w:r>
        <w:rPr>
          <w:rFonts w:hint="cs"/>
          <w:rtl/>
        </w:rPr>
        <w:tab/>
        <w:t xml:space="preserve">وفي سياق ما بعد الولادة، تزور ممرضة من مؤسسة الطفل والأسرة الوالدات حديثا في مستوصفات الولادة. كما تقوم ممرضة إقليمية بزيارة جميع المواليد في منازلهم بواقع 4 زيارات من حيث المبدأ (في حالة المولود الأول) و3 (في حالة المولود التالي) في غضون الأشهر الثلاثة الأولى التالية للولادة. ويشمل ذلك جميع (آباء وأمهات) المواليد الجدد تقريبا. وتوفر المؤسسة، علاوة على ذلك، فحوصا وقائية وطبية ونفسية واجتماعية للطفل الصغير لقياس ووزن صغار الأطفال حتى بلوغ الثالثة من العمر على فترات منتظمة (من حيث المبدأ عشر مرات إجمالا، و7 مرات في العام الأول)، مع متابعة ممرضة وطبيب لحالتهم. وتحرص المؤسسة أيضا على التأكد من تحصين صغار الأطفال (انظر أدناه). وتقدم جميع هذه الخدمات مجانا إلى الأبوين. ويعترف المجتمع الفلمندي أيضا، من خلال مؤسسة الطفل والأسرة، بمراكز </w:t>
      </w:r>
      <w:r w:rsidRPr="00A81A3C">
        <w:rPr>
          <w:rFonts w:hint="cs"/>
          <w:i/>
          <w:iCs/>
          <w:rtl/>
        </w:rPr>
        <w:t>رعاية الأمومة</w:t>
      </w:r>
      <w:r>
        <w:rPr>
          <w:rFonts w:hint="cs"/>
          <w:rtl/>
        </w:rPr>
        <w:t xml:space="preserve"> التي ضُمّت إلى منظمات رعاية الأسرة. وتتوقف التكاليف ذات الصلة على دخل الأبوين. وتعترف مؤسسة الطفل والأسرة أيضا بمراكز </w:t>
      </w:r>
      <w:r>
        <w:rPr>
          <w:rFonts w:hint="cs"/>
          <w:i/>
          <w:iCs/>
          <w:rtl/>
        </w:rPr>
        <w:t>الرعاية النهارية للأطفال</w:t>
      </w:r>
      <w:r>
        <w:rPr>
          <w:rFonts w:hint="cs"/>
          <w:rtl/>
        </w:rPr>
        <w:t xml:space="preserve"> التي تدعمها الحكومة الفلمندية. وهنا أيضا تتوقف التكاليف على دخل الأبوين.</w:t>
      </w:r>
    </w:p>
    <w:p w:rsidR="0073566C" w:rsidRPr="00A81A3C" w:rsidRDefault="0073566C" w:rsidP="0073566C">
      <w:pPr>
        <w:pStyle w:val="SingleTxt"/>
        <w:spacing w:after="0" w:line="120" w:lineRule="exact"/>
        <w:rPr>
          <w:rFonts w:hint="cs"/>
          <w:sz w:val="12"/>
          <w:rtl/>
        </w:rPr>
      </w:pPr>
    </w:p>
    <w:p w:rsidR="0073566C" w:rsidRDefault="0073566C" w:rsidP="0073566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باء -</w:t>
      </w:r>
      <w:r>
        <w:rPr>
          <w:rFonts w:hint="cs"/>
          <w:rtl/>
        </w:rPr>
        <w:tab/>
        <w:t>المجتمع الفرنسي</w:t>
      </w:r>
    </w:p>
    <w:p w:rsidR="0073566C" w:rsidRDefault="0073566C" w:rsidP="0073566C">
      <w:pPr>
        <w:pStyle w:val="SingleTxt"/>
        <w:rPr>
          <w:rFonts w:hint="cs"/>
          <w:rtl/>
        </w:rPr>
      </w:pPr>
      <w:r>
        <w:rPr>
          <w:rFonts w:hint="cs"/>
          <w:rtl/>
        </w:rPr>
        <w:tab/>
        <w:t>يرد بُعد المساواة بين المرأة والرجل في مجمل السياسات المتبعة في إطار أمر حكومة المجتمع الفرنسي المؤرخ 30 نيسان/أبريل 2004، الذي يتضمن البرنامج الخمسي لتعزيز الصحة للفترة 2004-2008، والأمر المؤرخ 20 تشرين الأول/أكتوبر 2005 الذي يحدد البرنامج المجتمعي للتشغيل.</w:t>
      </w:r>
    </w:p>
    <w:p w:rsidR="0073566C" w:rsidRDefault="0073566C" w:rsidP="0073566C">
      <w:pPr>
        <w:pStyle w:val="SingleTxt"/>
        <w:rPr>
          <w:rFonts w:hint="cs"/>
          <w:rtl/>
        </w:rPr>
      </w:pPr>
      <w:r>
        <w:rPr>
          <w:rFonts w:hint="cs"/>
          <w:rtl/>
        </w:rPr>
        <w:tab/>
        <w:t xml:space="preserve">وجرى في المجتمع الفرنسي تحديد ستة مواضيع ذات أولوية وتنظيمها في البرنامج المجتمعي للتشغيل: الوقاية من أمراض القلب والأوعية الدموية، الوقاية من السرطان، الوقاية من الإيدز والأمراض التي تنتقل بالاتصال الجنسي، الوقاية من السل، التحصين، الوقاية من الحوادث المنزلية. وتستهدف هذه البرامج مجموع السكان، وإن كانت هناك أولويات معينة، مثل الوقاية من أنواع محددة من السرطان، تتصل بصحة المرأة بوجه أخص (راجع الحملة الجديدة المعنونة </w:t>
      </w:r>
      <w:r>
        <w:rPr>
          <w:rFonts w:hint="eastAsia"/>
          <w:rtl/>
        </w:rPr>
        <w:t>”الوقاية من سرطان الثدي</w:t>
      </w:r>
      <w:r>
        <w:rPr>
          <w:rFonts w:hint="cs"/>
          <w:rtl/>
        </w:rPr>
        <w:t>“ التي أطلقها أمر حكومة المجتمع الفرنسي المؤرخ 20 تشرين الأول/أكتوبر 2005، الذي يحدد بروتوكول برنامج الكشف عن سرطان الثدي في المجتمع الفرنسي).</w:t>
      </w:r>
    </w:p>
    <w:p w:rsidR="0073566C" w:rsidRDefault="0073566C" w:rsidP="0073566C">
      <w:pPr>
        <w:pStyle w:val="SingleTxt"/>
        <w:rPr>
          <w:rFonts w:hint="cs"/>
          <w:rtl/>
        </w:rPr>
      </w:pPr>
      <w:r>
        <w:rPr>
          <w:rFonts w:hint="cs"/>
          <w:rtl/>
        </w:rPr>
        <w:tab/>
        <w:t>كما أن وضع استراتيجيات لمكافحة جميع أشكال التمييز يرد ضمن معايير منح إعانات لمشاريع تعزيز الصحة.</w:t>
      </w:r>
    </w:p>
    <w:p w:rsidR="0073566C" w:rsidRPr="00A81A3C" w:rsidRDefault="0073566C" w:rsidP="0073566C">
      <w:pPr>
        <w:pStyle w:val="SingleTxt"/>
        <w:spacing w:after="0" w:line="120" w:lineRule="exact"/>
        <w:rPr>
          <w:rFonts w:hint="cs"/>
          <w:sz w:val="12"/>
          <w:rtl/>
        </w:rPr>
      </w:pPr>
    </w:p>
    <w:p w:rsidR="0073566C" w:rsidRDefault="0073566C" w:rsidP="0073566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1 -</w:t>
      </w:r>
      <w:r>
        <w:rPr>
          <w:rFonts w:hint="cs"/>
          <w:rtl/>
        </w:rPr>
        <w:tab/>
        <w:t>مشاريع التربية الجنسية والعاطفية</w:t>
      </w:r>
    </w:p>
    <w:p w:rsidR="0073566C" w:rsidRDefault="0073566C" w:rsidP="0073566C">
      <w:pPr>
        <w:pStyle w:val="SingleTxt"/>
        <w:rPr>
          <w:rFonts w:hint="cs"/>
          <w:rtl/>
        </w:rPr>
      </w:pPr>
      <w:r>
        <w:rPr>
          <w:rFonts w:hint="cs"/>
          <w:rtl/>
        </w:rPr>
        <w:tab/>
        <w:t>يود المجتمع الفرنسي أن يشجع، ابتداء من المدرسة الابتدائية، التربية العاطفية والجنسية التي تضع الفرد والعلاقات الإنسانية في صميم الشواغل، والتي توعّي بأهمية الحب والنضج العاطفي والجنسي للفرد واحترام الغير، مع إيلاء اهتمام خاص لاحترام المرأة.</w:t>
      </w:r>
    </w:p>
    <w:p w:rsidR="0073566C" w:rsidRDefault="0073566C" w:rsidP="0073566C">
      <w:pPr>
        <w:pStyle w:val="SingleTxt"/>
        <w:rPr>
          <w:rFonts w:hint="cs"/>
          <w:rtl/>
        </w:rPr>
      </w:pPr>
      <w:r>
        <w:rPr>
          <w:rFonts w:hint="cs"/>
          <w:rtl/>
        </w:rPr>
        <w:tab/>
        <w:t>وفي إطار العمل في مجال البحث العملي الذي بدأ تنفيذه من قبل في مجال تدريس الحياة العاطفية والجنسية في المدرسة، يتضح أن هذا التدريس يجب أن يتم بالتدريج في جميع مدارس المجتمع الفرنسي (المرحلتان الابتدائية والثانوية والتعليم المتخصص). ويُسند تدريب الرّواد في تدريس الحياة العاطفية والجنسية أساسا إلى اتحادات مراكز تنظيم الأسرة. وسيكرَّس نموذج للتدريب بوجه أخص للمشاكل الجنسانية.</w:t>
      </w:r>
    </w:p>
    <w:p w:rsidR="0073566C" w:rsidRPr="006142E7" w:rsidRDefault="0073566C" w:rsidP="0073566C">
      <w:pPr>
        <w:pStyle w:val="SingleTxt"/>
        <w:spacing w:after="0" w:line="120" w:lineRule="exact"/>
        <w:rPr>
          <w:rFonts w:hint="cs"/>
          <w:sz w:val="12"/>
          <w:rtl/>
        </w:rPr>
      </w:pPr>
    </w:p>
    <w:p w:rsidR="0073566C" w:rsidRDefault="0073566C" w:rsidP="0073566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2 -</w:t>
      </w:r>
      <w:r>
        <w:rPr>
          <w:rFonts w:hint="cs"/>
          <w:rtl/>
        </w:rPr>
        <w:tab/>
        <w:t>بحث عملي في مراعاة الجنسانية في الوقاية من الأمراض التي تنتقل بالاتصال الجنسي</w:t>
      </w:r>
    </w:p>
    <w:p w:rsidR="0073566C" w:rsidRDefault="0073566C" w:rsidP="0073566C">
      <w:pPr>
        <w:pStyle w:val="SingleTxt"/>
        <w:rPr>
          <w:rFonts w:hint="cs"/>
          <w:rtl/>
        </w:rPr>
      </w:pPr>
      <w:r>
        <w:rPr>
          <w:rFonts w:hint="cs"/>
          <w:rtl/>
        </w:rPr>
        <w:tab/>
        <w:t>يموّل المجتمع الفرنسي مشروعا للبحث العملي مدته ثلاثة أعوام يتناول النهج الجنساني والفروق في الميول الجنسية، في إطار العمل الوقائي (وبالذات من الأمراض التي تنتقل بالاتصال الجنسي) الذي يؤديه العاملون الميدانيون. ويهدف هذا المشروع إلى توعية الرواد بهذه المسائل ليدرجوها في عملهم الريادي في مجال تدريس الحياة العاطفية والجنسية.</w:t>
      </w:r>
    </w:p>
    <w:p w:rsidR="0073566C" w:rsidRPr="00065F79" w:rsidRDefault="0073566C" w:rsidP="0073566C">
      <w:pPr>
        <w:pStyle w:val="SingleTxt"/>
        <w:spacing w:after="0" w:line="120" w:lineRule="exact"/>
        <w:rPr>
          <w:rFonts w:hint="cs"/>
          <w:sz w:val="12"/>
          <w:rtl/>
        </w:rPr>
      </w:pPr>
    </w:p>
    <w:p w:rsidR="0073566C" w:rsidRDefault="0073566C" w:rsidP="0073566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3 -</w:t>
      </w:r>
      <w:r>
        <w:rPr>
          <w:rFonts w:hint="cs"/>
          <w:rtl/>
        </w:rPr>
        <w:tab/>
        <w:t>طبعات الكتيبات الإعلامية النوعية</w:t>
      </w:r>
    </w:p>
    <w:p w:rsidR="0073566C" w:rsidRDefault="0073566C" w:rsidP="0073566C">
      <w:pPr>
        <w:pStyle w:val="SingleTxt"/>
        <w:rPr>
          <w:rFonts w:hint="cs"/>
          <w:rtl/>
        </w:rPr>
      </w:pPr>
      <w:r>
        <w:rPr>
          <w:rFonts w:hint="cs"/>
          <w:rtl/>
        </w:rPr>
        <w:tab/>
        <w:t>استمرارا للأنشطة السابقة، يُقترح طبع (إعادة طبع) ملفات إعلامية عن منع الحمل؛ والجنسين (</w:t>
      </w:r>
      <w:r>
        <w:rPr>
          <w:rFonts w:hint="eastAsia"/>
          <w:rtl/>
        </w:rPr>
        <w:t>”مذكر ومؤنث</w:t>
      </w:r>
      <w:r>
        <w:rPr>
          <w:rFonts w:hint="cs"/>
          <w:rtl/>
        </w:rPr>
        <w:t>“)؛ والحمل؛ وصحة الشواذ جنسيا من النساء.</w:t>
      </w:r>
    </w:p>
    <w:p w:rsidR="0073566C" w:rsidRPr="00086998" w:rsidRDefault="0073566C" w:rsidP="0073566C">
      <w:pPr>
        <w:pStyle w:val="SingleTxt"/>
        <w:rPr>
          <w:rFonts w:hint="cs"/>
          <w:rtl/>
        </w:rPr>
      </w:pPr>
      <w:r w:rsidRPr="00086998">
        <w:rPr>
          <w:rFonts w:hint="cs"/>
          <w:rtl/>
        </w:rPr>
        <w:tab/>
        <w:t>وأخيرا فإن مكتب المواليد والطفولة، عملا منه على تمكين المرأة من الحصول على الخدمات الطبية (بما في ذلك ما يتصل منها بتنظيم الأسرة) وتزويدها بالخدمات المناسبة (المجانية عند الحاجة) في فترة الحمل، قد شرع في تنفيذ عدة مبادرات.</w:t>
      </w:r>
    </w:p>
    <w:p w:rsidR="0073566C" w:rsidRPr="00045C85" w:rsidRDefault="0073566C" w:rsidP="0073566C">
      <w:pPr>
        <w:pStyle w:val="SingleTxt"/>
        <w:spacing w:after="0" w:line="120" w:lineRule="exact"/>
        <w:rPr>
          <w:rFonts w:hint="cs"/>
          <w:b/>
          <w:bCs/>
          <w:sz w:val="12"/>
          <w:rtl/>
        </w:rPr>
      </w:pPr>
    </w:p>
    <w:p w:rsidR="0073566C" w:rsidRDefault="0073566C" w:rsidP="0073566C">
      <w:pPr>
        <w:pStyle w:val="SingleTxt"/>
        <w:tabs>
          <w:tab w:val="clear" w:pos="1930"/>
          <w:tab w:val="left" w:pos="1610"/>
        </w:tabs>
        <w:rPr>
          <w:rFonts w:hint="cs"/>
          <w:rtl/>
        </w:rPr>
      </w:pPr>
      <w:r>
        <w:rPr>
          <w:rFonts w:hint="cs"/>
          <w:rtl/>
        </w:rPr>
        <w:t>•</w:t>
      </w:r>
      <w:r>
        <w:rPr>
          <w:rFonts w:hint="cs"/>
          <w:rtl/>
        </w:rPr>
        <w:tab/>
        <w:t>الاستشارات قبل الحمل</w:t>
      </w:r>
    </w:p>
    <w:p w:rsidR="0073566C" w:rsidRDefault="0073566C" w:rsidP="0073566C">
      <w:pPr>
        <w:pStyle w:val="SingleTxt"/>
        <w:tabs>
          <w:tab w:val="clear" w:pos="1930"/>
          <w:tab w:val="left" w:pos="1610"/>
        </w:tabs>
        <w:rPr>
          <w:rFonts w:hint="cs"/>
          <w:rtl/>
        </w:rPr>
      </w:pPr>
      <w:r>
        <w:rPr>
          <w:rFonts w:hint="cs"/>
          <w:rtl/>
        </w:rPr>
        <w:tab/>
        <w:t>في عام 2005 أطلق المكتب حملة تستهدف التشجيع على الزيارة قبل الحمل. وهناك مشروع رائد لترتيب الزيارات المجانية قبل الحمل في إطار الاستشارات السابقة للولادة التي ينظمها المكتب.</w:t>
      </w:r>
    </w:p>
    <w:p w:rsidR="0073566C" w:rsidRPr="00954C02" w:rsidRDefault="0073566C" w:rsidP="0073566C">
      <w:pPr>
        <w:pStyle w:val="SingleTxt"/>
        <w:tabs>
          <w:tab w:val="clear" w:pos="1930"/>
          <w:tab w:val="left" w:pos="1610"/>
        </w:tabs>
        <w:spacing w:after="0" w:line="120" w:lineRule="exact"/>
        <w:rPr>
          <w:rFonts w:hint="cs"/>
          <w:sz w:val="12"/>
          <w:rtl/>
        </w:rPr>
      </w:pPr>
    </w:p>
    <w:p w:rsidR="0073566C" w:rsidRDefault="0073566C" w:rsidP="0073566C">
      <w:pPr>
        <w:pStyle w:val="SingleTxt"/>
        <w:tabs>
          <w:tab w:val="clear" w:pos="1930"/>
          <w:tab w:val="left" w:pos="1610"/>
        </w:tabs>
        <w:rPr>
          <w:rFonts w:hint="cs"/>
          <w:rtl/>
        </w:rPr>
      </w:pPr>
      <w:r>
        <w:rPr>
          <w:rFonts w:hint="cs"/>
          <w:rtl/>
        </w:rPr>
        <w:t>•</w:t>
      </w:r>
      <w:r>
        <w:rPr>
          <w:rFonts w:hint="cs"/>
          <w:rtl/>
        </w:rPr>
        <w:tab/>
        <w:t>الاستشارات قبل الولادة</w:t>
      </w:r>
    </w:p>
    <w:p w:rsidR="0073566C" w:rsidRDefault="0073566C" w:rsidP="0073566C">
      <w:pPr>
        <w:pStyle w:val="SingleTxt"/>
        <w:tabs>
          <w:tab w:val="clear" w:pos="1930"/>
          <w:tab w:val="left" w:pos="1610"/>
        </w:tabs>
        <w:rPr>
          <w:rFonts w:hint="cs"/>
          <w:b/>
          <w:bCs/>
          <w:rtl/>
        </w:rPr>
      </w:pPr>
      <w:r w:rsidRPr="00954C02">
        <w:rPr>
          <w:rFonts w:hint="cs"/>
          <w:b/>
          <w:bCs/>
          <w:rtl/>
        </w:rPr>
        <w:tab/>
        <w:t>ينظم المكتب استشارات مجانية قبل الولادة في إقليم المجتمع الفرنسي قاطبة. وتتوجه هذه السياسة في مجال الوقاية الصحية، على أساس طوعي، إلى جميع أمهات المستقبل. وفي إطار الزيارة السابقة للولادة، يردّ المكتب أيضا تكاليف الفحوص الطبية للأمهات المتسمات برقة الحال.</w:t>
      </w:r>
    </w:p>
    <w:p w:rsidR="0073566C" w:rsidRPr="00954C02" w:rsidRDefault="0073566C" w:rsidP="0073566C">
      <w:pPr>
        <w:pStyle w:val="SingleTxt"/>
        <w:tabs>
          <w:tab w:val="clear" w:pos="1930"/>
          <w:tab w:val="left" w:pos="1610"/>
        </w:tabs>
        <w:spacing w:after="0" w:line="120" w:lineRule="exact"/>
        <w:rPr>
          <w:rFonts w:hint="cs"/>
          <w:sz w:val="12"/>
          <w:rtl/>
        </w:rPr>
      </w:pPr>
    </w:p>
    <w:p w:rsidR="0073566C" w:rsidRDefault="0073566C" w:rsidP="0073566C">
      <w:pPr>
        <w:pStyle w:val="SingleTxt"/>
        <w:tabs>
          <w:tab w:val="clear" w:pos="1930"/>
          <w:tab w:val="left" w:pos="1610"/>
        </w:tabs>
        <w:rPr>
          <w:rFonts w:hint="cs"/>
          <w:rtl/>
        </w:rPr>
      </w:pPr>
      <w:r>
        <w:rPr>
          <w:rFonts w:hint="cs"/>
          <w:rtl/>
        </w:rPr>
        <w:t>•</w:t>
      </w:r>
      <w:r>
        <w:rPr>
          <w:rFonts w:hint="cs"/>
          <w:rtl/>
        </w:rPr>
        <w:tab/>
        <w:t>خدمة الاتصال</w:t>
      </w:r>
    </w:p>
    <w:p w:rsidR="0073566C" w:rsidRDefault="0073566C" w:rsidP="0073566C">
      <w:pPr>
        <w:pStyle w:val="SingleTxt"/>
        <w:tabs>
          <w:tab w:val="clear" w:pos="1930"/>
          <w:tab w:val="left" w:pos="1610"/>
        </w:tabs>
        <w:rPr>
          <w:rFonts w:hint="cs"/>
          <w:rtl/>
        </w:rPr>
      </w:pPr>
      <w:r>
        <w:rPr>
          <w:rFonts w:hint="cs"/>
          <w:rtl/>
        </w:rPr>
        <w:tab/>
        <w:t>يقوم العاملون الصحيون/المرشدون الاجتماعيون التابعون للمكتب بزيارة جميع الوالدات حديثا في مستشفى الولادة. والمقترح أيضا القيام بزيارة منزلية أو أكثر. ولهذه الزيارات دور في الإعلام والدعم، ومتابعة الحالية الصحية للأم والطفل.</w:t>
      </w:r>
    </w:p>
    <w:p w:rsidR="0073566C" w:rsidRPr="00954C02" w:rsidRDefault="0073566C" w:rsidP="0073566C">
      <w:pPr>
        <w:pStyle w:val="SingleTxt"/>
        <w:tabs>
          <w:tab w:val="clear" w:pos="1930"/>
          <w:tab w:val="left" w:pos="1610"/>
        </w:tabs>
        <w:spacing w:after="0" w:line="120" w:lineRule="exact"/>
        <w:rPr>
          <w:rFonts w:hint="cs"/>
          <w:sz w:val="12"/>
          <w:rtl/>
        </w:rPr>
      </w:pPr>
    </w:p>
    <w:p w:rsidR="0073566C" w:rsidRDefault="0073566C" w:rsidP="0073566C">
      <w:pPr>
        <w:pStyle w:val="H1"/>
        <w:tabs>
          <w:tab w:val="right" w:pos="1022"/>
          <w:tab w:val="left" w:pos="1267"/>
          <w:tab w:val="left" w:pos="2022"/>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جيم -</w:t>
      </w:r>
      <w:r>
        <w:rPr>
          <w:rFonts w:hint="cs"/>
          <w:rtl/>
        </w:rPr>
        <w:tab/>
        <w:t>إقليم بروكسل العاصمة</w:t>
      </w:r>
    </w:p>
    <w:p w:rsidR="0073566C" w:rsidRDefault="0073566C" w:rsidP="0073566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1 -</w:t>
      </w:r>
      <w:r>
        <w:rPr>
          <w:rFonts w:hint="cs"/>
          <w:rtl/>
        </w:rPr>
        <w:tab/>
        <w:t>الحالة الصحية للمرأة</w:t>
      </w:r>
    </w:p>
    <w:p w:rsidR="0073566C" w:rsidRDefault="0073566C" w:rsidP="0073566C">
      <w:pPr>
        <w:pStyle w:val="SingleTxt"/>
        <w:rPr>
          <w:rFonts w:hint="cs"/>
          <w:rtl/>
        </w:rPr>
      </w:pPr>
      <w:r>
        <w:rPr>
          <w:rFonts w:hint="cs"/>
          <w:rtl/>
        </w:rPr>
        <w:tab/>
        <w:t>في عام 2004 قام مرصد الصحة والمجتمع، وهو مؤسسة مرتبطة باللجنة المجتمعية المشتركة ومهمته جمع وتحليل ونشر المعلومات اللازمة لوضع سياسات منسقة في مجال الصحة العامة ومكافحة الفقر في أراضي إقليم بروكسل العاصمة، بنشر سجل متكامل عن الصحة. ويحتوي هذا السجل على عدد كبير من البيانات المرقمة الموزعة حسب الجنس، وخصوصا عن أسباب الوفاة، والأمراض المزمنة، وحالات العدوى، وإدمان المخدرات، إلخ. ويهتم هذا المنشور أيضا بعامل ’تعدد الثقافات‘، وبالتالي يورد بعض الأرقام عن صحة النساء الأجنبيات الأصل.</w:t>
      </w:r>
    </w:p>
    <w:p w:rsidR="0073566C" w:rsidRPr="00954C02" w:rsidRDefault="0073566C" w:rsidP="0073566C">
      <w:pPr>
        <w:pStyle w:val="SingleTxt"/>
        <w:spacing w:after="0" w:line="120" w:lineRule="exact"/>
        <w:rPr>
          <w:rFonts w:hint="cs"/>
          <w:sz w:val="12"/>
          <w:rtl/>
        </w:rPr>
      </w:pPr>
    </w:p>
    <w:p w:rsidR="0073566C" w:rsidRDefault="0073566C" w:rsidP="0073566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2 -</w:t>
      </w:r>
      <w:r>
        <w:rPr>
          <w:rFonts w:hint="cs"/>
          <w:rtl/>
        </w:rPr>
        <w:tab/>
        <w:t>الفقر</w:t>
      </w:r>
    </w:p>
    <w:p w:rsidR="0073566C" w:rsidRDefault="0073566C" w:rsidP="0073566C">
      <w:pPr>
        <w:pStyle w:val="SingleTxt"/>
        <w:rPr>
          <w:rFonts w:hint="cs"/>
          <w:rtl/>
        </w:rPr>
      </w:pPr>
      <w:r>
        <w:rPr>
          <w:rFonts w:hint="cs"/>
          <w:rtl/>
        </w:rPr>
        <w:tab/>
        <w:t xml:space="preserve">تشير التقارير السنوية عن حالة الفقر في بروكسل، التي يضعها مرصد الصحة والمجتمع، إلى حدوث زيادة كبيرة في النسبة المئوية للنساء المفتقرات إلى مأوى في بروكسل (من 10 في المائة إلى 50 في المائة). وقد عُرضت على برلمان بروكسل استنتاجات واقتراحات التقرير المتعلق بحالة الفقر، وموجز اجتماع </w:t>
      </w:r>
      <w:r w:rsidR="00086998">
        <w:rPr>
          <w:rFonts w:hint="cs"/>
          <w:rtl/>
        </w:rPr>
        <w:t>المائدة المستديرة الذي ضم في 12</w:t>
      </w:r>
      <w:r w:rsidR="00086998">
        <w:rPr>
          <w:rFonts w:hint="eastAsia"/>
          <w:rtl/>
        </w:rPr>
        <w:t> </w:t>
      </w:r>
      <w:r>
        <w:rPr>
          <w:rFonts w:hint="cs"/>
          <w:rtl/>
        </w:rPr>
        <w:t>تشرين الأول/أكتوبر 2004 جميع المعنيين من الأفراد والهيئات لوضع سلسلة من التوصيات. وقد رُفعت هذه التوصيات إلى مختلف مستويات السلطة لتنفيذها.</w:t>
      </w:r>
    </w:p>
    <w:p w:rsidR="0073566C" w:rsidRPr="00EC5857" w:rsidRDefault="0073566C" w:rsidP="0073566C">
      <w:pPr>
        <w:pStyle w:val="SingleTxt"/>
        <w:spacing w:after="0" w:line="120" w:lineRule="exact"/>
        <w:rPr>
          <w:rFonts w:hint="cs"/>
          <w:sz w:val="12"/>
          <w:rtl/>
        </w:rPr>
      </w:pPr>
    </w:p>
    <w:p w:rsidR="0073566C" w:rsidRDefault="0073566C" w:rsidP="0073566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3 -</w:t>
      </w:r>
      <w:r>
        <w:rPr>
          <w:rFonts w:hint="cs"/>
          <w:rtl/>
        </w:rPr>
        <w:tab/>
        <w:t>السرطان</w:t>
      </w:r>
    </w:p>
    <w:p w:rsidR="0073566C" w:rsidRDefault="0073566C" w:rsidP="0073566C">
      <w:pPr>
        <w:pStyle w:val="SingleTxt"/>
        <w:rPr>
          <w:rFonts w:hint="cs"/>
          <w:rtl/>
        </w:rPr>
      </w:pPr>
      <w:r>
        <w:rPr>
          <w:rFonts w:hint="cs"/>
          <w:rtl/>
        </w:rPr>
        <w:tab/>
        <w:t xml:space="preserve">السرطانات هي السبب الأول للوفاة المبكرة للنساء وبنسبة أكبر للرجال (المعدل يزيد بواقع 1.8 من المرات). وما زال سرطان الثدي أكبر مسبب لوفاة النساء، وتصل حالات الوفاة في المتوسط إلى 237 حالة سنويا في بروكسل. وقد انخفض معدل الوفاة بسبب هذا السرطان قليلا في الأعوام العشرة الأخيرة (55 لكل 000 100 في عام 1992، في مقابل 49 لكل 000 100 في عام 2002). على أن ذلك لا يمثل إلا 18.7 في المائة من وفيات النساء بسبب السرطان. </w:t>
      </w:r>
      <w:r>
        <w:rPr>
          <w:rFonts w:hint="eastAsia"/>
          <w:rtl/>
        </w:rPr>
        <w:t>”ليس هناك الآن للأسف سجل ميداني للسرطان في بلجيكا يتضمن بيانات إقليم بروكسل العاصمة</w:t>
      </w:r>
      <w:r>
        <w:rPr>
          <w:rFonts w:hint="cs"/>
          <w:rtl/>
        </w:rPr>
        <w:t>“</w:t>
      </w:r>
      <w:r w:rsidRPr="00EC5857">
        <w:rPr>
          <w:vertAlign w:val="superscript"/>
          <w:rtl/>
        </w:rPr>
        <w:t>(</w:t>
      </w:r>
      <w:r>
        <w:rPr>
          <w:rStyle w:val="FootnoteReference"/>
          <w:rtl/>
        </w:rPr>
        <w:footnoteReference w:id="65"/>
      </w:r>
      <w:r w:rsidRPr="00EC5857">
        <w:rPr>
          <w:vertAlign w:val="superscript"/>
          <w:rtl/>
        </w:rPr>
        <w:t>)</w:t>
      </w:r>
      <w:r>
        <w:rPr>
          <w:rFonts w:hint="cs"/>
          <w:rtl/>
        </w:rPr>
        <w:t>.</w:t>
      </w:r>
    </w:p>
    <w:p w:rsidR="0073566C" w:rsidRDefault="0073566C" w:rsidP="0073566C">
      <w:pPr>
        <w:pStyle w:val="SingleTxt"/>
        <w:rPr>
          <w:rFonts w:hint="cs"/>
          <w:rtl/>
        </w:rPr>
      </w:pPr>
      <w:r>
        <w:rPr>
          <w:rFonts w:hint="cs"/>
          <w:rtl/>
        </w:rPr>
        <w:tab/>
        <w:t xml:space="preserve">وقد أطلقت مؤسسة </w:t>
      </w:r>
      <w:r>
        <w:t>Brussels Gezondheidsoverleg</w:t>
      </w:r>
      <w:r>
        <w:rPr>
          <w:rFonts w:hint="cs"/>
          <w:rtl/>
        </w:rPr>
        <w:t xml:space="preserve"> المبادرة المسماة </w:t>
      </w:r>
      <w:r>
        <w:t>Boezemvriendin</w:t>
      </w:r>
      <w:r>
        <w:rPr>
          <w:rFonts w:hint="cs"/>
          <w:rtl/>
        </w:rPr>
        <w:t>. وتنظَّم مختلف الأنشطة الثقافية (غير الطبية)في موضوع سرطان الثدي: مسارح، معارض، أنشطة في المدارس، إلخ. والهدف من ذلك هو إعلام وتوعية النساء والمحيطين بهن بهذا المرض وضرورة الكشف عنه حتى يصبحن ’صديقات لأثدائهن‘.</w:t>
      </w:r>
    </w:p>
    <w:p w:rsidR="0073566C" w:rsidRPr="00EC5857" w:rsidRDefault="0073566C" w:rsidP="0073566C">
      <w:pPr>
        <w:pStyle w:val="SingleTxt"/>
        <w:spacing w:after="0" w:line="120" w:lineRule="exact"/>
        <w:rPr>
          <w:rFonts w:hint="cs"/>
          <w:sz w:val="12"/>
          <w:rtl/>
        </w:rPr>
      </w:pPr>
    </w:p>
    <w:p w:rsidR="0073566C" w:rsidRDefault="0073566C" w:rsidP="0073566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4 -</w:t>
      </w:r>
      <w:r>
        <w:rPr>
          <w:rFonts w:hint="cs"/>
          <w:rtl/>
        </w:rPr>
        <w:tab/>
        <w:t>حملات التوعية والكشف</w:t>
      </w:r>
    </w:p>
    <w:p w:rsidR="0073566C" w:rsidRDefault="0073566C" w:rsidP="0073566C">
      <w:pPr>
        <w:pStyle w:val="SingleTxt"/>
        <w:rPr>
          <w:rFonts w:hint="cs"/>
          <w:rtl/>
        </w:rPr>
      </w:pPr>
      <w:r>
        <w:rPr>
          <w:rFonts w:hint="cs"/>
          <w:rtl/>
        </w:rPr>
        <w:tab/>
        <w:t xml:space="preserve">بُذلت جهود كبيرة في الأعوام الأخيرة لتحسين الكشف عن سرطان الثدي في بروكسل. وفي حزيران/يونيه 2002، بدأ تنفيذ برنامج منتظم ومجاني للكشف تولت تنسيقه مؤسسة </w:t>
      </w:r>
      <w:r>
        <w:t>Brumammo</w:t>
      </w:r>
      <w:r>
        <w:rPr>
          <w:rFonts w:hint="cs"/>
          <w:rtl/>
        </w:rPr>
        <w:t xml:space="preserve"> غير الهادفة إلى الربح. ويتمثل هذا البرنامج في إجراء فحص للثدي كل عامين لمن تتراوح أعمارهن بين 50 و69 عاما. ولن تتضح النتائج المترتبة على البرنامج إلا بعد مرور 10 أعوام على بدئه وبعد أن يزيد معدل التغطية على 70 في المائة. وتؤكد الدراسة الاستقصائية الصحية لعام 2001 وتقرير للوكالة المشتركة بين شركات التأمين التضامني</w:t>
      </w:r>
      <w:r w:rsidRPr="00EC5857">
        <w:rPr>
          <w:vertAlign w:val="superscript"/>
          <w:rtl/>
        </w:rPr>
        <w:t>(</w:t>
      </w:r>
      <w:r>
        <w:rPr>
          <w:rStyle w:val="FootnoteReference"/>
          <w:rtl/>
        </w:rPr>
        <w:footnoteReference w:id="66"/>
      </w:r>
      <w:r w:rsidRPr="00EC5857">
        <w:rPr>
          <w:vertAlign w:val="superscript"/>
          <w:rtl/>
        </w:rPr>
        <w:t>)</w:t>
      </w:r>
      <w:r>
        <w:rPr>
          <w:rFonts w:hint="cs"/>
          <w:rtl/>
        </w:rPr>
        <w:t xml:space="preserve"> أن معدل التغطية في إقليم بروكسل العاصمة يفوق معدل الأقاليم الأخرى. ومع ذلك فإن النساء ذوات المستوى العالي من التعليم هن من يشاركن أكثر في هذه البرامج (86 في المائة من الفئة العمرية 50-69 عاما من الحاصلات على تعليم عال، في مقابل 59 في المائة من الحاصلات على تعليم ابتدائي). ويتمثل التحدي منذ الآن في إقناع الجمهور المتذبذب بالاشتراك في هذا البرنامج أيضا. وبالإضافة إلى ذلك فإن الكشف عن الأنواع الأخرى من السرطان والوقاية منها مسألة تتصل بالنساء أيضا، حيث إن هذه الأنواع تمثل أكثر من 80 في المائة من حالات الوفاة بالسرطان. </w:t>
      </w:r>
    </w:p>
    <w:p w:rsidR="0073566C" w:rsidRDefault="0073566C" w:rsidP="0073566C">
      <w:pPr>
        <w:pStyle w:val="SingleTxt"/>
        <w:rPr>
          <w:rFonts w:hint="cs"/>
          <w:rtl/>
        </w:rPr>
      </w:pPr>
      <w:r>
        <w:rPr>
          <w:rFonts w:hint="cs"/>
          <w:rtl/>
        </w:rPr>
        <w:tab/>
        <w:t>وهناك بروتوكول لاتفاق تعاون بين المجتمعات فيما يتصل بالكشف عن سرطان الثدي عن طريق التصوير الشعاعي للثدي.</w:t>
      </w:r>
    </w:p>
    <w:p w:rsidR="0073566C" w:rsidRPr="00AF589C" w:rsidRDefault="0073566C" w:rsidP="0073566C">
      <w:pPr>
        <w:pStyle w:val="SingleTxt"/>
        <w:spacing w:after="0" w:line="120" w:lineRule="exact"/>
        <w:rPr>
          <w:rFonts w:hint="cs"/>
          <w:sz w:val="12"/>
          <w:rtl/>
        </w:rPr>
      </w:pPr>
    </w:p>
    <w:p w:rsidR="0073566C" w:rsidRDefault="0073566C" w:rsidP="0073566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b w:val="0"/>
          <w:bCs w:val="0"/>
          <w:rtl/>
        </w:rPr>
      </w:pPr>
      <w:r>
        <w:rPr>
          <w:rFonts w:hint="cs"/>
          <w:rtl/>
        </w:rPr>
        <w:tab/>
      </w:r>
      <w:r>
        <w:rPr>
          <w:rFonts w:hint="cs"/>
          <w:rtl/>
        </w:rPr>
        <w:tab/>
        <w:t>5 -</w:t>
      </w:r>
      <w:r>
        <w:rPr>
          <w:rFonts w:hint="cs"/>
          <w:rtl/>
        </w:rPr>
        <w:tab/>
        <w:t>الإسقاط الطوعي للحمل</w:t>
      </w:r>
      <w:r w:rsidRPr="00AF589C">
        <w:rPr>
          <w:vertAlign w:val="superscript"/>
          <w:rtl/>
        </w:rPr>
        <w:t>(</w:t>
      </w:r>
      <w:r>
        <w:rPr>
          <w:rStyle w:val="FootnoteReference"/>
          <w:rtl/>
        </w:rPr>
        <w:footnoteReference w:id="67"/>
      </w:r>
      <w:r w:rsidRPr="00AF589C">
        <w:rPr>
          <w:vertAlign w:val="superscript"/>
          <w:rtl/>
        </w:rPr>
        <w:t>)</w:t>
      </w:r>
      <w:r>
        <w:rPr>
          <w:rFonts w:hint="cs"/>
          <w:rtl/>
        </w:rPr>
        <w:t xml:space="preserve"> </w:t>
      </w:r>
    </w:p>
    <w:p w:rsidR="0073566C" w:rsidRDefault="0073566C" w:rsidP="0073566C">
      <w:pPr>
        <w:pStyle w:val="SingleTxt"/>
        <w:rPr>
          <w:rFonts w:hint="cs"/>
          <w:rtl/>
        </w:rPr>
      </w:pPr>
      <w:r>
        <w:rPr>
          <w:rFonts w:hint="cs"/>
          <w:rtl/>
        </w:rPr>
        <w:tab/>
        <w:t>يجري في إقليم بروكسل العاصمة 23.28 في المائة من حالات الإسقاط الطوعي للحمل، بواقع 628 3 حالة في عام 2003 (في مقابل 43.23 في المائة في الإقليم الفلمندي و31.05 في المائة في إقليم والون). وتقع في بروكسل 32.27 في المائة من حالات الإسقاط الطوعي للحمل نتيجة العسر الاجتماعي، و22.38 في المائة نتيجة للضيق الفردي. ومعظم من يلجأن إلى إسقاط الحمل هذا لم يستخدمن أي وسيلة لمنع الحمل أو أسأن استخدام العازل أو الحبة. ويجري في بروكسل 81 في المائة من حالات الإجهاض في مراكز خارج المستشفيات.</w:t>
      </w:r>
    </w:p>
    <w:p w:rsidR="0073566C" w:rsidRPr="00786FBB" w:rsidRDefault="0073566C" w:rsidP="0073566C">
      <w:pPr>
        <w:pStyle w:val="SingleTxt"/>
        <w:spacing w:after="0" w:line="120" w:lineRule="exact"/>
        <w:rPr>
          <w:rFonts w:hint="cs"/>
          <w:sz w:val="12"/>
          <w:rtl/>
        </w:rPr>
      </w:pPr>
    </w:p>
    <w:p w:rsidR="0073566C" w:rsidRDefault="0073566C" w:rsidP="0073566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المادة 13</w:t>
      </w:r>
    </w:p>
    <w:p w:rsidR="0073566C" w:rsidRDefault="0073566C" w:rsidP="0073566C">
      <w:pPr>
        <w:pStyle w:val="HCh"/>
        <w:tabs>
          <w:tab w:val="right" w:pos="1022"/>
          <w:tab w:val="left" w:pos="1267"/>
          <w:tab w:val="left" w:pos="1930"/>
          <w:tab w:val="left" w:pos="2125"/>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أولا -</w:t>
      </w:r>
      <w:r>
        <w:rPr>
          <w:rFonts w:hint="cs"/>
          <w:rtl/>
        </w:rPr>
        <w:tab/>
        <w:t>على المستوى الاتحادي</w:t>
      </w:r>
    </w:p>
    <w:p w:rsidR="0073566C" w:rsidRPr="00086998" w:rsidRDefault="0073566C" w:rsidP="00086998">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b/>
          <w:bCs/>
          <w:i w:val="0"/>
          <w:iCs w:val="0"/>
          <w:rtl/>
        </w:rPr>
      </w:pPr>
      <w:r w:rsidRPr="00086998">
        <w:rPr>
          <w:rFonts w:hint="cs"/>
          <w:rtl/>
        </w:rPr>
        <w:tab/>
      </w:r>
      <w:r w:rsidRPr="00086998">
        <w:rPr>
          <w:rFonts w:hint="cs"/>
          <w:b/>
          <w:bCs/>
          <w:i w:val="0"/>
          <w:iCs w:val="0"/>
          <w:rtl/>
        </w:rPr>
        <w:tab/>
        <w:t>1 -</w:t>
      </w:r>
      <w:r w:rsidRPr="00086998">
        <w:rPr>
          <w:rFonts w:hint="cs"/>
          <w:b/>
          <w:bCs/>
          <w:i w:val="0"/>
          <w:iCs w:val="0"/>
          <w:rtl/>
        </w:rPr>
        <w:tab/>
        <w:t>الإدماج الاجتماعي</w:t>
      </w:r>
    </w:p>
    <w:p w:rsidR="0073566C" w:rsidRDefault="0073566C" w:rsidP="0073566C">
      <w:pPr>
        <w:pStyle w:val="SingleTxt"/>
        <w:rPr>
          <w:rFonts w:hint="cs"/>
          <w:rtl/>
        </w:rPr>
      </w:pPr>
      <w:r>
        <w:rPr>
          <w:rFonts w:hint="cs"/>
          <w:rtl/>
        </w:rPr>
        <w:tab/>
        <w:t>يشير التحليل الإحصائي للبيانات المقدمة من المراكز العامة للمساعدة الاجتماعية إلى أن النساء ما زلن أكبر مستفيد من المساعدة التي تقدمها هذه المراكز (تشكل النساء قرابة 60 في المائة من المستفيدين من المساعدة الاجتماعية).</w:t>
      </w:r>
    </w:p>
    <w:p w:rsidR="0073566C" w:rsidRDefault="0073566C" w:rsidP="0073566C">
      <w:pPr>
        <w:pStyle w:val="SingleTxt"/>
        <w:rPr>
          <w:rFonts w:hint="cs"/>
          <w:rtl/>
        </w:rPr>
      </w:pPr>
      <w:r>
        <w:rPr>
          <w:rFonts w:hint="cs"/>
          <w:rtl/>
        </w:rPr>
        <w:tab/>
        <w:t>وهذا الوضع ناجم عن الفروق بين الرجل والمرأة في مجال التدريب والعمل. ففي الأوساط المحرومة تعول نساء كثيرات أقرانهن أو يزاولن أعمالا مؤقتة لا تمنحهن جميع حقوق الضمان الاجتماعي والبطالة. وفي حالة الانقطاع عن العمل يجدن أنفسهن غالبا دون مورد.</w:t>
      </w:r>
    </w:p>
    <w:p w:rsidR="0073566C" w:rsidRPr="00786FBB" w:rsidRDefault="0073566C" w:rsidP="0073566C">
      <w:pPr>
        <w:pStyle w:val="SingleTxt"/>
        <w:spacing w:after="0" w:line="120" w:lineRule="exact"/>
        <w:rPr>
          <w:rFonts w:hint="cs"/>
          <w:sz w:val="12"/>
          <w:rtl/>
        </w:rPr>
      </w:pPr>
    </w:p>
    <w:p w:rsidR="0073566C" w:rsidRPr="00086998" w:rsidRDefault="0073566C" w:rsidP="00086998">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086998">
        <w:rPr>
          <w:rFonts w:hint="cs"/>
          <w:rtl/>
        </w:rPr>
        <w:tab/>
      </w:r>
      <w:r w:rsidRPr="00086998">
        <w:rPr>
          <w:rFonts w:hint="cs"/>
          <w:rtl/>
        </w:rPr>
        <w:tab/>
        <w:t>1-1</w:t>
      </w:r>
      <w:r w:rsidRPr="00086998">
        <w:rPr>
          <w:rFonts w:hint="cs"/>
          <w:rtl/>
        </w:rPr>
        <w:tab/>
        <w:t>دخل الإدماج الاجتماعي</w:t>
      </w:r>
    </w:p>
    <w:p w:rsidR="0073566C" w:rsidRDefault="0073566C" w:rsidP="0073566C">
      <w:pPr>
        <w:pStyle w:val="SingleTxt"/>
        <w:rPr>
          <w:rFonts w:hint="cs"/>
          <w:rtl/>
        </w:rPr>
      </w:pPr>
      <w:r>
        <w:rPr>
          <w:rFonts w:hint="cs"/>
          <w:rtl/>
        </w:rPr>
        <w:tab/>
        <w:t>تحققت ثلاثة أوجه هامة للتقدم منذ عام 2002 في مسألة دخل الإدماج الاجتماعي.</w:t>
      </w:r>
    </w:p>
    <w:p w:rsidR="0073566C" w:rsidRDefault="0073566C" w:rsidP="0073566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أصبح الحق في دخل الإدماج الاجتماعي يمنح بشكل فردي. ويذهب نصف مدفوعات هذا الدخل إلى الرجل والنصف الآخر إلى المرأة.</w:t>
      </w:r>
    </w:p>
    <w:p w:rsidR="0073566C" w:rsidRDefault="0073566C" w:rsidP="0073566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في فئة </w:t>
      </w:r>
      <w:r>
        <w:rPr>
          <w:rFonts w:hint="eastAsia"/>
          <w:rtl/>
        </w:rPr>
        <w:t>”رب الأسرة</w:t>
      </w:r>
      <w:r>
        <w:rPr>
          <w:rFonts w:hint="cs"/>
          <w:rtl/>
        </w:rPr>
        <w:t>“ تحصل الأسر الوحيدة الأبوين والزوجان على نفس الإعانة.</w:t>
      </w:r>
    </w:p>
    <w:p w:rsidR="0073566C" w:rsidRDefault="0073566C" w:rsidP="0073566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أصبحت اليوم فئة القاصرات الحوامل تماثل فئة البالغات.</w:t>
      </w:r>
    </w:p>
    <w:p w:rsidR="0073566C" w:rsidRPr="00786FBB" w:rsidRDefault="0073566C" w:rsidP="0073566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2"/>
          <w:rtl/>
        </w:rPr>
      </w:pPr>
    </w:p>
    <w:p w:rsidR="0073566C" w:rsidRPr="00086998" w:rsidRDefault="0073566C" w:rsidP="00086998">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086998">
        <w:rPr>
          <w:rFonts w:hint="cs"/>
          <w:rtl/>
        </w:rPr>
        <w:tab/>
      </w:r>
      <w:r w:rsidRPr="00086998">
        <w:rPr>
          <w:rFonts w:hint="cs"/>
          <w:rtl/>
        </w:rPr>
        <w:tab/>
        <w:t>1-2</w:t>
      </w:r>
      <w:r w:rsidRPr="00086998">
        <w:rPr>
          <w:rFonts w:hint="cs"/>
          <w:rtl/>
        </w:rPr>
        <w:tab/>
        <w:t>خطة العمل الوطنية للشمول</w:t>
      </w:r>
    </w:p>
    <w:p w:rsidR="0073566C" w:rsidRDefault="0073566C" w:rsidP="0073566C">
      <w:pPr>
        <w:pStyle w:val="SingleTxt"/>
        <w:rPr>
          <w:rFonts w:hint="cs"/>
          <w:rtl/>
        </w:rPr>
      </w:pPr>
      <w:r>
        <w:rPr>
          <w:rFonts w:hint="cs"/>
          <w:rtl/>
        </w:rPr>
        <w:tab/>
        <w:t>منذ عام 2001 أصبحت الدائرة العامة للبرمجة - الإدماج الاجتماعي مسؤولة عن تنسيق ومتابعة خطة العمل الوطنية للشمول وتقييمها بشكل عام، من خلال دائرة مكافحة الفقر التابعة لها. وتضم خطة العمل هذه عدة تدابير تولت تخطيطها الحكومة الاتحادية والمجتمعات والأقاليم للالتقاء بهدف الإدماج الاجتماعي. ومن مهام الدائرة العامة للبرمجة - الإدماج الاجتماعي التأكد من تماسك الخطة، ووجود صلة بالموضوع في أنشطتها المنفذة في ضوء مجموعة من الأهداف الفرعية التي تحدَّد بالتشاور مع شتى السلطات الشريكة، على أساس تحليل اجتماعي واقتصادي للحالة الراهنة. وبناء على طلب المفوضية الأوروبية، واستنادا أيضا إلى التقديرات المنبثقة عن تقييم خطتي العمل الأوليين، تقرر زيادة الاهتمام بالمرأة في خطط العمل المتعلقة بالشمول.</w:t>
      </w:r>
    </w:p>
    <w:p w:rsidR="0073566C" w:rsidRDefault="0073566C" w:rsidP="0073566C">
      <w:pPr>
        <w:pStyle w:val="SingleTxt"/>
        <w:rPr>
          <w:rFonts w:hint="cs"/>
          <w:rtl/>
        </w:rPr>
      </w:pPr>
      <w:r>
        <w:rPr>
          <w:rFonts w:hint="cs"/>
          <w:rtl/>
        </w:rPr>
        <w:tab/>
        <w:t>ومن المفروض أن تضع دائرة مكافحة الفقر التابعة للدائرة العامة للبرمجة، في مطلع عام 2006، قائمة يُطلب إلى مختلف الإدارات أن توضح فيها بانتظام التقدم الذي تحققه أنشطتها، علاوة على بيانات كمية ونوعية عن أثر هذه الأنشطة من الناحية الجنسانية.</w:t>
      </w:r>
    </w:p>
    <w:p w:rsidR="0073566C" w:rsidRPr="00FF238F" w:rsidRDefault="0073566C" w:rsidP="0073566C">
      <w:pPr>
        <w:pStyle w:val="SingleTxt"/>
        <w:spacing w:after="0" w:line="120" w:lineRule="exact"/>
        <w:rPr>
          <w:rFonts w:hint="cs"/>
          <w:sz w:val="12"/>
          <w:rtl/>
        </w:rPr>
      </w:pPr>
    </w:p>
    <w:p w:rsidR="0073566C" w:rsidRDefault="0073566C" w:rsidP="0073566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2 -</w:t>
      </w:r>
      <w:r>
        <w:rPr>
          <w:rFonts w:hint="cs"/>
          <w:rtl/>
        </w:rPr>
        <w:tab/>
        <w:t>سياسة المدن الكبرى</w:t>
      </w:r>
    </w:p>
    <w:p w:rsidR="0073566C" w:rsidRDefault="0073566C" w:rsidP="0073566C">
      <w:pPr>
        <w:pStyle w:val="SingleTxt"/>
        <w:rPr>
          <w:rFonts w:hint="cs"/>
          <w:rtl/>
        </w:rPr>
      </w:pPr>
      <w:r>
        <w:rPr>
          <w:rFonts w:hint="cs"/>
          <w:rtl/>
        </w:rPr>
        <w:tab/>
        <w:t>تتولى السياسة الاتحادية للمدن الكبرى، منذ عام 2000، تمويل برنامج لتقديم الإعانات لخمس عشرة مدينة بلجيكية. ولدى المدن المعانة مشاريع للتنمية المستدامة في الأحياء الحضرية المحرومة، في إطار عقود مبرمة بين المدن والدولة الاتحادية. وتتضمن عقود المدن هذه خمسة مكونات (أو أهداف استراتيجية): التنمية المتكاملة لأحياء المدينة، الاقتصاد والعمالة المحلية، التلاحم الاجتماعي، الصحة والبيئة، الإسكان. وتلتزم السلطات المحلية أيضا بدمج الأولويات الشاملة الخمس التالية: التنمية المستدامة، التنوع والتعايش بين الثقافات، مشاركة السكان، الإدماج الاجتماعي والمهني، المساواة بين الرجل والمرأة.</w:t>
      </w:r>
    </w:p>
    <w:p w:rsidR="0073566C" w:rsidRDefault="0073566C" w:rsidP="0073566C">
      <w:pPr>
        <w:pStyle w:val="SingleTxt"/>
        <w:rPr>
          <w:rFonts w:hint="cs"/>
          <w:rtl/>
        </w:rPr>
      </w:pPr>
      <w:r>
        <w:rPr>
          <w:rFonts w:hint="cs"/>
          <w:rtl/>
        </w:rPr>
        <w:tab/>
        <w:t>وأصبحت هذه العقود، منذ عام 2005، تبرم لمدة 3 أعوام. وتتمثل أنشطة الفترة 2006-2007 أساسا في تمويل الدراسات أو الندوات التي تتناول البعد الجنساني، أو تمويل الجمعيات الميدانية العاملة في ميدان المساواة بين المرأة والرجل.</w:t>
      </w:r>
    </w:p>
    <w:p w:rsidR="0073566C" w:rsidRPr="00FF238F" w:rsidRDefault="0073566C" w:rsidP="0073566C">
      <w:pPr>
        <w:pStyle w:val="SingleTxt"/>
        <w:spacing w:after="0" w:line="120" w:lineRule="exact"/>
        <w:rPr>
          <w:rFonts w:hint="cs"/>
          <w:sz w:val="12"/>
          <w:rtl/>
        </w:rPr>
      </w:pPr>
    </w:p>
    <w:p w:rsidR="0073566C" w:rsidRDefault="00086998" w:rsidP="0073566C">
      <w:pPr>
        <w:pStyle w:val="SingleTxt"/>
        <w:rPr>
          <w:rFonts w:hint="cs"/>
          <w:i/>
          <w:iCs/>
          <w:rtl/>
        </w:rPr>
      </w:pPr>
      <w:r>
        <w:rPr>
          <w:i/>
          <w:iCs/>
          <w:rtl/>
        </w:rPr>
        <w:br w:type="page"/>
      </w:r>
      <w:r w:rsidR="0073566C">
        <w:rPr>
          <w:rFonts w:hint="cs"/>
          <w:i/>
          <w:iCs/>
          <w:rtl/>
        </w:rPr>
        <w:t>2-1</w:t>
      </w:r>
      <w:r w:rsidR="0073566C">
        <w:rPr>
          <w:rFonts w:hint="cs"/>
          <w:i/>
          <w:iCs/>
          <w:rtl/>
        </w:rPr>
        <w:tab/>
        <w:t>البرمجة للفترة 2005-2007: المشاريع المواتية للمساواة بين الجنسين</w:t>
      </w:r>
    </w:p>
    <w:p w:rsidR="0073566C" w:rsidRDefault="0073566C" w:rsidP="0073566C">
      <w:pPr>
        <w:pStyle w:val="SingleTxt"/>
        <w:rPr>
          <w:rFonts w:hint="cs"/>
          <w:rtl/>
        </w:rPr>
      </w:pPr>
      <w:r>
        <w:rPr>
          <w:rFonts w:hint="cs"/>
          <w:rtl/>
        </w:rPr>
        <w:tab/>
        <w:t xml:space="preserve">يتطلع مجتمع شيربيك في بروكسل إلى تدبير مكان للقاء يتيح للنساء (وبخاصة رقيقات الحال)تبادل الخبرات. وستقام </w:t>
      </w:r>
      <w:r>
        <w:rPr>
          <w:rFonts w:hint="eastAsia"/>
          <w:rtl/>
        </w:rPr>
        <w:t>”دار المرأة</w:t>
      </w:r>
      <w:r>
        <w:rPr>
          <w:rFonts w:hint="cs"/>
          <w:rtl/>
        </w:rPr>
        <w:t>“ على أرض يملكها المجتمع تقع في الحي الكائنة فيه جمعيات أخرى تعمل بالفعل على الإدماج الاجتماعي والمهني للمرأة وتعزيز تكافؤ الفرص. وستتراوح الخدمات المقترحة بين الدعم النفسي والإدماج المهني، مرورا بنصائح تتعلق بالصحة وتربية الأطفال.</w:t>
      </w:r>
    </w:p>
    <w:p w:rsidR="0073566C" w:rsidRDefault="0073566C" w:rsidP="0073566C">
      <w:pPr>
        <w:pStyle w:val="SingleTxt"/>
        <w:rPr>
          <w:rFonts w:hint="cs"/>
          <w:rtl/>
        </w:rPr>
      </w:pPr>
      <w:r>
        <w:rPr>
          <w:rFonts w:hint="cs"/>
          <w:rtl/>
        </w:rPr>
        <w:tab/>
        <w:t>وفي أنفرس يتيح الدعم الاتحادي لجمعية غابرو غير الهادفة إلى الربح أن توفر للبغايا رعاية مجانية متخصصة خالية من الأسماء، من خلال ترتيب مكان للاستشارة لهن يقع في قلب الحي المقيمات به وفريق من ثلاثة أشخاص (طبيب وممرضتان) يتنقل بين البارات والنوادي.</w:t>
      </w:r>
    </w:p>
    <w:p w:rsidR="0073566C" w:rsidRDefault="0073566C" w:rsidP="0073566C">
      <w:pPr>
        <w:pStyle w:val="SingleTxt"/>
        <w:rPr>
          <w:rFonts w:hint="cs"/>
          <w:rtl/>
        </w:rPr>
      </w:pPr>
      <w:r>
        <w:rPr>
          <w:rFonts w:hint="cs"/>
          <w:rtl/>
        </w:rPr>
        <w:tab/>
        <w:t>وفي مركز لييج، افتتح مرفق للرعاية لفترة قصيرة خصص أساسا لأطفال العاطلات في فترة تدريبهن أو في مقابلات الحصول على عمل. وفي لييج أيضا نظمت المدينة، فيما بين نيسان/أبريل 2004 ونيسان/أبريل 2005، خمسا وعشرين مسيرة استكشافية في الأحياء الثمانية ذات الأولوية المدرجة في برنامج سياسة المدن الكبرى. وقد أتاحت هذه المسيرات لحوالي مائة امرأة فرصة الإعراب عن وجهة نظرهن في بيئة الحضر في عدة أبعاد: الأمن، التنقل، الألفة، المصالح المادية.</w:t>
      </w:r>
    </w:p>
    <w:p w:rsidR="0073566C" w:rsidRPr="007E0FAF" w:rsidRDefault="0073566C" w:rsidP="0073566C">
      <w:pPr>
        <w:pStyle w:val="SingleTxt"/>
        <w:spacing w:after="0" w:line="120" w:lineRule="exact"/>
        <w:rPr>
          <w:rFonts w:hint="cs"/>
          <w:sz w:val="12"/>
          <w:rtl/>
        </w:rPr>
      </w:pPr>
    </w:p>
    <w:p w:rsidR="0073566C" w:rsidRDefault="0073566C" w:rsidP="0073566C">
      <w:pPr>
        <w:pStyle w:val="SingleTxt"/>
        <w:rPr>
          <w:rFonts w:hint="cs"/>
          <w:i/>
          <w:iCs/>
          <w:rtl/>
        </w:rPr>
      </w:pPr>
      <w:r>
        <w:rPr>
          <w:rFonts w:hint="cs"/>
          <w:i/>
          <w:iCs/>
          <w:rtl/>
        </w:rPr>
        <w:t>2-2</w:t>
      </w:r>
      <w:r>
        <w:rPr>
          <w:rFonts w:hint="cs"/>
          <w:i/>
          <w:iCs/>
          <w:rtl/>
        </w:rPr>
        <w:tab/>
        <w:t xml:space="preserve">يوم دراسي </w:t>
      </w:r>
      <w:r>
        <w:rPr>
          <w:rFonts w:hint="eastAsia"/>
          <w:i/>
          <w:iCs/>
          <w:rtl/>
        </w:rPr>
        <w:t>”المرأة والمدينة</w:t>
      </w:r>
      <w:r>
        <w:rPr>
          <w:rFonts w:hint="cs"/>
          <w:i/>
          <w:iCs/>
          <w:rtl/>
        </w:rPr>
        <w:t>“ وبحث عملي</w:t>
      </w:r>
    </w:p>
    <w:p w:rsidR="0073566C" w:rsidRDefault="0073566C" w:rsidP="0073566C">
      <w:pPr>
        <w:pStyle w:val="SingleTxt"/>
        <w:rPr>
          <w:rFonts w:hint="cs"/>
          <w:rtl/>
        </w:rPr>
      </w:pPr>
      <w:r w:rsidRPr="007E0FAF">
        <w:rPr>
          <w:rFonts w:hint="cs"/>
          <w:rtl/>
        </w:rPr>
        <w:tab/>
        <w:t xml:space="preserve">عُرضت هذه التجربة في نيسان/أبريل 2005 في اجتماع مائدة مستديرة عقده الوزير في موضوع </w:t>
      </w:r>
      <w:r w:rsidRPr="007E0FAF">
        <w:rPr>
          <w:rFonts w:hint="eastAsia"/>
          <w:rtl/>
        </w:rPr>
        <w:t>”المرأة والمدينة</w:t>
      </w:r>
      <w:r w:rsidRPr="007E0FAF">
        <w:rPr>
          <w:rFonts w:hint="cs"/>
          <w:rtl/>
        </w:rPr>
        <w:t>“. وقد جمع هذا اليوم الدراسي مائة شخص (مسؤولو الجمعيات، المشغلون الميدانيون، الباحثون، المنسقون، الناشطون في عقود المدينة) لمناقشة ثلاثة مواضيع (التنقل، الأمن، المشاركة).</w:t>
      </w:r>
    </w:p>
    <w:p w:rsidR="0073566C" w:rsidRDefault="0073566C" w:rsidP="0073566C">
      <w:pPr>
        <w:pStyle w:val="SingleTxt"/>
        <w:rPr>
          <w:rFonts w:hint="cs"/>
          <w:rtl/>
        </w:rPr>
      </w:pPr>
      <w:r>
        <w:rPr>
          <w:rFonts w:hint="cs"/>
          <w:rtl/>
        </w:rPr>
        <w:tab/>
        <w:t xml:space="preserve">والمفروض أن تفضي خلاصة الأفكار والخبرات المتقاسمة إلى دعم أوضح من الوزير </w:t>
      </w:r>
      <w:r>
        <w:rPr>
          <w:rFonts w:hint="eastAsia"/>
          <w:rtl/>
        </w:rPr>
        <w:t>”للممارسات السليمة</w:t>
      </w:r>
      <w:r>
        <w:rPr>
          <w:rFonts w:hint="cs"/>
          <w:rtl/>
        </w:rPr>
        <w:t xml:space="preserve">“ أو </w:t>
      </w:r>
      <w:r>
        <w:rPr>
          <w:rFonts w:hint="eastAsia"/>
          <w:rtl/>
        </w:rPr>
        <w:t>”المشاريع الجيدة</w:t>
      </w:r>
      <w:r>
        <w:rPr>
          <w:rFonts w:hint="cs"/>
          <w:rtl/>
        </w:rPr>
        <w:t>“ المعروضة. وهكذا أنيط إجراء بحث عملي بفريق من جامعة بروكسل الحرة. ويتصل هذا البحث بترتيب ومتابعة مسيرات استكشافية في ست مدن بلجيكية، وإعداد أداة منهجية تساعد على تكرار هذه التجارب. والمتوقع ظهور نتائج البحث في كانون الأول/ديسمبر 2006.</w:t>
      </w:r>
    </w:p>
    <w:p w:rsidR="0073566C" w:rsidRPr="00A23D32" w:rsidRDefault="0073566C" w:rsidP="0073566C">
      <w:pPr>
        <w:pStyle w:val="SingleTxt"/>
        <w:spacing w:after="0" w:line="120" w:lineRule="exact"/>
        <w:rPr>
          <w:rFonts w:hint="cs"/>
          <w:sz w:val="12"/>
          <w:rtl/>
        </w:rPr>
      </w:pPr>
    </w:p>
    <w:p w:rsidR="0073566C" w:rsidRDefault="00086998" w:rsidP="0073566C">
      <w:pPr>
        <w:pStyle w:val="SingleTxt"/>
        <w:rPr>
          <w:rFonts w:hint="cs"/>
          <w:i/>
          <w:iCs/>
          <w:rtl/>
        </w:rPr>
      </w:pPr>
      <w:r>
        <w:rPr>
          <w:i/>
          <w:iCs/>
          <w:rtl/>
        </w:rPr>
        <w:br w:type="page"/>
      </w:r>
      <w:r w:rsidR="0073566C">
        <w:rPr>
          <w:rFonts w:hint="cs"/>
          <w:i/>
          <w:iCs/>
          <w:rtl/>
        </w:rPr>
        <w:t>2-3</w:t>
      </w:r>
      <w:r w:rsidR="0073566C">
        <w:rPr>
          <w:rFonts w:hint="cs"/>
          <w:i/>
          <w:iCs/>
          <w:rtl/>
        </w:rPr>
        <w:tab/>
        <w:t>التوقعات - الأنشطة المخططة للفترة 2006-2007</w:t>
      </w:r>
    </w:p>
    <w:p w:rsidR="0073566C" w:rsidRDefault="0073566C" w:rsidP="0073566C">
      <w:pPr>
        <w:pStyle w:val="SingleTxt"/>
        <w:rPr>
          <w:rFonts w:hint="cs"/>
          <w:rtl/>
        </w:rPr>
      </w:pPr>
      <w:r>
        <w:rPr>
          <w:rFonts w:hint="cs"/>
          <w:rtl/>
        </w:rPr>
        <w:tab/>
        <w:t xml:space="preserve">في آذار/مارس 2006 وفي يوم دراسي مخصص للسمات العامة، عقدت حلقة عمل في موضوع المساواة بين الجنسين ساعدت على عرض </w:t>
      </w:r>
      <w:r>
        <w:rPr>
          <w:rFonts w:hint="eastAsia"/>
          <w:rtl/>
        </w:rPr>
        <w:t>”ممارسات سليمة</w:t>
      </w:r>
      <w:r>
        <w:rPr>
          <w:rFonts w:hint="cs"/>
          <w:rtl/>
        </w:rPr>
        <w:t>“ في عقود المدينة وعقود الإسكان.</w:t>
      </w:r>
    </w:p>
    <w:p w:rsidR="0073566C" w:rsidRDefault="0073566C" w:rsidP="0073566C">
      <w:pPr>
        <w:pStyle w:val="SingleTxt"/>
        <w:rPr>
          <w:rFonts w:hint="cs"/>
          <w:rtl/>
        </w:rPr>
      </w:pPr>
      <w:r>
        <w:rPr>
          <w:rFonts w:hint="cs"/>
          <w:rtl/>
        </w:rPr>
        <w:tab/>
        <w:t xml:space="preserve">وأخيرا أطلق نداء لتقديم مشاريع في موضوع </w:t>
      </w:r>
      <w:r>
        <w:rPr>
          <w:rFonts w:hint="eastAsia"/>
          <w:rtl/>
        </w:rPr>
        <w:t>”وجود المرأة في المدينة</w:t>
      </w:r>
      <w:r>
        <w:rPr>
          <w:rFonts w:hint="cs"/>
          <w:rtl/>
        </w:rPr>
        <w:t>“. وأتيحت المشاركة لكل الجمعيات أو لكل مجموعات السكان المقيمين في إحدى المدن والمجتمعات السبعة عشر الواردة في البرنامج، وكل مجتمعات إقليم بروكسل، وكل المدن البلجيكية الأخرى التي لا يقل عدد سكانها عن 000 60 نسمة. وقدمت عشر إعانات بمبلغ 000 7 يورو إلى المشاريع المبتكرة التي تعزز مشاركة المرأة وتلبي احتياجاتها من حيث استغلال الأماكن العامة وإدارة إيقاع الحياة.</w:t>
      </w:r>
    </w:p>
    <w:p w:rsidR="0073566C" w:rsidRPr="00AC2A0D" w:rsidRDefault="0073566C" w:rsidP="0073566C">
      <w:pPr>
        <w:pStyle w:val="SingleTxt"/>
        <w:spacing w:after="0" w:line="120" w:lineRule="exact"/>
        <w:rPr>
          <w:rFonts w:hint="cs"/>
          <w:sz w:val="12"/>
          <w:rtl/>
        </w:rPr>
      </w:pPr>
    </w:p>
    <w:p w:rsidR="0073566C" w:rsidRDefault="0073566C" w:rsidP="0073566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3 -</w:t>
      </w:r>
      <w:r>
        <w:rPr>
          <w:rFonts w:hint="cs"/>
          <w:rtl/>
        </w:rPr>
        <w:tab/>
        <w:t>برمجة الصندوق الاجتماعي الأوروبي للفترة 2000-2006</w:t>
      </w:r>
    </w:p>
    <w:p w:rsidR="0073566C" w:rsidRDefault="0073566C" w:rsidP="0073566C">
      <w:pPr>
        <w:pStyle w:val="SingleTxt"/>
        <w:rPr>
          <w:rFonts w:hint="cs"/>
          <w:rtl/>
        </w:rPr>
      </w:pPr>
      <w:r>
        <w:rPr>
          <w:rFonts w:hint="cs"/>
          <w:rtl/>
        </w:rPr>
        <w:tab/>
        <w:t>تنص البرمجة الراهنة للصندوق الاجتماعي الأوروبي على غلاف سنوي بمبلغ 4.5 ملايين يورو لجميع المشاريع. ويجد بُعد المساواة بين الجنسين تشجيعا في هذه البرمجة. وتوصَى المراكز العامة للمساعدة الاجتماعية التي تطرح مشاريع بأن تقترح تدابير للتمييز الإيجابي الذي يخدم المرأة. فإذا لم يكن هناك مشروع يستهدف المرأة بوضوح، فإن الجماعات الثلاث التي تكون لها الأولوية هي الشباب، والأشخاص الذين أصولهم من خارج المجتمع، وأرباب الأسر الوحيدة الأبوين. والمعروف، دون أن تكون هناك أرقام دقيقة، أن النساء لهن هيمنة واضحة على الجماعة الثالثة.</w:t>
      </w:r>
    </w:p>
    <w:p w:rsidR="0073566C" w:rsidRPr="00AC2A0D" w:rsidRDefault="0073566C" w:rsidP="0073566C">
      <w:pPr>
        <w:pStyle w:val="SingleTxt"/>
        <w:spacing w:after="0" w:line="120" w:lineRule="exact"/>
        <w:rPr>
          <w:rFonts w:hint="cs"/>
          <w:sz w:val="12"/>
          <w:rtl/>
        </w:rPr>
      </w:pPr>
    </w:p>
    <w:p w:rsidR="0073566C" w:rsidRDefault="0073566C" w:rsidP="0073566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4 -</w:t>
      </w:r>
      <w:r>
        <w:rPr>
          <w:rFonts w:hint="cs"/>
          <w:rtl/>
        </w:rPr>
        <w:tab/>
        <w:t xml:space="preserve">الحصول على الممتلكات والخدمات </w:t>
      </w:r>
    </w:p>
    <w:p w:rsidR="0073566C" w:rsidRDefault="0073566C" w:rsidP="0073566C">
      <w:pPr>
        <w:pStyle w:val="SingleTxt"/>
        <w:rPr>
          <w:rFonts w:hint="cs"/>
          <w:rtl/>
        </w:rPr>
      </w:pPr>
      <w:r>
        <w:rPr>
          <w:rFonts w:hint="cs"/>
          <w:rtl/>
        </w:rPr>
        <w:tab/>
        <w:t>يجدر بالذكر أن القانون المؤرخ 25 شباط/فبراير 2003 بشان مكافحة التمييز يكفل تساوي المرأة والرجل في المعاملة، ويحظر التمييز على أساس الجنس فيما يتعلق بالحصول على الممتلكات والخدمات، بما في ذلك الخدمات التأمينية والمصرفية.</w:t>
      </w:r>
    </w:p>
    <w:p w:rsidR="0073566C" w:rsidRPr="00AC2A0D" w:rsidRDefault="0073566C" w:rsidP="0073566C">
      <w:pPr>
        <w:pStyle w:val="SingleTxt"/>
        <w:spacing w:after="0" w:line="120" w:lineRule="exact"/>
        <w:rPr>
          <w:rFonts w:hint="cs"/>
          <w:sz w:val="12"/>
          <w:rtl/>
        </w:rPr>
      </w:pPr>
    </w:p>
    <w:p w:rsidR="0073566C" w:rsidRDefault="0073566C" w:rsidP="0073566C">
      <w:pPr>
        <w:pStyle w:val="HCh"/>
        <w:tabs>
          <w:tab w:val="right" w:pos="1022"/>
          <w:tab w:val="left" w:pos="1267"/>
          <w:tab w:val="left" w:pos="1930"/>
          <w:tab w:val="left" w:pos="2125"/>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ثانيا -</w:t>
      </w:r>
      <w:r>
        <w:rPr>
          <w:rFonts w:hint="cs"/>
          <w:rtl/>
        </w:rPr>
        <w:tab/>
        <w:t>الكيانات الاتحادية</w:t>
      </w:r>
    </w:p>
    <w:p w:rsidR="0073566C" w:rsidRDefault="0073566C" w:rsidP="0073566C">
      <w:pPr>
        <w:pStyle w:val="H1"/>
        <w:tabs>
          <w:tab w:val="right" w:pos="1022"/>
          <w:tab w:val="left" w:pos="1267"/>
          <w:tab w:val="left" w:pos="2125"/>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ألف -</w:t>
      </w:r>
      <w:r>
        <w:rPr>
          <w:rFonts w:hint="cs"/>
          <w:rtl/>
        </w:rPr>
        <w:tab/>
        <w:t>الإقليم والمجتمع الفلمنديان</w:t>
      </w:r>
    </w:p>
    <w:p w:rsidR="0073566C" w:rsidRDefault="0073566C" w:rsidP="0073566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1 -</w:t>
      </w:r>
      <w:r>
        <w:rPr>
          <w:rFonts w:hint="cs"/>
          <w:rtl/>
        </w:rPr>
        <w:tab/>
        <w:t>الإدارة الفلمندية للثقافة والشباب والرياضة ووسائل الإعلام</w:t>
      </w:r>
    </w:p>
    <w:p w:rsidR="0073566C" w:rsidRDefault="0073566C" w:rsidP="0073566C">
      <w:pPr>
        <w:pStyle w:val="SingleTxt"/>
        <w:rPr>
          <w:rFonts w:hint="cs"/>
          <w:rtl/>
        </w:rPr>
      </w:pPr>
      <w:r>
        <w:rPr>
          <w:rFonts w:hint="cs"/>
          <w:rtl/>
        </w:rPr>
        <w:tab/>
        <w:t>ينتهج الإقليم الفلمندي سياسة نشطة عنوانها ’الرياضة للجميع‘ تهدف إلى تعزيز مشاركة الرجال والنساء والأطفال وكبار السن في الإقليم في الرياضة. وقد تجاوز اشتراك المرأة في الرياضة مرحلة المشاكل، ويرجع ذلك في جزء منه إلى الحملات الواسعة النطاق التي نظمت في السبعينات والثمانينات، والتي شجعت نساء كثيرات على ممارسة الرياضة. ولم تُتخذ منذ عام 2002 أي تدبير إضافية فيما يتصل بالمرأة بصفة خاصة، حيث إن سياسة ’الرياضة للجميع‘ تلبي احتياجاتها أيضا. وتحظى المرأة بفرص للمشاركة في الرياضة مساوية لفرص الرجل، وخصوصا على المستوى المحلي، ويوفر قطاع الرياضة أنشطة وتدابير ترمي إلى تهيئة الظروف اللازمة لكي تصبح العتبة العملية لممارسة المرأة للرياضة (مثل الممارسة النهارية للرياضة ...) أخفض ما يمكن.</w:t>
      </w:r>
    </w:p>
    <w:p w:rsidR="0073566C" w:rsidRDefault="0073566C" w:rsidP="0073566C">
      <w:pPr>
        <w:pStyle w:val="SingleTxt"/>
        <w:rPr>
          <w:rFonts w:hint="cs"/>
          <w:rtl/>
        </w:rPr>
      </w:pPr>
      <w:r>
        <w:rPr>
          <w:rFonts w:hint="cs"/>
          <w:rtl/>
        </w:rPr>
        <w:tab/>
        <w:t>ولما كان اشتراك المرأة في الأعمال المتعلقة بالثقافة والشباب لا يشكل أي مشكلة، فإنه لم تُتخذ أي تدابر محددة في هذا الشأن.</w:t>
      </w:r>
    </w:p>
    <w:p w:rsidR="0073566C" w:rsidRDefault="0073566C" w:rsidP="0073566C">
      <w:pPr>
        <w:pStyle w:val="SingleTxt"/>
        <w:rPr>
          <w:rFonts w:hint="cs"/>
          <w:rtl/>
        </w:rPr>
      </w:pPr>
      <w:r>
        <w:rPr>
          <w:rFonts w:hint="cs"/>
          <w:rtl/>
        </w:rPr>
        <w:tab/>
        <w:t>وفيما يتعلق بالمشاركة في الثقافة، فإن احتمال مشاركة الرجل تقل عن احتمال مشاركة المرأة بواقع 1.4 من المرات. ولا يصْدق ذلك على جميع الأشكال الفنية. وفيما يتعلق بالمشاركة العارضة، نلاحظ من الناحية الإحصائية انخفاضا كبيرا في احتمال مشاركة الرجل في الحفلات الموسيقية/المهرجانات غير التقليدية، والعروض المسرحية أو الرقص، والأحداث الأدبية. وفيما يتعلق بالمشاركة المتكررة، يلاحظ قلة احتمال مشاركة الرجل في العروض المسرحية أو حفلات الرقص. وتتفق هذه النتائج مع الحضور الزائد للمرأة في العروض المسرحية وحفلات الرقص الذي كثيرا ما توضحه الدراسات الاستقصائية لجمهور الحاضرين.</w:t>
      </w:r>
    </w:p>
    <w:p w:rsidR="0073566C" w:rsidRPr="00335558" w:rsidRDefault="0073566C" w:rsidP="0073566C">
      <w:pPr>
        <w:pStyle w:val="SingleTxt"/>
        <w:spacing w:after="0" w:line="120" w:lineRule="exact"/>
        <w:rPr>
          <w:rFonts w:hint="cs"/>
          <w:sz w:val="12"/>
          <w:rtl/>
        </w:rPr>
      </w:pPr>
    </w:p>
    <w:p w:rsidR="0073566C" w:rsidRDefault="0073566C" w:rsidP="0073566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2 -</w:t>
      </w:r>
      <w:r>
        <w:rPr>
          <w:rFonts w:hint="cs"/>
          <w:rtl/>
        </w:rPr>
        <w:tab/>
        <w:t>ما يتصل عموما بحقوق الطفل والتمييز ضد المرأة</w:t>
      </w:r>
    </w:p>
    <w:p w:rsidR="0073566C" w:rsidRDefault="0073566C" w:rsidP="0073566C">
      <w:pPr>
        <w:pStyle w:val="SingleTxt"/>
        <w:rPr>
          <w:rFonts w:hint="cs"/>
          <w:rtl/>
        </w:rPr>
      </w:pPr>
      <w:r>
        <w:rPr>
          <w:rFonts w:hint="cs"/>
          <w:rtl/>
        </w:rPr>
        <w:tab/>
        <w:t>في حزيران/يونيه 2002، ناقشت لجنة حقوق الطفل التابعة للأمم المتحدة التقرير البلجيكي ووضعت توصيات. وتتضمن المادة 2 من الاتفاقية الدولية لحقوق الطفل المبدأ الأساس لعدم التمييز. وكون هذا المبدأ أساسيا يعني وجوب التقيد به في تطبيق جميع أحكام الاتفاقية الدولية لحقوق الطفل، مثل الحق في التعليم، والحق في الثقافة والراحة.</w:t>
      </w:r>
    </w:p>
    <w:p w:rsidR="0073566C" w:rsidRDefault="0073566C" w:rsidP="0073566C">
      <w:pPr>
        <w:pStyle w:val="SingleTxt"/>
        <w:rPr>
          <w:rFonts w:hint="cs"/>
          <w:rtl/>
        </w:rPr>
      </w:pPr>
      <w:r>
        <w:rPr>
          <w:rFonts w:hint="cs"/>
          <w:rtl/>
        </w:rPr>
        <w:tab/>
        <w:t>وفي الفترة المشمولة بالتقرير، كانت الحكومة الفلمندية تقدم تقريرا سنويا إلى البرلمان الفلمندي ومفوض حقوق الطفل عن تطبيق مبدأ عدم التمييز في سياستها. وكان التقرير يُطرح بعد ذلك للمناقشة في اللجنة البرلمانية المختصة في البرلمان الفلمندي، بالاشتراك مع الوزير الفلمندي المسؤول عن تنسيق السياسة الفلمندية لحقوق الطفل، والمفوض الفلمندي لحقوق الطفل الذي يرصد الالتزام بالاتفاقية الدولية لحقوق الطفل في الإقليم الفلمندي.</w:t>
      </w:r>
    </w:p>
    <w:p w:rsidR="0073566C" w:rsidRDefault="0073566C" w:rsidP="0073566C">
      <w:pPr>
        <w:pStyle w:val="SingleTxt"/>
        <w:rPr>
          <w:rFonts w:hint="cs"/>
          <w:rtl/>
        </w:rPr>
      </w:pPr>
      <w:r>
        <w:rPr>
          <w:rFonts w:hint="cs"/>
          <w:rtl/>
        </w:rPr>
        <w:tab/>
        <w:t>وتنفيذا للالتزام بوضع تقرير عن الأثر المترتب على الطفل لمشاريع قوانين البرلمان الفلمندي المتصلة بوضوح بمصلحة الطفل، وضعت منهجية يقوم على أساسها الموظف المدني المختص بدراسة مشروع القانون الأوّلي في ضوء مراعاة حقوق الطفل وأثر المشروع على وضع الطفل. ومطلوب في هذه الدراسة أيضا تطبيق مبدأ عدم التمييز.</w:t>
      </w:r>
    </w:p>
    <w:p w:rsidR="0073566C" w:rsidRDefault="0073566C" w:rsidP="0073566C">
      <w:pPr>
        <w:pStyle w:val="SingleTxt"/>
        <w:rPr>
          <w:rFonts w:hint="cs"/>
          <w:rtl/>
        </w:rPr>
      </w:pPr>
      <w:r>
        <w:rPr>
          <w:rFonts w:hint="cs"/>
          <w:rtl/>
        </w:rPr>
        <w:tab/>
        <w:t xml:space="preserve">والمقصود بالإعانات المقدمة إلى مبادرات ’تشجيع وتنظيم وتطوير الأنشطة المتعلقة بحقوق الطفل‘، إيجاد دعم واسع للاتفاقية الدولية لحقوق الطفل، من خلال إعانة </w:t>
      </w:r>
      <w:r>
        <w:rPr>
          <w:rFonts w:hint="eastAsia"/>
          <w:rtl/>
        </w:rPr>
        <w:t>”تحالف حقوق الطفل</w:t>
      </w:r>
      <w:r>
        <w:rPr>
          <w:rFonts w:hint="cs"/>
          <w:rtl/>
        </w:rPr>
        <w:t>“ و</w:t>
      </w:r>
      <w:r>
        <w:rPr>
          <w:rFonts w:hint="eastAsia"/>
          <w:rtl/>
        </w:rPr>
        <w:t>”</w:t>
      </w:r>
      <w:r>
        <w:rPr>
          <w:rFonts w:hint="cs"/>
          <w:rtl/>
        </w:rPr>
        <w:t>مركز حقوق الطفل</w:t>
      </w:r>
      <w:r>
        <w:rPr>
          <w:rFonts w:hint="eastAsia"/>
          <w:rtl/>
        </w:rPr>
        <w:t>“ في جامعة غنت</w:t>
      </w:r>
      <w:r>
        <w:rPr>
          <w:rFonts w:hint="cs"/>
          <w:rtl/>
        </w:rPr>
        <w:t>.</w:t>
      </w:r>
    </w:p>
    <w:p w:rsidR="0073566C" w:rsidRDefault="0073566C" w:rsidP="0073566C">
      <w:pPr>
        <w:pStyle w:val="SingleTxt"/>
        <w:rPr>
          <w:rFonts w:hint="cs"/>
          <w:rtl/>
        </w:rPr>
      </w:pPr>
      <w:r>
        <w:rPr>
          <w:rFonts w:hint="cs"/>
          <w:rtl/>
        </w:rPr>
        <w:tab/>
        <w:t>ويمكن في هذا الصدد الإشارة إلى قانون البرلمان الفلمندي المؤرخ 7 شباط/فبراير 2003، الذي وافق على البروتوكول الاختياري لاتفاقية حقوق الطفل بشأن بيع الأطفال واستغلالهم في البغاء وفي إنتاج المواد الإباحية، الذي وضع في نيويورك في 25 أيار/مايو 2000.</w:t>
      </w:r>
    </w:p>
    <w:p w:rsidR="0073566C" w:rsidRDefault="0073566C" w:rsidP="0073566C">
      <w:pPr>
        <w:pStyle w:val="SingleTxt"/>
        <w:rPr>
          <w:rFonts w:hint="cs"/>
          <w:rtl/>
        </w:rPr>
      </w:pPr>
      <w:r>
        <w:rPr>
          <w:rFonts w:hint="cs"/>
          <w:rtl/>
        </w:rPr>
        <w:tab/>
        <w:t>ويشترك الإقليم الفلمندي أيضا في تنفيذ خطة العمل العالمية للأطفال ’عالم صالح للأطفال‘ التي تولي اهتماما فائقا للطفلة. وينفذ الإقليم الفلمندي هذه الخطة من خلال خطة العمل الفلمندية لحقوق الطفل التي اعتمدتها الحكومة الفلمندية في 2 نيسان/أبريل 2004، والتي تجسدت أكثر في الخطة الفلمندية الثانية لسياسة الشباب للفترة 2006-2009 المؤرخة 16 كانون الأول/ديسمبر 2005.</w:t>
      </w:r>
    </w:p>
    <w:p w:rsidR="0073566C" w:rsidRDefault="0073566C" w:rsidP="0073566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باء -</w:t>
      </w:r>
      <w:r>
        <w:rPr>
          <w:rFonts w:hint="cs"/>
          <w:rtl/>
        </w:rPr>
        <w:tab/>
        <w:t>المجتمع الفرنسي</w:t>
      </w:r>
    </w:p>
    <w:p w:rsidR="0073566C" w:rsidRDefault="0073566C" w:rsidP="0073566C">
      <w:pPr>
        <w:pStyle w:val="SingleTxt"/>
        <w:rPr>
          <w:rFonts w:hint="cs"/>
          <w:rtl/>
        </w:rPr>
      </w:pPr>
      <w:r>
        <w:rPr>
          <w:rFonts w:hint="cs"/>
          <w:rtl/>
        </w:rPr>
        <w:tab/>
        <w:t>الوصول إلى الحياة الثقافية في المجتمع الفرنسي يدعمه المرسوم المؤرخ 17 تموز/يوليه 2003، والتعميم الوزاري المؤرخ 15 أيار/مايو 2001 بشأن الإعانات المقدمة إلى المشاريع المحلية للتعليم المستمر والإبداع، وتمويل مراكز التعبير والإبداع.</w:t>
      </w:r>
    </w:p>
    <w:p w:rsidR="0073566C" w:rsidRDefault="0073566C" w:rsidP="0073566C">
      <w:pPr>
        <w:pStyle w:val="SingleTxt"/>
        <w:rPr>
          <w:rFonts w:hint="cs"/>
          <w:rtl/>
        </w:rPr>
      </w:pPr>
      <w:r>
        <w:rPr>
          <w:rFonts w:hint="cs"/>
          <w:rtl/>
        </w:rPr>
        <w:tab/>
        <w:t xml:space="preserve">ويؤدي الدعم المباشر لجمعية </w:t>
      </w:r>
      <w:r>
        <w:rPr>
          <w:rFonts w:hint="eastAsia"/>
          <w:rtl/>
        </w:rPr>
        <w:t>”المادة 27</w:t>
      </w:r>
      <w:r>
        <w:rPr>
          <w:rFonts w:hint="cs"/>
          <w:rtl/>
        </w:rPr>
        <w:t>“ إلى تعزيز استفادة السكان المتّسمين برقة الحال اجتماعيا واقتصاديا من برامج البث الثقافي.</w:t>
      </w:r>
    </w:p>
    <w:p w:rsidR="0073566C" w:rsidRDefault="0073566C" w:rsidP="0073566C">
      <w:pPr>
        <w:pStyle w:val="SingleTxt"/>
        <w:rPr>
          <w:rFonts w:hint="cs"/>
          <w:rtl/>
        </w:rPr>
      </w:pPr>
      <w:r>
        <w:rPr>
          <w:rFonts w:hint="cs"/>
          <w:rtl/>
        </w:rPr>
        <w:tab/>
        <w:t>ويمكن أيضا تقديم مساعدات مالية لدعم إدماج الفتيات عن طريق الرياضة في المجتمع الفرنسي. وتقدم هذه المساعدات إلى جمعيات تشجيع الرياضة النسائية، سواء في الأحياء الموصوفة بالهشة، أو في المناطق الريفية التي تفتقر إلى الأنشطة الرياضية.</w:t>
      </w:r>
    </w:p>
    <w:p w:rsidR="0073566C" w:rsidRPr="001B5D31" w:rsidRDefault="0073566C" w:rsidP="0073566C">
      <w:pPr>
        <w:pStyle w:val="SingleTxt"/>
        <w:spacing w:after="0" w:line="120" w:lineRule="exact"/>
        <w:rPr>
          <w:rFonts w:hint="cs"/>
          <w:sz w:val="12"/>
          <w:rtl/>
        </w:rPr>
      </w:pPr>
    </w:p>
    <w:p w:rsidR="0073566C" w:rsidRDefault="0073566C" w:rsidP="0073566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المادة 14</w:t>
      </w:r>
    </w:p>
    <w:p w:rsidR="0073566C" w:rsidRDefault="0073566C" w:rsidP="0073566C">
      <w:pPr>
        <w:pStyle w:val="SingleTxt"/>
        <w:rPr>
          <w:rFonts w:hint="cs"/>
          <w:rtl/>
        </w:rPr>
      </w:pPr>
      <w:r>
        <w:rPr>
          <w:rFonts w:hint="cs"/>
          <w:rtl/>
        </w:rPr>
        <w:tab/>
        <w:t>تتمتع النساء المقيمات في المناطق الريفية بنفس ما يتمتع به سائر المواطنين المقيمين في بلجيكا من حقوق وخدمات واستحقاقات.</w:t>
      </w:r>
    </w:p>
    <w:p w:rsidR="0073566C" w:rsidRPr="001B5D31" w:rsidRDefault="0073566C" w:rsidP="0073566C">
      <w:pPr>
        <w:pStyle w:val="SingleTxt"/>
        <w:spacing w:after="0" w:line="120" w:lineRule="exact"/>
        <w:rPr>
          <w:rFonts w:hint="cs"/>
          <w:sz w:val="12"/>
          <w:rtl/>
        </w:rPr>
      </w:pPr>
    </w:p>
    <w:p w:rsidR="0073566C" w:rsidRDefault="0073566C" w:rsidP="0073566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الكيانات الاتحادية</w:t>
      </w:r>
    </w:p>
    <w:p w:rsidR="0073566C" w:rsidRDefault="0073566C" w:rsidP="0073566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ألف -</w:t>
      </w:r>
      <w:r>
        <w:rPr>
          <w:rFonts w:hint="cs"/>
          <w:rtl/>
        </w:rPr>
        <w:tab/>
        <w:t>المجتمع الفرنسي</w:t>
      </w:r>
    </w:p>
    <w:p w:rsidR="0073566C" w:rsidRDefault="0073566C" w:rsidP="0073566C">
      <w:pPr>
        <w:pStyle w:val="SingleTxt"/>
        <w:rPr>
          <w:rFonts w:hint="cs"/>
          <w:rtl/>
        </w:rPr>
      </w:pPr>
      <w:r>
        <w:rPr>
          <w:rFonts w:hint="cs"/>
          <w:rtl/>
        </w:rPr>
        <w:tab/>
        <w:t>تدعم دائرة التعليم المستمر وكذلك إدارة تكافؤ الفص جمعيات عديدة ينصبّ عملها، مركزيا أو محليا، على النساء.</w:t>
      </w:r>
    </w:p>
    <w:p w:rsidR="0073566C" w:rsidRPr="001B5D31" w:rsidRDefault="0073566C" w:rsidP="0073566C">
      <w:pPr>
        <w:pStyle w:val="SingleTxt"/>
        <w:spacing w:after="0" w:line="120" w:lineRule="exact"/>
        <w:rPr>
          <w:rFonts w:hint="cs"/>
          <w:sz w:val="12"/>
          <w:rtl/>
        </w:rPr>
      </w:pPr>
    </w:p>
    <w:p w:rsidR="0073566C" w:rsidRDefault="0073566C" w:rsidP="0073566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باء -</w:t>
      </w:r>
      <w:r>
        <w:rPr>
          <w:rFonts w:hint="cs"/>
          <w:rtl/>
        </w:rPr>
        <w:tab/>
        <w:t>إقليم والون</w:t>
      </w:r>
    </w:p>
    <w:p w:rsidR="0073566C" w:rsidRDefault="0073566C" w:rsidP="0073566C">
      <w:pPr>
        <w:pStyle w:val="SingleTxt"/>
        <w:rPr>
          <w:rFonts w:hint="cs"/>
          <w:rtl/>
        </w:rPr>
      </w:pPr>
      <w:r>
        <w:rPr>
          <w:rFonts w:hint="cs"/>
          <w:rtl/>
        </w:rPr>
        <w:tab/>
        <w:t>في إطار التدابير المتخذة للتعامل مع المشاكل الخاصة التي تعانيها القرويات، يجدر بالذكر المشروع الأوّلي لمرسوم إقليم والون المعروض الآن على مجلس الدولة، والمتعلق بالحصول المشترك على الحقوق والأنصبة المتاح للأزواج المعاونين.</w:t>
      </w:r>
    </w:p>
    <w:p w:rsidR="0073566C" w:rsidRPr="00DB2931" w:rsidRDefault="0073566C" w:rsidP="0073566C">
      <w:pPr>
        <w:pStyle w:val="SingleTxt"/>
        <w:spacing w:after="0" w:line="120" w:lineRule="exact"/>
        <w:rPr>
          <w:rFonts w:hint="cs"/>
          <w:sz w:val="12"/>
          <w:rtl/>
        </w:rPr>
      </w:pPr>
    </w:p>
    <w:p w:rsidR="0073566C" w:rsidRDefault="0073566C" w:rsidP="0073566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جيم -</w:t>
      </w:r>
      <w:r>
        <w:rPr>
          <w:rFonts w:hint="cs"/>
          <w:rtl/>
        </w:rPr>
        <w:tab/>
        <w:t>المجتمع الناطق بالألمانية</w:t>
      </w:r>
    </w:p>
    <w:p w:rsidR="0073566C" w:rsidRDefault="0073566C" w:rsidP="0073566C">
      <w:pPr>
        <w:pStyle w:val="SingleTxt"/>
        <w:rPr>
          <w:rFonts w:hint="cs"/>
          <w:rtl/>
        </w:rPr>
      </w:pPr>
      <w:r>
        <w:rPr>
          <w:rFonts w:hint="cs"/>
          <w:rtl/>
        </w:rPr>
        <w:tab/>
        <w:t xml:space="preserve">تتولى منظمة </w:t>
      </w:r>
      <w:r>
        <w:t>AGRA-femmes</w:t>
      </w:r>
      <w:r>
        <w:rPr>
          <w:rFonts w:hint="cs"/>
          <w:rtl/>
        </w:rPr>
        <w:t xml:space="preserve"> في المجتمع الناطق بالألمانية، وهي منظمة خاصة بالريفيات، وبخاصة من يساعدن في الزراعة، تدريب النساء.</w:t>
      </w:r>
    </w:p>
    <w:p w:rsidR="0073566C" w:rsidRPr="00DB2931" w:rsidRDefault="0073566C" w:rsidP="0073566C">
      <w:pPr>
        <w:pStyle w:val="SingleTxt"/>
        <w:spacing w:after="0" w:line="120" w:lineRule="exact"/>
        <w:rPr>
          <w:rFonts w:hint="cs"/>
          <w:sz w:val="12"/>
          <w:rtl/>
        </w:rPr>
      </w:pPr>
    </w:p>
    <w:p w:rsidR="0073566C" w:rsidRDefault="0073566C" w:rsidP="0073566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المادة 15</w:t>
      </w:r>
    </w:p>
    <w:p w:rsidR="0073566C" w:rsidRDefault="0073566C" w:rsidP="0073566C">
      <w:pPr>
        <w:pStyle w:val="SingleTxt"/>
        <w:rPr>
          <w:rFonts w:hint="cs"/>
          <w:rtl/>
        </w:rPr>
      </w:pPr>
      <w:r>
        <w:rPr>
          <w:rFonts w:hint="cs"/>
          <w:rtl/>
        </w:rPr>
        <w:tab/>
        <w:t>ليس هناك في بلجيكا تمييز في هذا المجال.</w:t>
      </w:r>
    </w:p>
    <w:p w:rsidR="0073566C" w:rsidRDefault="0073566C" w:rsidP="0073566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المادة 16</w:t>
      </w:r>
    </w:p>
    <w:p w:rsidR="0073566C" w:rsidRDefault="0073566C" w:rsidP="0073566C">
      <w:pPr>
        <w:pStyle w:val="HCh"/>
        <w:tabs>
          <w:tab w:val="right" w:pos="1022"/>
          <w:tab w:val="left" w:pos="1267"/>
          <w:tab w:val="left" w:pos="1930"/>
          <w:tab w:val="left" w:pos="2125"/>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أولا -</w:t>
      </w:r>
      <w:r>
        <w:rPr>
          <w:rFonts w:hint="cs"/>
          <w:rtl/>
        </w:rPr>
        <w:tab/>
        <w:t>على المستوى الاتحادي</w:t>
      </w:r>
    </w:p>
    <w:p w:rsidR="0073566C" w:rsidRDefault="0073566C" w:rsidP="0073566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1 -</w:t>
      </w:r>
      <w:r>
        <w:rPr>
          <w:rFonts w:hint="cs"/>
          <w:rtl/>
        </w:rPr>
        <w:tab/>
        <w:t>الزواج</w:t>
      </w:r>
    </w:p>
    <w:p w:rsidR="0073566C" w:rsidRDefault="0073566C" w:rsidP="0073566C">
      <w:pPr>
        <w:pStyle w:val="SingleTxt"/>
        <w:rPr>
          <w:rFonts w:hint="cs"/>
          <w:rtl/>
        </w:rPr>
      </w:pPr>
      <w:r>
        <w:rPr>
          <w:rFonts w:hint="cs"/>
          <w:rtl/>
        </w:rPr>
        <w:t>1-1</w:t>
      </w:r>
      <w:r>
        <w:rPr>
          <w:rFonts w:hint="cs"/>
          <w:rtl/>
        </w:rPr>
        <w:tab/>
      </w:r>
      <w:r w:rsidRPr="005D21AB">
        <w:rPr>
          <w:rFonts w:hint="cs"/>
          <w:rtl/>
        </w:rPr>
        <w:t>عدّل</w:t>
      </w:r>
      <w:r>
        <w:rPr>
          <w:rFonts w:hint="cs"/>
          <w:i/>
          <w:iCs/>
          <w:rtl/>
        </w:rPr>
        <w:t xml:space="preserve"> القانون المؤرخ 3 كانون الأول/ديسمبر 2005</w:t>
      </w:r>
      <w:r>
        <w:rPr>
          <w:rFonts w:hint="cs"/>
          <w:rtl/>
        </w:rPr>
        <w:t xml:space="preserve"> (الذي بدأ</w:t>
      </w:r>
      <w:r>
        <w:t xml:space="preserve"> </w:t>
      </w:r>
      <w:r>
        <w:rPr>
          <w:rFonts w:hint="cs"/>
          <w:rtl/>
        </w:rPr>
        <w:t>نفاذه في 1 شباط/فبراير 2006) المادة 64 من القانون المدني لتبسيط إجراءات إعلان الزواج وكذلك المعاشرة القانونية (لمزيد من التفاصيل، انظر التعميم المؤرخ 16 كانون الثاني/يناير 2006 بشأن القانون المؤرخ 15 كانون الأول/ديسمبر 2005).</w:t>
      </w:r>
    </w:p>
    <w:p w:rsidR="0073566C" w:rsidRDefault="0073566C" w:rsidP="0073566C">
      <w:pPr>
        <w:pStyle w:val="SingleTxt"/>
        <w:rPr>
          <w:rFonts w:hint="cs"/>
          <w:rtl/>
        </w:rPr>
      </w:pPr>
      <w:r>
        <w:rPr>
          <w:rFonts w:hint="cs"/>
          <w:rtl/>
        </w:rPr>
        <w:tab/>
        <w:t>وبذلك أصبح القانون الجديد يوفر منذ الآن لموظف الأحوال المدنية قاعدة قانونية لرفض عقد الزواج (المادة 167 من القانون المدني) إذا اتضح أنه لا تتوافر فيه الصفات والشروط المطلوبة، أو إذا رأى أن عقد الزواج يناقض مبادئ النظام العام. وفي حالة رفض عقد الزواج، يمكن لأصحاب الشأن التقدم بطعن إلى المحكمة الابتدائية في غضون شهر.</w:t>
      </w:r>
    </w:p>
    <w:p w:rsidR="0073566C" w:rsidRDefault="0073566C" w:rsidP="0073566C">
      <w:pPr>
        <w:pStyle w:val="SingleTxt"/>
        <w:rPr>
          <w:rFonts w:hint="cs"/>
          <w:rtl/>
        </w:rPr>
      </w:pPr>
      <w:r>
        <w:rPr>
          <w:rFonts w:hint="cs"/>
          <w:rtl/>
        </w:rPr>
        <w:tab/>
        <w:t>ويتضمن القانون أيضا حالة الزواج المعقود بهدف الحصول على مزايا فيما يتصل بالإقامة. ولا يعقد الزواج، رغم صدور الموافقات الرسمية، إذا اتضح من ظروف مختلفة أن نية واحد على الأقل من الزوجين ليست معقودة على بناء حياة مشتركة دائمة، بل التطلع فقط إلى الحصول على مزايا فيما يتعلق بالإقامة تتصل بوضع الزوج (المادة 146 مكررا من القانون المدني). وهذا النوع من الزواج يمكن أن يطعن فيه الزوجان ذاتهما، أو كل من يكون لهم مصلحة فيه، أو النيابة العامة (المادة 184 من القانون المدني).</w:t>
      </w:r>
    </w:p>
    <w:p w:rsidR="0073566C" w:rsidRDefault="0073566C" w:rsidP="0073566C">
      <w:pPr>
        <w:pStyle w:val="SingleTxt"/>
        <w:rPr>
          <w:rFonts w:hint="cs"/>
          <w:rtl/>
        </w:rPr>
      </w:pPr>
      <w:r>
        <w:rPr>
          <w:rFonts w:hint="cs"/>
          <w:rtl/>
        </w:rPr>
        <w:tab/>
        <w:t>وبالإضافة إلى ذلك، وقع وزير الداخلية ووزيرة العدل تعميما مشتركا ينص على نظام لتبادل المعلومات بين موظف الأحوال المدنية ومكتب الأجانب. وينص هذا التعميم المؤرخ 13 أيلول/سبتمبر 2005، من ناحية، على تبادل المعلومات في حالة إعلان زواج أجني يقيم بطريقة غير مشروعة في المملكة، ومن ناحية أخرى على تبادل المعلومات المتعلقة برفض موظف الأحوال المدنية عقد زواج شخص أجنبي. ولا تنتقص هذه التدابير من الحق في الزواج من أجنبي مقيم بطريقة غير مشروعة، بل تهدف إلى تجنب عقد زواج المصلحة.</w:t>
      </w:r>
    </w:p>
    <w:p w:rsidR="0073566C" w:rsidRDefault="0073566C" w:rsidP="0073566C">
      <w:pPr>
        <w:pStyle w:val="SingleTxt"/>
        <w:rPr>
          <w:rFonts w:hint="eastAsia"/>
          <w:i/>
          <w:iCs/>
          <w:rtl/>
        </w:rPr>
      </w:pPr>
      <w:r>
        <w:rPr>
          <w:rFonts w:hint="cs"/>
          <w:rtl/>
        </w:rPr>
        <w:tab/>
        <w:t xml:space="preserve">وأخيرا، عدّل </w:t>
      </w:r>
      <w:r>
        <w:rPr>
          <w:rFonts w:hint="cs"/>
          <w:i/>
          <w:iCs/>
          <w:rtl/>
        </w:rPr>
        <w:t>القانون المؤرخ 12 كانون الثاني/يناير 2006</w:t>
      </w:r>
      <w:r>
        <w:rPr>
          <w:rFonts w:hint="cs"/>
          <w:rtl/>
        </w:rPr>
        <w:t xml:space="preserve"> (الذي بدأ نفاذه في 21 شباط/فبراير 2006) القانون المؤرخ 15 كانون الأول/ديسمبر 1980 بشأن وصول الأجانب إلى البلد وإقامتهم واستقرارهم وإبعادهم، بأن أضاف إليه المادة </w:t>
      </w:r>
      <w:r w:rsidRPr="006A5B3B">
        <w:rPr>
          <w:rFonts w:hint="cs"/>
          <w:rtl/>
        </w:rPr>
        <w:t>79 مكررا (الفقرة 1) وبمقتضاها:</w:t>
      </w:r>
      <w:r w:rsidRPr="00E213CF">
        <w:rPr>
          <w:rFonts w:hint="cs"/>
          <w:i/>
          <w:iCs/>
          <w:rtl/>
        </w:rPr>
        <w:t xml:space="preserve"> </w:t>
      </w:r>
      <w:r w:rsidRPr="00E213CF">
        <w:rPr>
          <w:rFonts w:hint="eastAsia"/>
          <w:i/>
          <w:iCs/>
          <w:rtl/>
        </w:rPr>
        <w:t xml:space="preserve">”كل من يتزوج بغرض الحصول على مزايا </w:t>
      </w:r>
      <w:r>
        <w:rPr>
          <w:rFonts w:hint="cs"/>
          <w:i/>
          <w:iCs/>
          <w:rtl/>
        </w:rPr>
        <w:t xml:space="preserve">فيما </w:t>
      </w:r>
      <w:r w:rsidRPr="00E213CF">
        <w:rPr>
          <w:rFonts w:hint="eastAsia"/>
          <w:i/>
          <w:iCs/>
          <w:rtl/>
        </w:rPr>
        <w:t>يتعلق بالإقامة تتصل بوضع الزوج (المادة 146 مكررا من القانون المدني)</w:t>
      </w:r>
      <w:r>
        <w:rPr>
          <w:rFonts w:hint="cs"/>
          <w:i/>
          <w:iCs/>
          <w:rtl/>
        </w:rPr>
        <w:t xml:space="preserve"> يعاقب بالحبس لفترة تتراوح بين ثمانية وثلاثة أشهر، أو بغرامة تتراوح بين ستة  وعشرين ومائة يورو. وكل من يحصل على مبلغ من المال بهدف دفعه لقاء عقد مثل هذا الزواج يعاقب بالحبس لفترة تتراوح بين خمسة عشر يوما وسنة، أو بغرامة تتراوح بين ستة وعشرين ومائة يورو. وكل من يستعمل العنف أو التهديد إزاء شخص لحمله على عقد مثل هذا الزواج يعاقب بالحبس لفترة تتراوح بين شهر وسنتين، أو بغرامة تتراوح بين مائة وخمسمائة يورو</w:t>
      </w:r>
      <w:r>
        <w:rPr>
          <w:rFonts w:hint="eastAsia"/>
          <w:i/>
          <w:iCs/>
          <w:rtl/>
        </w:rPr>
        <w:t>“.</w:t>
      </w:r>
    </w:p>
    <w:p w:rsidR="0073566C" w:rsidRPr="00E213CF" w:rsidRDefault="0073566C" w:rsidP="0073566C">
      <w:pPr>
        <w:pStyle w:val="SingleTxt"/>
        <w:spacing w:after="0" w:line="120" w:lineRule="exact"/>
        <w:rPr>
          <w:rFonts w:hint="cs"/>
          <w:i/>
          <w:iCs/>
          <w:sz w:val="12"/>
          <w:rtl/>
        </w:rPr>
      </w:pPr>
    </w:p>
    <w:p w:rsidR="0073566C" w:rsidRDefault="0073566C" w:rsidP="0073566C">
      <w:pPr>
        <w:pStyle w:val="SingleTxt"/>
        <w:rPr>
          <w:rFonts w:hint="cs"/>
          <w:rtl/>
        </w:rPr>
      </w:pPr>
      <w:r w:rsidRPr="00E213CF">
        <w:rPr>
          <w:rFonts w:hint="cs"/>
          <w:rtl/>
        </w:rPr>
        <w:t xml:space="preserve">1-2 وقد أتاح </w:t>
      </w:r>
      <w:r>
        <w:rPr>
          <w:rFonts w:hint="cs"/>
          <w:i/>
          <w:iCs/>
          <w:rtl/>
        </w:rPr>
        <w:t>القانون المؤرخ 13 شباط/فبراير 2003</w:t>
      </w:r>
      <w:r>
        <w:rPr>
          <w:rFonts w:hint="cs"/>
          <w:rtl/>
        </w:rPr>
        <w:t>، الذي بدأ نفاذه في 1 حزيران/يونيه 2003، فرصة الزواج للأشخاص من نفس الجنس، لضمان المساواة في المعاملة للزوجين من المثليين ومختلفي الجنس. وبذلك فإن القواعد المتصلة بعقد الزواج وفسخه وآثاره أصبحت تطبق أيضا على الزوجين من المثليين. ومع ذلك لا تزال هناك فروق فيما يتعلق بالبنوة. ففيما يتعلق بالزوجين من المثليين اللذين يكون أحدهما على الأقل غير بلجيكي، فإن الفقرة 2 من المادة 46 من القانون المؤرخ 16 تموز/يوليه 2004، الذي يعكس القانون الدولي الخاص، تنص على حق واحد في الزواج عندما يكون واحد من الشخصين المعنيين يحمل جنسية دولة أو تكون إقامته العادية في دولة يجيز قانونها الداخلي مثل هذا الزواج. ويتعين تطبيق هذا الحكم بالاقتران بالمادة 44 من هذا القانون التي تنص على إمكان عقد  الزواج في بلجيكا عندما يكون أحد الزوجين المقبلين بلجيكيا، أو يكون مقيما في بلجيكا عند عقد الزواج، أو يكون قد أقام إقامة عادية في بلجيكا لأكثر من ثلاثة أشهر. ويمكن لحالات الاقتران المسجلة في الخارج أن تعامل معاملة الزواج بشرط الوفاء ببعض الشروط المحددة في القانون. وسيُسمح في بلجيكا بزواج المثليين فيما بين الأجانب، أو بين البلجيكيين والأجانب أيا كانت جنسيتهم.</w:t>
      </w:r>
    </w:p>
    <w:p w:rsidR="0073566C" w:rsidRDefault="0073566C" w:rsidP="0073566C">
      <w:pPr>
        <w:pStyle w:val="SingleTxt"/>
        <w:rPr>
          <w:rFonts w:hint="cs"/>
          <w:rtl/>
        </w:rPr>
      </w:pPr>
      <w:r>
        <w:rPr>
          <w:rFonts w:hint="cs"/>
          <w:rtl/>
        </w:rPr>
        <w:t>1-3</w:t>
      </w:r>
      <w:r>
        <w:rPr>
          <w:rFonts w:hint="cs"/>
          <w:rtl/>
        </w:rPr>
        <w:tab/>
        <w:t xml:space="preserve">وفي 10 آذار/مارس 2006 وافق مجلس الوزراء، من أجل تجريم الزواج القسري، على </w:t>
      </w:r>
      <w:r>
        <w:rPr>
          <w:rFonts w:hint="cs"/>
          <w:i/>
          <w:iCs/>
          <w:rtl/>
        </w:rPr>
        <w:t>مشروع قانون أوّلي</w:t>
      </w:r>
      <w:r>
        <w:rPr>
          <w:rFonts w:hint="cs"/>
          <w:rtl/>
        </w:rPr>
        <w:t xml:space="preserve"> ينص على معاقبة الأشخاص الذين يستعملون العنف أو التهديد لحمل شخص على الزواج. وورد في المشروع الأوّلي أن كل من يستعمل العنف أو التهديد لحمل شخص على الزواج يعاقب بالحبس لفترة تتراوح بين شهر وسنتين، أو بغرامة تتراوح بين 100 و500 يورو (تضرب في 5، فتتراوح بالتالي بين 500 و500 2 يورو). ويعاقب أيضا على الشروع في عقد الزواج القسري بالحبس لفترة تتراوح بين خمسة عشر يوما وسنة، أو بغرامة تتراوح بين 50 و250 يورو (تضرب في 5، فتتراوح بالتالي بين 250 و250 1 يورو).</w:t>
      </w:r>
    </w:p>
    <w:p w:rsidR="0073566C" w:rsidRDefault="0073566C" w:rsidP="0073566C">
      <w:pPr>
        <w:pStyle w:val="SingleTxt"/>
        <w:rPr>
          <w:rFonts w:hint="cs"/>
          <w:rtl/>
        </w:rPr>
      </w:pPr>
      <w:r>
        <w:rPr>
          <w:rFonts w:hint="cs"/>
          <w:rtl/>
        </w:rPr>
        <w:tab/>
        <w:t>ولما كان الزواج القسري يشكل اعتداء على حقوق الإنسان يحظره العديد من القواعد الدولية، فإن المشروع الأوّلي يهدف إلى حماية حق الضحية في زواج يرتضيه باختياره، وحماية حريته وكرامته وسلامته البدنية. وعلاوة على ذلك يخوّل المشروع الأولي النيابة العامة سلطة المقاضاة لمنع الزواج القسري. والواقع أن النيابة العامة لا تملك الآن اتخاذ هذه المبادرة: فكل ما تستطيعه هو التدخل في إجراءات الإبطال التي يتخذها أحد الزوجين.</w:t>
      </w:r>
    </w:p>
    <w:p w:rsidR="0073566C" w:rsidRPr="00DE7F7E" w:rsidRDefault="0073566C" w:rsidP="0073566C">
      <w:pPr>
        <w:pStyle w:val="SingleTxt"/>
        <w:spacing w:after="0" w:line="120" w:lineRule="exact"/>
        <w:rPr>
          <w:rFonts w:hint="cs"/>
          <w:sz w:val="12"/>
          <w:rtl/>
        </w:rPr>
      </w:pPr>
    </w:p>
    <w:p w:rsidR="0073566C" w:rsidRDefault="0073566C" w:rsidP="0073566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2 -</w:t>
      </w:r>
      <w:r>
        <w:rPr>
          <w:rFonts w:hint="cs"/>
          <w:rtl/>
        </w:rPr>
        <w:tab/>
        <w:t>عدم الاعتراف بفسخ الزواج بالطلاق</w:t>
      </w:r>
    </w:p>
    <w:p w:rsidR="0073566C" w:rsidRDefault="0073566C" w:rsidP="0073566C">
      <w:pPr>
        <w:pStyle w:val="SingleTxt"/>
        <w:rPr>
          <w:rFonts w:hint="cs"/>
          <w:rtl/>
        </w:rPr>
      </w:pPr>
      <w:r>
        <w:rPr>
          <w:rFonts w:hint="cs"/>
          <w:rtl/>
        </w:rPr>
        <w:t>2-1</w:t>
      </w:r>
      <w:r>
        <w:rPr>
          <w:rFonts w:hint="cs"/>
          <w:rtl/>
        </w:rPr>
        <w:tab/>
        <w:t>فيما يتعلق بفسخ الزواج، يجدر بالذكر بيان موقف الدولة البلجيكية من مبدأ عدم الاعتراف بالطلاق.</w:t>
      </w:r>
    </w:p>
    <w:p w:rsidR="0073566C" w:rsidRDefault="0073566C" w:rsidP="0073566C">
      <w:pPr>
        <w:pStyle w:val="SingleTxt"/>
        <w:rPr>
          <w:rFonts w:hint="cs"/>
          <w:rtl/>
        </w:rPr>
      </w:pPr>
      <w:r>
        <w:rPr>
          <w:rFonts w:hint="cs"/>
          <w:rtl/>
        </w:rPr>
        <w:tab/>
        <w:t>فالمادة 57 من مدونة القانون الدولي الخاص (التي بدأ نفاذها في 1 تشرين الأول/أكتوبر 2004) ترسي مبدأ عدم الاعتراف. وهذا النص المطبق على جميع أشكال الطلاق يكون تطبيقه تقييديا على هذا النظام الذي تعتبره الدولة البلجيكية غريبا على مفهومنا للقانون ولمبدأ المساواة بين الرجل والمرأة (انظر التعميم المؤرخ 23 أيلول/سبتمبر 2004 الخاص بجوانب القانون المؤرخ 16 تموز/يوليه 2004، الذي يعكس مدونة القانون الدولي الخاص بشأن المركز الفردي، الجريدة الرسمية الصادرة في 28 أيلول/سبتمبر 2004).</w:t>
      </w:r>
    </w:p>
    <w:p w:rsidR="0073566C" w:rsidRDefault="0073566C" w:rsidP="0073566C">
      <w:pPr>
        <w:pStyle w:val="SingleTxt"/>
        <w:rPr>
          <w:rFonts w:hint="cs"/>
          <w:rtl/>
        </w:rPr>
      </w:pPr>
      <w:r>
        <w:rPr>
          <w:rFonts w:hint="cs"/>
          <w:rtl/>
        </w:rPr>
        <w:tab/>
        <w:t>وبذلك يكون المبدأ الذي ترسيه المادة 57 هو مبدأ عدم الاعتراف، مع الاستثناء. ومن هنا فإنه يمكن، على سبيل الاستثناء، الاعتراف بالطلاق إذا استوفى شروطا معينة تنطبق بشكل شامل وتتحقق منها السلطة التي يُلتمس الاعتراف أمامها.</w:t>
      </w:r>
    </w:p>
    <w:p w:rsidR="0073566C" w:rsidRDefault="0073566C" w:rsidP="0073566C">
      <w:pPr>
        <w:pStyle w:val="SingleTxt"/>
        <w:rPr>
          <w:rFonts w:hint="cs"/>
          <w:rtl/>
        </w:rPr>
      </w:pPr>
      <w:r>
        <w:rPr>
          <w:rFonts w:hint="cs"/>
          <w:rtl/>
        </w:rPr>
        <w:tab/>
        <w:t>وهذه الشروط الشاملة الخمسة هي ما يلي:</w:t>
      </w:r>
    </w:p>
    <w:p w:rsidR="0073566C" w:rsidRDefault="0073566C" w:rsidP="0073566C">
      <w:pPr>
        <w:pStyle w:val="SingleTxt"/>
        <w:rPr>
          <w:rFonts w:hint="cs"/>
          <w:rtl/>
        </w:rPr>
      </w:pPr>
      <w:r>
        <w:rPr>
          <w:rFonts w:hint="cs"/>
          <w:rtl/>
        </w:rPr>
        <w:tab/>
        <w:t>(1)</w:t>
      </w:r>
      <w:r>
        <w:rPr>
          <w:rFonts w:hint="cs"/>
          <w:rtl/>
        </w:rPr>
        <w:tab/>
        <w:t>أن يكون العقد قد سُجّل لدى إحدى المحاكم في الدولة المحرر فيها؛</w:t>
      </w:r>
    </w:p>
    <w:p w:rsidR="0073566C" w:rsidRDefault="0073566C" w:rsidP="0073566C">
      <w:pPr>
        <w:pStyle w:val="SingleTxt"/>
        <w:rPr>
          <w:rFonts w:hint="cs"/>
          <w:rtl/>
        </w:rPr>
      </w:pPr>
      <w:r>
        <w:rPr>
          <w:rFonts w:hint="cs"/>
          <w:rtl/>
        </w:rPr>
        <w:tab/>
        <w:t>(2)</w:t>
      </w:r>
      <w:r>
        <w:rPr>
          <w:rFonts w:hint="cs"/>
          <w:rtl/>
        </w:rPr>
        <w:tab/>
        <w:t>ألا يكون أي من الزوجين، عند التسجيل، حاملا لجنسية دولة لا يعترف قانونها بهذا الشكل من فسخ الزواج. ولذلك لا يُعترف بالطلاق الواقع بين زوجين يكون أحدهما على الأقل بلجيكيا أو من مواطني دولة لا تعترف بهذا النظام. فإذا كان هذا الزوج مزدوج الجنسية، كأن يكون بلجيكيا ومغربيا، تطبق المادة 3 من هذه المدونة: تُستبقَى الجنسية البلجيكية إذا كانت من الجنسيات التي يحملها (مبدأ يتفق مع المادة 3 من اتفاقية لاهاي المؤرخة 12 نيسان/أبريل 1930). وفي هذه الحالة لا يُعترف بالطلاق في بلجيكا؛</w:t>
      </w:r>
    </w:p>
    <w:p w:rsidR="0073566C" w:rsidRDefault="0073566C" w:rsidP="0073566C">
      <w:pPr>
        <w:pStyle w:val="SingleTxt"/>
        <w:rPr>
          <w:rFonts w:hint="cs"/>
          <w:rtl/>
        </w:rPr>
      </w:pPr>
      <w:r>
        <w:rPr>
          <w:rFonts w:hint="cs"/>
          <w:rtl/>
        </w:rPr>
        <w:tab/>
        <w:t>(3)</w:t>
      </w:r>
      <w:r>
        <w:rPr>
          <w:rFonts w:hint="cs"/>
          <w:rtl/>
        </w:rPr>
        <w:tab/>
        <w:t>ألا يكون أي من الزوجين، عند التسج</w:t>
      </w:r>
      <w:r w:rsidR="00086998">
        <w:rPr>
          <w:rFonts w:hint="cs"/>
          <w:rtl/>
        </w:rPr>
        <w:t>يل، مقيما بشكل طبيعي في دولة لا</w:t>
      </w:r>
      <w:r w:rsidR="00086998">
        <w:rPr>
          <w:rFonts w:hint="eastAsia"/>
          <w:rtl/>
        </w:rPr>
        <w:t> </w:t>
      </w:r>
      <w:r>
        <w:rPr>
          <w:rFonts w:hint="cs"/>
          <w:rtl/>
        </w:rPr>
        <w:t>يعترف قانونها بهذا الشكل من فسخ الزواج. ونتيجة ذلك عدم الاعتراف بالطلاق الذي يقع بين زوجين يكون أحدهما مقيما في بلجيكا أو في دولة أخرى (مثل فرنسا) لا تعرف هذا النظام. ولا يهم كثيرا، في هذا الصدد، أن تعترف هذه الدولة أو لا تعترف بهذا الطلاق؛</w:t>
      </w:r>
    </w:p>
    <w:p w:rsidR="0073566C" w:rsidRDefault="0073566C" w:rsidP="0073566C">
      <w:pPr>
        <w:pStyle w:val="SingleTxt"/>
        <w:rPr>
          <w:rFonts w:hint="cs"/>
          <w:rtl/>
        </w:rPr>
      </w:pPr>
      <w:r>
        <w:rPr>
          <w:rFonts w:hint="cs"/>
          <w:rtl/>
        </w:rPr>
        <w:tab/>
        <w:t>(4)</w:t>
      </w:r>
      <w:r>
        <w:rPr>
          <w:rFonts w:hint="cs"/>
          <w:rtl/>
        </w:rPr>
        <w:tab/>
        <w:t>أن تكون الزوجة قد وافقت بشكل مؤكد ودون ضغط على فسخ الزواج. ومن السهل التحقق من هذا الشرط إذا كانت الزوجة هي التي تطلب الطلاق. فإذا كان الزوج هو الذي يطلب الاعتراف بالطلاق الذي ربما يكون قد وقع منذ عدة أعوام ويكون طرفه الآخر زوجة لا تقيم في بلجيكا، فإن عملية الإثبات قد تكون صعبة. وعلى كل حال فإنه يتعين على الزوج تقديم كل أدلة الإثبات التي يمكن الاعتداد بها وكذلك، بقدر الإمكان، تحديد محل إقامة الزوجة المتخذ الإجراء ضدها؛</w:t>
      </w:r>
    </w:p>
    <w:p w:rsidR="0073566C" w:rsidRDefault="0073566C" w:rsidP="0073566C">
      <w:pPr>
        <w:pStyle w:val="SingleTxt"/>
        <w:rPr>
          <w:rFonts w:hint="cs"/>
          <w:rtl/>
        </w:rPr>
      </w:pPr>
      <w:r>
        <w:rPr>
          <w:rFonts w:hint="cs"/>
          <w:rtl/>
        </w:rPr>
        <w:tab/>
        <w:t>(5)</w:t>
      </w:r>
      <w:r>
        <w:rPr>
          <w:rFonts w:hint="cs"/>
          <w:rtl/>
        </w:rPr>
        <w:tab/>
        <w:t>ألا يكون هناك سبب للرفض منصوص عليه في المادة 25 من مدونة القانون الدولي الخاص يعوق الاعتراف. ومن أسباب الرفض هذه التعارض الواضح مع النظام العام.</w:t>
      </w:r>
    </w:p>
    <w:p w:rsidR="0073566C" w:rsidRPr="00FE2534" w:rsidRDefault="0073566C" w:rsidP="0073566C">
      <w:pPr>
        <w:pStyle w:val="SingleTxt"/>
        <w:spacing w:after="0" w:line="120" w:lineRule="exact"/>
        <w:rPr>
          <w:rFonts w:hint="cs"/>
          <w:sz w:val="12"/>
          <w:rtl/>
        </w:rPr>
      </w:pPr>
    </w:p>
    <w:p w:rsidR="0073566C" w:rsidRDefault="0073566C" w:rsidP="0073566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3 -</w:t>
      </w:r>
      <w:r>
        <w:rPr>
          <w:rFonts w:hint="cs"/>
          <w:rtl/>
        </w:rPr>
        <w:tab/>
        <w:t>حماية الحياة العائلية</w:t>
      </w:r>
    </w:p>
    <w:p w:rsidR="0073566C" w:rsidRDefault="0073566C" w:rsidP="0073566C">
      <w:pPr>
        <w:pStyle w:val="SingleTxt"/>
        <w:rPr>
          <w:rFonts w:hint="cs"/>
          <w:rtl/>
        </w:rPr>
      </w:pPr>
      <w:r>
        <w:rPr>
          <w:rFonts w:hint="cs"/>
          <w:i/>
          <w:iCs/>
          <w:rtl/>
        </w:rPr>
        <w:t>3-1</w:t>
      </w:r>
      <w:r>
        <w:rPr>
          <w:rFonts w:hint="cs"/>
          <w:i/>
          <w:iCs/>
          <w:rtl/>
        </w:rPr>
        <w:tab/>
        <w:t>السلطة الأبوية</w:t>
      </w:r>
    </w:p>
    <w:p w:rsidR="0073566C" w:rsidRDefault="0073566C" w:rsidP="0073566C">
      <w:pPr>
        <w:pStyle w:val="SingleTxt"/>
        <w:rPr>
          <w:rFonts w:hint="cs"/>
          <w:rtl/>
        </w:rPr>
      </w:pPr>
      <w:r>
        <w:rPr>
          <w:rFonts w:hint="cs"/>
          <w:rtl/>
        </w:rPr>
        <w:tab/>
        <w:t xml:space="preserve">ينص </w:t>
      </w:r>
      <w:r>
        <w:rPr>
          <w:rFonts w:hint="cs"/>
          <w:i/>
          <w:iCs/>
          <w:rtl/>
        </w:rPr>
        <w:t>القانون المؤرخ 18 تموز/يوليه 2006، الذي يسعى إلى تعزيز الرعاية المتساوية للطفل</w:t>
      </w:r>
      <w:r>
        <w:rPr>
          <w:rFonts w:hint="cs"/>
          <w:rtl/>
        </w:rPr>
        <w:t xml:space="preserve"> المنفصل  أبواه، والذي ينظم التنفيذ الجبري في مسألة رعاية الطفل (الجريدة الرسمية الصادرة في 4 أيلول/سبتمبر 2006)، والذي بدأ نفاذه في 15 أيلول/سبتمبر 2006، على أنه يتعين على القاضي الذي ينظر في انفصال الزوجين أن يعطي الأولوية من الآن فصاعدا للمسؤولية الأبوية المشتركة. ويمكن الآن للطفل الذي انفصل أبواه أن يقيم لدى والده قدر إقامته لدى والدته.</w:t>
      </w:r>
    </w:p>
    <w:p w:rsidR="0073566C" w:rsidRDefault="0073566C" w:rsidP="0073566C">
      <w:pPr>
        <w:pStyle w:val="SingleTxt"/>
        <w:rPr>
          <w:rFonts w:hint="cs"/>
          <w:rtl/>
        </w:rPr>
      </w:pPr>
      <w:r>
        <w:rPr>
          <w:rFonts w:hint="cs"/>
          <w:i/>
          <w:iCs/>
          <w:rtl/>
        </w:rPr>
        <w:t>3-2</w:t>
      </w:r>
      <w:r>
        <w:rPr>
          <w:rFonts w:hint="cs"/>
          <w:i/>
          <w:iCs/>
          <w:rtl/>
        </w:rPr>
        <w:tab/>
        <w:t>التبني</w:t>
      </w:r>
    </w:p>
    <w:p w:rsidR="0073566C" w:rsidRDefault="0073566C" w:rsidP="0073566C">
      <w:pPr>
        <w:pStyle w:val="SingleTxt"/>
        <w:rPr>
          <w:rFonts w:hint="cs"/>
          <w:rtl/>
        </w:rPr>
      </w:pPr>
      <w:r>
        <w:rPr>
          <w:rFonts w:hint="cs"/>
          <w:rtl/>
        </w:rPr>
        <w:tab/>
        <w:t>فيما يتعلق بالتبني، حدثت تغيرات تشريعية مهمة في 24 نيسان/أبريل 2003 (قانون تعديل التبني، الجريدة الرسمية الصادرة في 16 أيار/مايو 2003)، وفي 13 آذار/مارس 2003 (القانون المعدِّل للمدونة القانونية الخاصة بالتبني). وقد بدأ نفاذ هذين القانونين في 1 أيلول/سبتمبر 2005. وكانت هذه التعديلات التشريعية ترمي إلى تحقيق هدفين أساسيين. فهي من ناحية تنقل إلى القانون البلجيكي التعديلات اللازمة لتنفيذ اتفاقية لاهاي المؤرخة 29 أيار/مايو 1993 بشأن حماية الأطفال والتعاون في مجال التبني على الصعيد الدولي. فالتبني يجب أن يقوم على دوافع سليمة، ولا يمكن أن يتم إلا بما يحقق المصلحة العليا للطفل ويحترم الحقوق الأساسية المعترف له بها في القانون الدولي. وكان التصديق على الاتفاقية بمثابة خطوة مهمة على طريق هذا الاحترام ومنع الانتهاك. وقد أودعت وثيقة التصديق على الاتفاقية في أيار/مايو 2005، ونجم عن ذلك دخول الاتفاقية حيز النفاذ بالنسبة إلى بلجيكا في 1 أيلول/سبتمبر. على أن الجدير بالذكر أن هذه الاتفاقية لا تنطبق، في علاقاتنا مع الدول المتعاقدة الأخرى، إلا على الإجراءات الجديدة (عمليات التبني التي تبدأ بعد 1 أيلول/سبتمبر 2005). واعتبارا من هذا التاريخ، يجب أن يتم التبني تحت إشراف هيئة توافق عليها المجتمعات أو، في حالة عدم وجودها، تحت إشراف السلطة المركزية المجتمعية. وبذلك يمتنع، اعتبارا من 1 أيلول/سبتمبر 2005، اتخاذ أي إجراء للتبني الحر.</w:t>
      </w:r>
    </w:p>
    <w:p w:rsidR="0073566C" w:rsidRDefault="0073566C" w:rsidP="0073566C">
      <w:pPr>
        <w:pStyle w:val="SingleTxt"/>
        <w:rPr>
          <w:rFonts w:hint="cs"/>
          <w:rtl/>
        </w:rPr>
      </w:pPr>
      <w:r>
        <w:rPr>
          <w:rFonts w:hint="cs"/>
          <w:rtl/>
        </w:rPr>
        <w:tab/>
        <w:t>ومن ناحية أخرى فإن هدف  التعديل هو سدّ النقص في التشريع السابق، وتحديث قانون التبني، وإدخال عدد من الأمور الجديدة عليه (مثل السماح بالتبني العام لشخصين غير متزوجين من جنس مختلف ليست بينهما صلة قرابة، بل تربطهما صلة عاطفية دائمة، وكانا يتساكنان منذ ثلاثة أعوام على الأقل قبل الشروع في إجراءات التبني؛ وضرورة استناد تبني الطفل إلى مصلحته العليا من حيث الحقوق الأساسية التي يكفلها له القانون الدولي؛ إلخ).</w:t>
      </w:r>
    </w:p>
    <w:p w:rsidR="0073566C" w:rsidRDefault="0073566C" w:rsidP="0073566C">
      <w:pPr>
        <w:pStyle w:val="SingleTxt"/>
        <w:rPr>
          <w:rFonts w:hint="cs"/>
          <w:rtl/>
        </w:rPr>
      </w:pPr>
      <w:r>
        <w:rPr>
          <w:rFonts w:hint="cs"/>
          <w:rtl/>
        </w:rPr>
        <w:tab/>
        <w:t xml:space="preserve">ويضاف إلى ذلك أن الفصل المخصص للعدالة في </w:t>
      </w:r>
      <w:r>
        <w:rPr>
          <w:rFonts w:hint="cs"/>
          <w:i/>
          <w:iCs/>
          <w:rtl/>
        </w:rPr>
        <w:t>القانون الإطاري المؤرخ 27 كانون الأول/ديسمبر 2004</w:t>
      </w:r>
      <w:r>
        <w:rPr>
          <w:rFonts w:hint="cs"/>
          <w:rtl/>
        </w:rPr>
        <w:t>، والقانون المؤرخ 20 تموز/يوليه 2005 والمتضمن أحكاما مختلفة، والقانون المؤرخ 6 كانون الأول/ديسمبر 2005 المعدِّل لبعض أحكام التبني، تهدف كلها إلى إدخال بعض التعديلات على القانون المؤرخ 24 نيسان/أبريل 2003. فهذه القوانين تضيف أحكاما انتقالية إلى هذا القانون، وتحدد طرائق الطعن في قرارات السلطة المركزية الاتحادية فيما يتعلق بالاعتراف بحالات التبني التي تتم في الخارج، وتعدل طريقة تقديم طلب التبني (طلب فردي)، وأخيرا تنظم الاعتراف بالإجراءات التي تسمح بنقل الطفل إلى بلجيكا من أجل تبنيه والتي تتخذ في بلد للمنشأ لا يعرف التبني.</w:t>
      </w:r>
    </w:p>
    <w:p w:rsidR="0073566C" w:rsidRDefault="0073566C" w:rsidP="0073566C">
      <w:pPr>
        <w:pStyle w:val="SingleTxt"/>
        <w:rPr>
          <w:rFonts w:hint="cs"/>
          <w:rtl/>
        </w:rPr>
      </w:pPr>
      <w:r>
        <w:rPr>
          <w:rFonts w:hint="cs"/>
          <w:rtl/>
        </w:rPr>
        <w:tab/>
        <w:t xml:space="preserve">وفي 30 حزيران/يونيه 2006، بدأ نفاذ </w:t>
      </w:r>
      <w:r>
        <w:rPr>
          <w:rFonts w:hint="cs"/>
          <w:i/>
          <w:iCs/>
          <w:rtl/>
        </w:rPr>
        <w:t>القانون المؤرخ 18 أيار/مايو 2006</w:t>
      </w:r>
      <w:r>
        <w:rPr>
          <w:rFonts w:hint="cs"/>
          <w:rtl/>
        </w:rPr>
        <w:t xml:space="preserve"> المعدِّل لبعض أحكام القانون المدني من أجل السماح بالتبني لزوجين من جنس واحد (الجريدة الرسمية الصادرة في 20 حزيران/يونيه 2006، الطبعة 2). وقد حُذفت من القانون المدني الإشارة إلى المتبنين المنتمين إلى جنسين مختلفين، وأدرجت أحكام خاصة فيما يتعلق باسم المتبنَّى، سواء في التبني البسيط أو العام.</w:t>
      </w:r>
    </w:p>
    <w:p w:rsidR="0073566C" w:rsidRDefault="0073566C" w:rsidP="0073566C">
      <w:pPr>
        <w:pStyle w:val="SingleTxt"/>
        <w:rPr>
          <w:rFonts w:hint="cs"/>
          <w:rtl/>
        </w:rPr>
      </w:pPr>
      <w:r>
        <w:rPr>
          <w:rFonts w:hint="cs"/>
          <w:rtl/>
        </w:rPr>
        <w:tab/>
        <w:t>وفحوى هذا المبدأ أن الزوجين أو المتعاشريْن من نفس الجنس اللذين يتبنّيان طفلا يجب أن يحددا من منهما سيتسمى الطفل باسمه. وسيطلق هذا الإسم على الأطفال الذين سيتبنياهم فيما بعد.</w:t>
      </w:r>
    </w:p>
    <w:p w:rsidR="0073566C" w:rsidRPr="00E84EA2" w:rsidRDefault="0073566C" w:rsidP="0073566C">
      <w:pPr>
        <w:pStyle w:val="SingleTxt"/>
        <w:spacing w:after="0" w:line="120" w:lineRule="exact"/>
        <w:rPr>
          <w:rFonts w:hint="cs"/>
          <w:sz w:val="12"/>
          <w:rtl/>
        </w:rPr>
      </w:pPr>
    </w:p>
    <w:p w:rsidR="0073566C" w:rsidRDefault="0073566C" w:rsidP="0073566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4 -</w:t>
      </w:r>
      <w:r>
        <w:rPr>
          <w:rFonts w:hint="cs"/>
          <w:rtl/>
        </w:rPr>
        <w:tab/>
        <w:t>اسم الطفل</w:t>
      </w:r>
    </w:p>
    <w:p w:rsidR="0073566C" w:rsidRDefault="0073566C" w:rsidP="0073566C">
      <w:pPr>
        <w:pStyle w:val="SingleTxt"/>
        <w:rPr>
          <w:rFonts w:hint="cs"/>
          <w:rtl/>
        </w:rPr>
      </w:pPr>
      <w:r>
        <w:rPr>
          <w:rFonts w:hint="cs"/>
          <w:rtl/>
        </w:rPr>
        <w:tab/>
        <w:t>على الرغم من عدم ظهور مشروع القانون الذي أعدته الحكومة الاتحادية، فإن عدة اقتراحات بقوانين قدمت في الدورة التشريعية الحالية من أجل النص أساسا على المساواة بين الأبوين في تسمية الطفل، ومنها:</w:t>
      </w:r>
    </w:p>
    <w:p w:rsidR="0073566C" w:rsidRDefault="0073566C" w:rsidP="0073566C">
      <w:pPr>
        <w:pStyle w:val="SingleTxt"/>
        <w:rPr>
          <w:rFonts w:hint="cs"/>
          <w:rtl/>
        </w:rPr>
      </w:pPr>
      <w:r>
        <w:rPr>
          <w:rFonts w:hint="cs"/>
          <w:rtl/>
        </w:rPr>
        <w:tab/>
        <w:t>(1)</w:t>
      </w:r>
      <w:r>
        <w:rPr>
          <w:rFonts w:hint="cs"/>
          <w:rtl/>
        </w:rPr>
        <w:tab/>
        <w:t xml:space="preserve">اقتراح بقانون لتعديل المادة 335 من القانون المدني بشأن تسمية الطفل، </w:t>
      </w:r>
      <w:r>
        <w:rPr>
          <w:rFonts w:hint="cs"/>
          <w:i/>
          <w:iCs/>
          <w:rtl/>
        </w:rPr>
        <w:t>الوثائق البرلمانية</w:t>
      </w:r>
      <w:r>
        <w:rPr>
          <w:rFonts w:hint="cs"/>
          <w:rtl/>
        </w:rPr>
        <w:t>، مجلس النواب، الدورة العادية 2003-2004، 001/089؛</w:t>
      </w:r>
    </w:p>
    <w:p w:rsidR="0073566C" w:rsidRDefault="0073566C" w:rsidP="0073566C">
      <w:pPr>
        <w:pStyle w:val="SingleTxt"/>
        <w:rPr>
          <w:rFonts w:hint="cs"/>
          <w:rtl/>
        </w:rPr>
      </w:pPr>
      <w:r>
        <w:rPr>
          <w:rFonts w:hint="cs"/>
          <w:rtl/>
        </w:rPr>
        <w:tab/>
        <w:t>(2)</w:t>
      </w:r>
      <w:r>
        <w:rPr>
          <w:rFonts w:hint="cs"/>
          <w:rtl/>
        </w:rPr>
        <w:tab/>
        <w:t xml:space="preserve">اقتراح بقانون لتعديل القانون المدني فيما يتعلق باللقب، </w:t>
      </w:r>
      <w:r>
        <w:rPr>
          <w:rFonts w:hint="cs"/>
          <w:i/>
          <w:iCs/>
          <w:rtl/>
        </w:rPr>
        <w:t>الوثائق البرلمانية</w:t>
      </w:r>
      <w:r>
        <w:rPr>
          <w:rFonts w:hint="cs"/>
          <w:rtl/>
        </w:rPr>
        <w:t>، مجلس النواب، الدورة العادية 2003-2004، 001/0248؛</w:t>
      </w:r>
    </w:p>
    <w:p w:rsidR="0073566C" w:rsidRDefault="0073566C" w:rsidP="0073566C">
      <w:pPr>
        <w:pStyle w:val="SingleTxt"/>
        <w:rPr>
          <w:rFonts w:hint="cs"/>
          <w:rtl/>
        </w:rPr>
      </w:pPr>
      <w:r>
        <w:rPr>
          <w:rFonts w:hint="cs"/>
          <w:rtl/>
        </w:rPr>
        <w:tab/>
        <w:t>(3)</w:t>
      </w:r>
      <w:r>
        <w:rPr>
          <w:rFonts w:hint="cs"/>
          <w:rtl/>
        </w:rPr>
        <w:tab/>
        <w:t xml:space="preserve">اقتراح بقانون لإلغاء الفقرة 2 من البند 3 من القانون المدني، </w:t>
      </w:r>
      <w:r>
        <w:rPr>
          <w:rFonts w:hint="cs"/>
          <w:i/>
          <w:iCs/>
          <w:rtl/>
        </w:rPr>
        <w:t>الوثائق البرلمانية</w:t>
      </w:r>
      <w:r>
        <w:rPr>
          <w:rFonts w:hint="cs"/>
          <w:rtl/>
        </w:rPr>
        <w:t>، مجلس النواب، الدورة العادية 2003-2004، 001/0338؛</w:t>
      </w:r>
    </w:p>
    <w:p w:rsidR="0073566C" w:rsidRDefault="0073566C" w:rsidP="0073566C">
      <w:pPr>
        <w:pStyle w:val="SingleTxt"/>
        <w:rPr>
          <w:rFonts w:hint="cs"/>
          <w:rtl/>
        </w:rPr>
      </w:pPr>
      <w:r>
        <w:rPr>
          <w:rFonts w:hint="cs"/>
          <w:rtl/>
        </w:rPr>
        <w:tab/>
        <w:t>(4)</w:t>
      </w:r>
      <w:r>
        <w:rPr>
          <w:rFonts w:hint="cs"/>
          <w:rtl/>
        </w:rPr>
        <w:tab/>
        <w:t xml:space="preserve">اقتراح بقانون لتعديل القانون المدني فيما يتعلق بآثار البنوة والتبني على اسم الطفل، </w:t>
      </w:r>
      <w:r>
        <w:rPr>
          <w:rFonts w:hint="cs"/>
          <w:i/>
          <w:iCs/>
          <w:rtl/>
        </w:rPr>
        <w:t>الوثائق البرلمانية</w:t>
      </w:r>
      <w:r>
        <w:rPr>
          <w:rFonts w:hint="cs"/>
          <w:rtl/>
        </w:rPr>
        <w:t>، مجلس النواب، الدورة العادية 2004-2005، 001/0724؛</w:t>
      </w:r>
    </w:p>
    <w:p w:rsidR="0073566C" w:rsidRDefault="0073566C" w:rsidP="0073566C">
      <w:pPr>
        <w:pStyle w:val="SingleTxt"/>
        <w:rPr>
          <w:rFonts w:hint="cs"/>
          <w:rtl/>
        </w:rPr>
      </w:pPr>
      <w:r>
        <w:rPr>
          <w:rFonts w:hint="cs"/>
          <w:rtl/>
        </w:rPr>
        <w:tab/>
        <w:t>(5)</w:t>
      </w:r>
      <w:r>
        <w:rPr>
          <w:rFonts w:hint="cs"/>
          <w:rtl/>
        </w:rPr>
        <w:tab/>
        <w:t xml:space="preserve">اقتراح بقانون لتعديل القانون المدني فيما يتعلق بإطلاق اسم الأسرة لضمان انتقال هوية الأسرة عن طريق حمل الاسم المزدوج، </w:t>
      </w:r>
      <w:r>
        <w:rPr>
          <w:rFonts w:hint="cs"/>
          <w:i/>
          <w:iCs/>
          <w:rtl/>
        </w:rPr>
        <w:t>الوثائق البرلمانية</w:t>
      </w:r>
      <w:r>
        <w:rPr>
          <w:rFonts w:hint="cs"/>
          <w:rtl/>
        </w:rPr>
        <w:t>، مجلس النواب، الدورة العادية 2005-2006، 001/2037؛</w:t>
      </w:r>
    </w:p>
    <w:p w:rsidR="0073566C" w:rsidRDefault="0073566C" w:rsidP="0073566C">
      <w:pPr>
        <w:pStyle w:val="SingleTxt"/>
        <w:rPr>
          <w:rFonts w:hint="cs"/>
          <w:rtl/>
        </w:rPr>
      </w:pPr>
      <w:r>
        <w:rPr>
          <w:rFonts w:hint="cs"/>
          <w:rtl/>
        </w:rPr>
        <w:tab/>
        <w:t>(6)</w:t>
      </w:r>
      <w:r>
        <w:rPr>
          <w:rFonts w:hint="cs"/>
          <w:rtl/>
        </w:rPr>
        <w:tab/>
        <w:t xml:space="preserve">اقتراح بقانون لتعديل القانون المدني فيما يتعلق بإطلاق اسم الأسرة من أجل إثبات البنوة للأم بوضوح، مع الإبقاء على حقيقة البنوة للأب، </w:t>
      </w:r>
      <w:r>
        <w:rPr>
          <w:rFonts w:hint="cs"/>
          <w:i/>
          <w:iCs/>
          <w:rtl/>
        </w:rPr>
        <w:t>الوثائق البرلمانية</w:t>
      </w:r>
      <w:r>
        <w:rPr>
          <w:rFonts w:hint="cs"/>
          <w:rtl/>
        </w:rPr>
        <w:t>، مجلس النواب، الدورة العادية 2005-2006، 001/2507.</w:t>
      </w:r>
    </w:p>
    <w:p w:rsidR="0073566C" w:rsidRPr="00100412" w:rsidRDefault="0073566C" w:rsidP="0073566C">
      <w:pPr>
        <w:pStyle w:val="SingleTxt"/>
        <w:spacing w:after="0" w:line="120" w:lineRule="exact"/>
        <w:rPr>
          <w:rFonts w:hint="cs"/>
          <w:sz w:val="12"/>
          <w:rtl/>
        </w:rPr>
      </w:pPr>
    </w:p>
    <w:p w:rsidR="0073566C" w:rsidRDefault="0073566C" w:rsidP="0073566C">
      <w:pPr>
        <w:pStyle w:val="HCh"/>
        <w:tabs>
          <w:tab w:val="right" w:pos="1022"/>
          <w:tab w:val="left" w:pos="1267"/>
          <w:tab w:val="left" w:pos="1930"/>
          <w:tab w:val="left" w:pos="2228"/>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ثانيا -</w:t>
      </w:r>
      <w:r>
        <w:rPr>
          <w:rFonts w:hint="cs"/>
          <w:rtl/>
        </w:rPr>
        <w:tab/>
        <w:t>الكيانات الاتحادية</w:t>
      </w:r>
    </w:p>
    <w:p w:rsidR="0073566C" w:rsidRDefault="0073566C" w:rsidP="0073566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ألف -</w:t>
      </w:r>
      <w:r>
        <w:rPr>
          <w:rFonts w:hint="cs"/>
          <w:rtl/>
        </w:rPr>
        <w:tab/>
        <w:t>المجتمع الفرنسي</w:t>
      </w:r>
    </w:p>
    <w:p w:rsidR="0073566C" w:rsidRDefault="0073566C" w:rsidP="0073566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1 -</w:t>
      </w:r>
      <w:r>
        <w:rPr>
          <w:rFonts w:hint="cs"/>
          <w:rtl/>
        </w:rPr>
        <w:tab/>
        <w:t>دعم  الوالدية</w:t>
      </w:r>
    </w:p>
    <w:p w:rsidR="0073566C" w:rsidRPr="00086998" w:rsidRDefault="0073566C" w:rsidP="0073566C">
      <w:pPr>
        <w:pStyle w:val="SingleTxt"/>
        <w:rPr>
          <w:rFonts w:hint="cs"/>
          <w:rtl/>
        </w:rPr>
      </w:pPr>
      <w:r w:rsidRPr="00086998">
        <w:rPr>
          <w:rFonts w:hint="cs"/>
          <w:rtl/>
        </w:rPr>
        <w:tab/>
        <w:t>أنشأ مكتب المواليد والطفولة، من أجل دعم الأسر في الدور الذي تؤديه، وحدة لدعم الوالدية تتمثل مهمتها الأساسية في توفير المرافقة في أماكن التقاء الوالدين بالأطفال.</w:t>
      </w:r>
    </w:p>
    <w:p w:rsidR="0073566C" w:rsidRDefault="0073566C" w:rsidP="0073566C">
      <w:pPr>
        <w:pStyle w:val="SingleTxt"/>
        <w:rPr>
          <w:rFonts w:hint="cs"/>
          <w:rtl/>
        </w:rPr>
      </w:pPr>
      <w:r>
        <w:rPr>
          <w:rFonts w:hint="cs"/>
          <w:rtl/>
        </w:rPr>
        <w:tab/>
        <w:t xml:space="preserve">وقد أعد المكتب في عام 2005 دفترا بعنوان </w:t>
      </w:r>
      <w:r>
        <w:rPr>
          <w:rFonts w:hint="eastAsia"/>
          <w:rtl/>
        </w:rPr>
        <w:t>”أن تصبحا والديْن</w:t>
      </w:r>
      <w:r>
        <w:rPr>
          <w:rFonts w:hint="cs"/>
          <w:rtl/>
        </w:rPr>
        <w:t>“، وهو أداة جديدة لدعم الوالدية توزع على جميع الوالدين الجدد وتح</w:t>
      </w:r>
      <w:r w:rsidR="00086998">
        <w:rPr>
          <w:rFonts w:hint="cs"/>
          <w:rtl/>
        </w:rPr>
        <w:t>توي على المعلومات ذات الصلة بما</w:t>
      </w:r>
      <w:r w:rsidR="00086998">
        <w:rPr>
          <w:rFonts w:hint="eastAsia"/>
          <w:rtl/>
        </w:rPr>
        <w:t> </w:t>
      </w:r>
      <w:r>
        <w:rPr>
          <w:rFonts w:hint="cs"/>
          <w:rtl/>
        </w:rPr>
        <w:t>يلي:</w:t>
      </w:r>
    </w:p>
    <w:p w:rsidR="0073566C" w:rsidRDefault="0073566C" w:rsidP="0073566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المرافقة الوقائية الساعية إلى تحقيق رفاهية الطفل؛</w:t>
      </w:r>
    </w:p>
    <w:p w:rsidR="0073566C" w:rsidRDefault="0073566C" w:rsidP="0073566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المعلومات المتعلقة بالتربية الصحية؛</w:t>
      </w:r>
    </w:p>
    <w:p w:rsidR="0073566C" w:rsidRDefault="0073566C" w:rsidP="0073566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مسؤولية الوالدين وحقوق الطفل؛</w:t>
      </w:r>
    </w:p>
    <w:p w:rsidR="0073566C" w:rsidRDefault="0073566C" w:rsidP="0073566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مختلف التدابير والمساعي المحيطة بالولادة.</w:t>
      </w:r>
    </w:p>
    <w:p w:rsidR="0073566C" w:rsidRDefault="0073566C" w:rsidP="0073566C">
      <w:pPr>
        <w:pStyle w:val="SingleTxt"/>
        <w:rPr>
          <w:rFonts w:hint="cs"/>
          <w:rtl/>
        </w:rPr>
      </w:pPr>
      <w:r>
        <w:rPr>
          <w:rFonts w:hint="cs"/>
          <w:rtl/>
        </w:rPr>
        <w:tab/>
        <w:t xml:space="preserve">وقد استمر إعلام الوالدين عن طريق إعداد برامج سريعة (برامج تلفزيونية قصيرة). ويشترك المكتب وهيئة الإذاعة والتلفزيون الناطقين بالفرنسية في إنتاج هذه البرامج السريعة بعنوان </w:t>
      </w:r>
      <w:r>
        <w:rPr>
          <w:rFonts w:hint="eastAsia"/>
          <w:rtl/>
        </w:rPr>
        <w:t>”على الهواء مع الأسرة</w:t>
      </w:r>
      <w:r>
        <w:rPr>
          <w:rFonts w:hint="cs"/>
          <w:rtl/>
        </w:rPr>
        <w:t>“، ومدتها دقيقتان. وهذه البرامج الموجهة إلى الوالدين تندرج في إطار مهمة دعم الوالدية التي يضطلع بها المكتب. ومن هنا فإن أول ما تطمح إليه هذه البرامج السريعة اليومية هو تعريف الأسر بشكل أفضل بالخدمات المجانية العديدة التي يتيحها لها المكتب، وكذلك إطلاعها على ما يتصل بصحة وتنشئة الأطفال فيما بين صفر و12 عاما من العمر.</w:t>
      </w:r>
    </w:p>
    <w:p w:rsidR="0073566C" w:rsidRDefault="0073566C" w:rsidP="0073566C">
      <w:pPr>
        <w:pStyle w:val="SingleTxt"/>
        <w:rPr>
          <w:rFonts w:hint="cs"/>
          <w:rtl/>
        </w:rPr>
      </w:pPr>
      <w:r>
        <w:rPr>
          <w:rFonts w:hint="cs"/>
          <w:rtl/>
        </w:rPr>
        <w:tab/>
        <w:t xml:space="preserve">ويدخل أيضا في عداد دعم الوالدية ما يقوم به المكتب من حملات مواضيعية سنوية على نطاق واسع. وفي عام 2004 بدأت حملة </w:t>
      </w:r>
      <w:r>
        <w:rPr>
          <w:rFonts w:hint="eastAsia"/>
          <w:rtl/>
        </w:rPr>
        <w:t>”مرافقة الدخول في دار الحضانة</w:t>
      </w:r>
      <w:r>
        <w:rPr>
          <w:rFonts w:hint="cs"/>
          <w:rtl/>
        </w:rPr>
        <w:t>“، واستمرت في عام 2005. وكان هدف هذه الحملة هو توعية الجمهور العريض والمتخصصين في الطفولة المبكرة بأهمية مرافقة الطفل - والوالدين - عند دخول دار الحضانة.</w:t>
      </w:r>
    </w:p>
    <w:p w:rsidR="0073566C" w:rsidRPr="008427C1" w:rsidRDefault="0073566C" w:rsidP="0073566C">
      <w:pPr>
        <w:pStyle w:val="SingleTxt"/>
        <w:spacing w:after="0" w:line="120" w:lineRule="exact"/>
        <w:rPr>
          <w:rFonts w:hint="cs"/>
          <w:sz w:val="12"/>
          <w:rtl/>
        </w:rPr>
      </w:pPr>
    </w:p>
    <w:p w:rsidR="0073566C" w:rsidRDefault="0073566C" w:rsidP="0073566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2 -</w:t>
      </w:r>
      <w:r>
        <w:rPr>
          <w:rFonts w:hint="cs"/>
          <w:rtl/>
        </w:rPr>
        <w:tab/>
        <w:t>الزواج القسري</w:t>
      </w:r>
    </w:p>
    <w:p w:rsidR="0073566C" w:rsidRDefault="0073566C" w:rsidP="0073566C">
      <w:pPr>
        <w:pStyle w:val="SingleTxt"/>
        <w:rPr>
          <w:rFonts w:hint="cs"/>
          <w:rtl/>
        </w:rPr>
      </w:pPr>
      <w:r>
        <w:rPr>
          <w:rFonts w:hint="cs"/>
          <w:rtl/>
        </w:rPr>
        <w:tab/>
        <w:t xml:space="preserve">في عام 2003 طلب وزير التعليم الثانوي، بناء على طلب العديد من رؤساء المؤسسات، إلى إدارة تكافؤ الفرص وضع تقرير يساعد على البت في مسألة </w:t>
      </w:r>
      <w:r>
        <w:rPr>
          <w:rFonts w:hint="eastAsia"/>
          <w:rtl/>
        </w:rPr>
        <w:t>”الزواج القسري</w:t>
      </w:r>
      <w:r>
        <w:rPr>
          <w:rFonts w:hint="cs"/>
          <w:rtl/>
        </w:rPr>
        <w:t>“ في المجتمع الفرنسي، وإعداد تصور للاحتمالات الممكنة لمساعدة الشابات المعنيات.</w:t>
      </w:r>
    </w:p>
    <w:p w:rsidR="0073566C" w:rsidRDefault="0073566C" w:rsidP="0073566C">
      <w:pPr>
        <w:pStyle w:val="SingleTxt"/>
        <w:rPr>
          <w:rFonts w:hint="cs"/>
          <w:rtl/>
        </w:rPr>
      </w:pPr>
      <w:r>
        <w:rPr>
          <w:rFonts w:hint="cs"/>
          <w:rtl/>
        </w:rPr>
        <w:tab/>
        <w:t>وقد أشار تقرير الإدارة إلى غياب المعلومات الكمية والنوعية في هذا الشأن في المجتمع الفرنسي، وقام ببحث استطلاعي في هذه المسألة لتحقيق الأهداف التالية:</w:t>
      </w:r>
    </w:p>
    <w:p w:rsidR="0073566C" w:rsidRDefault="0073566C" w:rsidP="00086998">
      <w:pPr>
        <w:pStyle w:val="SingleTxt"/>
        <w:rPr>
          <w:rFonts w:hint="cs"/>
          <w:rtl/>
        </w:rPr>
      </w:pPr>
      <w:r w:rsidRPr="008427C1">
        <w:rPr>
          <w:rFonts w:hint="cs"/>
          <w:rtl/>
        </w:rPr>
        <w:tab/>
        <w:t>دراسة قيم وتطلعات الشباب الذين تتراوح أعمارهم بين 15 و18 عاما فيما يتعلق بالزوا</w:t>
      </w:r>
      <w:r>
        <w:rPr>
          <w:rFonts w:hint="cs"/>
          <w:rtl/>
        </w:rPr>
        <w:t>ج</w:t>
      </w:r>
      <w:r w:rsidRPr="008427C1">
        <w:rPr>
          <w:rFonts w:hint="cs"/>
          <w:rtl/>
        </w:rPr>
        <w:t xml:space="preserve"> وحياة الزوجين؛</w:t>
      </w:r>
    </w:p>
    <w:p w:rsidR="0073566C" w:rsidRDefault="0073566C" w:rsidP="00086998">
      <w:pPr>
        <w:pStyle w:val="SingleTxt"/>
        <w:rPr>
          <w:rFonts w:hint="cs"/>
          <w:rtl/>
        </w:rPr>
      </w:pPr>
      <w:r>
        <w:rPr>
          <w:rFonts w:hint="cs"/>
          <w:rtl/>
        </w:rPr>
        <w:tab/>
        <w:t>رصد معرفتهم بالزواج القسري وخصائص الحالات التي يتم فيها هذا الزواج تحت الضغط وما يترتب عليه من آثار؛</w:t>
      </w:r>
    </w:p>
    <w:p w:rsidR="0073566C" w:rsidRDefault="0073566C" w:rsidP="00086998">
      <w:pPr>
        <w:pStyle w:val="SingleTxt"/>
        <w:rPr>
          <w:rFonts w:hint="cs"/>
          <w:rtl/>
        </w:rPr>
      </w:pPr>
      <w:r>
        <w:rPr>
          <w:rFonts w:hint="cs"/>
          <w:rtl/>
        </w:rPr>
        <w:tab/>
        <w:t>الاستعانة بهذه الملاحظات في تحليل العوامل التي تنشأ وتحدد تطور هذا النوع من السلوكيات؛</w:t>
      </w:r>
    </w:p>
    <w:p w:rsidR="0073566C" w:rsidRDefault="0073566C" w:rsidP="00086998">
      <w:pPr>
        <w:pStyle w:val="SingleTxt"/>
        <w:rPr>
          <w:rFonts w:hint="cs"/>
          <w:rtl/>
        </w:rPr>
      </w:pPr>
      <w:r>
        <w:rPr>
          <w:rFonts w:hint="cs"/>
          <w:rtl/>
        </w:rPr>
        <w:tab/>
        <w:t>اقتراح المسارات التي تساعد على منع حدوث هذه الظاهرة وتوفير المساعدة للشبان والشابات من القصّر والبالغين من ضحايا هذه الظاهرة.</w:t>
      </w:r>
    </w:p>
    <w:p w:rsidR="0073566C" w:rsidRDefault="0073566C" w:rsidP="0073566C">
      <w:pPr>
        <w:pStyle w:val="SingleTxt"/>
        <w:rPr>
          <w:rFonts w:hint="cs"/>
          <w:rtl/>
        </w:rPr>
      </w:pPr>
      <w:r>
        <w:rPr>
          <w:rFonts w:hint="cs"/>
          <w:rtl/>
        </w:rPr>
        <w:tab/>
        <w:t xml:space="preserve">وقد أُبلغت النتائج الأولية للدراسة إلى الصحافة في عام 2004. وللعمل أيضا على نشر نتائج هذه الدراسة الاستطلاعية، عرض العدد رقم 15 من </w:t>
      </w:r>
      <w:r>
        <w:rPr>
          <w:rFonts w:hint="cs"/>
          <w:i/>
          <w:iCs/>
          <w:rtl/>
        </w:rPr>
        <w:t>سلوكيات</w:t>
      </w:r>
      <w:r>
        <w:rPr>
          <w:rFonts w:hint="cs"/>
          <w:rtl/>
        </w:rPr>
        <w:t xml:space="preserve">، في كانون الأول/ديسمبر 2004، النتائج الرئيسية تحت عنوان </w:t>
      </w:r>
      <w:r>
        <w:rPr>
          <w:rFonts w:hint="eastAsia"/>
          <w:rtl/>
        </w:rPr>
        <w:t>”</w:t>
      </w:r>
      <w:r>
        <w:rPr>
          <w:rFonts w:hint="cs"/>
          <w:i/>
          <w:iCs/>
          <w:rtl/>
        </w:rPr>
        <w:t>الزواج الطوعي، الزواج المفروض: أي مجازفة يتعرض لها الشباب؟</w:t>
      </w:r>
      <w:r>
        <w:rPr>
          <w:rFonts w:hint="eastAsia"/>
          <w:rtl/>
        </w:rPr>
        <w:t>“</w:t>
      </w:r>
      <w:r>
        <w:rPr>
          <w:rFonts w:hint="cs"/>
          <w:rtl/>
        </w:rPr>
        <w:t>.</w:t>
      </w:r>
    </w:p>
    <w:p w:rsidR="0073566C" w:rsidRDefault="0073566C" w:rsidP="0073566C">
      <w:pPr>
        <w:pStyle w:val="SingleTxt"/>
        <w:rPr>
          <w:rFonts w:hint="cs"/>
          <w:rtl/>
        </w:rPr>
      </w:pPr>
      <w:r>
        <w:rPr>
          <w:rFonts w:hint="cs"/>
          <w:rtl/>
        </w:rPr>
        <w:tab/>
        <w:t xml:space="preserve">ومن ناحية أخرى، وعملا على تعزيز الروابط بين شتى الجهات الفاعلة واتباع نهج منسق وشامل في هذه المسألة ، فقد واكبت هذا المنشور في كانون الثاني/يناير 2005 </w:t>
      </w:r>
      <w:r>
        <w:rPr>
          <w:rFonts w:hint="cs"/>
          <w:i/>
          <w:iCs/>
          <w:rtl/>
        </w:rPr>
        <w:t>ندوة عن مشكلة الزواج القسري</w:t>
      </w:r>
      <w:r>
        <w:rPr>
          <w:rFonts w:hint="cs"/>
          <w:rtl/>
        </w:rPr>
        <w:t xml:space="preserve"> استهدفت ما يلي:</w:t>
      </w:r>
    </w:p>
    <w:p w:rsidR="0073566C" w:rsidRDefault="0073566C" w:rsidP="00086998">
      <w:pPr>
        <w:pStyle w:val="SingleTxt"/>
        <w:rPr>
          <w:rFonts w:hint="cs"/>
          <w:rtl/>
        </w:rPr>
      </w:pPr>
      <w:r>
        <w:rPr>
          <w:rFonts w:hint="cs"/>
          <w:rtl/>
        </w:rPr>
        <w:tab/>
        <w:t>نشر نتائج وتوصيات الدراسة؛</w:t>
      </w:r>
    </w:p>
    <w:p w:rsidR="0073566C" w:rsidRDefault="0073566C" w:rsidP="00086998">
      <w:pPr>
        <w:pStyle w:val="SingleTxt"/>
        <w:rPr>
          <w:rFonts w:hint="cs"/>
          <w:rtl/>
        </w:rPr>
      </w:pPr>
      <w:r>
        <w:rPr>
          <w:rFonts w:hint="cs"/>
          <w:rtl/>
        </w:rPr>
        <w:tab/>
        <w:t>اقتراح مسارات للتفكير وتدابير منسقة، سواء لدى الشباب أو البالغين، للحيلولة دون حدوث الزواج القسري؛</w:t>
      </w:r>
    </w:p>
    <w:p w:rsidR="0073566C" w:rsidRDefault="0073566C" w:rsidP="00086998">
      <w:pPr>
        <w:pStyle w:val="SingleTxt"/>
        <w:rPr>
          <w:rFonts w:hint="cs"/>
          <w:rtl/>
        </w:rPr>
      </w:pPr>
      <w:r>
        <w:rPr>
          <w:rFonts w:hint="cs"/>
          <w:rtl/>
        </w:rPr>
        <w:tab/>
        <w:t>إظهار الاحتياجات ذات الأولوية بما يساعد الشباب المعرضين لهذا النوع من الظواهر.</w:t>
      </w:r>
    </w:p>
    <w:p w:rsidR="0073566C" w:rsidRDefault="0073566C" w:rsidP="0073566C">
      <w:pPr>
        <w:pStyle w:val="SingleTxt"/>
        <w:rPr>
          <w:rFonts w:hint="cs"/>
          <w:rtl/>
        </w:rPr>
      </w:pPr>
      <w:r>
        <w:rPr>
          <w:rFonts w:hint="cs"/>
          <w:rtl/>
        </w:rPr>
        <w:tab/>
        <w:t>وجرى هذا اللقاء في 21 كانون الثاني/يناير 2005 في مباني وزارة المجتمع الفرنسي وكان موجها إلى الجهات الفاعلة الميدانية: الوسط المحلي، الإدارة، الباحثون، المدرسون، إلخ. وساهم في الأعمال مائة من المشتركين والمشتركات. وجرى نشر وبث وقائع الندوة والتوصيات الصادرة عن حلقات العمل.</w:t>
      </w:r>
    </w:p>
    <w:p w:rsidR="0073566C" w:rsidRDefault="0073566C" w:rsidP="007B7857">
      <w:pPr>
        <w:pStyle w:val="SingleTxt"/>
        <w:spacing w:line="360" w:lineRule="exact"/>
        <w:rPr>
          <w:rFonts w:hint="cs"/>
          <w:rtl/>
        </w:rPr>
      </w:pPr>
      <w:r>
        <w:rPr>
          <w:rFonts w:hint="cs"/>
          <w:rtl/>
        </w:rPr>
        <w:tab/>
        <w:t xml:space="preserve">وقد عرض هذا المنشور، بشكل واضح ومختصر، نتائج البحث، بما في ذلك </w:t>
      </w:r>
      <w:r>
        <w:rPr>
          <w:rFonts w:hint="eastAsia"/>
          <w:rtl/>
        </w:rPr>
        <w:t>”</w:t>
      </w:r>
      <w:r>
        <w:rPr>
          <w:rFonts w:hint="cs"/>
          <w:i/>
          <w:iCs/>
          <w:rtl/>
        </w:rPr>
        <w:t>سلوكيات</w:t>
      </w:r>
      <w:r>
        <w:rPr>
          <w:rFonts w:hint="eastAsia"/>
          <w:i/>
          <w:iCs/>
          <w:rtl/>
        </w:rPr>
        <w:t>“</w:t>
      </w:r>
      <w:r>
        <w:rPr>
          <w:rFonts w:hint="cs"/>
          <w:rtl/>
        </w:rPr>
        <w:t xml:space="preserve"> وإحداثيات المنظمات الوسيطة ووصف مجال نشاطها، وبذلك فقد ساعد (ولا</w:t>
      </w:r>
      <w:r w:rsidR="007B7857">
        <w:rPr>
          <w:rFonts w:hint="eastAsia"/>
          <w:rtl/>
        </w:rPr>
        <w:t> </w:t>
      </w:r>
      <w:r>
        <w:rPr>
          <w:rFonts w:hint="cs"/>
          <w:rtl/>
        </w:rPr>
        <w:t>يزال يساعد) على تعميم أوسع نطاقا لنتائج البحث، وأصبح يعدّ أداة إعلامية حقيقية للمهتمين بهذه المشكلة من المحترفين والجهات الفاعلة الميدانية.</w:t>
      </w:r>
    </w:p>
    <w:p w:rsidR="0073566C" w:rsidRDefault="0073566C" w:rsidP="0073566C">
      <w:pPr>
        <w:pStyle w:val="SingleTxt"/>
        <w:rPr>
          <w:rFonts w:hint="cs"/>
          <w:rtl/>
        </w:rPr>
      </w:pPr>
      <w:r>
        <w:rPr>
          <w:rFonts w:hint="cs"/>
          <w:rtl/>
        </w:rPr>
        <w:tab/>
        <w:t xml:space="preserve">ولا تعد مشكلة الزواج القسري جزءا لا يتجزأ من </w:t>
      </w:r>
      <w:r>
        <w:rPr>
          <w:rFonts w:hint="cs"/>
          <w:i/>
          <w:iCs/>
          <w:rtl/>
        </w:rPr>
        <w:t>برنامج العمل الحكومي لتعزيز المساواة بين المرأة والرجل والتعايش بين الثقافات والإدماج الاجتماعي</w:t>
      </w:r>
      <w:r>
        <w:rPr>
          <w:rFonts w:hint="cs"/>
          <w:rtl/>
        </w:rPr>
        <w:t>. ومع ذلك فإن المجتمع الفرنسي مستمر في المساهمة في منع هذه الظاهرة، ولا سيما بدعم مبادرات الجمعيات وغيرها من السلطات في هذا الشأن.</w:t>
      </w:r>
    </w:p>
    <w:p w:rsidR="0073566C" w:rsidRDefault="0073566C" w:rsidP="0073566C">
      <w:pPr>
        <w:pStyle w:val="SingleTxt"/>
        <w:rPr>
          <w:rFonts w:hint="cs"/>
          <w:rtl/>
        </w:rPr>
      </w:pPr>
      <w:r>
        <w:rPr>
          <w:rFonts w:hint="cs"/>
          <w:rtl/>
        </w:rPr>
        <w:tab/>
        <w:t xml:space="preserve">وبذلك فإن نتائج الدراسة المجراة تعرض في مجالات شتى (مدينة بروكسل، إلخ)، كما أن مجموعة جوزافا الصحية (مركز لتنظيم الأسرة له نشاطه في المجتمع الفرنسي) حصل من ميزانية عام 2005 لإدارة تكافؤ الفرص على إعانة قدرها 830 31 يورو من أجل مشروعه المسمى </w:t>
      </w:r>
      <w:r>
        <w:rPr>
          <w:rFonts w:hint="eastAsia"/>
          <w:rtl/>
        </w:rPr>
        <w:t>”</w:t>
      </w:r>
      <w:r w:rsidRPr="00436D9D">
        <w:rPr>
          <w:rFonts w:hint="eastAsia"/>
          <w:i/>
          <w:iCs/>
          <w:rtl/>
        </w:rPr>
        <w:t>الزواج: طريق ذو اتجاهين</w:t>
      </w:r>
      <w:r>
        <w:rPr>
          <w:rFonts w:hint="cs"/>
          <w:rtl/>
        </w:rPr>
        <w:t>“.</w:t>
      </w:r>
    </w:p>
    <w:p w:rsidR="0073566C" w:rsidRDefault="0073566C" w:rsidP="0073566C">
      <w:pPr>
        <w:pStyle w:val="SingleTxt"/>
        <w:rPr>
          <w:rFonts w:hint="cs"/>
          <w:rtl/>
        </w:rPr>
      </w:pPr>
      <w:r>
        <w:rPr>
          <w:rFonts w:hint="cs"/>
          <w:rtl/>
        </w:rPr>
        <w:tab/>
        <w:t xml:space="preserve">ومجموعة جوزافا الصحية مركز لتنظيم الأسرة يعمل في شاربيك منذ 25 عاما. واهتماما منه بمشكلة الزواج المفروض أو المرتب، فقد تطلع إلى العمل، وخصوصا مع تمديد الندوة  التي نظمتها الإدارة، على وضع أداة مانعة في هذا الصدد تسمى </w:t>
      </w:r>
      <w:r>
        <w:rPr>
          <w:rFonts w:hint="eastAsia"/>
          <w:rtl/>
        </w:rPr>
        <w:t>”</w:t>
      </w:r>
      <w:r w:rsidRPr="009D0E54">
        <w:rPr>
          <w:rFonts w:hint="eastAsia"/>
          <w:i/>
          <w:iCs/>
          <w:rtl/>
        </w:rPr>
        <w:t>الزواج: طريق ذو اتجاهين</w:t>
      </w:r>
      <w:r>
        <w:rPr>
          <w:rFonts w:hint="cs"/>
          <w:rtl/>
        </w:rPr>
        <w:t>“. وهذه الأداة وثيقة سمعية بصرية تتضمن شهادات لرجال ونساء من أصل أجنبي تزوجوا في إطار لمّ شمل الأسرة.</w:t>
      </w:r>
    </w:p>
    <w:p w:rsidR="0073566C" w:rsidRPr="009D0E54" w:rsidRDefault="0073566C" w:rsidP="0073566C">
      <w:pPr>
        <w:pStyle w:val="SingleTxt"/>
        <w:spacing w:after="0" w:line="120" w:lineRule="exact"/>
        <w:rPr>
          <w:rFonts w:hint="cs"/>
          <w:sz w:val="12"/>
          <w:rtl/>
        </w:rPr>
      </w:pPr>
    </w:p>
    <w:p w:rsidR="0073566C" w:rsidRDefault="0073566C" w:rsidP="0073566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باء -</w:t>
      </w:r>
      <w:r>
        <w:rPr>
          <w:rFonts w:hint="cs"/>
          <w:rtl/>
        </w:rPr>
        <w:tab/>
        <w:t>إقليم بروكسل العاصمة</w:t>
      </w:r>
    </w:p>
    <w:p w:rsidR="0073566C" w:rsidRDefault="0073566C" w:rsidP="0073566C">
      <w:pPr>
        <w:pStyle w:val="SingleTxt"/>
        <w:rPr>
          <w:rFonts w:hint="cs"/>
          <w:rtl/>
        </w:rPr>
      </w:pPr>
      <w:r>
        <w:rPr>
          <w:rFonts w:hint="cs"/>
          <w:rtl/>
        </w:rPr>
        <w:tab/>
        <w:t>في مطلع عام 2006 عقدت وزارة إقليم بروكسل العاصمة دورة للتدريب على قانون الأسرة المغربي لموظفي الأحوال المدنية ودوائر السكان والأجانب في مجتمعات بروكسل، لإطلاعهم على تطور هذا القانون الذي يتعلق بقطاع واسع من السكان البلجيكيين ذوي الأصل المغربي في العاصمة.</w:t>
      </w:r>
    </w:p>
    <w:p w:rsidR="0073566C" w:rsidRDefault="007B7857" w:rsidP="0073566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r>
      <w:r w:rsidR="0073566C">
        <w:rPr>
          <w:rFonts w:hint="cs"/>
          <w:rtl/>
        </w:rPr>
        <w:tab/>
      </w:r>
      <w:r w:rsidR="0073566C">
        <w:rPr>
          <w:rFonts w:hint="cs"/>
          <w:rtl/>
        </w:rPr>
        <w:tab/>
        <w:t>المرفقات</w:t>
      </w:r>
    </w:p>
    <w:p w:rsidR="0073566C" w:rsidRDefault="0073566C" w:rsidP="0073566C">
      <w:pPr>
        <w:pStyle w:val="HCh"/>
        <w:tabs>
          <w:tab w:val="right" w:pos="1022"/>
          <w:tab w:val="left" w:pos="1267"/>
          <w:tab w:val="left" w:pos="2125"/>
          <w:tab w:val="left" w:pos="2434"/>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أولا -</w:t>
      </w:r>
      <w:r>
        <w:rPr>
          <w:rFonts w:hint="cs"/>
          <w:rtl/>
        </w:rPr>
        <w:tab/>
        <w:t>على المستوى الاتحادي</w:t>
      </w:r>
    </w:p>
    <w:p w:rsidR="0073566C" w:rsidRDefault="0073566C" w:rsidP="0073566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منشورات المعهد المعني بالمساواة بين المرأة والرجل (2002-2006)</w:t>
      </w:r>
    </w:p>
    <w:p w:rsidR="0073566C" w:rsidRDefault="0073566C" w:rsidP="0008699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sidR="00086998">
        <w:rPr>
          <w:rFonts w:hint="cs"/>
          <w:rtl/>
        </w:rPr>
        <w:t>•</w:t>
      </w:r>
      <w:r>
        <w:rPr>
          <w:rFonts w:hint="cs"/>
          <w:rtl/>
        </w:rPr>
        <w:tab/>
        <w:t xml:space="preserve">أني كورنيه وإيزابيل سيتشيني وناتالي هولفويت (2003). </w:t>
      </w:r>
      <w:r>
        <w:rPr>
          <w:rFonts w:hint="cs"/>
          <w:i/>
          <w:iCs/>
          <w:rtl/>
        </w:rPr>
        <w:t xml:space="preserve">تحليل للميزانية من حيث الجنسانية والمساواة بين الرجل والمرأة - تقرير عن موجز  مشروع ’الميزانية المراعية للمنظور الجنساني‘، </w:t>
      </w:r>
      <w:r w:rsidRPr="00757DB0">
        <w:rPr>
          <w:rFonts w:hint="cs"/>
          <w:rtl/>
        </w:rPr>
        <w:t>بروكسل</w:t>
      </w:r>
      <w:r>
        <w:rPr>
          <w:rFonts w:hint="cs"/>
          <w:rtl/>
        </w:rPr>
        <w:t>: إدارة تكافؤ الفرص - الوزارة الاتحادية للعمالة والعمل.</w:t>
      </w:r>
    </w:p>
    <w:p w:rsidR="0073566C" w:rsidRDefault="0073566C" w:rsidP="0073566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rtl/>
        </w:rPr>
        <w:tab/>
        <w:t>(متاح أيضا بالهولندية)</w:t>
      </w:r>
    </w:p>
    <w:p w:rsidR="0073566C" w:rsidRDefault="0073566C" w:rsidP="0008699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sidR="00086998">
        <w:rPr>
          <w:rFonts w:hint="cs"/>
          <w:rtl/>
        </w:rPr>
        <w:t>•</w:t>
      </w:r>
      <w:r>
        <w:rPr>
          <w:rFonts w:hint="cs"/>
          <w:rtl/>
        </w:rPr>
        <w:tab/>
        <w:t xml:space="preserve">نيكولا بايي (محرر) (2004). </w:t>
      </w:r>
      <w:r>
        <w:rPr>
          <w:rFonts w:hint="cs"/>
          <w:i/>
          <w:iCs/>
          <w:rtl/>
        </w:rPr>
        <w:t>المشاركة السياسية للمرأة بعد انتخابات 18 أيار/مايو 2003</w:t>
      </w:r>
      <w:r>
        <w:rPr>
          <w:rFonts w:hint="cs"/>
          <w:rtl/>
        </w:rPr>
        <w:t>، بروكسل: المعهد المعني بالمساواة بين المرأة والرجل.</w:t>
      </w:r>
    </w:p>
    <w:p w:rsidR="0073566C" w:rsidRDefault="0073566C" w:rsidP="0073566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rtl/>
        </w:rPr>
        <w:tab/>
        <w:t>(متاح أيضا بالهولندية)</w:t>
      </w:r>
    </w:p>
    <w:p w:rsidR="0073566C" w:rsidRDefault="0073566C" w:rsidP="0008699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sidR="00086998">
        <w:rPr>
          <w:rFonts w:hint="cs"/>
          <w:rtl/>
        </w:rPr>
        <w:t>•</w:t>
      </w:r>
      <w:r>
        <w:rPr>
          <w:rFonts w:hint="cs"/>
          <w:rtl/>
        </w:rPr>
        <w:tab/>
        <w:t xml:space="preserve">توم كوبينس ونيكو ستيغمانس ومارجان فان أيرشوت وستيفاني بوت ومييك فان هاغندورن (2006). </w:t>
      </w:r>
      <w:r>
        <w:rPr>
          <w:rFonts w:hint="cs"/>
          <w:i/>
          <w:iCs/>
          <w:rtl/>
        </w:rPr>
        <w:t>النساء والرجال في بلجيكا. إحصاءات ومؤشرات جنسانية - طبعة عام 2006</w:t>
      </w:r>
      <w:r>
        <w:rPr>
          <w:rFonts w:hint="cs"/>
          <w:rtl/>
        </w:rPr>
        <w:t>، بروكسل: المعهد المعني بالمساواة بين المرأة والرجل.</w:t>
      </w:r>
    </w:p>
    <w:p w:rsidR="0073566C" w:rsidRDefault="0073566C" w:rsidP="0073566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rtl/>
        </w:rPr>
        <w:tab/>
        <w:t>(متاح أيضا بالهولندية)</w:t>
      </w:r>
    </w:p>
    <w:p w:rsidR="0073566C" w:rsidRDefault="0073566C" w:rsidP="0008699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sidR="00086998">
        <w:rPr>
          <w:rFonts w:hint="cs"/>
          <w:rtl/>
        </w:rPr>
        <w:t>•</w:t>
      </w:r>
      <w:r>
        <w:rPr>
          <w:rFonts w:hint="cs"/>
          <w:rtl/>
        </w:rPr>
        <w:tab/>
        <w:t xml:space="preserve">أوما دين (2006). </w:t>
      </w:r>
      <w:r>
        <w:rPr>
          <w:rFonts w:hint="cs"/>
          <w:i/>
          <w:iCs/>
          <w:rtl/>
        </w:rPr>
        <w:t>المرأة في النقابات. الطرائق والممارسات الجيدة لإدراج البعد الجنساني</w:t>
      </w:r>
      <w:r>
        <w:rPr>
          <w:rFonts w:hint="cs"/>
          <w:rtl/>
        </w:rPr>
        <w:t>، بروكسل: معهد الأبحاث والتثقيف والصحة والسلامة التابع لنقابات العمال الأوروبية/المعهد المعني بالمساواة بين المرأة والرجل.</w:t>
      </w:r>
    </w:p>
    <w:p w:rsidR="0073566C" w:rsidRDefault="0073566C" w:rsidP="0073566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rtl/>
        </w:rPr>
        <w:tab/>
        <w:t>(متاح أيضا بالهولندية والإنكليزية)</w:t>
      </w:r>
    </w:p>
    <w:p w:rsidR="0073566C" w:rsidRDefault="0073566C" w:rsidP="0008699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sidR="00086998">
        <w:rPr>
          <w:rFonts w:hint="cs"/>
          <w:rtl/>
        </w:rPr>
        <w:t>•</w:t>
      </w:r>
      <w:r>
        <w:rPr>
          <w:rFonts w:hint="cs"/>
          <w:rtl/>
        </w:rPr>
        <w:tab/>
        <w:t xml:space="preserve">المعهد المعني بالمساواة بين المرأة والرجل (2006). </w:t>
      </w:r>
      <w:r>
        <w:rPr>
          <w:rFonts w:hint="cs"/>
          <w:i/>
          <w:iCs/>
          <w:rtl/>
        </w:rPr>
        <w:t xml:space="preserve">تصنيف الوظائف المحايدة من حيث الجنس. طريقة </w:t>
      </w:r>
      <w:r w:rsidRPr="00801646">
        <w:rPr>
          <w:rFonts w:hint="cs"/>
          <w:rtl/>
        </w:rPr>
        <w:t>التشغيل</w:t>
      </w:r>
      <w:r>
        <w:rPr>
          <w:rFonts w:hint="cs"/>
          <w:rtl/>
        </w:rPr>
        <w:t>، بروكسل: المعهد المعني بالمساواة بين المرأة والرجل.</w:t>
      </w:r>
    </w:p>
    <w:p w:rsidR="0073566C" w:rsidRDefault="0073566C" w:rsidP="0073566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rtl/>
        </w:rPr>
        <w:tab/>
        <w:t>(متاح أيضا بالهولندية)</w:t>
      </w:r>
    </w:p>
    <w:p w:rsidR="0073566C" w:rsidRDefault="0073566C" w:rsidP="0008699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sidR="00086998">
        <w:rPr>
          <w:rFonts w:hint="cs"/>
          <w:rtl/>
        </w:rPr>
        <w:t>•</w:t>
      </w:r>
      <w:r>
        <w:rPr>
          <w:rFonts w:hint="cs"/>
          <w:rtl/>
        </w:rPr>
        <w:tab/>
        <w:t xml:space="preserve">ستيفان فيرس وإيلي سيفرانك وجان - بينوا بيليه (2006). </w:t>
      </w:r>
      <w:r w:rsidRPr="00757DB0">
        <w:rPr>
          <w:rFonts w:hint="cs"/>
          <w:i/>
          <w:iCs/>
          <w:rtl/>
        </w:rPr>
        <w:t>مشاركة</w:t>
      </w:r>
      <w:r>
        <w:rPr>
          <w:rFonts w:hint="cs"/>
          <w:i/>
          <w:iCs/>
          <w:rtl/>
        </w:rPr>
        <w:t xml:space="preserve"> الرجل والمرأة في السياسة البلجيكية</w:t>
      </w:r>
      <w:r>
        <w:rPr>
          <w:rFonts w:hint="cs"/>
          <w:rtl/>
        </w:rPr>
        <w:t>، بروكسل: المعهد المعني بالمساواة بين المرأة والرجل.</w:t>
      </w:r>
    </w:p>
    <w:p w:rsidR="0073566C" w:rsidRDefault="0073566C" w:rsidP="0073566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rtl/>
        </w:rPr>
        <w:tab/>
        <w:t>(متاح أيضا بالهولندية)</w:t>
      </w:r>
    </w:p>
    <w:p w:rsidR="0073566C" w:rsidRDefault="0073566C" w:rsidP="0008699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sidR="00086998">
        <w:rPr>
          <w:rFonts w:hint="cs"/>
          <w:rtl/>
        </w:rPr>
        <w:t>•</w:t>
      </w:r>
      <w:r>
        <w:rPr>
          <w:rFonts w:hint="cs"/>
          <w:rtl/>
        </w:rPr>
        <w:tab/>
        <w:t xml:space="preserve">ستيفان فيرس وسارة شيبرس وساندرين ديبون وأنيمي فان أويتفن (2006). </w:t>
      </w:r>
      <w:r>
        <w:rPr>
          <w:rFonts w:hint="cs"/>
          <w:i/>
          <w:iCs/>
          <w:rtl/>
        </w:rPr>
        <w:t>مسارات المرأة في السياسة البلجيكية</w:t>
      </w:r>
      <w:r>
        <w:rPr>
          <w:rFonts w:hint="cs"/>
          <w:rtl/>
        </w:rPr>
        <w:t>، بروكسل: المعهد المعني بالمساواة بين المرأة والرجل.</w:t>
      </w:r>
    </w:p>
    <w:p w:rsidR="0073566C" w:rsidRDefault="0073566C" w:rsidP="0073566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rtl/>
        </w:rPr>
        <w:tab/>
        <w:t>(متاح أيضا بالهولندية)</w:t>
      </w:r>
    </w:p>
    <w:p w:rsidR="0073566C" w:rsidRDefault="0073566C" w:rsidP="0008699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sidR="00086998">
        <w:rPr>
          <w:rFonts w:hint="cs"/>
          <w:rtl/>
        </w:rPr>
        <w:t>•</w:t>
      </w:r>
      <w:r>
        <w:rPr>
          <w:rFonts w:hint="cs"/>
          <w:rtl/>
        </w:rPr>
        <w:tab/>
        <w:t xml:space="preserve">بيترا ميير وبينوا إيهو وسيلفيا إيرزيل وأنوك لورين وفيرجيني فان إنغلجوم (2006). </w:t>
      </w:r>
      <w:r>
        <w:rPr>
          <w:rFonts w:hint="cs"/>
          <w:i/>
          <w:iCs/>
          <w:rtl/>
        </w:rPr>
        <w:t>الأحزاب البلجيكية والمساواة بين الجنسين: تطور بطيء ولكن أكيد؟ تحليل إدماج البعد الجنساني في الأحزاب السياسية البلجيكية</w:t>
      </w:r>
      <w:r>
        <w:rPr>
          <w:rFonts w:hint="cs"/>
          <w:rtl/>
        </w:rPr>
        <w:t>، بروكسل: المعهد المعني بالمساواة بين المرأة والرجل.</w:t>
      </w:r>
    </w:p>
    <w:p w:rsidR="0073566C" w:rsidRDefault="0073566C" w:rsidP="0073566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rtl/>
        </w:rPr>
        <w:tab/>
        <w:t>(متاح أيضا بالهولندية)</w:t>
      </w:r>
    </w:p>
    <w:p w:rsidR="0073566C" w:rsidRPr="00381395" w:rsidRDefault="0073566C" w:rsidP="0073566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2"/>
          <w:rtl/>
        </w:rPr>
      </w:pPr>
    </w:p>
    <w:p w:rsidR="0073566C" w:rsidRDefault="0073566C" w:rsidP="0073566C">
      <w:pPr>
        <w:pStyle w:val="HCh"/>
        <w:tabs>
          <w:tab w:val="right" w:pos="1022"/>
          <w:tab w:val="left" w:pos="1267"/>
          <w:tab w:val="left" w:pos="1930"/>
          <w:tab w:val="left" w:pos="2125"/>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ثانيا -</w:t>
      </w:r>
      <w:r>
        <w:rPr>
          <w:rFonts w:hint="cs"/>
          <w:rtl/>
        </w:rPr>
        <w:tab/>
        <w:t>الكيانات الاتحادية</w:t>
      </w:r>
    </w:p>
    <w:p w:rsidR="0073566C" w:rsidRPr="00086998" w:rsidRDefault="0073566C" w:rsidP="00086998">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086998">
        <w:rPr>
          <w:rFonts w:hint="cs"/>
          <w:rtl/>
        </w:rPr>
        <w:tab/>
      </w:r>
      <w:r w:rsidRPr="00086998">
        <w:rPr>
          <w:rFonts w:hint="cs"/>
          <w:rtl/>
        </w:rPr>
        <w:tab/>
        <w:t>2-1</w:t>
      </w:r>
      <w:r w:rsidRPr="00086998">
        <w:rPr>
          <w:rFonts w:hint="cs"/>
          <w:rtl/>
        </w:rPr>
        <w:tab/>
        <w:t>منشورات الإقليم والمجتمع الفلمنديين</w:t>
      </w:r>
    </w:p>
    <w:tbl>
      <w:tblPr>
        <w:tblStyle w:val="TableGrid"/>
        <w:bidiVisual/>
        <w:tblW w:w="7313" w:type="dxa"/>
        <w:tblInd w:w="14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502"/>
        <w:gridCol w:w="3811"/>
      </w:tblGrid>
      <w:tr w:rsidR="0073566C" w:rsidRPr="00381395">
        <w:trPr>
          <w:cantSplit/>
          <w:tblHeader/>
        </w:trPr>
        <w:tc>
          <w:tcPr>
            <w:tcW w:w="3502" w:type="dxa"/>
            <w:tcBorders>
              <w:top w:val="single" w:sz="4" w:space="0" w:color="auto"/>
              <w:bottom w:val="single" w:sz="12" w:space="0" w:color="auto"/>
            </w:tcBorders>
            <w:shd w:val="clear" w:color="auto" w:fill="auto"/>
            <w:vAlign w:val="bottom"/>
          </w:tcPr>
          <w:p w:rsidR="0073566C" w:rsidRPr="00381395" w:rsidRDefault="0073566C" w:rsidP="0073566C">
            <w:pPr>
              <w:pStyle w:val="DualTxt"/>
              <w:spacing w:before="80" w:after="80" w:line="240" w:lineRule="exact"/>
              <w:rPr>
                <w:rFonts w:hint="cs"/>
                <w:i/>
                <w:iCs/>
                <w:sz w:val="16"/>
                <w:szCs w:val="24"/>
                <w:rtl/>
              </w:rPr>
            </w:pPr>
            <w:r>
              <w:rPr>
                <w:rFonts w:hint="cs"/>
                <w:i/>
                <w:iCs/>
                <w:sz w:val="16"/>
                <w:szCs w:val="24"/>
                <w:rtl/>
              </w:rPr>
              <w:t>العنوان</w:t>
            </w:r>
          </w:p>
        </w:tc>
        <w:tc>
          <w:tcPr>
            <w:tcW w:w="3811" w:type="dxa"/>
            <w:tcBorders>
              <w:top w:val="single" w:sz="4" w:space="0" w:color="auto"/>
              <w:bottom w:val="single" w:sz="12" w:space="0" w:color="auto"/>
            </w:tcBorders>
            <w:shd w:val="clear" w:color="auto" w:fill="auto"/>
            <w:vAlign w:val="bottom"/>
          </w:tcPr>
          <w:p w:rsidR="0073566C" w:rsidRPr="00381395" w:rsidRDefault="0073566C" w:rsidP="0073566C">
            <w:pPr>
              <w:pStyle w:val="DualTxt"/>
              <w:spacing w:before="80" w:after="80" w:line="240" w:lineRule="exact"/>
              <w:ind w:right="144"/>
              <w:rPr>
                <w:rFonts w:hint="cs"/>
                <w:i/>
                <w:iCs/>
                <w:sz w:val="16"/>
                <w:szCs w:val="24"/>
                <w:rtl/>
              </w:rPr>
            </w:pPr>
            <w:r>
              <w:rPr>
                <w:rFonts w:hint="cs"/>
                <w:i/>
                <w:iCs/>
                <w:sz w:val="16"/>
                <w:szCs w:val="24"/>
                <w:rtl/>
              </w:rPr>
              <w:t>المؤلف</w:t>
            </w:r>
          </w:p>
        </w:tc>
      </w:tr>
      <w:tr w:rsidR="0073566C" w:rsidRPr="00381395">
        <w:trPr>
          <w:cantSplit/>
        </w:trPr>
        <w:tc>
          <w:tcPr>
            <w:tcW w:w="3502" w:type="dxa"/>
            <w:shd w:val="clear" w:color="auto" w:fill="auto"/>
            <w:vAlign w:val="bottom"/>
          </w:tcPr>
          <w:p w:rsidR="0073566C" w:rsidRPr="00381395" w:rsidRDefault="0073566C" w:rsidP="0073566C">
            <w:pPr>
              <w:pStyle w:val="DualTxt"/>
              <w:spacing w:before="40" w:after="80" w:line="240" w:lineRule="exact"/>
              <w:rPr>
                <w:rFonts w:hint="cs"/>
                <w:sz w:val="16"/>
                <w:szCs w:val="24"/>
                <w:rtl/>
              </w:rPr>
            </w:pPr>
            <w:r>
              <w:rPr>
                <w:rFonts w:hint="cs"/>
                <w:sz w:val="16"/>
                <w:szCs w:val="24"/>
                <w:rtl/>
              </w:rPr>
              <w:t>الحولية الأولى</w:t>
            </w:r>
          </w:p>
        </w:tc>
        <w:tc>
          <w:tcPr>
            <w:tcW w:w="3811" w:type="dxa"/>
            <w:shd w:val="clear" w:color="auto" w:fill="auto"/>
            <w:vAlign w:val="bottom"/>
          </w:tcPr>
          <w:p w:rsidR="0073566C" w:rsidRPr="00381395" w:rsidRDefault="0073566C" w:rsidP="0073566C">
            <w:pPr>
              <w:pStyle w:val="DualTxt"/>
              <w:spacing w:before="40" w:after="80" w:line="240" w:lineRule="exact"/>
              <w:ind w:right="144"/>
              <w:rPr>
                <w:rFonts w:hint="cs"/>
                <w:sz w:val="16"/>
                <w:szCs w:val="24"/>
                <w:rtl/>
              </w:rPr>
            </w:pPr>
          </w:p>
        </w:tc>
      </w:tr>
      <w:tr w:rsidR="0073566C" w:rsidRPr="00381395">
        <w:trPr>
          <w:cantSplit/>
        </w:trPr>
        <w:tc>
          <w:tcPr>
            <w:tcW w:w="3502" w:type="dxa"/>
            <w:shd w:val="clear" w:color="auto" w:fill="auto"/>
            <w:vAlign w:val="bottom"/>
          </w:tcPr>
          <w:p w:rsidR="0073566C" w:rsidRPr="00381395" w:rsidRDefault="0073566C" w:rsidP="0073566C">
            <w:pPr>
              <w:pStyle w:val="DualTxt"/>
              <w:spacing w:before="40" w:after="80" w:line="240" w:lineRule="exact"/>
              <w:rPr>
                <w:rFonts w:hint="cs"/>
                <w:sz w:val="16"/>
                <w:szCs w:val="24"/>
                <w:rtl/>
              </w:rPr>
            </w:pPr>
            <w:r>
              <w:rPr>
                <w:rFonts w:hint="cs"/>
                <w:sz w:val="16"/>
                <w:szCs w:val="24"/>
                <w:rtl/>
              </w:rPr>
              <w:t>الحولية الثانية</w:t>
            </w:r>
          </w:p>
        </w:tc>
        <w:tc>
          <w:tcPr>
            <w:tcW w:w="3811" w:type="dxa"/>
            <w:shd w:val="clear" w:color="auto" w:fill="auto"/>
            <w:vAlign w:val="bottom"/>
          </w:tcPr>
          <w:p w:rsidR="0073566C" w:rsidRPr="00381395" w:rsidRDefault="0073566C" w:rsidP="0073566C">
            <w:pPr>
              <w:pStyle w:val="DualTxt"/>
              <w:spacing w:before="40" w:after="80" w:line="240" w:lineRule="exact"/>
              <w:ind w:right="144"/>
              <w:rPr>
                <w:rFonts w:hint="cs"/>
                <w:sz w:val="16"/>
                <w:szCs w:val="24"/>
                <w:rtl/>
              </w:rPr>
            </w:pPr>
          </w:p>
        </w:tc>
      </w:tr>
      <w:tr w:rsidR="0073566C" w:rsidRPr="00381395">
        <w:trPr>
          <w:cantSplit/>
        </w:trPr>
        <w:tc>
          <w:tcPr>
            <w:tcW w:w="3502" w:type="dxa"/>
            <w:shd w:val="clear" w:color="auto" w:fill="auto"/>
            <w:vAlign w:val="bottom"/>
          </w:tcPr>
          <w:p w:rsidR="0073566C" w:rsidRPr="00381395" w:rsidRDefault="0073566C" w:rsidP="0073566C">
            <w:pPr>
              <w:pStyle w:val="DualTxt"/>
              <w:spacing w:before="40" w:after="80" w:line="240" w:lineRule="exact"/>
              <w:rPr>
                <w:rFonts w:hint="cs"/>
                <w:sz w:val="16"/>
                <w:szCs w:val="24"/>
                <w:rtl/>
              </w:rPr>
            </w:pPr>
            <w:r>
              <w:rPr>
                <w:rFonts w:hint="cs"/>
                <w:sz w:val="16"/>
                <w:szCs w:val="24"/>
                <w:rtl/>
              </w:rPr>
              <w:t>الحولية الثالثة</w:t>
            </w:r>
          </w:p>
        </w:tc>
        <w:tc>
          <w:tcPr>
            <w:tcW w:w="3811" w:type="dxa"/>
            <w:shd w:val="clear" w:color="auto" w:fill="auto"/>
            <w:vAlign w:val="bottom"/>
          </w:tcPr>
          <w:p w:rsidR="0073566C" w:rsidRPr="00381395" w:rsidRDefault="0073566C" w:rsidP="0073566C">
            <w:pPr>
              <w:pStyle w:val="DualTxt"/>
              <w:spacing w:before="40" w:after="80" w:line="240" w:lineRule="exact"/>
              <w:ind w:right="144"/>
              <w:rPr>
                <w:rFonts w:hint="cs"/>
                <w:sz w:val="16"/>
                <w:szCs w:val="24"/>
                <w:rtl/>
              </w:rPr>
            </w:pPr>
          </w:p>
        </w:tc>
      </w:tr>
      <w:tr w:rsidR="0073566C" w:rsidRPr="00381395">
        <w:trPr>
          <w:cantSplit/>
        </w:trPr>
        <w:tc>
          <w:tcPr>
            <w:tcW w:w="3502" w:type="dxa"/>
            <w:shd w:val="clear" w:color="auto" w:fill="auto"/>
            <w:vAlign w:val="bottom"/>
          </w:tcPr>
          <w:p w:rsidR="0073566C" w:rsidRPr="00757DB0" w:rsidRDefault="0073566C" w:rsidP="0073566C">
            <w:pPr>
              <w:pStyle w:val="DualTxt"/>
              <w:spacing w:before="40" w:after="80" w:line="240" w:lineRule="exact"/>
              <w:rPr>
                <w:rFonts w:hint="cs"/>
                <w:i/>
                <w:iCs/>
                <w:sz w:val="16"/>
                <w:szCs w:val="24"/>
                <w:rtl/>
              </w:rPr>
            </w:pPr>
            <w:r w:rsidRPr="00757DB0">
              <w:rPr>
                <w:rFonts w:hint="cs"/>
                <w:i/>
                <w:iCs/>
                <w:sz w:val="16"/>
                <w:szCs w:val="24"/>
                <w:rtl/>
              </w:rPr>
              <w:t>مؤشرات تكافؤ الفرص في الإقليم الفلمندي</w:t>
            </w:r>
          </w:p>
        </w:tc>
        <w:tc>
          <w:tcPr>
            <w:tcW w:w="3811" w:type="dxa"/>
            <w:shd w:val="clear" w:color="auto" w:fill="auto"/>
            <w:vAlign w:val="bottom"/>
          </w:tcPr>
          <w:p w:rsidR="0073566C" w:rsidRPr="00381395" w:rsidRDefault="0073566C" w:rsidP="0073566C">
            <w:pPr>
              <w:pStyle w:val="DualTxt"/>
              <w:spacing w:before="40" w:after="80" w:line="240" w:lineRule="exact"/>
              <w:ind w:right="144"/>
              <w:rPr>
                <w:rFonts w:hint="cs"/>
                <w:sz w:val="16"/>
                <w:szCs w:val="24"/>
                <w:rtl/>
              </w:rPr>
            </w:pPr>
            <w:r>
              <w:rPr>
                <w:rFonts w:hint="cs"/>
                <w:sz w:val="16"/>
                <w:szCs w:val="24"/>
                <w:rtl/>
              </w:rPr>
              <w:t>نيكو ستيغمانس ومارجان فان أيرشوت</w:t>
            </w:r>
          </w:p>
        </w:tc>
      </w:tr>
      <w:tr w:rsidR="0073566C" w:rsidRPr="00381395">
        <w:trPr>
          <w:cantSplit/>
        </w:trPr>
        <w:tc>
          <w:tcPr>
            <w:tcW w:w="3502" w:type="dxa"/>
            <w:shd w:val="clear" w:color="auto" w:fill="auto"/>
            <w:vAlign w:val="bottom"/>
          </w:tcPr>
          <w:p w:rsidR="0073566C" w:rsidRPr="00757DB0" w:rsidRDefault="0073566C" w:rsidP="0073566C">
            <w:pPr>
              <w:pStyle w:val="DualTxt"/>
              <w:spacing w:before="40" w:after="80" w:line="240" w:lineRule="exact"/>
              <w:rPr>
                <w:rFonts w:hint="cs"/>
                <w:i/>
                <w:iCs/>
                <w:sz w:val="16"/>
                <w:szCs w:val="24"/>
                <w:rtl/>
              </w:rPr>
            </w:pPr>
            <w:r w:rsidRPr="00757DB0">
              <w:rPr>
                <w:rFonts w:hint="cs"/>
                <w:i/>
                <w:iCs/>
                <w:sz w:val="16"/>
                <w:szCs w:val="24"/>
                <w:rtl/>
              </w:rPr>
              <w:t>أن تكوني امرأة في مجتمع رقمي</w:t>
            </w:r>
          </w:p>
        </w:tc>
        <w:tc>
          <w:tcPr>
            <w:tcW w:w="3811" w:type="dxa"/>
            <w:shd w:val="clear" w:color="auto" w:fill="auto"/>
            <w:vAlign w:val="bottom"/>
          </w:tcPr>
          <w:p w:rsidR="0073566C" w:rsidRPr="00381395" w:rsidRDefault="0073566C" w:rsidP="0073566C">
            <w:pPr>
              <w:pStyle w:val="DualTxt"/>
              <w:spacing w:before="40" w:after="80" w:line="240" w:lineRule="exact"/>
              <w:ind w:right="144"/>
              <w:rPr>
                <w:rFonts w:hint="cs"/>
                <w:sz w:val="16"/>
                <w:szCs w:val="24"/>
                <w:rtl/>
              </w:rPr>
            </w:pPr>
            <w:r>
              <w:rPr>
                <w:rFonts w:hint="cs"/>
                <w:sz w:val="16"/>
                <w:szCs w:val="24"/>
                <w:rtl/>
              </w:rPr>
              <w:t>لورنس كلايس</w:t>
            </w:r>
          </w:p>
        </w:tc>
      </w:tr>
      <w:tr w:rsidR="0073566C" w:rsidRPr="00381395">
        <w:trPr>
          <w:cantSplit/>
        </w:trPr>
        <w:tc>
          <w:tcPr>
            <w:tcW w:w="3502" w:type="dxa"/>
            <w:shd w:val="clear" w:color="auto" w:fill="auto"/>
            <w:vAlign w:val="bottom"/>
          </w:tcPr>
          <w:p w:rsidR="0073566C" w:rsidRPr="00757DB0" w:rsidRDefault="0073566C" w:rsidP="0073566C">
            <w:pPr>
              <w:pStyle w:val="DualTxt"/>
              <w:spacing w:before="40" w:after="80" w:line="240" w:lineRule="exact"/>
              <w:rPr>
                <w:rFonts w:hint="cs"/>
                <w:i/>
                <w:iCs/>
                <w:sz w:val="16"/>
                <w:szCs w:val="24"/>
                <w:rtl/>
              </w:rPr>
            </w:pPr>
            <w:r w:rsidRPr="00757DB0">
              <w:rPr>
                <w:rFonts w:hint="cs"/>
                <w:i/>
                <w:iCs/>
                <w:sz w:val="16"/>
                <w:szCs w:val="24"/>
                <w:rtl/>
              </w:rPr>
              <w:t>كيف نتواصل؟</w:t>
            </w:r>
          </w:p>
        </w:tc>
        <w:tc>
          <w:tcPr>
            <w:tcW w:w="3811" w:type="dxa"/>
            <w:shd w:val="clear" w:color="auto" w:fill="auto"/>
            <w:vAlign w:val="bottom"/>
          </w:tcPr>
          <w:p w:rsidR="0073566C" w:rsidRPr="00381395" w:rsidRDefault="0073566C" w:rsidP="0073566C">
            <w:pPr>
              <w:pStyle w:val="DualTxt"/>
              <w:spacing w:before="40" w:after="80" w:line="240" w:lineRule="exact"/>
              <w:ind w:right="144"/>
              <w:rPr>
                <w:rFonts w:hint="cs"/>
                <w:sz w:val="16"/>
                <w:szCs w:val="24"/>
                <w:rtl/>
              </w:rPr>
            </w:pPr>
            <w:r>
              <w:rPr>
                <w:rFonts w:hint="cs"/>
                <w:sz w:val="16"/>
                <w:szCs w:val="24"/>
                <w:rtl/>
              </w:rPr>
              <w:t>أستريد يانسنس</w:t>
            </w:r>
          </w:p>
        </w:tc>
      </w:tr>
      <w:tr w:rsidR="0073566C" w:rsidRPr="00381395">
        <w:trPr>
          <w:cantSplit/>
        </w:trPr>
        <w:tc>
          <w:tcPr>
            <w:tcW w:w="3502" w:type="dxa"/>
            <w:shd w:val="clear" w:color="auto" w:fill="auto"/>
            <w:vAlign w:val="bottom"/>
          </w:tcPr>
          <w:p w:rsidR="0073566C" w:rsidRPr="00757DB0" w:rsidRDefault="0073566C" w:rsidP="0073566C">
            <w:pPr>
              <w:pStyle w:val="DualTxt"/>
              <w:spacing w:before="40" w:after="80" w:line="240" w:lineRule="exact"/>
              <w:rPr>
                <w:rFonts w:hint="cs"/>
                <w:i/>
                <w:iCs/>
                <w:sz w:val="16"/>
                <w:szCs w:val="24"/>
                <w:rtl/>
              </w:rPr>
            </w:pPr>
            <w:r w:rsidRPr="00757DB0">
              <w:rPr>
                <w:rFonts w:hint="cs"/>
                <w:i/>
                <w:iCs/>
                <w:sz w:val="16"/>
                <w:szCs w:val="24"/>
                <w:rtl/>
              </w:rPr>
              <w:t xml:space="preserve">مطلوب ! : مهندسون </w:t>
            </w:r>
            <w:r w:rsidRPr="00757DB0">
              <w:rPr>
                <w:i/>
                <w:iCs/>
                <w:sz w:val="16"/>
                <w:szCs w:val="24"/>
              </w:rPr>
              <w:t>M/W</w:t>
            </w:r>
          </w:p>
        </w:tc>
        <w:tc>
          <w:tcPr>
            <w:tcW w:w="3811" w:type="dxa"/>
            <w:shd w:val="clear" w:color="auto" w:fill="auto"/>
            <w:vAlign w:val="bottom"/>
          </w:tcPr>
          <w:p w:rsidR="0073566C" w:rsidRPr="00381395" w:rsidRDefault="0073566C" w:rsidP="0073566C">
            <w:pPr>
              <w:pStyle w:val="DualTxt"/>
              <w:spacing w:before="40" w:after="80" w:line="240" w:lineRule="exact"/>
              <w:ind w:right="144"/>
              <w:rPr>
                <w:rFonts w:hint="cs"/>
                <w:sz w:val="16"/>
                <w:szCs w:val="24"/>
                <w:rtl/>
              </w:rPr>
            </w:pPr>
            <w:r>
              <w:rPr>
                <w:rFonts w:hint="cs"/>
                <w:sz w:val="16"/>
                <w:szCs w:val="24"/>
                <w:rtl/>
              </w:rPr>
              <w:t>مارجان فان أيرشوت</w:t>
            </w:r>
          </w:p>
        </w:tc>
      </w:tr>
      <w:tr w:rsidR="0073566C" w:rsidRPr="00381395">
        <w:trPr>
          <w:cantSplit/>
        </w:trPr>
        <w:tc>
          <w:tcPr>
            <w:tcW w:w="3502" w:type="dxa"/>
            <w:shd w:val="clear" w:color="auto" w:fill="auto"/>
            <w:vAlign w:val="bottom"/>
          </w:tcPr>
          <w:p w:rsidR="0073566C" w:rsidRPr="00757DB0" w:rsidRDefault="0073566C" w:rsidP="0073566C">
            <w:pPr>
              <w:pStyle w:val="DualTxt"/>
              <w:spacing w:before="40" w:after="80" w:line="240" w:lineRule="exact"/>
              <w:rPr>
                <w:rFonts w:hint="cs"/>
                <w:i/>
                <w:iCs/>
                <w:sz w:val="16"/>
                <w:szCs w:val="24"/>
                <w:rtl/>
              </w:rPr>
            </w:pPr>
            <w:r w:rsidRPr="00757DB0">
              <w:rPr>
                <w:rFonts w:hint="cs"/>
                <w:i/>
                <w:iCs/>
                <w:sz w:val="16"/>
                <w:szCs w:val="24"/>
                <w:rtl/>
              </w:rPr>
              <w:t>الحواجز الهيكلية والثقافية وعوامل النجاح في حياة المثليين والسحاقيات</w:t>
            </w:r>
          </w:p>
        </w:tc>
        <w:tc>
          <w:tcPr>
            <w:tcW w:w="3811" w:type="dxa"/>
            <w:shd w:val="clear" w:color="auto" w:fill="auto"/>
            <w:vAlign w:val="bottom"/>
          </w:tcPr>
          <w:p w:rsidR="0073566C" w:rsidRPr="00381395" w:rsidRDefault="0073566C" w:rsidP="0073566C">
            <w:pPr>
              <w:pStyle w:val="DualTxt"/>
              <w:spacing w:before="40" w:after="80" w:line="240" w:lineRule="exact"/>
              <w:ind w:right="144"/>
              <w:rPr>
                <w:rFonts w:hint="cs"/>
                <w:sz w:val="16"/>
                <w:szCs w:val="24"/>
                <w:rtl/>
              </w:rPr>
            </w:pPr>
            <w:r>
              <w:rPr>
                <w:rFonts w:hint="cs"/>
                <w:sz w:val="16"/>
                <w:szCs w:val="24"/>
                <w:rtl/>
              </w:rPr>
              <w:t>ألكسيس ديويل</w:t>
            </w:r>
          </w:p>
        </w:tc>
      </w:tr>
      <w:tr w:rsidR="0073566C" w:rsidRPr="00381395">
        <w:trPr>
          <w:cantSplit/>
        </w:trPr>
        <w:tc>
          <w:tcPr>
            <w:tcW w:w="3502" w:type="dxa"/>
            <w:shd w:val="clear" w:color="auto" w:fill="auto"/>
            <w:vAlign w:val="bottom"/>
          </w:tcPr>
          <w:p w:rsidR="0073566C" w:rsidRPr="00757DB0" w:rsidRDefault="0073566C" w:rsidP="0073566C">
            <w:pPr>
              <w:pStyle w:val="DualTxt"/>
              <w:spacing w:before="40" w:after="80" w:line="240" w:lineRule="exact"/>
              <w:rPr>
                <w:rFonts w:hint="cs"/>
                <w:i/>
                <w:iCs/>
                <w:sz w:val="16"/>
                <w:szCs w:val="24"/>
                <w:rtl/>
              </w:rPr>
            </w:pPr>
            <w:r w:rsidRPr="00757DB0">
              <w:rPr>
                <w:rFonts w:hint="cs"/>
                <w:i/>
                <w:iCs/>
                <w:sz w:val="16"/>
                <w:szCs w:val="24"/>
                <w:rtl/>
              </w:rPr>
              <w:t>المهاجرون وجمع الأنباء</w:t>
            </w:r>
          </w:p>
        </w:tc>
        <w:tc>
          <w:tcPr>
            <w:tcW w:w="3811" w:type="dxa"/>
            <w:shd w:val="clear" w:color="auto" w:fill="auto"/>
            <w:vAlign w:val="bottom"/>
          </w:tcPr>
          <w:p w:rsidR="0073566C" w:rsidRPr="00381395" w:rsidRDefault="0073566C" w:rsidP="0073566C">
            <w:pPr>
              <w:pStyle w:val="DualTxt"/>
              <w:spacing w:before="40" w:after="80" w:line="240" w:lineRule="exact"/>
              <w:ind w:right="144"/>
              <w:rPr>
                <w:rFonts w:hint="cs"/>
                <w:sz w:val="16"/>
                <w:szCs w:val="24"/>
                <w:rtl/>
              </w:rPr>
            </w:pPr>
            <w:r>
              <w:rPr>
                <w:rFonts w:hint="cs"/>
                <w:sz w:val="16"/>
                <w:szCs w:val="24"/>
                <w:rtl/>
              </w:rPr>
              <w:t>نويل كليك</w:t>
            </w:r>
          </w:p>
        </w:tc>
      </w:tr>
      <w:tr w:rsidR="0073566C" w:rsidRPr="00381395">
        <w:trPr>
          <w:cantSplit/>
        </w:trPr>
        <w:tc>
          <w:tcPr>
            <w:tcW w:w="3502" w:type="dxa"/>
            <w:shd w:val="clear" w:color="auto" w:fill="auto"/>
            <w:vAlign w:val="bottom"/>
          </w:tcPr>
          <w:p w:rsidR="0073566C" w:rsidRPr="00757DB0" w:rsidRDefault="0073566C" w:rsidP="0073566C">
            <w:pPr>
              <w:pStyle w:val="DualTxt"/>
              <w:spacing w:before="40" w:after="80" w:line="240" w:lineRule="exact"/>
              <w:rPr>
                <w:rFonts w:hint="cs"/>
                <w:i/>
                <w:iCs/>
                <w:sz w:val="16"/>
                <w:szCs w:val="24"/>
                <w:rtl/>
              </w:rPr>
            </w:pPr>
            <w:r w:rsidRPr="00757DB0">
              <w:rPr>
                <w:rFonts w:hint="cs"/>
                <w:i/>
                <w:iCs/>
                <w:sz w:val="16"/>
                <w:szCs w:val="24"/>
                <w:rtl/>
              </w:rPr>
              <w:t>التفرقة  في التعليم العالي في الإقليم الفلمندي</w:t>
            </w:r>
          </w:p>
        </w:tc>
        <w:tc>
          <w:tcPr>
            <w:tcW w:w="3811" w:type="dxa"/>
            <w:shd w:val="clear" w:color="auto" w:fill="auto"/>
            <w:vAlign w:val="bottom"/>
          </w:tcPr>
          <w:p w:rsidR="0073566C" w:rsidRPr="00381395" w:rsidRDefault="0073566C" w:rsidP="0073566C">
            <w:pPr>
              <w:pStyle w:val="DualTxt"/>
              <w:spacing w:before="40" w:after="80" w:line="240" w:lineRule="exact"/>
              <w:ind w:right="144"/>
              <w:rPr>
                <w:rFonts w:hint="cs"/>
                <w:sz w:val="16"/>
                <w:szCs w:val="24"/>
                <w:rtl/>
              </w:rPr>
            </w:pPr>
            <w:r>
              <w:rPr>
                <w:rFonts w:hint="cs"/>
                <w:sz w:val="16"/>
                <w:szCs w:val="24"/>
                <w:rtl/>
              </w:rPr>
              <w:t>نيكو ستيغمانس</w:t>
            </w:r>
          </w:p>
        </w:tc>
      </w:tr>
      <w:tr w:rsidR="0073566C" w:rsidRPr="00381395">
        <w:trPr>
          <w:cantSplit/>
        </w:trPr>
        <w:tc>
          <w:tcPr>
            <w:tcW w:w="3502" w:type="dxa"/>
            <w:shd w:val="clear" w:color="auto" w:fill="auto"/>
            <w:vAlign w:val="bottom"/>
          </w:tcPr>
          <w:p w:rsidR="0073566C" w:rsidRPr="00757DB0" w:rsidRDefault="0073566C" w:rsidP="0073566C">
            <w:pPr>
              <w:pStyle w:val="DualTxt"/>
              <w:spacing w:before="40" w:after="80" w:line="240" w:lineRule="exact"/>
              <w:rPr>
                <w:rFonts w:hint="cs"/>
                <w:i/>
                <w:iCs/>
                <w:sz w:val="16"/>
                <w:szCs w:val="24"/>
                <w:rtl/>
              </w:rPr>
            </w:pPr>
            <w:r w:rsidRPr="00757DB0">
              <w:rPr>
                <w:rFonts w:hint="cs"/>
                <w:i/>
                <w:iCs/>
                <w:sz w:val="16"/>
                <w:szCs w:val="24"/>
                <w:rtl/>
              </w:rPr>
              <w:t>تعميم مراعاة المنظور الجنساني: تحليل نقدي لتعميم مراعاة المنظور الجنساني كمفهوم نظري وأداة للسياسة</w:t>
            </w:r>
          </w:p>
        </w:tc>
        <w:tc>
          <w:tcPr>
            <w:tcW w:w="3811" w:type="dxa"/>
            <w:shd w:val="clear" w:color="auto" w:fill="auto"/>
            <w:vAlign w:val="bottom"/>
          </w:tcPr>
          <w:p w:rsidR="0073566C" w:rsidRPr="00381395" w:rsidRDefault="0073566C" w:rsidP="0073566C">
            <w:pPr>
              <w:pStyle w:val="DualTxt"/>
              <w:spacing w:before="40" w:after="80" w:line="240" w:lineRule="exact"/>
              <w:ind w:right="144"/>
              <w:rPr>
                <w:rFonts w:hint="cs"/>
                <w:sz w:val="16"/>
                <w:szCs w:val="24"/>
                <w:rtl/>
              </w:rPr>
            </w:pPr>
            <w:r>
              <w:rPr>
                <w:rFonts w:hint="cs"/>
                <w:sz w:val="16"/>
                <w:szCs w:val="24"/>
                <w:rtl/>
              </w:rPr>
              <w:t>سونيا سبي وبلوم فان رومبورغ</w:t>
            </w:r>
          </w:p>
        </w:tc>
      </w:tr>
      <w:tr w:rsidR="0073566C" w:rsidRPr="00381395">
        <w:trPr>
          <w:cantSplit/>
        </w:trPr>
        <w:tc>
          <w:tcPr>
            <w:tcW w:w="3502" w:type="dxa"/>
            <w:shd w:val="clear" w:color="auto" w:fill="auto"/>
            <w:vAlign w:val="bottom"/>
          </w:tcPr>
          <w:p w:rsidR="0073566C" w:rsidRPr="00757DB0" w:rsidRDefault="0073566C" w:rsidP="0073566C">
            <w:pPr>
              <w:pStyle w:val="DualTxt"/>
              <w:spacing w:before="40" w:after="80" w:line="240" w:lineRule="exact"/>
              <w:rPr>
                <w:rFonts w:hint="cs"/>
                <w:i/>
                <w:iCs/>
                <w:sz w:val="16"/>
                <w:szCs w:val="24"/>
                <w:rtl/>
              </w:rPr>
            </w:pPr>
            <w:r w:rsidRPr="00757DB0">
              <w:rPr>
                <w:rFonts w:hint="cs"/>
                <w:i/>
                <w:iCs/>
                <w:sz w:val="16"/>
                <w:szCs w:val="24"/>
                <w:rtl/>
              </w:rPr>
              <w:t>مزج المجالات الحياتية طوال الحياة</w:t>
            </w:r>
          </w:p>
        </w:tc>
        <w:tc>
          <w:tcPr>
            <w:tcW w:w="3811" w:type="dxa"/>
            <w:shd w:val="clear" w:color="auto" w:fill="auto"/>
            <w:vAlign w:val="bottom"/>
          </w:tcPr>
          <w:p w:rsidR="0073566C" w:rsidRPr="00381395" w:rsidRDefault="0073566C" w:rsidP="0073566C">
            <w:pPr>
              <w:pStyle w:val="DualTxt"/>
              <w:spacing w:before="40" w:after="80" w:line="240" w:lineRule="exact"/>
              <w:ind w:right="144"/>
              <w:rPr>
                <w:rFonts w:hint="cs"/>
                <w:sz w:val="16"/>
                <w:szCs w:val="24"/>
                <w:rtl/>
              </w:rPr>
            </w:pPr>
            <w:r>
              <w:rPr>
                <w:rFonts w:hint="cs"/>
                <w:sz w:val="16"/>
                <w:szCs w:val="24"/>
                <w:rtl/>
              </w:rPr>
              <w:t>مارجان فان ايرشوت</w:t>
            </w:r>
          </w:p>
        </w:tc>
      </w:tr>
      <w:tr w:rsidR="0073566C" w:rsidRPr="00381395">
        <w:trPr>
          <w:cantSplit/>
        </w:trPr>
        <w:tc>
          <w:tcPr>
            <w:tcW w:w="3502" w:type="dxa"/>
            <w:shd w:val="clear" w:color="auto" w:fill="auto"/>
            <w:vAlign w:val="bottom"/>
          </w:tcPr>
          <w:p w:rsidR="0073566C" w:rsidRPr="00757DB0" w:rsidRDefault="0073566C" w:rsidP="0073566C">
            <w:pPr>
              <w:pStyle w:val="DualTxt"/>
              <w:spacing w:before="40" w:after="80" w:line="240" w:lineRule="exact"/>
              <w:rPr>
                <w:rFonts w:hint="cs"/>
                <w:i/>
                <w:iCs/>
                <w:sz w:val="16"/>
                <w:szCs w:val="24"/>
                <w:rtl/>
              </w:rPr>
            </w:pPr>
            <w:r w:rsidRPr="00757DB0">
              <w:rPr>
                <w:rFonts w:hint="cs"/>
                <w:i/>
                <w:iCs/>
                <w:sz w:val="16"/>
                <w:szCs w:val="24"/>
                <w:rtl/>
              </w:rPr>
              <w:t>دينميات الزواج في مجتمعات المهاجرين في</w:t>
            </w:r>
            <w:r>
              <w:rPr>
                <w:rFonts w:hint="cs"/>
                <w:i/>
                <w:iCs/>
                <w:sz w:val="16"/>
                <w:szCs w:val="24"/>
                <w:rtl/>
              </w:rPr>
              <w:t>ما</w:t>
            </w:r>
            <w:r w:rsidRPr="00757DB0">
              <w:rPr>
                <w:rFonts w:hint="cs"/>
                <w:i/>
                <w:iCs/>
                <w:sz w:val="16"/>
                <w:szCs w:val="24"/>
                <w:rtl/>
              </w:rPr>
              <w:t xml:space="preserve"> يتعلق بتسهيل عوامل العنف داخل الأسرة</w:t>
            </w:r>
          </w:p>
        </w:tc>
        <w:tc>
          <w:tcPr>
            <w:tcW w:w="3811" w:type="dxa"/>
            <w:shd w:val="clear" w:color="auto" w:fill="auto"/>
            <w:vAlign w:val="bottom"/>
          </w:tcPr>
          <w:p w:rsidR="0073566C" w:rsidRPr="00381395" w:rsidRDefault="0073566C" w:rsidP="0073566C">
            <w:pPr>
              <w:pStyle w:val="DualTxt"/>
              <w:spacing w:before="40" w:after="80" w:line="240" w:lineRule="exact"/>
              <w:ind w:right="144"/>
              <w:rPr>
                <w:rFonts w:hint="cs"/>
                <w:sz w:val="16"/>
                <w:szCs w:val="24"/>
                <w:rtl/>
              </w:rPr>
            </w:pPr>
            <w:r>
              <w:rPr>
                <w:rFonts w:hint="cs"/>
                <w:sz w:val="16"/>
                <w:szCs w:val="24"/>
                <w:rtl/>
              </w:rPr>
              <w:t>نويل كليك</w:t>
            </w:r>
          </w:p>
        </w:tc>
      </w:tr>
      <w:tr w:rsidR="0073566C" w:rsidRPr="00381395">
        <w:trPr>
          <w:cantSplit/>
        </w:trPr>
        <w:tc>
          <w:tcPr>
            <w:tcW w:w="3502" w:type="dxa"/>
            <w:shd w:val="clear" w:color="auto" w:fill="auto"/>
            <w:vAlign w:val="bottom"/>
          </w:tcPr>
          <w:p w:rsidR="0073566C" w:rsidRPr="00757DB0" w:rsidRDefault="0073566C" w:rsidP="0073566C">
            <w:pPr>
              <w:pStyle w:val="DualTxt"/>
              <w:spacing w:before="40" w:after="80" w:line="240" w:lineRule="exact"/>
              <w:rPr>
                <w:rFonts w:hint="cs"/>
                <w:i/>
                <w:iCs/>
                <w:sz w:val="16"/>
                <w:szCs w:val="24"/>
                <w:rtl/>
              </w:rPr>
            </w:pPr>
            <w:r w:rsidRPr="00757DB0">
              <w:rPr>
                <w:rFonts w:hint="cs"/>
                <w:i/>
                <w:iCs/>
                <w:sz w:val="16"/>
                <w:szCs w:val="24"/>
                <w:rtl/>
              </w:rPr>
              <w:t>التركيز على كبار السن: موضع تقدير أم لا؟</w:t>
            </w:r>
          </w:p>
        </w:tc>
        <w:tc>
          <w:tcPr>
            <w:tcW w:w="3811" w:type="dxa"/>
            <w:shd w:val="clear" w:color="auto" w:fill="auto"/>
            <w:vAlign w:val="bottom"/>
          </w:tcPr>
          <w:p w:rsidR="0073566C" w:rsidRPr="00381395" w:rsidRDefault="0073566C" w:rsidP="0073566C">
            <w:pPr>
              <w:pStyle w:val="DualTxt"/>
              <w:spacing w:before="40" w:after="80" w:line="240" w:lineRule="exact"/>
              <w:ind w:right="144"/>
              <w:rPr>
                <w:rFonts w:hint="cs"/>
                <w:sz w:val="16"/>
                <w:szCs w:val="24"/>
                <w:rtl/>
              </w:rPr>
            </w:pPr>
            <w:r>
              <w:rPr>
                <w:rFonts w:hint="cs"/>
                <w:sz w:val="16"/>
                <w:szCs w:val="24"/>
                <w:rtl/>
              </w:rPr>
              <w:t>ديفيد شونميكرز</w:t>
            </w:r>
          </w:p>
        </w:tc>
      </w:tr>
      <w:tr w:rsidR="0073566C" w:rsidRPr="00381395">
        <w:trPr>
          <w:cantSplit/>
        </w:trPr>
        <w:tc>
          <w:tcPr>
            <w:tcW w:w="3502" w:type="dxa"/>
            <w:shd w:val="clear" w:color="auto" w:fill="auto"/>
            <w:vAlign w:val="bottom"/>
          </w:tcPr>
          <w:p w:rsidR="0073566C" w:rsidRPr="00757DB0" w:rsidRDefault="0073566C" w:rsidP="0073566C">
            <w:pPr>
              <w:pStyle w:val="DualTxt"/>
              <w:spacing w:before="40" w:after="80" w:line="240" w:lineRule="exact"/>
              <w:rPr>
                <w:rFonts w:hint="cs"/>
                <w:i/>
                <w:iCs/>
                <w:sz w:val="16"/>
                <w:szCs w:val="24"/>
                <w:rtl/>
              </w:rPr>
            </w:pPr>
            <w:r w:rsidRPr="00757DB0">
              <w:rPr>
                <w:rFonts w:hint="cs"/>
                <w:i/>
                <w:iCs/>
                <w:sz w:val="16"/>
                <w:szCs w:val="24"/>
                <w:rtl/>
              </w:rPr>
              <w:t>لا ورد دون شوك: المثليون والسحاقيات المسنون وبيئتهم الاجتماعية واحتياجاتهم الخاصة</w:t>
            </w:r>
          </w:p>
        </w:tc>
        <w:tc>
          <w:tcPr>
            <w:tcW w:w="3811" w:type="dxa"/>
            <w:shd w:val="clear" w:color="auto" w:fill="auto"/>
            <w:vAlign w:val="bottom"/>
          </w:tcPr>
          <w:p w:rsidR="0073566C" w:rsidRPr="00381395" w:rsidRDefault="0073566C" w:rsidP="0073566C">
            <w:pPr>
              <w:pStyle w:val="DualTxt"/>
              <w:spacing w:before="40" w:after="80" w:line="240" w:lineRule="exact"/>
              <w:ind w:right="144"/>
              <w:rPr>
                <w:rFonts w:hint="cs"/>
                <w:sz w:val="16"/>
                <w:szCs w:val="24"/>
                <w:rtl/>
              </w:rPr>
            </w:pPr>
            <w:r>
              <w:rPr>
                <w:rFonts w:hint="cs"/>
                <w:sz w:val="16"/>
                <w:szCs w:val="24"/>
                <w:rtl/>
              </w:rPr>
              <w:t>جوزفين غودمونت</w:t>
            </w:r>
          </w:p>
        </w:tc>
      </w:tr>
      <w:tr w:rsidR="0073566C" w:rsidRPr="00381395">
        <w:trPr>
          <w:cantSplit/>
        </w:trPr>
        <w:tc>
          <w:tcPr>
            <w:tcW w:w="3502" w:type="dxa"/>
            <w:shd w:val="clear" w:color="auto" w:fill="auto"/>
            <w:vAlign w:val="bottom"/>
          </w:tcPr>
          <w:p w:rsidR="0073566C" w:rsidRPr="00757DB0" w:rsidRDefault="0073566C" w:rsidP="0073566C">
            <w:pPr>
              <w:pStyle w:val="DualTxt"/>
              <w:spacing w:before="40" w:after="80" w:line="240" w:lineRule="exact"/>
              <w:rPr>
                <w:rFonts w:hint="cs"/>
                <w:i/>
                <w:iCs/>
                <w:sz w:val="16"/>
                <w:szCs w:val="24"/>
                <w:rtl/>
              </w:rPr>
            </w:pPr>
            <w:r w:rsidRPr="00757DB0">
              <w:rPr>
                <w:rFonts w:hint="cs"/>
                <w:i/>
                <w:iCs/>
                <w:sz w:val="16"/>
                <w:szCs w:val="24"/>
                <w:rtl/>
              </w:rPr>
              <w:t>وصول شباب المهاجرين فيالإقليم الفلمندي إلى وسائل الإعلام الجديدة واستفادتهم منها</w:t>
            </w:r>
          </w:p>
        </w:tc>
        <w:tc>
          <w:tcPr>
            <w:tcW w:w="3811" w:type="dxa"/>
            <w:shd w:val="clear" w:color="auto" w:fill="auto"/>
            <w:vAlign w:val="bottom"/>
          </w:tcPr>
          <w:p w:rsidR="0073566C" w:rsidRPr="00381395" w:rsidRDefault="0073566C" w:rsidP="0073566C">
            <w:pPr>
              <w:pStyle w:val="DualTxt"/>
              <w:spacing w:before="40" w:after="80" w:line="240" w:lineRule="exact"/>
              <w:ind w:right="144"/>
              <w:rPr>
                <w:rFonts w:hint="cs"/>
                <w:sz w:val="16"/>
                <w:szCs w:val="24"/>
                <w:rtl/>
              </w:rPr>
            </w:pPr>
            <w:r>
              <w:rPr>
                <w:rFonts w:hint="cs"/>
                <w:sz w:val="16"/>
                <w:szCs w:val="24"/>
                <w:rtl/>
              </w:rPr>
              <w:t>إيلس ديفرو وديتير دريسن وفريدا سايس</w:t>
            </w:r>
          </w:p>
        </w:tc>
      </w:tr>
      <w:tr w:rsidR="0073566C" w:rsidRPr="00381395">
        <w:trPr>
          <w:cantSplit/>
        </w:trPr>
        <w:tc>
          <w:tcPr>
            <w:tcW w:w="3502" w:type="dxa"/>
            <w:shd w:val="clear" w:color="auto" w:fill="auto"/>
            <w:vAlign w:val="bottom"/>
          </w:tcPr>
          <w:p w:rsidR="0073566C" w:rsidRPr="00757DB0" w:rsidRDefault="0073566C" w:rsidP="0073566C">
            <w:pPr>
              <w:pStyle w:val="DualTxt"/>
              <w:spacing w:before="40" w:after="80" w:line="240" w:lineRule="exact"/>
              <w:rPr>
                <w:rFonts w:hint="cs"/>
                <w:i/>
                <w:iCs/>
                <w:sz w:val="16"/>
                <w:szCs w:val="24"/>
                <w:rtl/>
              </w:rPr>
            </w:pPr>
            <w:r w:rsidRPr="00757DB0">
              <w:rPr>
                <w:rFonts w:hint="cs"/>
                <w:i/>
                <w:iCs/>
                <w:sz w:val="16"/>
                <w:szCs w:val="24"/>
                <w:rtl/>
              </w:rPr>
              <w:t>كبار السن والسياسات</w:t>
            </w:r>
          </w:p>
        </w:tc>
        <w:tc>
          <w:tcPr>
            <w:tcW w:w="3811" w:type="dxa"/>
            <w:shd w:val="clear" w:color="auto" w:fill="auto"/>
            <w:vAlign w:val="bottom"/>
          </w:tcPr>
          <w:p w:rsidR="0073566C" w:rsidRPr="00381395" w:rsidRDefault="0073566C" w:rsidP="0073566C">
            <w:pPr>
              <w:pStyle w:val="DualTxt"/>
              <w:spacing w:before="40" w:after="80" w:line="240" w:lineRule="exact"/>
              <w:ind w:right="144"/>
              <w:rPr>
                <w:rFonts w:hint="cs"/>
                <w:sz w:val="16"/>
                <w:szCs w:val="24"/>
                <w:rtl/>
              </w:rPr>
            </w:pPr>
            <w:r>
              <w:rPr>
                <w:rFonts w:hint="cs"/>
                <w:sz w:val="16"/>
                <w:szCs w:val="24"/>
                <w:rtl/>
              </w:rPr>
              <w:t>إيلس دي بروين</w:t>
            </w:r>
          </w:p>
        </w:tc>
      </w:tr>
      <w:tr w:rsidR="0073566C" w:rsidRPr="00381395">
        <w:trPr>
          <w:cantSplit/>
        </w:trPr>
        <w:tc>
          <w:tcPr>
            <w:tcW w:w="3502" w:type="dxa"/>
            <w:shd w:val="clear" w:color="auto" w:fill="auto"/>
            <w:vAlign w:val="bottom"/>
          </w:tcPr>
          <w:p w:rsidR="0073566C" w:rsidRPr="00757DB0" w:rsidRDefault="0073566C" w:rsidP="0073566C">
            <w:pPr>
              <w:pStyle w:val="DualTxt"/>
              <w:spacing w:before="40" w:after="80" w:line="240" w:lineRule="exact"/>
              <w:rPr>
                <w:rFonts w:hint="cs"/>
                <w:i/>
                <w:iCs/>
                <w:sz w:val="16"/>
                <w:szCs w:val="24"/>
                <w:rtl/>
              </w:rPr>
            </w:pPr>
            <w:r w:rsidRPr="00757DB0">
              <w:rPr>
                <w:rFonts w:hint="cs"/>
                <w:i/>
                <w:iCs/>
                <w:sz w:val="16"/>
                <w:szCs w:val="24"/>
                <w:rtl/>
              </w:rPr>
              <w:t>تجربة تكافؤ الفرص في الحياة: تحليل كمي</w:t>
            </w:r>
          </w:p>
        </w:tc>
        <w:tc>
          <w:tcPr>
            <w:tcW w:w="3811" w:type="dxa"/>
            <w:shd w:val="clear" w:color="auto" w:fill="auto"/>
            <w:vAlign w:val="bottom"/>
          </w:tcPr>
          <w:p w:rsidR="0073566C" w:rsidRPr="00381395" w:rsidRDefault="0073566C" w:rsidP="0073566C">
            <w:pPr>
              <w:pStyle w:val="DualTxt"/>
              <w:spacing w:before="40" w:after="80" w:line="240" w:lineRule="exact"/>
              <w:ind w:right="144"/>
              <w:rPr>
                <w:rFonts w:hint="cs"/>
                <w:sz w:val="16"/>
                <w:szCs w:val="24"/>
                <w:rtl/>
              </w:rPr>
            </w:pPr>
            <w:r>
              <w:rPr>
                <w:rFonts w:hint="cs"/>
                <w:sz w:val="16"/>
                <w:szCs w:val="24"/>
                <w:rtl/>
              </w:rPr>
              <w:t>ستيفن لينرس</w:t>
            </w:r>
          </w:p>
        </w:tc>
      </w:tr>
      <w:tr w:rsidR="0073566C" w:rsidRPr="00381395">
        <w:trPr>
          <w:cantSplit/>
        </w:trPr>
        <w:tc>
          <w:tcPr>
            <w:tcW w:w="3502" w:type="dxa"/>
            <w:shd w:val="clear" w:color="auto" w:fill="auto"/>
            <w:vAlign w:val="bottom"/>
          </w:tcPr>
          <w:p w:rsidR="0073566C" w:rsidRPr="00757DB0" w:rsidRDefault="0073566C" w:rsidP="0073566C">
            <w:pPr>
              <w:pStyle w:val="DualTxt"/>
              <w:spacing w:before="40" w:after="80" w:line="240" w:lineRule="exact"/>
              <w:rPr>
                <w:rFonts w:hint="cs"/>
                <w:i/>
                <w:iCs/>
                <w:sz w:val="16"/>
                <w:szCs w:val="24"/>
                <w:rtl/>
              </w:rPr>
            </w:pPr>
            <w:r w:rsidRPr="00757DB0">
              <w:rPr>
                <w:rFonts w:hint="cs"/>
                <w:i/>
                <w:iCs/>
                <w:sz w:val="16"/>
                <w:szCs w:val="24"/>
                <w:rtl/>
              </w:rPr>
              <w:t>التجربة الإسلامية لشباب المسلمين في التعليم العالي في الإقليم الفلمندي</w:t>
            </w:r>
          </w:p>
        </w:tc>
        <w:tc>
          <w:tcPr>
            <w:tcW w:w="3811" w:type="dxa"/>
            <w:shd w:val="clear" w:color="auto" w:fill="auto"/>
            <w:vAlign w:val="bottom"/>
          </w:tcPr>
          <w:p w:rsidR="0073566C" w:rsidRPr="00381395" w:rsidRDefault="0073566C" w:rsidP="0073566C">
            <w:pPr>
              <w:pStyle w:val="DualTxt"/>
              <w:spacing w:before="40" w:after="80" w:line="240" w:lineRule="exact"/>
              <w:ind w:right="144"/>
              <w:rPr>
                <w:rFonts w:hint="cs"/>
                <w:sz w:val="16"/>
                <w:szCs w:val="24"/>
                <w:rtl/>
              </w:rPr>
            </w:pPr>
            <w:r>
              <w:rPr>
                <w:rFonts w:hint="cs"/>
                <w:sz w:val="16"/>
                <w:szCs w:val="24"/>
                <w:rtl/>
              </w:rPr>
              <w:t>كاترين فان در هيدن</w:t>
            </w:r>
          </w:p>
        </w:tc>
      </w:tr>
      <w:tr w:rsidR="0073566C" w:rsidRPr="00381395">
        <w:trPr>
          <w:cantSplit/>
        </w:trPr>
        <w:tc>
          <w:tcPr>
            <w:tcW w:w="3502" w:type="dxa"/>
            <w:shd w:val="clear" w:color="auto" w:fill="auto"/>
            <w:vAlign w:val="bottom"/>
          </w:tcPr>
          <w:p w:rsidR="0073566C" w:rsidRPr="00757DB0" w:rsidRDefault="0073566C" w:rsidP="0073566C">
            <w:pPr>
              <w:pStyle w:val="DualTxt"/>
              <w:spacing w:before="40" w:after="80" w:line="240" w:lineRule="exact"/>
              <w:rPr>
                <w:rFonts w:hint="cs"/>
                <w:i/>
                <w:iCs/>
                <w:sz w:val="16"/>
                <w:szCs w:val="24"/>
                <w:rtl/>
              </w:rPr>
            </w:pPr>
            <w:r w:rsidRPr="00757DB0">
              <w:rPr>
                <w:rFonts w:hint="cs"/>
                <w:i/>
                <w:iCs/>
                <w:sz w:val="16"/>
                <w:szCs w:val="24"/>
                <w:rtl/>
              </w:rPr>
              <w:t>الزعامة والمساواة في المدرسة: حالة أنتويرب</w:t>
            </w:r>
          </w:p>
        </w:tc>
        <w:tc>
          <w:tcPr>
            <w:tcW w:w="3811" w:type="dxa"/>
            <w:shd w:val="clear" w:color="auto" w:fill="auto"/>
            <w:vAlign w:val="bottom"/>
          </w:tcPr>
          <w:p w:rsidR="0073566C" w:rsidRPr="00381395" w:rsidRDefault="0073566C" w:rsidP="0073566C">
            <w:pPr>
              <w:pStyle w:val="DualTxt"/>
              <w:spacing w:before="40" w:after="80" w:line="240" w:lineRule="exact"/>
              <w:ind w:right="144"/>
              <w:rPr>
                <w:rFonts w:hint="cs"/>
                <w:sz w:val="16"/>
                <w:szCs w:val="24"/>
                <w:rtl/>
              </w:rPr>
            </w:pPr>
            <w:r>
              <w:rPr>
                <w:rFonts w:hint="cs"/>
                <w:sz w:val="16"/>
                <w:szCs w:val="24"/>
                <w:rtl/>
              </w:rPr>
              <w:t>نويل كليك وبول ماهيو وإينا لودويكس</w:t>
            </w:r>
          </w:p>
        </w:tc>
      </w:tr>
      <w:tr w:rsidR="0073566C" w:rsidRPr="00381395">
        <w:trPr>
          <w:cantSplit/>
        </w:trPr>
        <w:tc>
          <w:tcPr>
            <w:tcW w:w="3502" w:type="dxa"/>
            <w:shd w:val="clear" w:color="auto" w:fill="auto"/>
            <w:vAlign w:val="bottom"/>
          </w:tcPr>
          <w:p w:rsidR="0073566C" w:rsidRPr="00757DB0" w:rsidRDefault="0073566C" w:rsidP="0073566C">
            <w:pPr>
              <w:pStyle w:val="DualTxt"/>
              <w:spacing w:before="40" w:after="80" w:line="240" w:lineRule="exact"/>
              <w:rPr>
                <w:rFonts w:hint="cs"/>
                <w:i/>
                <w:iCs/>
                <w:sz w:val="16"/>
                <w:szCs w:val="24"/>
                <w:rtl/>
              </w:rPr>
            </w:pPr>
            <w:r w:rsidRPr="00757DB0">
              <w:rPr>
                <w:rFonts w:hint="cs"/>
                <w:i/>
                <w:iCs/>
                <w:sz w:val="16"/>
                <w:szCs w:val="24"/>
                <w:rtl/>
              </w:rPr>
              <w:t>المهاجرون والشباب في الإقليم الفلمندي المعانون لمشاكل نفسية وسلوكية</w:t>
            </w:r>
          </w:p>
        </w:tc>
        <w:tc>
          <w:tcPr>
            <w:tcW w:w="3811" w:type="dxa"/>
            <w:shd w:val="clear" w:color="auto" w:fill="auto"/>
            <w:vAlign w:val="bottom"/>
          </w:tcPr>
          <w:p w:rsidR="0073566C" w:rsidRPr="00381395" w:rsidRDefault="0073566C" w:rsidP="0073566C">
            <w:pPr>
              <w:pStyle w:val="DualTxt"/>
              <w:spacing w:before="40" w:after="80" w:line="240" w:lineRule="exact"/>
              <w:ind w:right="144"/>
              <w:rPr>
                <w:rFonts w:hint="cs"/>
                <w:sz w:val="16"/>
                <w:szCs w:val="24"/>
                <w:rtl/>
              </w:rPr>
            </w:pPr>
            <w:r>
              <w:rPr>
                <w:rFonts w:hint="cs"/>
                <w:sz w:val="16"/>
                <w:szCs w:val="24"/>
                <w:rtl/>
              </w:rPr>
              <w:t>لودويكس، إينا ويانسنس، أستريد وإيسابي، بيتر وتيمرمان، كريستيان</w:t>
            </w:r>
          </w:p>
        </w:tc>
      </w:tr>
      <w:tr w:rsidR="0073566C" w:rsidRPr="00381395">
        <w:trPr>
          <w:cantSplit/>
        </w:trPr>
        <w:tc>
          <w:tcPr>
            <w:tcW w:w="3502" w:type="dxa"/>
            <w:shd w:val="clear" w:color="auto" w:fill="auto"/>
            <w:vAlign w:val="bottom"/>
          </w:tcPr>
          <w:p w:rsidR="0073566C" w:rsidRPr="00757DB0" w:rsidRDefault="0073566C" w:rsidP="0073566C">
            <w:pPr>
              <w:pStyle w:val="DualTxt"/>
              <w:spacing w:before="40" w:after="80" w:line="240" w:lineRule="exact"/>
              <w:rPr>
                <w:rFonts w:hint="cs"/>
                <w:i/>
                <w:iCs/>
                <w:sz w:val="16"/>
                <w:szCs w:val="24"/>
                <w:rtl/>
              </w:rPr>
            </w:pPr>
            <w:r w:rsidRPr="00757DB0">
              <w:rPr>
                <w:rFonts w:hint="cs"/>
                <w:i/>
                <w:iCs/>
                <w:sz w:val="16"/>
                <w:szCs w:val="24"/>
                <w:rtl/>
              </w:rPr>
              <w:t>وهم تخيّلي أم فرص حقيقية: الجنسانية في مجتمع التواصل الشبكي</w:t>
            </w:r>
          </w:p>
        </w:tc>
        <w:tc>
          <w:tcPr>
            <w:tcW w:w="3811" w:type="dxa"/>
            <w:shd w:val="clear" w:color="auto" w:fill="auto"/>
            <w:vAlign w:val="bottom"/>
          </w:tcPr>
          <w:p w:rsidR="0073566C" w:rsidRPr="00381395" w:rsidRDefault="0073566C" w:rsidP="0073566C">
            <w:pPr>
              <w:pStyle w:val="DualTxt"/>
              <w:spacing w:before="40" w:after="80" w:line="240" w:lineRule="exact"/>
              <w:ind w:right="144"/>
              <w:rPr>
                <w:rFonts w:hint="cs"/>
                <w:sz w:val="16"/>
                <w:szCs w:val="24"/>
                <w:rtl/>
              </w:rPr>
            </w:pPr>
            <w:r>
              <w:rPr>
                <w:rFonts w:hint="cs"/>
                <w:sz w:val="16"/>
                <w:szCs w:val="24"/>
                <w:rtl/>
              </w:rPr>
              <w:t>كلايس، لورنس وسبي، سونيا</w:t>
            </w:r>
          </w:p>
        </w:tc>
      </w:tr>
      <w:tr w:rsidR="0073566C" w:rsidRPr="00381395">
        <w:trPr>
          <w:cantSplit/>
        </w:trPr>
        <w:tc>
          <w:tcPr>
            <w:tcW w:w="3502" w:type="dxa"/>
            <w:shd w:val="clear" w:color="auto" w:fill="auto"/>
            <w:vAlign w:val="bottom"/>
          </w:tcPr>
          <w:p w:rsidR="0073566C" w:rsidRPr="00757DB0" w:rsidRDefault="0073566C" w:rsidP="0073566C">
            <w:pPr>
              <w:pStyle w:val="DualTxt"/>
              <w:spacing w:before="40" w:after="80" w:line="240" w:lineRule="exact"/>
              <w:rPr>
                <w:rFonts w:hint="cs"/>
                <w:i/>
                <w:iCs/>
                <w:sz w:val="16"/>
                <w:szCs w:val="24"/>
                <w:rtl/>
              </w:rPr>
            </w:pPr>
            <w:r w:rsidRPr="00757DB0">
              <w:rPr>
                <w:rFonts w:hint="cs"/>
                <w:i/>
                <w:iCs/>
                <w:sz w:val="16"/>
                <w:szCs w:val="24"/>
                <w:rtl/>
              </w:rPr>
              <w:t>دراسة استقصائية للمسنين في العمل التطوعي بالإقليم الفلمندي</w:t>
            </w:r>
          </w:p>
        </w:tc>
        <w:tc>
          <w:tcPr>
            <w:tcW w:w="3811" w:type="dxa"/>
            <w:shd w:val="clear" w:color="auto" w:fill="auto"/>
            <w:vAlign w:val="bottom"/>
          </w:tcPr>
          <w:p w:rsidR="0073566C" w:rsidRPr="00381395" w:rsidRDefault="0073566C" w:rsidP="0073566C">
            <w:pPr>
              <w:pStyle w:val="DualTxt"/>
              <w:spacing w:before="40" w:after="80" w:line="240" w:lineRule="exact"/>
              <w:ind w:right="144"/>
              <w:rPr>
                <w:rFonts w:hint="cs"/>
                <w:sz w:val="16"/>
                <w:szCs w:val="24"/>
                <w:rtl/>
              </w:rPr>
            </w:pPr>
            <w:r>
              <w:rPr>
                <w:rFonts w:hint="cs"/>
                <w:sz w:val="16"/>
                <w:szCs w:val="24"/>
                <w:rtl/>
              </w:rPr>
              <w:t>غودمونت، جوزفين وغويفارتس، كارين ومارينيسن، رودي</w:t>
            </w:r>
          </w:p>
        </w:tc>
      </w:tr>
      <w:tr w:rsidR="0073566C" w:rsidRPr="00381395">
        <w:trPr>
          <w:cantSplit/>
        </w:trPr>
        <w:tc>
          <w:tcPr>
            <w:tcW w:w="3502" w:type="dxa"/>
            <w:shd w:val="clear" w:color="auto" w:fill="auto"/>
            <w:vAlign w:val="bottom"/>
          </w:tcPr>
          <w:p w:rsidR="0073566C" w:rsidRPr="00757DB0" w:rsidRDefault="0073566C" w:rsidP="0073566C">
            <w:pPr>
              <w:pStyle w:val="DualTxt"/>
              <w:spacing w:before="40" w:after="80" w:line="240" w:lineRule="exact"/>
              <w:rPr>
                <w:rFonts w:hint="cs"/>
                <w:i/>
                <w:iCs/>
                <w:sz w:val="16"/>
                <w:szCs w:val="24"/>
                <w:rtl/>
              </w:rPr>
            </w:pPr>
            <w:r w:rsidRPr="00757DB0">
              <w:rPr>
                <w:rFonts w:hint="cs"/>
                <w:i/>
                <w:iCs/>
                <w:sz w:val="16"/>
                <w:szCs w:val="24"/>
                <w:rtl/>
              </w:rPr>
              <w:t>التركيز على المثلث المخملي</w:t>
            </w:r>
          </w:p>
        </w:tc>
        <w:tc>
          <w:tcPr>
            <w:tcW w:w="3811" w:type="dxa"/>
            <w:shd w:val="clear" w:color="auto" w:fill="auto"/>
            <w:vAlign w:val="bottom"/>
          </w:tcPr>
          <w:p w:rsidR="0073566C" w:rsidRPr="00381395" w:rsidRDefault="0073566C" w:rsidP="0073566C">
            <w:pPr>
              <w:pStyle w:val="DualTxt"/>
              <w:spacing w:before="40" w:after="80" w:line="240" w:lineRule="exact"/>
              <w:ind w:right="144"/>
              <w:rPr>
                <w:rFonts w:hint="cs"/>
                <w:sz w:val="16"/>
                <w:szCs w:val="24"/>
                <w:rtl/>
              </w:rPr>
            </w:pPr>
            <w:r>
              <w:rPr>
                <w:rFonts w:hint="cs"/>
                <w:sz w:val="16"/>
                <w:szCs w:val="24"/>
                <w:rtl/>
              </w:rPr>
              <w:t>غودمونت، جوزفين وموتمانس، جوز</w:t>
            </w:r>
          </w:p>
        </w:tc>
      </w:tr>
      <w:tr w:rsidR="0073566C" w:rsidRPr="00381395">
        <w:trPr>
          <w:cantSplit/>
        </w:trPr>
        <w:tc>
          <w:tcPr>
            <w:tcW w:w="3502" w:type="dxa"/>
            <w:shd w:val="clear" w:color="auto" w:fill="auto"/>
            <w:vAlign w:val="bottom"/>
          </w:tcPr>
          <w:p w:rsidR="0073566C" w:rsidRPr="00757DB0" w:rsidRDefault="0073566C" w:rsidP="0073566C">
            <w:pPr>
              <w:pStyle w:val="DualTxt"/>
              <w:spacing w:before="40" w:after="80" w:line="240" w:lineRule="exact"/>
              <w:rPr>
                <w:rFonts w:hint="cs"/>
                <w:i/>
                <w:iCs/>
                <w:sz w:val="16"/>
                <w:szCs w:val="24"/>
                <w:rtl/>
              </w:rPr>
            </w:pPr>
            <w:r w:rsidRPr="00757DB0">
              <w:rPr>
                <w:rFonts w:hint="cs"/>
                <w:i/>
                <w:iCs/>
                <w:sz w:val="16"/>
                <w:szCs w:val="24"/>
                <w:rtl/>
              </w:rPr>
              <w:t>السحابات الوردية ...</w:t>
            </w:r>
          </w:p>
        </w:tc>
        <w:tc>
          <w:tcPr>
            <w:tcW w:w="3811" w:type="dxa"/>
            <w:shd w:val="clear" w:color="auto" w:fill="auto"/>
            <w:vAlign w:val="bottom"/>
          </w:tcPr>
          <w:p w:rsidR="0073566C" w:rsidRPr="00381395" w:rsidRDefault="0073566C" w:rsidP="0073566C">
            <w:pPr>
              <w:pStyle w:val="DualTxt"/>
              <w:spacing w:before="40" w:after="80" w:line="240" w:lineRule="exact"/>
              <w:ind w:right="144"/>
              <w:rPr>
                <w:rFonts w:hint="cs"/>
                <w:sz w:val="16"/>
                <w:szCs w:val="24"/>
                <w:rtl/>
              </w:rPr>
            </w:pPr>
            <w:r>
              <w:rPr>
                <w:rFonts w:hint="cs"/>
                <w:sz w:val="16"/>
                <w:szCs w:val="24"/>
                <w:rtl/>
              </w:rPr>
              <w:t>فان أيرشوت، مارجان</w:t>
            </w:r>
          </w:p>
        </w:tc>
      </w:tr>
      <w:tr w:rsidR="0073566C" w:rsidRPr="00381395">
        <w:trPr>
          <w:cantSplit/>
        </w:trPr>
        <w:tc>
          <w:tcPr>
            <w:tcW w:w="3502" w:type="dxa"/>
            <w:shd w:val="clear" w:color="auto" w:fill="auto"/>
            <w:vAlign w:val="bottom"/>
          </w:tcPr>
          <w:p w:rsidR="0073566C" w:rsidRPr="00757DB0" w:rsidRDefault="0073566C" w:rsidP="0073566C">
            <w:pPr>
              <w:pStyle w:val="DualTxt"/>
              <w:spacing w:before="40" w:after="80" w:line="240" w:lineRule="exact"/>
              <w:rPr>
                <w:rFonts w:hint="cs"/>
                <w:i/>
                <w:iCs/>
                <w:sz w:val="16"/>
                <w:szCs w:val="24"/>
                <w:rtl/>
              </w:rPr>
            </w:pPr>
            <w:r w:rsidRPr="00757DB0">
              <w:rPr>
                <w:rFonts w:hint="cs"/>
                <w:i/>
                <w:iCs/>
                <w:sz w:val="16"/>
                <w:szCs w:val="24"/>
                <w:rtl/>
              </w:rPr>
              <w:t>أين ذهب مصففو الشعر جميعا؟</w:t>
            </w:r>
          </w:p>
        </w:tc>
        <w:tc>
          <w:tcPr>
            <w:tcW w:w="3811" w:type="dxa"/>
            <w:shd w:val="clear" w:color="auto" w:fill="auto"/>
            <w:vAlign w:val="bottom"/>
          </w:tcPr>
          <w:p w:rsidR="0073566C" w:rsidRPr="00381395" w:rsidRDefault="0073566C" w:rsidP="0073566C">
            <w:pPr>
              <w:pStyle w:val="DualTxt"/>
              <w:spacing w:before="40" w:after="80" w:line="240" w:lineRule="exact"/>
              <w:ind w:right="144"/>
              <w:rPr>
                <w:rFonts w:hint="cs"/>
                <w:sz w:val="16"/>
                <w:szCs w:val="24"/>
                <w:rtl/>
              </w:rPr>
            </w:pPr>
            <w:r>
              <w:rPr>
                <w:rFonts w:hint="cs"/>
                <w:sz w:val="16"/>
                <w:szCs w:val="24"/>
                <w:rtl/>
              </w:rPr>
              <w:t>ميرتنس، تين وستيغمانس، نيكو</w:t>
            </w:r>
          </w:p>
        </w:tc>
      </w:tr>
      <w:tr w:rsidR="0073566C" w:rsidRPr="00381395">
        <w:trPr>
          <w:cantSplit/>
        </w:trPr>
        <w:tc>
          <w:tcPr>
            <w:tcW w:w="3502" w:type="dxa"/>
            <w:tcBorders>
              <w:bottom w:val="single" w:sz="12" w:space="0" w:color="auto"/>
            </w:tcBorders>
            <w:shd w:val="clear" w:color="auto" w:fill="auto"/>
            <w:vAlign w:val="bottom"/>
          </w:tcPr>
          <w:p w:rsidR="0073566C" w:rsidRPr="00757DB0" w:rsidRDefault="0073566C" w:rsidP="0073566C">
            <w:pPr>
              <w:pStyle w:val="DualTxt"/>
              <w:spacing w:before="40" w:after="80" w:line="240" w:lineRule="exact"/>
              <w:rPr>
                <w:rFonts w:hint="cs"/>
                <w:i/>
                <w:iCs/>
                <w:sz w:val="16"/>
                <w:szCs w:val="24"/>
                <w:rtl/>
              </w:rPr>
            </w:pPr>
            <w:r w:rsidRPr="00757DB0">
              <w:rPr>
                <w:rFonts w:hint="cs"/>
                <w:i/>
                <w:iCs/>
                <w:sz w:val="16"/>
                <w:szCs w:val="24"/>
                <w:rtl/>
              </w:rPr>
              <w:t>الاشتراك مع المنظمات النسائية في إنشاء شبكة وطنية (دولية)</w:t>
            </w:r>
          </w:p>
        </w:tc>
        <w:tc>
          <w:tcPr>
            <w:tcW w:w="3811" w:type="dxa"/>
            <w:tcBorders>
              <w:bottom w:val="single" w:sz="12" w:space="0" w:color="auto"/>
            </w:tcBorders>
            <w:shd w:val="clear" w:color="auto" w:fill="auto"/>
            <w:vAlign w:val="bottom"/>
          </w:tcPr>
          <w:p w:rsidR="0073566C" w:rsidRPr="00381395" w:rsidRDefault="0073566C" w:rsidP="0073566C">
            <w:pPr>
              <w:pStyle w:val="DualTxt"/>
              <w:spacing w:before="40" w:after="80" w:line="240" w:lineRule="exact"/>
              <w:ind w:right="144"/>
              <w:rPr>
                <w:rFonts w:hint="cs"/>
                <w:sz w:val="16"/>
                <w:szCs w:val="24"/>
                <w:rtl/>
              </w:rPr>
            </w:pPr>
            <w:r>
              <w:rPr>
                <w:rFonts w:hint="cs"/>
                <w:sz w:val="16"/>
                <w:szCs w:val="24"/>
                <w:rtl/>
              </w:rPr>
              <w:t>ويركس، جوك ووودوورد، أليسون</w:t>
            </w:r>
          </w:p>
        </w:tc>
      </w:tr>
    </w:tbl>
    <w:p w:rsidR="0073566C" w:rsidRPr="00F316E7" w:rsidRDefault="0073566C" w:rsidP="0073566C">
      <w:pPr>
        <w:pStyle w:val="SingleTxt"/>
        <w:spacing w:after="0" w:line="120" w:lineRule="exact"/>
        <w:rPr>
          <w:rFonts w:hint="cs"/>
          <w:sz w:val="12"/>
          <w:rtl/>
        </w:rPr>
      </w:pPr>
    </w:p>
    <w:p w:rsidR="0073566C" w:rsidRPr="00086998" w:rsidRDefault="0073566C" w:rsidP="00086998">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086998">
        <w:rPr>
          <w:rFonts w:hint="cs"/>
          <w:rtl/>
        </w:rPr>
        <w:tab/>
      </w:r>
      <w:r w:rsidRPr="00086998">
        <w:rPr>
          <w:rFonts w:hint="cs"/>
          <w:rtl/>
        </w:rPr>
        <w:tab/>
        <w:t>2-2</w:t>
      </w:r>
      <w:r w:rsidRPr="00086998">
        <w:rPr>
          <w:rFonts w:hint="cs"/>
          <w:rtl/>
        </w:rPr>
        <w:tab/>
        <w:t>المنشورات في المجتمع الفرنسي (2002-2006)</w:t>
      </w:r>
    </w:p>
    <w:p w:rsidR="0073566C" w:rsidRDefault="0073566C" w:rsidP="00C6724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rtl/>
        </w:rPr>
        <w:tab/>
      </w:r>
      <w:r>
        <w:rPr>
          <w:rFonts w:hint="cs"/>
          <w:i/>
          <w:iCs/>
          <w:rtl/>
        </w:rPr>
        <w:t>الفتيات في مواجهة الدراسات العلمية والنجاح في المدرسة وانعدام المساواة في التوجيه</w:t>
      </w:r>
      <w:r>
        <w:rPr>
          <w:rFonts w:hint="cs"/>
          <w:rtl/>
        </w:rPr>
        <w:t>، ماتيو ألالوف، نجاة إيماتوشان، بيير ماراج، سيرج باهو، روبرتين سانفورا، آن فالكينيرز، أديندا فانهيرسوينغلس، مطبوعات جامعة بروكسل الحرة، 2002.</w:t>
      </w:r>
    </w:p>
    <w:p w:rsidR="0073566C" w:rsidRDefault="00C6724F" w:rsidP="0073566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sidR="0073566C">
        <w:rPr>
          <w:rFonts w:hint="cs"/>
          <w:rtl/>
        </w:rPr>
        <w:tab/>
      </w:r>
      <w:r w:rsidR="0073566C" w:rsidRPr="004846CD">
        <w:rPr>
          <w:rFonts w:hint="cs"/>
          <w:i/>
          <w:iCs/>
          <w:rtl/>
        </w:rPr>
        <w:t>أي جنس للبحث الجامعي؟</w:t>
      </w:r>
      <w:r w:rsidR="0073566C">
        <w:rPr>
          <w:rFonts w:hint="cs"/>
          <w:rtl/>
        </w:rPr>
        <w:t>، دانييل مولدرس وجيروم دي إينو، مطبوعات قسم الاقتصاد التطبيقي في جامعة بروكسل الحرة، 2003.</w:t>
      </w:r>
    </w:p>
    <w:p w:rsidR="0073566C" w:rsidRDefault="00C6724F" w:rsidP="0073566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sidR="0073566C">
        <w:rPr>
          <w:rFonts w:hint="cs"/>
          <w:rtl/>
        </w:rPr>
        <w:tab/>
      </w:r>
      <w:r w:rsidR="0073566C" w:rsidRPr="004846CD">
        <w:rPr>
          <w:rFonts w:hint="cs"/>
          <w:i/>
          <w:iCs/>
          <w:rtl/>
        </w:rPr>
        <w:t>أي جنس للمساواة؟</w:t>
      </w:r>
      <w:r w:rsidR="0073566C">
        <w:rPr>
          <w:rFonts w:hint="cs"/>
          <w:rtl/>
        </w:rPr>
        <w:t xml:space="preserve"> كراسات التعليم المستمر، 2003.</w:t>
      </w:r>
    </w:p>
    <w:p w:rsidR="0073566C" w:rsidRDefault="00C6724F" w:rsidP="0073566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sidR="0073566C">
        <w:rPr>
          <w:rFonts w:hint="cs"/>
          <w:rtl/>
        </w:rPr>
        <w:tab/>
      </w:r>
      <w:r w:rsidR="0073566C">
        <w:rPr>
          <w:rFonts w:hint="cs"/>
          <w:i/>
          <w:iCs/>
          <w:rtl/>
        </w:rPr>
        <w:t>المرأة والمهن العلمية، الشهادات الجامعية والحصول على عمل</w:t>
      </w:r>
      <w:r w:rsidR="0073566C" w:rsidRPr="004846CD">
        <w:rPr>
          <w:rFonts w:hint="cs"/>
          <w:rtl/>
        </w:rPr>
        <w:t>، ماتيو ألالوف، نجاة إيماتوشان، بيير ماراج، سيرج باهو، روبرتين سانفورا، آن فالكينيرز، مطبوعات جامعة بروكسل الحرة، 2004</w:t>
      </w:r>
      <w:r w:rsidR="0073566C">
        <w:rPr>
          <w:rFonts w:hint="cs"/>
          <w:rtl/>
        </w:rPr>
        <w:t>.</w:t>
      </w:r>
    </w:p>
    <w:p w:rsidR="0073566C" w:rsidRDefault="00C6724F" w:rsidP="0073566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sidR="0073566C">
        <w:rPr>
          <w:rFonts w:hint="cs"/>
          <w:rtl/>
        </w:rPr>
        <w:tab/>
      </w:r>
      <w:r w:rsidR="0073566C">
        <w:rPr>
          <w:rFonts w:hint="cs"/>
          <w:i/>
          <w:iCs/>
          <w:rtl/>
        </w:rPr>
        <w:t>مجموعة أدوات البرنامج الأوروبي لمكافحة العنف ضد الطفل والمراهق والمرأة، موارد لمكافحة العنف ضد الطفل والشاب والمرأة</w:t>
      </w:r>
      <w:r w:rsidR="0073566C">
        <w:rPr>
          <w:rFonts w:hint="cs"/>
          <w:rtl/>
        </w:rPr>
        <w:t xml:space="preserve">، </w:t>
      </w:r>
      <w:r w:rsidR="0073566C">
        <w:t>City and Shelter</w:t>
      </w:r>
      <w:r w:rsidR="0073566C">
        <w:rPr>
          <w:rFonts w:hint="cs"/>
          <w:rtl/>
        </w:rPr>
        <w:t>، 2004.</w:t>
      </w:r>
    </w:p>
    <w:p w:rsidR="0073566C" w:rsidRDefault="00C6724F" w:rsidP="0073566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sidR="0073566C">
        <w:rPr>
          <w:rFonts w:hint="cs"/>
          <w:rtl/>
        </w:rPr>
        <w:tab/>
      </w:r>
      <w:r w:rsidR="0073566C">
        <w:rPr>
          <w:rFonts w:hint="cs"/>
          <w:i/>
          <w:iCs/>
          <w:rtl/>
        </w:rPr>
        <w:t>أثر آليات نقل المعايير على تكافؤ الفرص: وجهة نظر الأطفال فيما بين 8 أعوام و12 عاما من العمر</w:t>
      </w:r>
      <w:r w:rsidR="0073566C">
        <w:rPr>
          <w:rFonts w:hint="cs"/>
          <w:rtl/>
        </w:rPr>
        <w:t>، مؤسسة فرانسواز دولتو، 2005.</w:t>
      </w:r>
    </w:p>
    <w:p w:rsidR="0073566C" w:rsidRDefault="0073566C" w:rsidP="00C6724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rtl/>
        </w:rPr>
        <w:tab/>
      </w:r>
      <w:r>
        <w:rPr>
          <w:rFonts w:hint="cs"/>
          <w:i/>
          <w:iCs/>
          <w:rtl/>
        </w:rPr>
        <w:t>أسر ... جاذبة؟</w:t>
      </w:r>
      <w:r>
        <w:rPr>
          <w:rFonts w:hint="cs"/>
          <w:rtl/>
        </w:rPr>
        <w:t xml:space="preserve"> هيدويغ بيمانس - بوليه، 2005.</w:t>
      </w:r>
    </w:p>
    <w:p w:rsidR="0073566C" w:rsidRDefault="0073566C" w:rsidP="00C6724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rtl/>
        </w:rPr>
        <w:tab/>
      </w:r>
      <w:r>
        <w:rPr>
          <w:rFonts w:hint="cs"/>
          <w:i/>
          <w:iCs/>
          <w:rtl/>
        </w:rPr>
        <w:t>مختلف أشكال العنف ضد المرأة</w:t>
      </w:r>
      <w:r>
        <w:rPr>
          <w:rFonts w:hint="cs"/>
          <w:rtl/>
        </w:rPr>
        <w:t>، منظمة العفو الدولية، 2005.</w:t>
      </w:r>
    </w:p>
    <w:p w:rsidR="0073566C" w:rsidRDefault="0073566C" w:rsidP="00C6724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rtl/>
        </w:rPr>
        <w:tab/>
      </w:r>
      <w:r>
        <w:rPr>
          <w:rFonts w:hint="cs"/>
          <w:i/>
          <w:iCs/>
          <w:rtl/>
        </w:rPr>
        <w:t>حقوق الإنسان، حقوق المرأة؟</w:t>
      </w:r>
      <w:r>
        <w:rPr>
          <w:rFonts w:hint="cs"/>
          <w:rtl/>
        </w:rPr>
        <w:t xml:space="preserve"> رابطة حقوق الإنسان، 2006.</w:t>
      </w:r>
    </w:p>
    <w:p w:rsidR="0073566C" w:rsidRDefault="0073566C" w:rsidP="00C6724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rtl/>
        </w:rPr>
        <w:tab/>
      </w:r>
      <w:r>
        <w:rPr>
          <w:rFonts w:hint="cs"/>
          <w:i/>
          <w:iCs/>
          <w:rtl/>
        </w:rPr>
        <w:t>المرأة الوحيدة الأبوين في بلجيكا: ظروف الحياة والضعف والصحة</w:t>
      </w:r>
      <w:r>
        <w:rPr>
          <w:rFonts w:hint="cs"/>
          <w:rtl/>
        </w:rPr>
        <w:t>، ماري - تيريز كاسمان، مارجوري نيبونا، هيدويغ بيمانس - بوليه، 2006.</w:t>
      </w:r>
    </w:p>
    <w:p w:rsidR="0073566C" w:rsidRDefault="0073566C" w:rsidP="00C6724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rtl/>
        </w:rPr>
        <w:tab/>
      </w:r>
      <w:r>
        <w:rPr>
          <w:rFonts w:hint="cs"/>
          <w:i/>
          <w:iCs/>
          <w:rtl/>
        </w:rPr>
        <w:t>المعارف الجنسانية: ماجنس المعرفة؟</w:t>
      </w:r>
      <w:r>
        <w:rPr>
          <w:rFonts w:hint="cs"/>
          <w:rtl/>
        </w:rPr>
        <w:t>، صوفيا، 2006.</w:t>
      </w:r>
    </w:p>
    <w:p w:rsidR="0073566C" w:rsidRDefault="0073566C" w:rsidP="00C6724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rtl/>
        </w:rPr>
        <w:tab/>
      </w:r>
      <w:r>
        <w:rPr>
          <w:rFonts w:hint="cs"/>
          <w:i/>
          <w:iCs/>
          <w:rtl/>
        </w:rPr>
        <w:t xml:space="preserve">عالم وليم </w:t>
      </w:r>
      <w:r>
        <w:rPr>
          <w:rFonts w:hint="cs"/>
          <w:rtl/>
        </w:rPr>
        <w:t xml:space="preserve">(أسئلة عن الهوية الجنسية)، </w:t>
      </w:r>
      <w:r>
        <w:t>Ex Aequo</w:t>
      </w:r>
      <w:r>
        <w:rPr>
          <w:rFonts w:hint="cs"/>
          <w:rtl/>
        </w:rPr>
        <w:t>، 2005.</w:t>
      </w:r>
    </w:p>
    <w:p w:rsidR="0073566C" w:rsidRDefault="0073566C" w:rsidP="00C6724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rtl/>
        </w:rPr>
        <w:tab/>
      </w:r>
      <w:r>
        <w:rPr>
          <w:i/>
          <w:iCs/>
        </w:rPr>
        <w:t>Joli ciel</w:t>
      </w:r>
      <w:r>
        <w:rPr>
          <w:rFonts w:hint="cs"/>
          <w:i/>
          <w:iCs/>
          <w:rtl/>
        </w:rPr>
        <w:t xml:space="preserve">، هل قلت </w:t>
      </w:r>
      <w:r>
        <w:rPr>
          <w:i/>
          <w:iCs/>
        </w:rPr>
        <w:t>Logiciel</w:t>
      </w:r>
      <w:r>
        <w:rPr>
          <w:rFonts w:hint="cs"/>
          <w:i/>
          <w:iCs/>
          <w:rtl/>
        </w:rPr>
        <w:t>؟</w:t>
      </w:r>
      <w:r>
        <w:rPr>
          <w:rFonts w:hint="cs"/>
          <w:rtl/>
        </w:rPr>
        <w:t xml:space="preserve"> دائرة تدريب وتوجيه الباحثات عن عمل، 2006.</w:t>
      </w:r>
    </w:p>
    <w:p w:rsidR="0073566C" w:rsidRDefault="0073566C" w:rsidP="00C6724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rtl/>
        </w:rPr>
        <w:tab/>
      </w:r>
      <w:r>
        <w:rPr>
          <w:rFonts w:hint="cs"/>
          <w:i/>
          <w:iCs/>
          <w:rtl/>
        </w:rPr>
        <w:t>طريق المرأة الطويل</w:t>
      </w:r>
      <w:r>
        <w:rPr>
          <w:rFonts w:hint="cs"/>
          <w:rtl/>
        </w:rPr>
        <w:t>، المركز العلماني للوسائل السمعية والبصرية، 2006.</w:t>
      </w:r>
    </w:p>
    <w:p w:rsidR="0073566C" w:rsidRDefault="0073566C" w:rsidP="00C6724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rtl/>
        </w:rPr>
        <w:tab/>
      </w:r>
      <w:r>
        <w:rPr>
          <w:rFonts w:hint="cs"/>
          <w:i/>
          <w:iCs/>
          <w:rtl/>
        </w:rPr>
        <w:t>الحجاب وغيره</w:t>
      </w:r>
      <w:r>
        <w:rPr>
          <w:rFonts w:hint="cs"/>
          <w:rtl/>
        </w:rPr>
        <w:t>، رابطة حقوق الإنسان، 2006.</w:t>
      </w:r>
    </w:p>
    <w:p w:rsidR="0073566C" w:rsidRDefault="0073566C" w:rsidP="00C6724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rtl/>
        </w:rPr>
        <w:tab/>
      </w:r>
      <w:r>
        <w:rPr>
          <w:rFonts w:hint="cs"/>
          <w:i/>
          <w:iCs/>
          <w:rtl/>
        </w:rPr>
        <w:t>المرأة تختار الديمقراطية</w:t>
      </w:r>
      <w:r>
        <w:rPr>
          <w:rFonts w:hint="cs"/>
          <w:rtl/>
        </w:rPr>
        <w:t>، صندوق الإعانات الصغيرة، لييج، 2006.</w:t>
      </w:r>
    </w:p>
    <w:p w:rsidR="0073566C" w:rsidRDefault="0073566C" w:rsidP="00C6724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rtl/>
        </w:rPr>
        <w:tab/>
      </w:r>
      <w:r>
        <w:rPr>
          <w:rFonts w:hint="cs"/>
          <w:i/>
          <w:iCs/>
          <w:rtl/>
        </w:rPr>
        <w:t>الدليل إلى الاحترام</w:t>
      </w:r>
      <w:r>
        <w:rPr>
          <w:rFonts w:hint="cs"/>
          <w:rtl/>
        </w:rPr>
        <w:t>، لا بغايا ولا خانعات، 2007.</w:t>
      </w:r>
    </w:p>
    <w:p w:rsidR="0073566C" w:rsidRDefault="0073566C" w:rsidP="00C6724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rtl/>
        </w:rPr>
        <w:tab/>
      </w:r>
      <w:r>
        <w:rPr>
          <w:rFonts w:hint="cs"/>
          <w:i/>
          <w:iCs/>
          <w:rtl/>
        </w:rPr>
        <w:t>المرأة والسلطة</w:t>
      </w:r>
      <w:r>
        <w:rPr>
          <w:rFonts w:hint="cs"/>
          <w:rtl/>
        </w:rPr>
        <w:t>، بإدارة صوفي ستوفل وإشراف صوفي بيريرا، 2007.</w:t>
      </w:r>
    </w:p>
    <w:p w:rsidR="0073566C" w:rsidRPr="006653D3" w:rsidRDefault="0073566C" w:rsidP="0073566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240" w:lineRule="auto"/>
        <w:ind w:left="1930" w:hanging="662"/>
        <w:rPr>
          <w:rFonts w:hint="cs"/>
          <w:rtl/>
        </w:rPr>
      </w:pPr>
      <w:r>
        <w:rPr>
          <w:rFonts w:hint="cs"/>
          <w:noProof/>
          <w:w w:val="100"/>
          <w:rtl/>
        </w:rPr>
        <w:pict>
          <v:line id="_x0000_s1045" style="position:absolute;left:0;text-align:left;z-index:17" from="206.6pt,24pt" to="278.6pt,24pt" strokeweight=".25pt">
            <w10:wrap anchorx="page"/>
          </v:line>
        </w:pict>
      </w:r>
    </w:p>
    <w:p w:rsidR="007023B4" w:rsidRPr="00635120" w:rsidRDefault="007023B4" w:rsidP="007023B4">
      <w:pPr>
        <w:pStyle w:val="SingleTxt"/>
        <w:rPr>
          <w:rFonts w:hint="cs"/>
          <w:rtl/>
        </w:rPr>
      </w:pPr>
    </w:p>
    <w:sectPr w:rsidR="007023B4" w:rsidRPr="00635120" w:rsidSect="005322B5">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10-29T15:05:00Z" w:initials="Start">
    <w:p w:rsidR="00AF077A" w:rsidRDefault="00AF077A">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NO&gt;&gt;N0739544A&lt;&lt;ODS JOB NO</w:t>
      </w:r>
      <w:r>
        <w:rPr>
          <w:rtl/>
        </w:rPr>
        <w:t>&gt;&gt;</w:t>
      </w:r>
    </w:p>
    <w:p w:rsidR="00AF077A" w:rsidRDefault="00AF077A">
      <w:pPr>
        <w:pStyle w:val="CommentText"/>
        <w:rPr>
          <w:rtl/>
        </w:rPr>
      </w:pPr>
      <w:r>
        <w:rPr>
          <w:rtl/>
        </w:rPr>
        <w:t>&lt;&lt;</w:t>
      </w:r>
      <w:r>
        <w:t>ODS DOC SYMBOL1&gt;&gt;CEDAW/C/BEL/6&lt;&lt;ODS DOC SYMBOL1</w:t>
      </w:r>
      <w:r>
        <w:rPr>
          <w:rtl/>
        </w:rPr>
        <w:t>&gt;&gt;</w:t>
      </w:r>
    </w:p>
    <w:p w:rsidR="00AF077A" w:rsidRDefault="00AF077A">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077A" w:rsidRDefault="00AF077A">
      <w:r>
        <w:separator/>
      </w:r>
    </w:p>
  </w:endnote>
  <w:endnote w:type="continuationSeparator" w:id="0">
    <w:p w:rsidR="00AF077A" w:rsidRDefault="00AF07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Barcode 3 of 9 by request">
    <w:charset w:val="00"/>
    <w:family w:val="swiss"/>
    <w:pitch w:val="variable"/>
    <w:sig w:usb0="00000003" w:usb1="00000000" w:usb2="00000000" w:usb3="00000000" w:csb0="00000001" w:csb1="00000000"/>
  </w:font>
  <w:font w:name="Akhbar MT">
    <w:charset w:val="B2"/>
    <w:family w:val="auto"/>
    <w:pitch w:val="variable"/>
    <w:sig w:usb0="00002001" w:usb1="00000000" w:usb2="00000000" w:usb3="00000000" w:csb0="00000040" w:csb1="00000000"/>
  </w:font>
  <w:font w:name="Times New Roman Bold">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F077A">
      <w:tblPrEx>
        <w:tblCellMar>
          <w:top w:w="0" w:type="dxa"/>
          <w:bottom w:w="0" w:type="dxa"/>
        </w:tblCellMar>
      </w:tblPrEx>
      <w:tc>
        <w:tcPr>
          <w:tcW w:w="5033" w:type="dxa"/>
          <w:shd w:val="clear" w:color="auto" w:fill="auto"/>
        </w:tcPr>
        <w:p w:rsidR="00AF077A" w:rsidRPr="005322B5" w:rsidRDefault="00AF077A" w:rsidP="005322B5">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2</w:t>
          </w:r>
          <w:r>
            <w:rPr>
              <w:w w:val="103"/>
            </w:rPr>
            <w:fldChar w:fldCharType="end"/>
          </w:r>
        </w:p>
      </w:tc>
      <w:tc>
        <w:tcPr>
          <w:tcW w:w="5033" w:type="dxa"/>
          <w:shd w:val="clear" w:color="auto" w:fill="auto"/>
        </w:tcPr>
        <w:p w:rsidR="00AF077A" w:rsidRPr="005322B5" w:rsidRDefault="00AF077A" w:rsidP="005322B5">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07-39544</w:t>
          </w:r>
          <w:r>
            <w:rPr>
              <w:b w:val="0"/>
              <w:w w:val="103"/>
            </w:rPr>
            <w:fldChar w:fldCharType="end"/>
          </w:r>
        </w:p>
      </w:tc>
    </w:tr>
  </w:tbl>
  <w:p w:rsidR="00AF077A" w:rsidRPr="005322B5" w:rsidRDefault="00AF077A" w:rsidP="005322B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F077A">
      <w:tblPrEx>
        <w:tblCellMar>
          <w:top w:w="0" w:type="dxa"/>
          <w:bottom w:w="0" w:type="dxa"/>
        </w:tblCellMar>
      </w:tblPrEx>
      <w:tc>
        <w:tcPr>
          <w:tcW w:w="5033" w:type="dxa"/>
          <w:shd w:val="clear" w:color="auto" w:fill="auto"/>
        </w:tcPr>
        <w:p w:rsidR="00AF077A" w:rsidRPr="005322B5" w:rsidRDefault="00AF077A" w:rsidP="005322B5">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07-39544</w:t>
          </w:r>
          <w:r>
            <w:rPr>
              <w:b w:val="0"/>
              <w:w w:val="103"/>
            </w:rPr>
            <w:fldChar w:fldCharType="end"/>
          </w:r>
        </w:p>
      </w:tc>
      <w:tc>
        <w:tcPr>
          <w:tcW w:w="5033" w:type="dxa"/>
          <w:shd w:val="clear" w:color="auto" w:fill="auto"/>
        </w:tcPr>
        <w:p w:rsidR="00AF077A" w:rsidRPr="005322B5" w:rsidRDefault="00AF077A" w:rsidP="005322B5">
          <w:pPr>
            <w:pStyle w:val="Footer"/>
            <w:rPr>
              <w:w w:val="103"/>
            </w:rPr>
          </w:pPr>
          <w:r>
            <w:rPr>
              <w:w w:val="103"/>
            </w:rPr>
            <w:fldChar w:fldCharType="begin"/>
          </w:r>
          <w:r>
            <w:rPr>
              <w:w w:val="103"/>
            </w:rPr>
            <w:instrText xml:space="preserve"> PAGE  \* MERGEFORMAT </w:instrText>
          </w:r>
          <w:r>
            <w:rPr>
              <w:w w:val="103"/>
            </w:rPr>
            <w:fldChar w:fldCharType="separate"/>
          </w:r>
          <w:r>
            <w:rPr>
              <w:w w:val="103"/>
            </w:rPr>
            <w:t>3</w:t>
          </w:r>
          <w:r>
            <w:rPr>
              <w:w w:val="103"/>
            </w:rPr>
            <w:fldChar w:fldCharType="end"/>
          </w:r>
        </w:p>
      </w:tc>
    </w:tr>
  </w:tbl>
  <w:p w:rsidR="00AF077A" w:rsidRPr="005322B5" w:rsidRDefault="00AF077A" w:rsidP="005322B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077A" w:rsidRDefault="00AF077A">
    <w:pPr>
      <w:pStyle w:val="Footer"/>
    </w:pPr>
  </w:p>
  <w:p w:rsidR="00AF077A" w:rsidRDefault="00AF077A" w:rsidP="0073566C">
    <w:pPr>
      <w:pStyle w:val="Footer"/>
      <w:jc w:val="right"/>
      <w:rPr>
        <w:rFonts w:cs="Times New Roman"/>
        <w:b w:val="0"/>
        <w:w w:val="103"/>
        <w:sz w:val="20"/>
      </w:rPr>
    </w:pPr>
    <w:r>
      <w:rPr>
        <w:rFonts w:cs="Times New Roman"/>
        <w:b w:val="0"/>
        <w:w w:val="103"/>
        <w:sz w:val="20"/>
      </w:rPr>
      <w:t xml:space="preserve">051107    291007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07-39544 (A)</w:t>
    </w:r>
    <w:r>
      <w:rPr>
        <w:rFonts w:cs="Times New Roman"/>
        <w:b w:val="0"/>
        <w:w w:val="103"/>
        <w:sz w:val="20"/>
      </w:rPr>
      <w:fldChar w:fldCharType="end"/>
    </w:r>
  </w:p>
  <w:p w:rsidR="00AF077A" w:rsidRPr="005322B5" w:rsidRDefault="00AF077A" w:rsidP="005322B5">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hint="eastAsia"/>
        <w:b w:val="0"/>
        <w:sz w:val="24"/>
      </w:rPr>
      <w:fldChar w:fldCharType="begin"/>
    </w:r>
    <w:r>
      <w:rPr>
        <w:rFonts w:ascii="Barcode 3 of 9 by request" w:hAnsi="Barcode 3 of 9 by request" w:cs="Times New Roman" w:hint="eastAsia"/>
        <w:b w:val="0"/>
        <w:sz w:val="24"/>
      </w:rPr>
      <w:instrText xml:space="preserve"> </w:instrText>
    </w:r>
    <w:r>
      <w:rPr>
        <w:rFonts w:ascii="Barcode 3 of 9 by request" w:hAnsi="Barcode 3 of 9 by request" w:cs="Times New Roman"/>
        <w:b w:val="0"/>
        <w:sz w:val="24"/>
      </w:rPr>
      <w:instrText>DOCVARIABLE "Barcode" \* MERGEFORMAT</w:instrText>
    </w:r>
    <w:r>
      <w:rPr>
        <w:rFonts w:ascii="Barcode 3 of 9 by request" w:hAnsi="Barcode 3 of 9 by request" w:cs="Times New Roman" w:hint="eastAsia"/>
        <w:b w:val="0"/>
        <w:sz w:val="24"/>
      </w:rPr>
      <w:instrText xml:space="preserve"> </w:instrText>
    </w:r>
    <w:r>
      <w:rPr>
        <w:rFonts w:ascii="Barcode 3 of 9 by request" w:hAnsi="Barcode 3 of 9 by request" w:cs="Times New Roman" w:hint="eastAsia"/>
        <w:b w:val="0"/>
        <w:sz w:val="24"/>
      </w:rPr>
      <w:fldChar w:fldCharType="separate"/>
    </w:r>
    <w:r>
      <w:rPr>
        <w:rFonts w:ascii="Barcode 3 of 9 by request" w:hAnsi="Barcode 3 of 9 by request" w:cs="Times New Roman"/>
        <w:b w:val="0"/>
        <w:sz w:val="24"/>
      </w:rPr>
      <w:t>*0739544*</w:t>
    </w:r>
    <w:r>
      <w:rPr>
        <w:rFonts w:ascii="Barcode 3 of 9 by request" w:hAnsi="Barcode 3 of 9 by request" w:cs="Times New Roman" w:hint="eastAsia"/>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077A" w:rsidRPr="00290339" w:rsidRDefault="00AF077A" w:rsidP="00290339">
      <w:pPr>
        <w:pStyle w:val="Footer"/>
        <w:bidi/>
        <w:spacing w:after="80"/>
        <w:ind w:left="792"/>
        <w:rPr>
          <w:sz w:val="16"/>
        </w:rPr>
      </w:pPr>
      <w:r w:rsidRPr="00290339">
        <w:rPr>
          <w:sz w:val="16"/>
        </w:rPr>
        <w:t>_________________</w:t>
      </w:r>
    </w:p>
  </w:footnote>
  <w:footnote w:type="continuationSeparator" w:id="0">
    <w:p w:rsidR="00AF077A" w:rsidRPr="00290339" w:rsidRDefault="00AF077A" w:rsidP="00290339">
      <w:pPr>
        <w:pStyle w:val="Footer"/>
        <w:bidi/>
        <w:spacing w:after="80"/>
        <w:ind w:right="792"/>
        <w:rPr>
          <w:sz w:val="16"/>
        </w:rPr>
      </w:pPr>
      <w:r w:rsidRPr="00290339">
        <w:rPr>
          <w:sz w:val="16"/>
        </w:rPr>
        <w:t>_________________</w:t>
      </w:r>
    </w:p>
  </w:footnote>
  <w:footnote w:id="1">
    <w:p w:rsidR="00AF077A" w:rsidRPr="00440460" w:rsidRDefault="00AF077A" w:rsidP="00290339">
      <w:pPr>
        <w:pStyle w:val="FootnoteText"/>
        <w:tabs>
          <w:tab w:val="clear" w:pos="418"/>
          <w:tab w:val="right" w:pos="1195"/>
          <w:tab w:val="left" w:pos="1267"/>
          <w:tab w:val="left" w:pos="1930"/>
          <w:tab w:val="left" w:pos="2592"/>
          <w:tab w:val="left" w:pos="3254"/>
        </w:tabs>
        <w:spacing w:after="80"/>
        <w:ind w:left="1267" w:right="1267" w:hanging="547"/>
        <w:rPr>
          <w:rFonts w:hint="cs"/>
          <w:w w:val="103"/>
          <w:rtl/>
          <w:lang w:bidi="ar-EG"/>
        </w:rPr>
      </w:pPr>
      <w:r>
        <w:rPr>
          <w:rtl/>
        </w:rPr>
        <w:tab/>
      </w:r>
      <w:r w:rsidRPr="00440460">
        <w:rPr>
          <w:w w:val="103"/>
          <w:rtl/>
        </w:rPr>
        <w:t>(</w:t>
      </w:r>
      <w:r w:rsidRPr="00440460">
        <w:rPr>
          <w:rStyle w:val="FootnoteReference"/>
          <w:spacing w:val="0"/>
          <w:w w:val="103"/>
          <w:vertAlign w:val="baseline"/>
          <w:rtl/>
        </w:rPr>
        <w:footnoteRef/>
      </w:r>
      <w:r w:rsidRPr="00440460">
        <w:rPr>
          <w:w w:val="103"/>
          <w:rtl/>
        </w:rPr>
        <w:t>)</w:t>
      </w:r>
      <w:r w:rsidRPr="00440460">
        <w:rPr>
          <w:w w:val="103"/>
          <w:rtl/>
        </w:rPr>
        <w:tab/>
      </w:r>
      <w:r>
        <w:rPr>
          <w:rFonts w:hint="cs"/>
          <w:w w:val="103"/>
          <w:rtl/>
          <w:lang w:bidi="ar-EG"/>
        </w:rPr>
        <w:t>القانون المؤرخ 6 آذار/مارس 1996 والذي يرمي إلى مراقبة تطبيق قرارات المؤتمر العالمي المعني بالمرأة المنعقد في بيجين في الفترة من 4 إلى 14 أيلول/سبتمبر 1995.</w:t>
      </w:r>
    </w:p>
  </w:footnote>
  <w:footnote w:id="2">
    <w:p w:rsidR="00AF077A" w:rsidRPr="00F95E11" w:rsidRDefault="00AF077A" w:rsidP="00290339">
      <w:pPr>
        <w:pStyle w:val="FootnoteText"/>
        <w:tabs>
          <w:tab w:val="clear" w:pos="418"/>
          <w:tab w:val="right" w:pos="1195"/>
          <w:tab w:val="left" w:pos="1267"/>
          <w:tab w:val="left" w:pos="1930"/>
          <w:tab w:val="left" w:pos="2592"/>
          <w:tab w:val="left" w:pos="3254"/>
        </w:tabs>
        <w:spacing w:after="80"/>
        <w:ind w:left="1267" w:right="1267" w:hanging="547"/>
        <w:rPr>
          <w:rFonts w:hint="cs"/>
          <w:w w:val="103"/>
          <w:rtl/>
          <w:lang w:bidi="ar-EG"/>
        </w:rPr>
      </w:pPr>
      <w:r>
        <w:rPr>
          <w:rtl/>
        </w:rPr>
        <w:tab/>
      </w:r>
      <w:r w:rsidRPr="00F95E11">
        <w:rPr>
          <w:w w:val="103"/>
          <w:rtl/>
          <w:lang w:bidi="ar-EG"/>
        </w:rPr>
        <w:t>(</w:t>
      </w:r>
      <w:r w:rsidRPr="00F95E11">
        <w:rPr>
          <w:rStyle w:val="FootnoteReference"/>
          <w:spacing w:val="0"/>
          <w:w w:val="103"/>
          <w:vertAlign w:val="baseline"/>
          <w:rtl/>
        </w:rPr>
        <w:footnoteRef/>
      </w:r>
      <w:r w:rsidRPr="00F95E11">
        <w:rPr>
          <w:w w:val="103"/>
          <w:rtl/>
          <w:lang w:bidi="ar-EG"/>
        </w:rPr>
        <w:t>)</w:t>
      </w:r>
      <w:r w:rsidRPr="00F95E11">
        <w:rPr>
          <w:w w:val="103"/>
          <w:rtl/>
        </w:rPr>
        <w:tab/>
      </w:r>
      <w:r>
        <w:rPr>
          <w:rFonts w:hint="cs"/>
          <w:w w:val="103"/>
          <w:rtl/>
          <w:lang w:bidi="ar-EG"/>
        </w:rPr>
        <w:t>دخل حيِّز التنفيذ في 27 آذار/مارس 2003.</w:t>
      </w:r>
    </w:p>
  </w:footnote>
  <w:footnote w:id="3">
    <w:p w:rsidR="00AF077A" w:rsidRPr="00B1000A" w:rsidRDefault="00AF077A" w:rsidP="00290339">
      <w:pPr>
        <w:pStyle w:val="FootnoteText"/>
        <w:tabs>
          <w:tab w:val="clear" w:pos="418"/>
          <w:tab w:val="right" w:pos="1195"/>
          <w:tab w:val="left" w:pos="1267"/>
          <w:tab w:val="left" w:pos="1930"/>
          <w:tab w:val="left" w:pos="2592"/>
          <w:tab w:val="left" w:pos="3254"/>
        </w:tabs>
        <w:spacing w:after="80"/>
        <w:ind w:left="1267" w:right="1267" w:hanging="547"/>
        <w:rPr>
          <w:rFonts w:hint="cs"/>
          <w:w w:val="103"/>
          <w:rtl/>
          <w:lang w:bidi="ar-EG"/>
        </w:rPr>
      </w:pPr>
      <w:r>
        <w:rPr>
          <w:rtl/>
        </w:rPr>
        <w:tab/>
      </w:r>
      <w:r w:rsidRPr="00B1000A">
        <w:rPr>
          <w:w w:val="103"/>
          <w:rtl/>
          <w:lang w:bidi="ar-EG"/>
        </w:rPr>
        <w:t>(</w:t>
      </w:r>
      <w:r w:rsidRPr="00B1000A">
        <w:rPr>
          <w:rStyle w:val="FootnoteReference"/>
          <w:spacing w:val="0"/>
          <w:w w:val="103"/>
          <w:vertAlign w:val="baseline"/>
          <w:rtl/>
        </w:rPr>
        <w:footnoteRef/>
      </w:r>
      <w:r w:rsidRPr="00B1000A">
        <w:rPr>
          <w:w w:val="103"/>
          <w:rtl/>
          <w:lang w:bidi="ar-EG"/>
        </w:rPr>
        <w:t>)</w:t>
      </w:r>
      <w:r w:rsidRPr="00B1000A">
        <w:rPr>
          <w:w w:val="103"/>
          <w:rtl/>
        </w:rPr>
        <w:tab/>
      </w:r>
      <w:r>
        <w:rPr>
          <w:rFonts w:hint="cs"/>
          <w:w w:val="103"/>
          <w:rtl/>
          <w:lang w:bidi="ar-EG"/>
        </w:rPr>
        <w:t>الجريدة الرسمية الصادرة في 2 آب/أغسطس 2005.</w:t>
      </w:r>
    </w:p>
  </w:footnote>
  <w:footnote w:id="4">
    <w:p w:rsidR="00AF077A" w:rsidRPr="00972311" w:rsidRDefault="00AF077A" w:rsidP="00290339">
      <w:pPr>
        <w:pStyle w:val="FootnoteText"/>
        <w:tabs>
          <w:tab w:val="clear" w:pos="418"/>
          <w:tab w:val="right" w:pos="1195"/>
          <w:tab w:val="left" w:pos="1267"/>
          <w:tab w:val="left" w:pos="1930"/>
          <w:tab w:val="left" w:pos="2592"/>
          <w:tab w:val="left" w:pos="3254"/>
        </w:tabs>
        <w:spacing w:after="80"/>
        <w:ind w:left="1267" w:right="1267" w:hanging="547"/>
        <w:rPr>
          <w:rFonts w:hint="cs"/>
          <w:w w:val="103"/>
          <w:rtl/>
          <w:lang w:bidi="ar-EG"/>
        </w:rPr>
      </w:pPr>
      <w:r>
        <w:rPr>
          <w:rtl/>
        </w:rPr>
        <w:tab/>
      </w:r>
      <w:r w:rsidRPr="00972311">
        <w:rPr>
          <w:w w:val="103"/>
          <w:rtl/>
          <w:lang w:bidi="ar-EG"/>
        </w:rPr>
        <w:t>(</w:t>
      </w:r>
      <w:r w:rsidRPr="00972311">
        <w:rPr>
          <w:rStyle w:val="FootnoteReference"/>
          <w:spacing w:val="0"/>
          <w:w w:val="103"/>
          <w:vertAlign w:val="baseline"/>
          <w:rtl/>
        </w:rPr>
        <w:footnoteRef/>
      </w:r>
      <w:r w:rsidRPr="00972311">
        <w:rPr>
          <w:w w:val="103"/>
          <w:rtl/>
          <w:lang w:bidi="ar-EG"/>
        </w:rPr>
        <w:t>)</w:t>
      </w:r>
      <w:r w:rsidRPr="00972311">
        <w:rPr>
          <w:w w:val="103"/>
          <w:rtl/>
        </w:rPr>
        <w:tab/>
      </w:r>
      <w:r>
        <w:rPr>
          <w:rFonts w:hint="cs"/>
          <w:w w:val="103"/>
          <w:rtl/>
          <w:lang w:bidi="ar-EG"/>
        </w:rPr>
        <w:t>الجريدة الرسمية الصادرة في 24 كانون الأول/ديسمبر 2002.</w:t>
      </w:r>
    </w:p>
  </w:footnote>
  <w:footnote w:id="5">
    <w:p w:rsidR="00AF077A" w:rsidRPr="00972311" w:rsidRDefault="00AF077A" w:rsidP="00290339">
      <w:pPr>
        <w:pStyle w:val="FootnoteText"/>
        <w:tabs>
          <w:tab w:val="clear" w:pos="418"/>
          <w:tab w:val="right" w:pos="1195"/>
          <w:tab w:val="left" w:pos="1267"/>
          <w:tab w:val="left" w:pos="1930"/>
          <w:tab w:val="left" w:pos="2592"/>
          <w:tab w:val="left" w:pos="3254"/>
        </w:tabs>
        <w:spacing w:after="80"/>
        <w:ind w:left="1267" w:right="1267" w:hanging="547"/>
        <w:rPr>
          <w:rFonts w:hint="cs"/>
          <w:w w:val="103"/>
          <w:rtl/>
          <w:lang w:bidi="ar-EG"/>
        </w:rPr>
      </w:pPr>
      <w:r>
        <w:rPr>
          <w:rtl/>
        </w:rPr>
        <w:tab/>
      </w:r>
      <w:r w:rsidRPr="00972311">
        <w:rPr>
          <w:w w:val="103"/>
          <w:rtl/>
          <w:lang w:bidi="ar-EG"/>
        </w:rPr>
        <w:t>(</w:t>
      </w:r>
      <w:r w:rsidRPr="00972311">
        <w:rPr>
          <w:rStyle w:val="FootnoteReference"/>
          <w:spacing w:val="0"/>
          <w:w w:val="103"/>
          <w:vertAlign w:val="baseline"/>
          <w:rtl/>
        </w:rPr>
        <w:footnoteRef/>
      </w:r>
      <w:r w:rsidRPr="00972311">
        <w:rPr>
          <w:w w:val="103"/>
          <w:rtl/>
          <w:lang w:bidi="ar-EG"/>
        </w:rPr>
        <w:t>)</w:t>
      </w:r>
      <w:r w:rsidRPr="00972311">
        <w:rPr>
          <w:w w:val="103"/>
          <w:rtl/>
        </w:rPr>
        <w:tab/>
      </w:r>
      <w:r>
        <w:rPr>
          <w:rFonts w:hint="cs"/>
          <w:w w:val="103"/>
          <w:rtl/>
          <w:lang w:bidi="ar-EG"/>
        </w:rPr>
        <w:t>الأمر المؤرخ 13 آذار/مارس 2003 بشأن قبول البروتوكول الإضافي الملحق باتفاقية الأمم المتحدة لمكافحة الجريمة المنظمة العابرة للحدود الوطنية والرامي إلى منع وقمع الاتجار بالأشخاص، وبخاصة النساء والأطفال، والمعاقبة عليه، والمعقود في نيويورك في 15 تشرين الثاني/نوفمبر 2000، والمنشور في الجريدة الرسمية الصادرة في أول نيسان/أبريل 2003.</w:t>
      </w:r>
    </w:p>
  </w:footnote>
  <w:footnote w:id="6">
    <w:p w:rsidR="00AF077A" w:rsidRPr="00363531" w:rsidRDefault="00AF077A" w:rsidP="00290339">
      <w:pPr>
        <w:pStyle w:val="FootnoteText"/>
        <w:tabs>
          <w:tab w:val="clear" w:pos="418"/>
          <w:tab w:val="right" w:pos="1195"/>
          <w:tab w:val="left" w:pos="1267"/>
          <w:tab w:val="left" w:pos="1930"/>
          <w:tab w:val="left" w:pos="2592"/>
          <w:tab w:val="left" w:pos="3254"/>
        </w:tabs>
        <w:spacing w:after="80"/>
        <w:ind w:left="1267" w:right="1267" w:hanging="547"/>
        <w:rPr>
          <w:rFonts w:hint="cs"/>
          <w:w w:val="103"/>
          <w:rtl/>
          <w:lang w:bidi="ar-EG"/>
        </w:rPr>
      </w:pPr>
      <w:r>
        <w:rPr>
          <w:rtl/>
        </w:rPr>
        <w:tab/>
      </w:r>
      <w:r w:rsidRPr="00363531">
        <w:rPr>
          <w:w w:val="103"/>
          <w:rtl/>
          <w:lang w:bidi="ar-EG"/>
        </w:rPr>
        <w:t>(</w:t>
      </w:r>
      <w:r w:rsidRPr="00363531">
        <w:rPr>
          <w:rStyle w:val="FootnoteReference"/>
          <w:spacing w:val="0"/>
          <w:w w:val="103"/>
          <w:vertAlign w:val="baseline"/>
          <w:rtl/>
        </w:rPr>
        <w:footnoteRef/>
      </w:r>
      <w:r w:rsidRPr="00363531">
        <w:rPr>
          <w:w w:val="103"/>
          <w:rtl/>
          <w:lang w:bidi="ar-EG"/>
        </w:rPr>
        <w:t>)</w:t>
      </w:r>
      <w:r w:rsidRPr="00363531">
        <w:rPr>
          <w:w w:val="103"/>
          <w:rtl/>
        </w:rPr>
        <w:tab/>
      </w:r>
      <w:r>
        <w:rPr>
          <w:rFonts w:hint="cs"/>
          <w:w w:val="103"/>
          <w:rtl/>
          <w:lang w:bidi="ar-EG"/>
        </w:rPr>
        <w:t xml:space="preserve">المادة 14 من الاتفاقية الأوروبية لحقوق الإنسان تقوم بتعريف وحظر التمييز، وبخاصة القائم على الجنس: </w:t>
      </w:r>
      <w:r>
        <w:rPr>
          <w:rFonts w:hint="eastAsia"/>
          <w:w w:val="103"/>
          <w:rtl/>
          <w:lang w:bidi="ar-EG"/>
        </w:rPr>
        <w:t>”ينبغي كفالة التمتع بالحقوق والحريات المعترف بها في هذه الاتفاقية، دون أي تمييز، و</w:t>
      </w:r>
      <w:r>
        <w:rPr>
          <w:rFonts w:hint="cs"/>
          <w:w w:val="103"/>
          <w:rtl/>
          <w:lang w:bidi="ar-EG"/>
        </w:rPr>
        <w:t>ب</w:t>
      </w:r>
      <w:r>
        <w:rPr>
          <w:rFonts w:hint="eastAsia"/>
          <w:w w:val="103"/>
          <w:rtl/>
          <w:lang w:bidi="ar-EG"/>
        </w:rPr>
        <w:t xml:space="preserve">خاصة القائم على الجنس، </w:t>
      </w:r>
      <w:r>
        <w:rPr>
          <w:rFonts w:hint="cs"/>
          <w:w w:val="103"/>
          <w:rtl/>
          <w:lang w:bidi="ar-EG"/>
        </w:rPr>
        <w:t>أ</w:t>
      </w:r>
      <w:r>
        <w:rPr>
          <w:rFonts w:hint="eastAsia"/>
          <w:w w:val="103"/>
          <w:rtl/>
          <w:lang w:bidi="ar-EG"/>
        </w:rPr>
        <w:t>و</w:t>
      </w:r>
      <w:r>
        <w:rPr>
          <w:rFonts w:hint="cs"/>
          <w:w w:val="103"/>
          <w:rtl/>
          <w:lang w:bidi="ar-EG"/>
        </w:rPr>
        <w:t xml:space="preserve"> </w:t>
      </w:r>
      <w:r>
        <w:rPr>
          <w:rFonts w:hint="eastAsia"/>
          <w:w w:val="103"/>
          <w:rtl/>
          <w:lang w:bidi="ar-EG"/>
        </w:rPr>
        <w:t xml:space="preserve">العنصر، </w:t>
      </w:r>
      <w:r>
        <w:rPr>
          <w:rFonts w:hint="cs"/>
          <w:w w:val="103"/>
          <w:rtl/>
          <w:lang w:bidi="ar-EG"/>
        </w:rPr>
        <w:t>أ</w:t>
      </w:r>
      <w:r>
        <w:rPr>
          <w:rFonts w:hint="eastAsia"/>
          <w:w w:val="103"/>
          <w:rtl/>
          <w:lang w:bidi="ar-EG"/>
        </w:rPr>
        <w:t>و</w:t>
      </w:r>
      <w:r>
        <w:rPr>
          <w:rFonts w:hint="cs"/>
          <w:w w:val="103"/>
          <w:rtl/>
          <w:lang w:bidi="ar-EG"/>
        </w:rPr>
        <w:t xml:space="preserve"> </w:t>
      </w:r>
      <w:r>
        <w:rPr>
          <w:rFonts w:hint="eastAsia"/>
          <w:w w:val="103"/>
          <w:rtl/>
          <w:lang w:bidi="ar-EG"/>
        </w:rPr>
        <w:t xml:space="preserve">اللون، </w:t>
      </w:r>
      <w:r>
        <w:rPr>
          <w:rFonts w:hint="cs"/>
          <w:w w:val="103"/>
          <w:rtl/>
          <w:lang w:bidi="ar-EG"/>
        </w:rPr>
        <w:t>أ</w:t>
      </w:r>
      <w:r>
        <w:rPr>
          <w:rFonts w:hint="eastAsia"/>
          <w:w w:val="103"/>
          <w:rtl/>
          <w:lang w:bidi="ar-EG"/>
        </w:rPr>
        <w:t>و</w:t>
      </w:r>
      <w:r>
        <w:rPr>
          <w:rFonts w:hint="cs"/>
          <w:w w:val="103"/>
          <w:rtl/>
          <w:lang w:bidi="ar-EG"/>
        </w:rPr>
        <w:t xml:space="preserve"> </w:t>
      </w:r>
      <w:r>
        <w:rPr>
          <w:rFonts w:hint="eastAsia"/>
          <w:w w:val="103"/>
          <w:rtl/>
          <w:lang w:bidi="ar-EG"/>
        </w:rPr>
        <w:t xml:space="preserve">اللغة، </w:t>
      </w:r>
      <w:r>
        <w:rPr>
          <w:rFonts w:hint="cs"/>
          <w:w w:val="103"/>
          <w:rtl/>
          <w:lang w:bidi="ar-EG"/>
        </w:rPr>
        <w:t>أ</w:t>
      </w:r>
      <w:r>
        <w:rPr>
          <w:rFonts w:hint="eastAsia"/>
          <w:w w:val="103"/>
          <w:rtl/>
          <w:lang w:bidi="ar-EG"/>
        </w:rPr>
        <w:t>و</w:t>
      </w:r>
      <w:r>
        <w:rPr>
          <w:rFonts w:hint="cs"/>
          <w:w w:val="103"/>
          <w:rtl/>
          <w:lang w:bidi="ar-EG"/>
        </w:rPr>
        <w:t xml:space="preserve"> </w:t>
      </w:r>
      <w:r>
        <w:rPr>
          <w:rFonts w:hint="eastAsia"/>
          <w:w w:val="103"/>
          <w:rtl/>
          <w:lang w:bidi="ar-EG"/>
        </w:rPr>
        <w:t xml:space="preserve">الدين، </w:t>
      </w:r>
      <w:r>
        <w:rPr>
          <w:rFonts w:hint="cs"/>
          <w:w w:val="103"/>
          <w:rtl/>
          <w:lang w:bidi="ar-EG"/>
        </w:rPr>
        <w:t>أ</w:t>
      </w:r>
      <w:r>
        <w:rPr>
          <w:rFonts w:hint="eastAsia"/>
          <w:w w:val="103"/>
          <w:rtl/>
          <w:lang w:bidi="ar-EG"/>
        </w:rPr>
        <w:t>و</w:t>
      </w:r>
      <w:r>
        <w:rPr>
          <w:rFonts w:hint="cs"/>
          <w:w w:val="103"/>
          <w:rtl/>
          <w:lang w:bidi="ar-EG"/>
        </w:rPr>
        <w:t xml:space="preserve"> </w:t>
      </w:r>
      <w:r>
        <w:rPr>
          <w:rFonts w:hint="eastAsia"/>
          <w:w w:val="103"/>
          <w:rtl/>
          <w:lang w:bidi="ar-EG"/>
        </w:rPr>
        <w:t xml:space="preserve">الآراء السياسية أو أي آراء أخرى، </w:t>
      </w:r>
      <w:r>
        <w:rPr>
          <w:rFonts w:hint="cs"/>
          <w:w w:val="103"/>
          <w:rtl/>
          <w:lang w:bidi="ar-EG"/>
        </w:rPr>
        <w:t>أ</w:t>
      </w:r>
      <w:r>
        <w:rPr>
          <w:rFonts w:hint="eastAsia"/>
          <w:w w:val="103"/>
          <w:rtl/>
          <w:lang w:bidi="ar-EG"/>
        </w:rPr>
        <w:t>و</w:t>
      </w:r>
      <w:r>
        <w:rPr>
          <w:rFonts w:hint="cs"/>
          <w:w w:val="103"/>
          <w:rtl/>
          <w:lang w:bidi="ar-EG"/>
        </w:rPr>
        <w:t xml:space="preserve"> </w:t>
      </w:r>
      <w:r>
        <w:rPr>
          <w:rFonts w:hint="eastAsia"/>
          <w:w w:val="103"/>
          <w:rtl/>
          <w:lang w:bidi="ar-EG"/>
        </w:rPr>
        <w:t xml:space="preserve">الأصل الوطني أو الاجتماعي، </w:t>
      </w:r>
      <w:r>
        <w:rPr>
          <w:rFonts w:hint="cs"/>
          <w:w w:val="103"/>
          <w:rtl/>
          <w:lang w:bidi="ar-EG"/>
        </w:rPr>
        <w:t>أ</w:t>
      </w:r>
      <w:r>
        <w:rPr>
          <w:rFonts w:hint="eastAsia"/>
          <w:w w:val="103"/>
          <w:rtl/>
          <w:lang w:bidi="ar-EG"/>
        </w:rPr>
        <w:t>و</w:t>
      </w:r>
      <w:r>
        <w:rPr>
          <w:rFonts w:hint="cs"/>
          <w:w w:val="103"/>
          <w:rtl/>
          <w:lang w:bidi="ar-EG"/>
        </w:rPr>
        <w:t xml:space="preserve"> </w:t>
      </w:r>
      <w:r>
        <w:rPr>
          <w:rFonts w:hint="eastAsia"/>
          <w:w w:val="103"/>
          <w:rtl/>
          <w:lang w:bidi="ar-EG"/>
        </w:rPr>
        <w:t xml:space="preserve">الانتماء إلى أقلية وطنية، </w:t>
      </w:r>
      <w:r>
        <w:rPr>
          <w:rFonts w:hint="cs"/>
          <w:w w:val="103"/>
          <w:rtl/>
          <w:lang w:bidi="ar-EG"/>
        </w:rPr>
        <w:t xml:space="preserve">أو </w:t>
      </w:r>
      <w:r>
        <w:rPr>
          <w:rFonts w:hint="eastAsia"/>
          <w:w w:val="103"/>
          <w:rtl/>
          <w:lang w:bidi="ar-EG"/>
        </w:rPr>
        <w:t xml:space="preserve">الثروة، </w:t>
      </w:r>
      <w:r>
        <w:rPr>
          <w:rFonts w:hint="cs"/>
          <w:w w:val="103"/>
          <w:rtl/>
          <w:lang w:bidi="ar-EG"/>
        </w:rPr>
        <w:t>أو الميلاد</w:t>
      </w:r>
      <w:r>
        <w:rPr>
          <w:rFonts w:hint="eastAsia"/>
          <w:w w:val="103"/>
          <w:rtl/>
          <w:lang w:bidi="ar-EG"/>
        </w:rPr>
        <w:t>، أو أي حالة أخرى</w:t>
      </w:r>
      <w:r>
        <w:rPr>
          <w:rFonts w:hint="cs"/>
          <w:w w:val="103"/>
          <w:rtl/>
          <w:lang w:bidi="ar-EG"/>
        </w:rPr>
        <w:t>“.</w:t>
      </w:r>
    </w:p>
  </w:footnote>
  <w:footnote w:id="7">
    <w:p w:rsidR="00AF077A" w:rsidRPr="00363531" w:rsidRDefault="00AF077A" w:rsidP="00290339">
      <w:pPr>
        <w:pStyle w:val="FootnoteText"/>
        <w:tabs>
          <w:tab w:val="clear" w:pos="418"/>
          <w:tab w:val="right" w:pos="1195"/>
          <w:tab w:val="left" w:pos="1267"/>
          <w:tab w:val="left" w:pos="1930"/>
          <w:tab w:val="left" w:pos="2592"/>
          <w:tab w:val="left" w:pos="3254"/>
        </w:tabs>
        <w:spacing w:after="80"/>
        <w:ind w:left="1267" w:right="1267" w:hanging="547"/>
        <w:rPr>
          <w:rFonts w:hint="cs"/>
          <w:w w:val="103"/>
          <w:rtl/>
          <w:lang w:bidi="ar-EG"/>
        </w:rPr>
      </w:pPr>
      <w:r>
        <w:rPr>
          <w:rtl/>
        </w:rPr>
        <w:tab/>
      </w:r>
      <w:r w:rsidRPr="00363531">
        <w:rPr>
          <w:w w:val="103"/>
          <w:rtl/>
          <w:lang w:bidi="ar-EG"/>
        </w:rPr>
        <w:t>(</w:t>
      </w:r>
      <w:r w:rsidRPr="00363531">
        <w:rPr>
          <w:rStyle w:val="FootnoteReference"/>
          <w:spacing w:val="0"/>
          <w:w w:val="103"/>
          <w:vertAlign w:val="baseline"/>
          <w:rtl/>
        </w:rPr>
        <w:footnoteRef/>
      </w:r>
      <w:r w:rsidRPr="00363531">
        <w:rPr>
          <w:w w:val="103"/>
          <w:rtl/>
          <w:lang w:bidi="ar-EG"/>
        </w:rPr>
        <w:t>)</w:t>
      </w:r>
      <w:r w:rsidRPr="00363531">
        <w:rPr>
          <w:w w:val="103"/>
          <w:rtl/>
        </w:rPr>
        <w:tab/>
      </w:r>
      <w:r>
        <w:rPr>
          <w:rFonts w:hint="cs"/>
          <w:w w:val="103"/>
          <w:rtl/>
          <w:lang w:bidi="ar-EG"/>
        </w:rPr>
        <w:t>الأمر المؤرخ 13 شباط/فبراير 2003 بشأن قبول البروتوكول رقم 12 الملحق باتفاقية حماية حقوق الإنسان والحريات الأساسية، المعقود في روما في 4 تشرين الثاني/نوفمبر 2000 (الجريدة الرسمية الصادرة في 3 آذار/مارس 2003).</w:t>
      </w:r>
    </w:p>
  </w:footnote>
  <w:footnote w:id="8">
    <w:p w:rsidR="00AF077A" w:rsidRPr="00363531" w:rsidRDefault="00AF077A" w:rsidP="00290339">
      <w:pPr>
        <w:pStyle w:val="FootnoteText"/>
        <w:tabs>
          <w:tab w:val="clear" w:pos="418"/>
          <w:tab w:val="right" w:pos="1195"/>
          <w:tab w:val="left" w:pos="1267"/>
          <w:tab w:val="left" w:pos="1930"/>
          <w:tab w:val="left" w:pos="2592"/>
          <w:tab w:val="left" w:pos="3254"/>
        </w:tabs>
        <w:spacing w:after="80"/>
        <w:ind w:left="1267" w:right="1267" w:hanging="547"/>
        <w:rPr>
          <w:rFonts w:hint="cs"/>
          <w:w w:val="103"/>
          <w:rtl/>
          <w:lang w:bidi="ar-EG"/>
        </w:rPr>
      </w:pPr>
      <w:r>
        <w:rPr>
          <w:rtl/>
        </w:rPr>
        <w:tab/>
      </w:r>
      <w:r w:rsidRPr="00363531">
        <w:rPr>
          <w:w w:val="103"/>
          <w:rtl/>
          <w:lang w:bidi="ar-EG"/>
        </w:rPr>
        <w:t>(</w:t>
      </w:r>
      <w:r w:rsidRPr="00363531">
        <w:rPr>
          <w:rStyle w:val="FootnoteReference"/>
          <w:spacing w:val="0"/>
          <w:w w:val="103"/>
          <w:vertAlign w:val="baseline"/>
          <w:rtl/>
        </w:rPr>
        <w:footnoteRef/>
      </w:r>
      <w:r w:rsidRPr="00363531">
        <w:rPr>
          <w:w w:val="103"/>
          <w:rtl/>
          <w:lang w:bidi="ar-EG"/>
        </w:rPr>
        <w:t>)</w:t>
      </w:r>
      <w:r w:rsidRPr="00363531">
        <w:rPr>
          <w:w w:val="103"/>
          <w:rtl/>
        </w:rPr>
        <w:tab/>
      </w:r>
      <w:r>
        <w:rPr>
          <w:rFonts w:hint="cs"/>
          <w:w w:val="103"/>
          <w:rtl/>
        </w:rPr>
        <w:t xml:space="preserve">الجريدة الرسمية الصادرة </w:t>
      </w:r>
      <w:r>
        <w:rPr>
          <w:rFonts w:hint="cs"/>
          <w:w w:val="103"/>
          <w:rtl/>
          <w:lang w:bidi="ar-EG"/>
        </w:rPr>
        <w:t>في 17 آذار/مارس 2003.</w:t>
      </w:r>
    </w:p>
  </w:footnote>
  <w:footnote w:id="9">
    <w:p w:rsidR="00AF077A" w:rsidRPr="00102301" w:rsidRDefault="00AF077A" w:rsidP="00290339">
      <w:pPr>
        <w:pStyle w:val="FootnoteText"/>
        <w:tabs>
          <w:tab w:val="clear" w:pos="418"/>
          <w:tab w:val="right" w:pos="1195"/>
          <w:tab w:val="left" w:pos="1267"/>
          <w:tab w:val="left" w:pos="1930"/>
          <w:tab w:val="left" w:pos="2592"/>
          <w:tab w:val="left" w:pos="3254"/>
        </w:tabs>
        <w:spacing w:after="80"/>
        <w:ind w:left="1267" w:right="1267" w:hanging="547"/>
        <w:rPr>
          <w:rFonts w:hint="cs"/>
          <w:w w:val="103"/>
          <w:rtl/>
          <w:lang w:bidi="ar-EG"/>
        </w:rPr>
      </w:pPr>
      <w:r>
        <w:rPr>
          <w:rtl/>
        </w:rPr>
        <w:tab/>
      </w:r>
      <w:r w:rsidRPr="00102301">
        <w:rPr>
          <w:w w:val="103"/>
          <w:rtl/>
          <w:lang w:bidi="ar-EG"/>
        </w:rPr>
        <w:t>(</w:t>
      </w:r>
      <w:r w:rsidRPr="00102301">
        <w:rPr>
          <w:rStyle w:val="FootnoteReference"/>
          <w:spacing w:val="0"/>
          <w:w w:val="103"/>
          <w:vertAlign w:val="baseline"/>
          <w:rtl/>
        </w:rPr>
        <w:footnoteRef/>
      </w:r>
      <w:r w:rsidRPr="00102301">
        <w:rPr>
          <w:w w:val="103"/>
          <w:rtl/>
          <w:lang w:bidi="ar-EG"/>
        </w:rPr>
        <w:t>)</w:t>
      </w:r>
      <w:r w:rsidRPr="00102301">
        <w:rPr>
          <w:w w:val="103"/>
          <w:rtl/>
        </w:rPr>
        <w:tab/>
      </w:r>
      <w:r>
        <w:rPr>
          <w:rFonts w:hint="cs"/>
          <w:w w:val="103"/>
          <w:rtl/>
          <w:lang w:bidi="ar-EG"/>
        </w:rPr>
        <w:t>القانون المؤرخ 16 كانون الأول/ديسمبر 2002 بشأن إنشاء المعهد المعني بالمساواة بين المرأة والرجل، نشر في الجريدة الرسمية الصادرة في 31 كانون الأول/ديسمبر 2002.</w:t>
      </w:r>
    </w:p>
  </w:footnote>
  <w:footnote w:id="10">
    <w:p w:rsidR="00AF077A" w:rsidRPr="00060058" w:rsidRDefault="00AF077A" w:rsidP="00290339">
      <w:pPr>
        <w:pStyle w:val="FootnoteText"/>
        <w:tabs>
          <w:tab w:val="clear" w:pos="418"/>
          <w:tab w:val="right" w:pos="1195"/>
          <w:tab w:val="left" w:pos="1267"/>
          <w:tab w:val="left" w:pos="1930"/>
          <w:tab w:val="left" w:pos="2592"/>
          <w:tab w:val="left" w:pos="3254"/>
        </w:tabs>
        <w:spacing w:after="80"/>
        <w:ind w:left="1267" w:right="1267" w:hanging="547"/>
        <w:rPr>
          <w:rFonts w:hint="cs"/>
          <w:w w:val="103"/>
          <w:rtl/>
          <w:lang w:bidi="ar-EG"/>
        </w:rPr>
      </w:pPr>
      <w:r>
        <w:rPr>
          <w:rtl/>
        </w:rPr>
        <w:tab/>
      </w:r>
      <w:r w:rsidRPr="00060058">
        <w:rPr>
          <w:w w:val="103"/>
          <w:rtl/>
          <w:lang w:bidi="ar-EG"/>
        </w:rPr>
        <w:t>(</w:t>
      </w:r>
      <w:r w:rsidRPr="00060058">
        <w:rPr>
          <w:rStyle w:val="FootnoteReference"/>
          <w:spacing w:val="0"/>
          <w:w w:val="103"/>
          <w:vertAlign w:val="baseline"/>
          <w:rtl/>
        </w:rPr>
        <w:footnoteRef/>
      </w:r>
      <w:r w:rsidRPr="00060058">
        <w:rPr>
          <w:w w:val="103"/>
          <w:rtl/>
          <w:lang w:bidi="ar-EG"/>
        </w:rPr>
        <w:t>)</w:t>
      </w:r>
      <w:r w:rsidRPr="00060058">
        <w:rPr>
          <w:w w:val="103"/>
          <w:rtl/>
        </w:rPr>
        <w:tab/>
      </w:r>
      <w:r>
        <w:rPr>
          <w:rFonts w:hint="cs"/>
          <w:w w:val="103"/>
          <w:rtl/>
          <w:lang w:bidi="ar-EG"/>
        </w:rPr>
        <w:t>يمكن الاطلاع على قائمة منشورات المعهد المعني بالمساواة بين المرأة والرجل في المرفق.</w:t>
      </w:r>
    </w:p>
  </w:footnote>
  <w:footnote w:id="11">
    <w:p w:rsidR="00AF077A" w:rsidRPr="003C76FB" w:rsidRDefault="00AF077A" w:rsidP="00290339">
      <w:pPr>
        <w:pStyle w:val="FootnoteText"/>
        <w:tabs>
          <w:tab w:val="clear" w:pos="418"/>
          <w:tab w:val="right" w:pos="1195"/>
          <w:tab w:val="left" w:pos="1267"/>
          <w:tab w:val="left" w:pos="1930"/>
          <w:tab w:val="left" w:pos="2592"/>
          <w:tab w:val="left" w:pos="3254"/>
        </w:tabs>
        <w:spacing w:after="80"/>
        <w:ind w:left="1267" w:right="1267" w:hanging="547"/>
        <w:rPr>
          <w:rFonts w:hint="cs"/>
          <w:w w:val="103"/>
          <w:rtl/>
          <w:lang w:bidi="ar-EG"/>
        </w:rPr>
      </w:pPr>
      <w:r>
        <w:rPr>
          <w:rtl/>
        </w:rPr>
        <w:tab/>
      </w:r>
      <w:r w:rsidRPr="003C76FB">
        <w:rPr>
          <w:w w:val="103"/>
          <w:rtl/>
          <w:lang w:bidi="ar-EG"/>
        </w:rPr>
        <w:t>(</w:t>
      </w:r>
      <w:r w:rsidRPr="003C76FB">
        <w:rPr>
          <w:rStyle w:val="FootnoteReference"/>
          <w:spacing w:val="0"/>
          <w:w w:val="103"/>
          <w:vertAlign w:val="baseline"/>
          <w:rtl/>
        </w:rPr>
        <w:footnoteRef/>
      </w:r>
      <w:r w:rsidRPr="003C76FB">
        <w:rPr>
          <w:w w:val="103"/>
          <w:rtl/>
          <w:lang w:bidi="ar-EG"/>
        </w:rPr>
        <w:t>)</w:t>
      </w:r>
      <w:r w:rsidRPr="003C76FB">
        <w:rPr>
          <w:w w:val="103"/>
          <w:rtl/>
        </w:rPr>
        <w:tab/>
      </w:r>
      <w:r>
        <w:rPr>
          <w:rFonts w:hint="cs"/>
          <w:w w:val="103"/>
          <w:rtl/>
          <w:lang w:bidi="ar-EG"/>
        </w:rPr>
        <w:t>الأمر الملكي المؤرخ 11 تموز/يوليه 2003 الذي يحدد عناصر معينة للإجراءات التي يتعين أن يتبعها مكتب الأجانب المكلف ببحث طلبات اللجوء على أساس القانون الصادر في 15 كانون الأول/ديسمبر 1980 بشأن وصول الأجانب إلى البلد، وإقامتهم، واستقرارهم، وإبعادهم (الجريدة الرسمية الصادرة في 27 كانون الثاني/يناير 2004).</w:t>
      </w:r>
    </w:p>
  </w:footnote>
  <w:footnote w:id="12">
    <w:p w:rsidR="00AF077A" w:rsidRPr="003C76FB" w:rsidRDefault="00AF077A" w:rsidP="00290339">
      <w:pPr>
        <w:pStyle w:val="FootnoteText"/>
        <w:tabs>
          <w:tab w:val="clear" w:pos="418"/>
          <w:tab w:val="right" w:pos="1195"/>
          <w:tab w:val="left" w:pos="1267"/>
          <w:tab w:val="left" w:pos="1930"/>
          <w:tab w:val="left" w:pos="2592"/>
          <w:tab w:val="left" w:pos="3254"/>
        </w:tabs>
        <w:spacing w:after="80"/>
        <w:ind w:left="1267" w:right="1267" w:hanging="547"/>
        <w:rPr>
          <w:rFonts w:hint="cs"/>
          <w:w w:val="103"/>
          <w:rtl/>
          <w:lang w:bidi="ar-EG"/>
        </w:rPr>
      </w:pPr>
      <w:r>
        <w:rPr>
          <w:rtl/>
        </w:rPr>
        <w:tab/>
      </w:r>
      <w:r w:rsidRPr="003C76FB">
        <w:rPr>
          <w:w w:val="103"/>
          <w:rtl/>
          <w:lang w:bidi="ar-EG"/>
        </w:rPr>
        <w:t>(</w:t>
      </w:r>
      <w:r w:rsidRPr="003C76FB">
        <w:rPr>
          <w:rStyle w:val="FootnoteReference"/>
          <w:spacing w:val="0"/>
          <w:w w:val="103"/>
          <w:vertAlign w:val="baseline"/>
          <w:rtl/>
        </w:rPr>
        <w:footnoteRef/>
      </w:r>
      <w:r w:rsidRPr="003C76FB">
        <w:rPr>
          <w:w w:val="103"/>
          <w:rtl/>
          <w:lang w:bidi="ar-EG"/>
        </w:rPr>
        <w:t>)</w:t>
      </w:r>
      <w:r w:rsidRPr="003C76FB">
        <w:rPr>
          <w:w w:val="103"/>
          <w:rtl/>
        </w:rPr>
        <w:tab/>
      </w:r>
      <w:r>
        <w:rPr>
          <w:rFonts w:hint="cs"/>
          <w:w w:val="103"/>
          <w:rtl/>
          <w:lang w:bidi="ar-EG"/>
        </w:rPr>
        <w:t>وبخاصة الفقرة 2 من المادة 3 والفقرة 1 من المادة 4 والمادة 15 من الأمر الملكي الصادر في 11 تموز/يوليه 2003، التي تحدد الإجراء المتخذ أمام المفوضية العامة للاجئين وعديمي الجنسية وعمل المفوضية (الجريدة الرسمية الصادرة في 27 كانون الثاني 2004).</w:t>
      </w:r>
    </w:p>
  </w:footnote>
  <w:footnote w:id="13">
    <w:p w:rsidR="00AF077A" w:rsidRPr="00F3599B" w:rsidRDefault="00AF077A" w:rsidP="00290339">
      <w:pPr>
        <w:pStyle w:val="FootnoteText"/>
        <w:tabs>
          <w:tab w:val="clear" w:pos="418"/>
          <w:tab w:val="right" w:pos="1195"/>
          <w:tab w:val="left" w:pos="1267"/>
          <w:tab w:val="left" w:pos="1930"/>
          <w:tab w:val="left" w:pos="2592"/>
          <w:tab w:val="left" w:pos="3254"/>
        </w:tabs>
        <w:spacing w:after="80"/>
        <w:ind w:left="1267" w:right="1267" w:hanging="547"/>
        <w:rPr>
          <w:rFonts w:hint="cs"/>
          <w:w w:val="103"/>
          <w:rtl/>
          <w:lang w:bidi="ar-EG"/>
        </w:rPr>
      </w:pPr>
      <w:r>
        <w:rPr>
          <w:rtl/>
        </w:rPr>
        <w:tab/>
      </w:r>
      <w:r w:rsidRPr="00F3599B">
        <w:rPr>
          <w:w w:val="103"/>
          <w:rtl/>
          <w:lang w:bidi="ar-EG"/>
        </w:rPr>
        <w:t>(</w:t>
      </w:r>
      <w:r w:rsidRPr="00F3599B">
        <w:rPr>
          <w:rStyle w:val="FootnoteReference"/>
          <w:spacing w:val="0"/>
          <w:w w:val="103"/>
          <w:vertAlign w:val="baseline"/>
          <w:rtl/>
        </w:rPr>
        <w:footnoteRef/>
      </w:r>
      <w:r w:rsidRPr="00F3599B">
        <w:rPr>
          <w:w w:val="103"/>
          <w:rtl/>
          <w:lang w:bidi="ar-EG"/>
        </w:rPr>
        <w:t>)</w:t>
      </w:r>
      <w:r w:rsidRPr="00F3599B">
        <w:rPr>
          <w:w w:val="103"/>
          <w:rtl/>
        </w:rPr>
        <w:tab/>
      </w:r>
      <w:r w:rsidRPr="00F3599B">
        <w:rPr>
          <w:rFonts w:hint="cs"/>
          <w:i/>
          <w:iCs/>
          <w:w w:val="103"/>
          <w:rtl/>
          <w:lang w:bidi="ar-EG"/>
        </w:rPr>
        <w:t>المصدر</w:t>
      </w:r>
      <w:r>
        <w:rPr>
          <w:rFonts w:hint="cs"/>
          <w:w w:val="103"/>
          <w:rtl/>
          <w:lang w:bidi="ar-EG"/>
        </w:rPr>
        <w:t xml:space="preserve">: المفوضية العامة للاجئين وعديمي الجنسية (تجميع المعهد الاجتماعي والاقتصادي في جامعة ليمبورغ)، جدول صادر عن كتيب </w:t>
      </w:r>
      <w:r>
        <w:rPr>
          <w:rFonts w:hint="eastAsia"/>
          <w:w w:val="103"/>
          <w:rtl/>
          <w:lang w:bidi="ar-EG"/>
        </w:rPr>
        <w:t>”</w:t>
      </w:r>
      <w:r>
        <w:rPr>
          <w:rFonts w:hint="cs"/>
          <w:w w:val="103"/>
          <w:rtl/>
          <w:lang w:bidi="ar-EG"/>
        </w:rPr>
        <w:t>المرأة والرجل في بلجيكا</w:t>
      </w:r>
      <w:r>
        <w:rPr>
          <w:rFonts w:hint="eastAsia"/>
          <w:w w:val="103"/>
          <w:rtl/>
          <w:lang w:bidi="ar-EG"/>
        </w:rPr>
        <w:t>“</w:t>
      </w:r>
      <w:r>
        <w:rPr>
          <w:rFonts w:hint="cs"/>
          <w:w w:val="103"/>
          <w:rtl/>
          <w:lang w:bidi="ar-EG"/>
        </w:rPr>
        <w:t>. إحصاءات ومؤشرات جنسانية، إصدار عام 2006، من منشورات المعهد المعني بالمساواة بين المرأة والرجل، ص 24 من النص الفرنسي.</w:t>
      </w:r>
    </w:p>
  </w:footnote>
  <w:footnote w:id="14">
    <w:p w:rsidR="00AF077A" w:rsidRPr="00B65A22" w:rsidRDefault="00AF077A" w:rsidP="00290339">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B65A22">
        <w:rPr>
          <w:w w:val="103"/>
          <w:rtl/>
          <w:lang w:bidi="ar-EG"/>
        </w:rPr>
        <w:t>(</w:t>
      </w:r>
      <w:r w:rsidRPr="00B65A22">
        <w:rPr>
          <w:rStyle w:val="FootnoteReference"/>
          <w:spacing w:val="0"/>
          <w:w w:val="103"/>
          <w:vertAlign w:val="baseline"/>
          <w:rtl/>
        </w:rPr>
        <w:footnoteRef/>
      </w:r>
      <w:r w:rsidRPr="00B65A22">
        <w:rPr>
          <w:w w:val="103"/>
          <w:rtl/>
          <w:lang w:bidi="ar-EG"/>
        </w:rPr>
        <w:t>)</w:t>
      </w:r>
      <w:r w:rsidRPr="00B65A22">
        <w:rPr>
          <w:w w:val="103"/>
          <w:rtl/>
        </w:rPr>
        <w:tab/>
      </w:r>
      <w:r>
        <w:rPr>
          <w:rFonts w:hint="cs"/>
          <w:w w:val="103"/>
          <w:rtl/>
        </w:rPr>
        <w:t>يمكن الاطلاع</w:t>
      </w:r>
      <w:r w:rsidRPr="00B65A22">
        <w:rPr>
          <w:rFonts w:hint="cs"/>
          <w:w w:val="103"/>
          <w:rtl/>
        </w:rPr>
        <w:t xml:space="preserve"> على قائمة منشورات الفترة 2002 - 2006 في المرفق.</w:t>
      </w:r>
    </w:p>
  </w:footnote>
  <w:footnote w:id="15">
    <w:p w:rsidR="00AF077A" w:rsidRPr="00A307AD" w:rsidRDefault="00AF077A" w:rsidP="00290339">
      <w:pPr>
        <w:pStyle w:val="FootnoteText"/>
        <w:tabs>
          <w:tab w:val="clear" w:pos="418"/>
          <w:tab w:val="right" w:pos="1195"/>
          <w:tab w:val="left" w:pos="1267"/>
          <w:tab w:val="left" w:pos="1930"/>
          <w:tab w:val="left" w:pos="2592"/>
          <w:tab w:val="left" w:pos="3254"/>
        </w:tabs>
        <w:spacing w:after="80"/>
        <w:ind w:left="1267" w:right="1267" w:hanging="547"/>
        <w:rPr>
          <w:rFonts w:hint="cs"/>
          <w:w w:val="103"/>
          <w:rtl/>
          <w:lang w:bidi="ar-EG"/>
        </w:rPr>
      </w:pPr>
      <w:r>
        <w:rPr>
          <w:rtl/>
        </w:rPr>
        <w:tab/>
      </w:r>
      <w:r w:rsidRPr="00A307AD">
        <w:rPr>
          <w:b/>
          <w:bCs/>
          <w:w w:val="103"/>
          <w:rtl/>
          <w:lang w:bidi="ar-EG"/>
        </w:rPr>
        <w:t>(</w:t>
      </w:r>
      <w:r w:rsidRPr="000D0B5A">
        <w:rPr>
          <w:rStyle w:val="FootnoteReference"/>
          <w:spacing w:val="0"/>
          <w:w w:val="103"/>
          <w:vertAlign w:val="baseline"/>
          <w:rtl/>
        </w:rPr>
        <w:footnoteRef/>
      </w:r>
      <w:r w:rsidRPr="00A307AD">
        <w:rPr>
          <w:b/>
          <w:bCs/>
          <w:w w:val="103"/>
          <w:rtl/>
          <w:lang w:bidi="ar-EG"/>
        </w:rPr>
        <w:t>)</w:t>
      </w:r>
      <w:r w:rsidRPr="00A307AD">
        <w:rPr>
          <w:w w:val="103"/>
          <w:rtl/>
        </w:rPr>
        <w:tab/>
      </w:r>
      <w:r>
        <w:rPr>
          <w:rFonts w:hint="cs"/>
          <w:w w:val="103"/>
          <w:rtl/>
          <w:lang w:bidi="ar-EG"/>
        </w:rPr>
        <w:t>يمكن الاطلاع على منشورات إدارة تكافؤ الفرص في المرفق.</w:t>
      </w:r>
    </w:p>
  </w:footnote>
  <w:footnote w:id="16">
    <w:p w:rsidR="00AF077A" w:rsidRPr="00A961C8" w:rsidRDefault="00AF077A" w:rsidP="00290339">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A961C8">
        <w:rPr>
          <w:w w:val="103"/>
          <w:rtl/>
          <w:lang w:bidi="ar-EG"/>
        </w:rPr>
        <w:t>(</w:t>
      </w:r>
      <w:r w:rsidRPr="00A961C8">
        <w:rPr>
          <w:rStyle w:val="FootnoteReference"/>
          <w:spacing w:val="0"/>
          <w:w w:val="103"/>
          <w:vertAlign w:val="baseline"/>
          <w:rtl/>
        </w:rPr>
        <w:footnoteRef/>
      </w:r>
      <w:r w:rsidRPr="00A961C8">
        <w:rPr>
          <w:w w:val="103"/>
          <w:rtl/>
          <w:lang w:bidi="ar-EG"/>
        </w:rPr>
        <w:t>)</w:t>
      </w:r>
      <w:r w:rsidRPr="00A961C8">
        <w:rPr>
          <w:w w:val="103"/>
          <w:rtl/>
        </w:rPr>
        <w:tab/>
      </w:r>
      <w:r>
        <w:rPr>
          <w:rFonts w:hint="cs"/>
          <w:w w:val="103"/>
          <w:rtl/>
        </w:rPr>
        <w:t>معهد التدريب في أثناء العمل.</w:t>
      </w:r>
    </w:p>
  </w:footnote>
  <w:footnote w:id="17">
    <w:p w:rsidR="00AF077A" w:rsidRPr="00A961C8" w:rsidRDefault="00AF077A" w:rsidP="00290339">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6A43E2">
        <w:rPr>
          <w:w w:val="103"/>
          <w:rtl/>
          <w:lang w:bidi="ar-EG"/>
        </w:rPr>
        <w:t>(</w:t>
      </w:r>
      <w:r w:rsidRPr="006A43E2">
        <w:rPr>
          <w:rStyle w:val="FootnoteReference"/>
          <w:spacing w:val="0"/>
          <w:w w:val="103"/>
          <w:vertAlign w:val="baseline"/>
          <w:rtl/>
        </w:rPr>
        <w:footnoteRef/>
      </w:r>
      <w:r w:rsidRPr="006A43E2">
        <w:rPr>
          <w:w w:val="103"/>
          <w:rtl/>
          <w:lang w:bidi="ar-EG"/>
        </w:rPr>
        <w:t>)</w:t>
      </w:r>
      <w:r w:rsidRPr="006A43E2">
        <w:rPr>
          <w:w w:val="103"/>
          <w:rtl/>
        </w:rPr>
        <w:tab/>
      </w:r>
      <w:r>
        <w:rPr>
          <w:rFonts w:hint="cs"/>
          <w:w w:val="103"/>
          <w:rtl/>
        </w:rPr>
        <w:t xml:space="preserve">حملة نظمت في إطار اليوم الدولي لمكافحة العنف ضد المرأة في 25 </w:t>
      </w:r>
      <w:r>
        <w:rPr>
          <w:rFonts w:hint="eastAsia"/>
          <w:w w:val="103"/>
          <w:rtl/>
        </w:rPr>
        <w:t>تشرين</w:t>
      </w:r>
      <w:r>
        <w:rPr>
          <w:w w:val="103"/>
          <w:rtl/>
        </w:rPr>
        <w:t xml:space="preserve"> الثاني/نوفمبر </w:t>
      </w:r>
      <w:r>
        <w:rPr>
          <w:rFonts w:hint="cs"/>
          <w:w w:val="103"/>
          <w:rtl/>
        </w:rPr>
        <w:t xml:space="preserve">2004 واليوم الوطني لمكافحة العنف ضد المرأة في بلجيكا في 11 </w:t>
      </w:r>
      <w:r>
        <w:rPr>
          <w:rFonts w:hint="eastAsia"/>
          <w:w w:val="103"/>
          <w:rtl/>
        </w:rPr>
        <w:t>تشرين</w:t>
      </w:r>
      <w:r>
        <w:rPr>
          <w:w w:val="103"/>
          <w:rtl/>
        </w:rPr>
        <w:t xml:space="preserve"> الثاني/نوفمبر </w:t>
      </w:r>
      <w:r>
        <w:rPr>
          <w:rFonts w:hint="cs"/>
          <w:w w:val="103"/>
          <w:rtl/>
        </w:rPr>
        <w:t>2004.</w:t>
      </w:r>
    </w:p>
  </w:footnote>
  <w:footnote w:id="18">
    <w:p w:rsidR="00AF077A" w:rsidRPr="006A43E2" w:rsidRDefault="00AF077A" w:rsidP="00290339">
      <w:pPr>
        <w:pStyle w:val="FootnoteText"/>
        <w:tabs>
          <w:tab w:val="clear" w:pos="418"/>
          <w:tab w:val="right" w:pos="1195"/>
          <w:tab w:val="left" w:pos="1267"/>
          <w:tab w:val="left" w:pos="1930"/>
          <w:tab w:val="left" w:pos="2592"/>
          <w:tab w:val="left" w:pos="3254"/>
        </w:tabs>
        <w:spacing w:after="80"/>
        <w:ind w:left="1267" w:right="1267" w:hanging="547"/>
        <w:rPr>
          <w:rFonts w:hint="cs"/>
          <w:w w:val="103"/>
          <w:rtl/>
          <w:lang w:bidi="ar-EG"/>
        </w:rPr>
      </w:pPr>
      <w:r>
        <w:rPr>
          <w:rtl/>
        </w:rPr>
        <w:tab/>
      </w:r>
      <w:r w:rsidRPr="006A43E2">
        <w:rPr>
          <w:w w:val="103"/>
          <w:rtl/>
          <w:lang w:bidi="ar-EG"/>
        </w:rPr>
        <w:t>(</w:t>
      </w:r>
      <w:r w:rsidRPr="006A43E2">
        <w:rPr>
          <w:rStyle w:val="FootnoteReference"/>
          <w:spacing w:val="0"/>
          <w:w w:val="103"/>
          <w:vertAlign w:val="baseline"/>
          <w:rtl/>
        </w:rPr>
        <w:footnoteRef/>
      </w:r>
      <w:r w:rsidRPr="006A43E2">
        <w:rPr>
          <w:w w:val="103"/>
          <w:rtl/>
          <w:lang w:bidi="ar-EG"/>
        </w:rPr>
        <w:t>)</w:t>
      </w:r>
      <w:r w:rsidRPr="006A43E2">
        <w:rPr>
          <w:w w:val="103"/>
          <w:rtl/>
        </w:rPr>
        <w:tab/>
      </w:r>
      <w:r>
        <w:rPr>
          <w:rFonts w:hint="cs"/>
          <w:w w:val="103"/>
          <w:rtl/>
          <w:lang w:bidi="ar-EG"/>
        </w:rPr>
        <w:t xml:space="preserve">شكلت الرابطات التالية جزءاً من الفريق العامل: مركز المرأة والمجتمع، مركز منع أنواع العنف المنزلي والأسري، المركز الجماعي لمناهضة أنواع العنف الأسري والاستبعاد، منظمة تضامن النساء وإيواء المضروبات،  </w:t>
      </w:r>
      <w:r>
        <w:rPr>
          <w:w w:val="103"/>
          <w:lang w:bidi="ar-EG"/>
        </w:rPr>
        <w:t>Praxis, Magenta, Garance</w:t>
      </w:r>
      <w:r>
        <w:rPr>
          <w:rFonts w:hint="cs"/>
          <w:w w:val="103"/>
          <w:rtl/>
        </w:rPr>
        <w:t>،</w:t>
      </w:r>
      <w:r>
        <w:rPr>
          <w:rFonts w:hint="cs"/>
          <w:w w:val="103"/>
          <w:rtl/>
          <w:lang w:bidi="ar-EG"/>
        </w:rPr>
        <w:t xml:space="preserve"> </w:t>
      </w:r>
      <w:r>
        <w:rPr>
          <w:rFonts w:hint="eastAsia"/>
          <w:w w:val="103"/>
          <w:rtl/>
          <w:lang w:bidi="ar-EG"/>
        </w:rPr>
        <w:t>حملة الوشاح الأبيض.</w:t>
      </w:r>
    </w:p>
  </w:footnote>
  <w:footnote w:id="19">
    <w:p w:rsidR="00AF077A" w:rsidRPr="00A53438" w:rsidRDefault="00AF077A" w:rsidP="00290339">
      <w:pPr>
        <w:pStyle w:val="FootnoteText"/>
        <w:tabs>
          <w:tab w:val="clear" w:pos="418"/>
          <w:tab w:val="right" w:pos="1195"/>
          <w:tab w:val="left" w:pos="1267"/>
          <w:tab w:val="left" w:pos="1930"/>
          <w:tab w:val="left" w:pos="2592"/>
          <w:tab w:val="left" w:pos="3254"/>
        </w:tabs>
        <w:spacing w:after="80"/>
        <w:ind w:left="1267" w:right="1267" w:hanging="547"/>
        <w:rPr>
          <w:rFonts w:hint="cs"/>
          <w:w w:val="103"/>
          <w:rtl/>
          <w:lang w:bidi="ar-EG"/>
        </w:rPr>
      </w:pPr>
      <w:r>
        <w:rPr>
          <w:rtl/>
        </w:rPr>
        <w:tab/>
      </w:r>
      <w:r w:rsidRPr="00A53438">
        <w:rPr>
          <w:w w:val="103"/>
          <w:rtl/>
          <w:lang w:bidi="ar-EG"/>
        </w:rPr>
        <w:t>(</w:t>
      </w:r>
      <w:r w:rsidRPr="00A53438">
        <w:rPr>
          <w:rStyle w:val="FootnoteReference"/>
          <w:spacing w:val="0"/>
          <w:w w:val="103"/>
          <w:vertAlign w:val="baseline"/>
          <w:rtl/>
        </w:rPr>
        <w:footnoteRef/>
      </w:r>
      <w:r w:rsidRPr="00A53438">
        <w:rPr>
          <w:w w:val="103"/>
          <w:rtl/>
          <w:lang w:bidi="ar-EG"/>
        </w:rPr>
        <w:t>)</w:t>
      </w:r>
      <w:r w:rsidRPr="00A53438">
        <w:rPr>
          <w:w w:val="103"/>
          <w:rtl/>
        </w:rPr>
        <w:tab/>
      </w:r>
      <w:r>
        <w:rPr>
          <w:rFonts w:hint="cs"/>
          <w:w w:val="103"/>
          <w:rtl/>
          <w:lang w:bidi="ar-EG"/>
        </w:rPr>
        <w:t>مكتب المواليد والطفولة دائرة عامة تابعة للمجتمع الفرنسي،  وتتمثل مهمتها في أن تكفل، في إطار من احترام التشريعات السارية ووفقاً للمهمة العملية المستهدفة، الموافقة على استقبال الطفل دون الثانية عشرة الموجود خارج وسطه العائلي والمساعدة في الاستقبال وتنظيمه والمشاركة فيه والإشراف عليه وتقييمه.</w:t>
      </w:r>
    </w:p>
  </w:footnote>
  <w:footnote w:id="20">
    <w:p w:rsidR="00AF077A" w:rsidRPr="00A961C8" w:rsidRDefault="00AF077A" w:rsidP="00290339">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A961C8">
        <w:rPr>
          <w:w w:val="103"/>
          <w:rtl/>
          <w:lang w:bidi="ar-EG"/>
        </w:rPr>
        <w:t>(</w:t>
      </w:r>
      <w:r w:rsidRPr="00A961C8">
        <w:rPr>
          <w:rStyle w:val="FootnoteReference"/>
          <w:spacing w:val="0"/>
          <w:w w:val="103"/>
          <w:vertAlign w:val="baseline"/>
          <w:rtl/>
        </w:rPr>
        <w:footnoteRef/>
      </w:r>
      <w:r w:rsidRPr="00A961C8">
        <w:rPr>
          <w:w w:val="103"/>
          <w:rtl/>
          <w:lang w:bidi="ar-EG"/>
        </w:rPr>
        <w:t>)</w:t>
      </w:r>
      <w:r w:rsidRPr="00A961C8">
        <w:rPr>
          <w:w w:val="103"/>
          <w:rtl/>
        </w:rPr>
        <w:tab/>
      </w:r>
      <w:r>
        <w:rPr>
          <w:rFonts w:hint="cs"/>
          <w:w w:val="103"/>
          <w:rtl/>
        </w:rPr>
        <w:t>يشترك المجلس الأعلى للوسائل السمعية والبصرية في تنظيم قطاع الوسائل السمعية والبصرية، ويتحقق من تنفيذ هذا التنظيم، ويعاقب على المخالفات إن حدثت.</w:t>
      </w:r>
    </w:p>
  </w:footnote>
  <w:footnote w:id="21">
    <w:p w:rsidR="00AF077A" w:rsidRDefault="00AF077A" w:rsidP="00290339">
      <w:pPr>
        <w:pStyle w:val="FootnoteText"/>
        <w:tabs>
          <w:tab w:val="clear" w:pos="418"/>
          <w:tab w:val="right" w:pos="1195"/>
          <w:tab w:val="left" w:pos="1267"/>
          <w:tab w:val="left" w:pos="1930"/>
          <w:tab w:val="left" w:pos="2592"/>
          <w:tab w:val="left" w:pos="3254"/>
        </w:tabs>
        <w:spacing w:after="80"/>
        <w:ind w:left="1267" w:right="1267" w:hanging="547"/>
        <w:rPr>
          <w:rFonts w:hint="cs"/>
          <w:w w:val="103"/>
          <w:rtl/>
          <w:lang w:bidi="ar-EG"/>
        </w:rPr>
      </w:pPr>
      <w:r>
        <w:rPr>
          <w:rtl/>
        </w:rPr>
        <w:tab/>
      </w:r>
      <w:r w:rsidRPr="001C023E">
        <w:rPr>
          <w:w w:val="103"/>
          <w:rtl/>
          <w:lang w:bidi="ar-EG"/>
        </w:rPr>
        <w:t>(</w:t>
      </w:r>
      <w:r w:rsidRPr="001C023E">
        <w:rPr>
          <w:rStyle w:val="FootnoteReference"/>
          <w:spacing w:val="0"/>
          <w:w w:val="103"/>
          <w:vertAlign w:val="baseline"/>
          <w:rtl/>
        </w:rPr>
        <w:footnoteRef/>
      </w:r>
      <w:r w:rsidRPr="001C023E">
        <w:rPr>
          <w:w w:val="103"/>
          <w:rtl/>
          <w:lang w:bidi="ar-EG"/>
        </w:rPr>
        <w:t>)</w:t>
      </w:r>
      <w:r w:rsidRPr="001C023E">
        <w:rPr>
          <w:w w:val="103"/>
          <w:rtl/>
        </w:rPr>
        <w:tab/>
      </w:r>
      <w:r>
        <w:rPr>
          <w:rFonts w:hint="cs"/>
          <w:w w:val="103"/>
          <w:rtl/>
          <w:lang w:bidi="ar-EG"/>
        </w:rPr>
        <w:t xml:space="preserve">الإعلان الحكومي لعام 2004: </w:t>
      </w:r>
      <w:r>
        <w:rPr>
          <w:rFonts w:hint="eastAsia"/>
          <w:w w:val="103"/>
          <w:rtl/>
          <w:lang w:bidi="ar-EG"/>
        </w:rPr>
        <w:t>”</w:t>
      </w:r>
      <w:r>
        <w:rPr>
          <w:rFonts w:hint="cs"/>
          <w:w w:val="103"/>
          <w:rtl/>
          <w:lang w:bidi="ar-EG"/>
        </w:rPr>
        <w:t xml:space="preserve">يعمل </w:t>
      </w:r>
      <w:r>
        <w:rPr>
          <w:rFonts w:hint="eastAsia"/>
          <w:w w:val="103"/>
          <w:rtl/>
          <w:lang w:bidi="ar-EG"/>
        </w:rPr>
        <w:t xml:space="preserve">الإقليم على تعزيز المساواة بين الرجل والمرأة </w:t>
      </w:r>
      <w:r>
        <w:rPr>
          <w:rFonts w:hint="cs"/>
          <w:w w:val="103"/>
          <w:rtl/>
          <w:lang w:bidi="ar-EG"/>
        </w:rPr>
        <w:t>ع</w:t>
      </w:r>
      <w:r>
        <w:rPr>
          <w:rFonts w:hint="eastAsia"/>
          <w:w w:val="103"/>
          <w:rtl/>
          <w:lang w:bidi="ar-EG"/>
        </w:rPr>
        <w:t>ب</w:t>
      </w:r>
      <w:r>
        <w:rPr>
          <w:rFonts w:hint="cs"/>
          <w:w w:val="103"/>
          <w:rtl/>
          <w:lang w:bidi="ar-EG"/>
        </w:rPr>
        <w:t>ر سياساته في مجموعها. ومن أجل ذلك، يقوم بدراسات استقصائية وإحصائية حسب الجنس في جميع اختصاصاته الإقليمية.</w:t>
      </w:r>
    </w:p>
    <w:p w:rsidR="00AF077A" w:rsidRDefault="00AF077A" w:rsidP="00290339">
      <w:pPr>
        <w:pStyle w:val="FootnoteText"/>
        <w:tabs>
          <w:tab w:val="clear" w:pos="418"/>
          <w:tab w:val="right" w:pos="1195"/>
          <w:tab w:val="left" w:pos="1267"/>
          <w:tab w:val="left" w:pos="1930"/>
          <w:tab w:val="left" w:pos="2592"/>
          <w:tab w:val="left" w:pos="3254"/>
        </w:tabs>
        <w:spacing w:after="80"/>
        <w:ind w:left="1267" w:right="1267" w:hanging="547"/>
        <w:rPr>
          <w:rFonts w:hint="cs"/>
          <w:w w:val="103"/>
          <w:rtl/>
          <w:lang w:bidi="ar-EG"/>
        </w:rPr>
      </w:pPr>
      <w:r>
        <w:rPr>
          <w:rFonts w:hint="cs"/>
          <w:w w:val="103"/>
          <w:rtl/>
          <w:lang w:bidi="ar-EG"/>
        </w:rPr>
        <w:tab/>
      </w:r>
      <w:r>
        <w:rPr>
          <w:rFonts w:hint="cs"/>
          <w:w w:val="103"/>
          <w:rtl/>
          <w:lang w:bidi="ar-EG"/>
        </w:rPr>
        <w:tab/>
        <w:t>ويتولى، عن طريق الخدمة العامة، تعيين مسؤول عن المساواة ويهتم في جميع المجالات بإيجاد توازن في التمثيل بين الرجل والمرأة.</w:t>
      </w:r>
    </w:p>
    <w:p w:rsidR="00AF077A" w:rsidRPr="001C023E" w:rsidRDefault="00AF077A" w:rsidP="00B14663">
      <w:pPr>
        <w:pStyle w:val="FootnoteText"/>
        <w:tabs>
          <w:tab w:val="clear" w:pos="418"/>
          <w:tab w:val="right" w:pos="1195"/>
          <w:tab w:val="left" w:pos="1267"/>
          <w:tab w:val="left" w:pos="1930"/>
          <w:tab w:val="left" w:pos="2592"/>
          <w:tab w:val="left" w:pos="3254"/>
        </w:tabs>
        <w:spacing w:after="80"/>
        <w:ind w:left="1267" w:right="1267" w:hanging="547"/>
        <w:rPr>
          <w:rFonts w:hint="cs"/>
          <w:w w:val="103"/>
          <w:rtl/>
          <w:lang w:bidi="ar-EG"/>
        </w:rPr>
      </w:pPr>
      <w:r>
        <w:rPr>
          <w:rFonts w:hint="cs"/>
          <w:w w:val="103"/>
          <w:rtl/>
          <w:lang w:bidi="ar-EG"/>
        </w:rPr>
        <w:tab/>
      </w:r>
      <w:r>
        <w:rPr>
          <w:rFonts w:hint="cs"/>
          <w:w w:val="103"/>
          <w:rtl/>
          <w:lang w:bidi="ar-EG"/>
        </w:rPr>
        <w:tab/>
        <w:t>وتعمل الحكومة أيضاً على أن تقدم إلى البرلمان تقريراً سنوياً عن سياسة تكافؤ الفرص بين الرجل والمرأة</w:t>
      </w:r>
      <w:r>
        <w:rPr>
          <w:rFonts w:hint="eastAsia"/>
          <w:w w:val="103"/>
          <w:rtl/>
          <w:lang w:bidi="ar-EG"/>
        </w:rPr>
        <w:t>“</w:t>
      </w:r>
      <w:r>
        <w:rPr>
          <w:rFonts w:hint="cs"/>
          <w:w w:val="103"/>
          <w:rtl/>
          <w:lang w:bidi="ar-EG"/>
        </w:rPr>
        <w:t>.</w:t>
      </w:r>
    </w:p>
  </w:footnote>
  <w:footnote w:id="22">
    <w:p w:rsidR="00AF077A" w:rsidRPr="00454D5B" w:rsidRDefault="00AF077A" w:rsidP="00290339">
      <w:pPr>
        <w:pStyle w:val="FootnoteText"/>
        <w:tabs>
          <w:tab w:val="clear" w:pos="418"/>
          <w:tab w:val="right" w:pos="1195"/>
          <w:tab w:val="left" w:pos="1267"/>
          <w:tab w:val="left" w:pos="1930"/>
          <w:tab w:val="left" w:pos="2592"/>
          <w:tab w:val="left" w:pos="3254"/>
        </w:tabs>
        <w:spacing w:after="80"/>
        <w:ind w:left="1267" w:right="1267" w:hanging="547"/>
        <w:rPr>
          <w:rFonts w:hint="cs"/>
          <w:w w:val="103"/>
          <w:rtl/>
          <w:lang w:bidi="ar-EG"/>
        </w:rPr>
      </w:pPr>
      <w:r>
        <w:rPr>
          <w:rtl/>
        </w:rPr>
        <w:tab/>
      </w:r>
      <w:r w:rsidRPr="00454D5B">
        <w:rPr>
          <w:w w:val="103"/>
          <w:rtl/>
          <w:lang w:bidi="ar-EG"/>
        </w:rPr>
        <w:t>(</w:t>
      </w:r>
      <w:r w:rsidRPr="00454D5B">
        <w:rPr>
          <w:rStyle w:val="FootnoteReference"/>
          <w:spacing w:val="0"/>
          <w:w w:val="103"/>
          <w:vertAlign w:val="baseline"/>
          <w:rtl/>
        </w:rPr>
        <w:footnoteRef/>
      </w:r>
      <w:r w:rsidRPr="00454D5B">
        <w:rPr>
          <w:w w:val="103"/>
          <w:rtl/>
          <w:lang w:bidi="ar-EG"/>
        </w:rPr>
        <w:t>)</w:t>
      </w:r>
      <w:r w:rsidRPr="00454D5B">
        <w:rPr>
          <w:w w:val="103"/>
          <w:rtl/>
        </w:rPr>
        <w:tab/>
      </w:r>
      <w:r>
        <w:rPr>
          <w:rFonts w:hint="cs"/>
          <w:w w:val="103"/>
          <w:rtl/>
          <w:lang w:bidi="ar-EG"/>
        </w:rPr>
        <w:t>الجريدة الرسمية الصادرة في 9 أيار/مايو 2006.</w:t>
      </w:r>
    </w:p>
  </w:footnote>
  <w:footnote w:id="23">
    <w:p w:rsidR="00AF077A" w:rsidRPr="00571D72" w:rsidRDefault="00AF077A" w:rsidP="00290339">
      <w:pPr>
        <w:pStyle w:val="FootnoteText"/>
        <w:tabs>
          <w:tab w:val="clear" w:pos="418"/>
          <w:tab w:val="right" w:pos="1195"/>
          <w:tab w:val="left" w:pos="1267"/>
          <w:tab w:val="left" w:pos="1930"/>
          <w:tab w:val="left" w:pos="2592"/>
          <w:tab w:val="left" w:pos="3254"/>
        </w:tabs>
        <w:spacing w:after="80"/>
        <w:ind w:left="1267" w:right="1267" w:hanging="547"/>
        <w:rPr>
          <w:rFonts w:hint="cs"/>
          <w:w w:val="103"/>
          <w:rtl/>
          <w:lang w:bidi="ar-EG"/>
        </w:rPr>
      </w:pPr>
      <w:r>
        <w:rPr>
          <w:rtl/>
        </w:rPr>
        <w:tab/>
      </w:r>
      <w:r w:rsidRPr="00571D72">
        <w:rPr>
          <w:w w:val="103"/>
          <w:rtl/>
          <w:lang w:bidi="ar-EG"/>
        </w:rPr>
        <w:t>(</w:t>
      </w:r>
      <w:r w:rsidRPr="00571D72">
        <w:rPr>
          <w:rStyle w:val="FootnoteReference"/>
          <w:spacing w:val="0"/>
          <w:w w:val="103"/>
          <w:vertAlign w:val="baseline"/>
          <w:rtl/>
        </w:rPr>
        <w:footnoteRef/>
      </w:r>
      <w:r w:rsidRPr="00571D72">
        <w:rPr>
          <w:w w:val="103"/>
          <w:rtl/>
          <w:lang w:bidi="ar-EG"/>
        </w:rPr>
        <w:t>)</w:t>
      </w:r>
      <w:r w:rsidRPr="00571D72">
        <w:rPr>
          <w:w w:val="103"/>
          <w:rtl/>
        </w:rPr>
        <w:tab/>
      </w:r>
      <w:r>
        <w:rPr>
          <w:rFonts w:hint="cs"/>
          <w:w w:val="103"/>
          <w:rtl/>
          <w:lang w:bidi="ar-EG"/>
        </w:rPr>
        <w:t>تنظم اللجنة المجتمعية المشتركة وتدير المسائل المجتمعية المشتركة بين المجتمعين (الناطق بالفرنسية والفلمندي) في الإقليم.</w:t>
      </w:r>
    </w:p>
  </w:footnote>
  <w:footnote w:id="24">
    <w:p w:rsidR="00AF077A" w:rsidRPr="00C37E61" w:rsidRDefault="00AF077A" w:rsidP="00290339">
      <w:pPr>
        <w:pStyle w:val="FootnoteText"/>
        <w:tabs>
          <w:tab w:val="clear" w:pos="418"/>
          <w:tab w:val="right" w:pos="1195"/>
          <w:tab w:val="left" w:pos="1267"/>
          <w:tab w:val="left" w:pos="1930"/>
          <w:tab w:val="left" w:pos="2592"/>
          <w:tab w:val="left" w:pos="3254"/>
        </w:tabs>
        <w:spacing w:after="80"/>
        <w:ind w:left="1267" w:right="1267" w:hanging="547"/>
        <w:rPr>
          <w:rFonts w:hint="cs"/>
          <w:w w:val="103"/>
          <w:rtl/>
          <w:lang w:bidi="ar-EG"/>
        </w:rPr>
      </w:pPr>
      <w:r>
        <w:rPr>
          <w:rtl/>
        </w:rPr>
        <w:tab/>
      </w:r>
      <w:r w:rsidRPr="00C37E61">
        <w:rPr>
          <w:w w:val="103"/>
          <w:rtl/>
          <w:lang w:bidi="ar-EG"/>
        </w:rPr>
        <w:t>(</w:t>
      </w:r>
      <w:r w:rsidRPr="00C37E61">
        <w:rPr>
          <w:rStyle w:val="FootnoteReference"/>
          <w:spacing w:val="0"/>
          <w:w w:val="103"/>
          <w:vertAlign w:val="baseline"/>
          <w:rtl/>
        </w:rPr>
        <w:footnoteRef/>
      </w:r>
      <w:r w:rsidRPr="00C37E61">
        <w:rPr>
          <w:w w:val="103"/>
          <w:rtl/>
          <w:lang w:bidi="ar-EG"/>
        </w:rPr>
        <w:t>)</w:t>
      </w:r>
      <w:r w:rsidRPr="00C37E61">
        <w:rPr>
          <w:w w:val="103"/>
          <w:rtl/>
        </w:rPr>
        <w:tab/>
      </w:r>
      <w:r>
        <w:rPr>
          <w:rFonts w:hint="cs"/>
          <w:w w:val="103"/>
          <w:rtl/>
          <w:lang w:bidi="ar-EG"/>
        </w:rPr>
        <w:t>الأمر الملكي المؤرخ 27 شباط/فبراير 1990 بشأن التدابير الرامية إلى تعزيز تكافؤ الفرص بين الرجل والمرأة في الدوائر العامة، نشر في الجريدة الرسمية الصادرة في 8 آذار/مارس 1990.</w:t>
      </w:r>
    </w:p>
  </w:footnote>
  <w:footnote w:id="25">
    <w:p w:rsidR="00AF077A" w:rsidRPr="00FE7B46" w:rsidRDefault="00AF077A" w:rsidP="00290339">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036237">
        <w:rPr>
          <w:w w:val="103"/>
          <w:rtl/>
          <w:lang w:bidi="ar-EG"/>
        </w:rPr>
        <w:t>(</w:t>
      </w:r>
      <w:r w:rsidRPr="00036237">
        <w:rPr>
          <w:rStyle w:val="FootnoteReference"/>
          <w:spacing w:val="0"/>
          <w:w w:val="103"/>
          <w:vertAlign w:val="baseline"/>
          <w:rtl/>
        </w:rPr>
        <w:footnoteRef/>
      </w:r>
      <w:r w:rsidRPr="00036237">
        <w:rPr>
          <w:w w:val="103"/>
          <w:rtl/>
          <w:lang w:bidi="ar-EG"/>
        </w:rPr>
        <w:t>)</w:t>
      </w:r>
      <w:r w:rsidRPr="00FE7B46">
        <w:rPr>
          <w:w w:val="103"/>
          <w:rtl/>
        </w:rPr>
        <w:tab/>
      </w:r>
      <w:r>
        <w:rPr>
          <w:rFonts w:hint="cs"/>
          <w:w w:val="103"/>
          <w:rtl/>
          <w:lang w:bidi="ar-EG"/>
        </w:rPr>
        <w:t>تأسس المعهد الوطني للتربية البدنية والألعاب الرياضية في عام 1955، وأصبح يسمى رابطة التربية البدينة والألعاب الرياضية منذ عام 1964. وفي عام 1983، أصبحت الإدارة العامة للرياضة واحدة من الإدارات العامة الست في وزارة المجتمع الفرنسي، وأنيطت بها الاختصاصات التي كانت لرابطة التربية البدنية والألعاب الرياضية. وتشترك هذه الرابطة في تعزيز وتطوير وتحريك عدد دائم الزيادة من الأنشطة الرياضية.</w:t>
      </w:r>
    </w:p>
  </w:footnote>
  <w:footnote w:id="26">
    <w:p w:rsidR="00AF077A" w:rsidRPr="00733926" w:rsidRDefault="00AF077A" w:rsidP="00290339">
      <w:pPr>
        <w:pStyle w:val="FootnoteText"/>
        <w:tabs>
          <w:tab w:val="clear" w:pos="418"/>
          <w:tab w:val="right" w:pos="1195"/>
          <w:tab w:val="left" w:pos="1267"/>
          <w:tab w:val="left" w:pos="1930"/>
          <w:tab w:val="left" w:pos="2592"/>
          <w:tab w:val="left" w:pos="3254"/>
        </w:tabs>
        <w:spacing w:after="80"/>
        <w:ind w:left="1267" w:right="1267" w:hanging="547"/>
        <w:rPr>
          <w:rFonts w:hint="cs"/>
          <w:w w:val="103"/>
          <w:rtl/>
          <w:lang w:bidi="ar-EG"/>
        </w:rPr>
      </w:pPr>
      <w:r>
        <w:rPr>
          <w:rtl/>
        </w:rPr>
        <w:tab/>
      </w:r>
      <w:r w:rsidRPr="00733926">
        <w:rPr>
          <w:w w:val="103"/>
          <w:rtl/>
          <w:lang w:bidi="ar-EG"/>
        </w:rPr>
        <w:t>(</w:t>
      </w:r>
      <w:r w:rsidRPr="00733926">
        <w:rPr>
          <w:rStyle w:val="FootnoteReference"/>
          <w:spacing w:val="0"/>
          <w:w w:val="103"/>
          <w:vertAlign w:val="baseline"/>
          <w:rtl/>
        </w:rPr>
        <w:footnoteRef/>
      </w:r>
      <w:r w:rsidRPr="00733926">
        <w:rPr>
          <w:w w:val="103"/>
          <w:rtl/>
          <w:lang w:bidi="ar-EG"/>
        </w:rPr>
        <w:t>)</w:t>
      </w:r>
      <w:r w:rsidRPr="00733926">
        <w:rPr>
          <w:w w:val="103"/>
          <w:rtl/>
        </w:rPr>
        <w:tab/>
      </w:r>
      <w:r>
        <w:rPr>
          <w:rFonts w:hint="cs"/>
          <w:w w:val="103"/>
          <w:rtl/>
          <w:lang w:bidi="ar-EG"/>
        </w:rPr>
        <w:t xml:space="preserve">التوجيه رقم </w:t>
      </w:r>
      <w:r>
        <w:rPr>
          <w:w w:val="103"/>
          <w:lang w:bidi="ar-EG"/>
        </w:rPr>
        <w:t>2004/81/CE</w:t>
      </w:r>
      <w:r>
        <w:rPr>
          <w:rFonts w:hint="cs"/>
          <w:w w:val="103"/>
          <w:rtl/>
          <w:lang w:bidi="ar-EG"/>
        </w:rPr>
        <w:t xml:space="preserve"> لمجلس الاتحاد الأوروبي المؤرخ في 29 نيسان/أبريل 2004 بشأن الإقامة المتاحة لرعايا البلدان الأخرى الذين هم ضحايا الاتجار بالبشر أو الذين حصلوا على مساعدة في الهجرة السرية ويتعاونون مع السلطات المختصة.</w:t>
      </w:r>
    </w:p>
  </w:footnote>
  <w:footnote w:id="27">
    <w:p w:rsidR="00AF077A" w:rsidRPr="00C34CCE" w:rsidRDefault="00AF077A" w:rsidP="00290339">
      <w:pPr>
        <w:pStyle w:val="FootnoteText"/>
        <w:tabs>
          <w:tab w:val="clear" w:pos="418"/>
          <w:tab w:val="right" w:pos="1195"/>
          <w:tab w:val="left" w:pos="1267"/>
          <w:tab w:val="left" w:pos="1930"/>
          <w:tab w:val="left" w:pos="2592"/>
          <w:tab w:val="left" w:pos="3254"/>
        </w:tabs>
        <w:spacing w:after="80"/>
        <w:ind w:left="1267" w:right="1267" w:hanging="547"/>
        <w:rPr>
          <w:rFonts w:hint="cs"/>
          <w:w w:val="103"/>
          <w:rtl/>
          <w:lang w:bidi="ar-EG"/>
        </w:rPr>
      </w:pPr>
      <w:r>
        <w:rPr>
          <w:rtl/>
        </w:rPr>
        <w:tab/>
      </w:r>
      <w:r w:rsidRPr="00C34CCE">
        <w:rPr>
          <w:w w:val="103"/>
          <w:rtl/>
          <w:lang w:bidi="ar-EG"/>
        </w:rPr>
        <w:t>(</w:t>
      </w:r>
      <w:r w:rsidRPr="00C34CCE">
        <w:rPr>
          <w:rStyle w:val="FootnoteReference"/>
          <w:spacing w:val="0"/>
          <w:w w:val="103"/>
          <w:vertAlign w:val="baseline"/>
          <w:rtl/>
        </w:rPr>
        <w:footnoteRef/>
      </w:r>
      <w:r w:rsidRPr="00C34CCE">
        <w:rPr>
          <w:w w:val="103"/>
          <w:rtl/>
          <w:lang w:bidi="ar-EG"/>
        </w:rPr>
        <w:t>)</w:t>
      </w:r>
      <w:r w:rsidRPr="00C34CCE">
        <w:rPr>
          <w:w w:val="103"/>
          <w:rtl/>
        </w:rPr>
        <w:tab/>
      </w:r>
      <w:r>
        <w:rPr>
          <w:rFonts w:hint="cs"/>
          <w:w w:val="103"/>
          <w:rtl/>
        </w:rPr>
        <w:t xml:space="preserve">على أن </w:t>
      </w:r>
      <w:r>
        <w:rPr>
          <w:rFonts w:hint="cs"/>
          <w:w w:val="103"/>
          <w:rtl/>
          <w:lang w:bidi="ar-EG"/>
        </w:rPr>
        <w:t xml:space="preserve">هذا الرقم أكبر كثيرا في الواقع لأنه لم تكن توجد لدى جميع المراكز قاعدة بيانات فيما بين عامي 1999 و 2003. انظر تقرير مركز تكافؤ الفرص ومكافحة العنصرية، والسياسة البلجيكية في مجال الاتجار بالبشر: ظلال وأضواء، تشرين الثاني/نوفمبر 2005. ويمكن الرجوع إلى هذا التقرير على العنوان </w:t>
      </w:r>
      <w:r w:rsidRPr="002020BE">
        <w:rPr>
          <w:rFonts w:hint="cs"/>
          <w:w w:val="103"/>
          <w:rtl/>
          <w:lang w:bidi="ar-EG"/>
        </w:rPr>
        <w:t xml:space="preserve">التالي: </w:t>
      </w:r>
      <w:hyperlink r:id="rId1" w:history="1">
        <w:r w:rsidRPr="00CE107F">
          <w:rPr>
            <w:rStyle w:val="Hyperlink"/>
            <w:lang w:bidi="ar-EG"/>
          </w:rPr>
          <w:t>www.diversite.be</w:t>
        </w:r>
      </w:hyperlink>
      <w:r w:rsidRPr="002020BE">
        <w:rPr>
          <w:rFonts w:hint="cs"/>
          <w:w w:val="103"/>
          <w:rtl/>
          <w:lang w:bidi="ar-EG"/>
        </w:rPr>
        <w:t xml:space="preserve"> وأقام المركز مع مراكز الاستقبال الثلاثة قاعدة بيانات مشتركة تتيح وضع بيانات</w:t>
      </w:r>
      <w:r>
        <w:rPr>
          <w:rFonts w:hint="cs"/>
          <w:w w:val="103"/>
          <w:rtl/>
          <w:lang w:bidi="ar-EG"/>
        </w:rPr>
        <w:t xml:space="preserve"> عن الضحايا الذين تعتني بهم هذه المراكز.</w:t>
      </w:r>
    </w:p>
  </w:footnote>
  <w:footnote w:id="28">
    <w:p w:rsidR="00AF077A" w:rsidRPr="00F71DC7" w:rsidRDefault="00AF077A" w:rsidP="00290339">
      <w:pPr>
        <w:pStyle w:val="FootnoteText"/>
        <w:tabs>
          <w:tab w:val="clear" w:pos="418"/>
          <w:tab w:val="right" w:pos="1195"/>
          <w:tab w:val="left" w:pos="1267"/>
          <w:tab w:val="left" w:pos="1930"/>
          <w:tab w:val="left" w:pos="2592"/>
          <w:tab w:val="left" w:pos="3254"/>
        </w:tabs>
        <w:spacing w:after="80"/>
        <w:ind w:left="1267" w:right="1267" w:hanging="547"/>
        <w:rPr>
          <w:rFonts w:hint="cs"/>
          <w:w w:val="103"/>
          <w:rtl/>
          <w:lang w:bidi="ar-EG"/>
        </w:rPr>
      </w:pPr>
      <w:r>
        <w:rPr>
          <w:rtl/>
        </w:rPr>
        <w:tab/>
      </w:r>
      <w:r w:rsidRPr="00F71DC7">
        <w:rPr>
          <w:w w:val="103"/>
          <w:rtl/>
          <w:lang w:bidi="ar-EG"/>
        </w:rPr>
        <w:t>(</w:t>
      </w:r>
      <w:r w:rsidRPr="00F71DC7">
        <w:rPr>
          <w:rStyle w:val="FootnoteReference"/>
          <w:spacing w:val="0"/>
          <w:w w:val="103"/>
          <w:vertAlign w:val="baseline"/>
          <w:rtl/>
        </w:rPr>
        <w:footnoteRef/>
      </w:r>
      <w:r w:rsidRPr="00F71DC7">
        <w:rPr>
          <w:w w:val="103"/>
          <w:rtl/>
          <w:lang w:bidi="ar-EG"/>
        </w:rPr>
        <w:t>)</w:t>
      </w:r>
      <w:r w:rsidRPr="00F71DC7">
        <w:rPr>
          <w:w w:val="103"/>
          <w:rtl/>
        </w:rPr>
        <w:tab/>
      </w:r>
      <w:r>
        <w:rPr>
          <w:rFonts w:hint="cs"/>
          <w:w w:val="103"/>
          <w:rtl/>
          <w:lang w:bidi="ar-EG"/>
        </w:rPr>
        <w:t>يكفل القانون الصادر في 17 حزيران/يونيه 2002 وجودا متساويا للرجال والنساء على قوائم المرشحين لانتخابات البرلمان الأوروبي (الجريدة الرسمية الصادرة في 28 آب/أغسطس 2002)؛ ويكفل القانون الصادر في 18 تموز/يوليه 2002 وجودا متساويا للرجال والنساء على قوائم المرشحين لانتخابات المجالس التشريعية الاتحادية ومجلس المجتمع الناطق بالألمانية (الجريدة الرسمية الصادرة في 28 آب/أغسطس 2002)؛ ويكفل القانون الخاص المؤرخ 18 تموز/يوليه 2002 وجودا متساويا للرجال والنساء على قوائم المرشحين لانتخابات مجلس إقليم والون ومجلس الإقليم الفلمندي ومجلس إقليم بروكسل العاصمة (الجريدة الرسمية الصادرة في 13 أيلول/سبتمبر 2002).</w:t>
      </w:r>
    </w:p>
  </w:footnote>
  <w:footnote w:id="29">
    <w:p w:rsidR="00AF077A" w:rsidRPr="004069B2" w:rsidRDefault="00AF077A" w:rsidP="00290339">
      <w:pPr>
        <w:pStyle w:val="FootnoteText"/>
        <w:tabs>
          <w:tab w:val="clear" w:pos="418"/>
          <w:tab w:val="right" w:pos="1195"/>
          <w:tab w:val="left" w:pos="1267"/>
          <w:tab w:val="left" w:pos="1930"/>
          <w:tab w:val="left" w:pos="2592"/>
          <w:tab w:val="left" w:pos="3254"/>
        </w:tabs>
        <w:spacing w:after="80"/>
        <w:ind w:left="1267" w:right="1267" w:hanging="547"/>
        <w:rPr>
          <w:rFonts w:hint="cs"/>
          <w:w w:val="103"/>
          <w:rtl/>
          <w:lang w:bidi="ar-EG"/>
        </w:rPr>
      </w:pPr>
      <w:r>
        <w:rPr>
          <w:rtl/>
        </w:rPr>
        <w:tab/>
      </w:r>
      <w:r w:rsidRPr="004069B2">
        <w:rPr>
          <w:w w:val="103"/>
          <w:rtl/>
          <w:lang w:bidi="ar-EG"/>
        </w:rPr>
        <w:t>(</w:t>
      </w:r>
      <w:r w:rsidRPr="004069B2">
        <w:rPr>
          <w:rStyle w:val="FootnoteReference"/>
          <w:spacing w:val="0"/>
          <w:w w:val="103"/>
          <w:vertAlign w:val="baseline"/>
          <w:rtl/>
        </w:rPr>
        <w:footnoteRef/>
      </w:r>
      <w:r w:rsidRPr="004069B2">
        <w:rPr>
          <w:w w:val="103"/>
          <w:rtl/>
          <w:lang w:bidi="ar-EG"/>
        </w:rPr>
        <w:t>)</w:t>
      </w:r>
      <w:r w:rsidRPr="004069B2">
        <w:rPr>
          <w:w w:val="103"/>
          <w:rtl/>
        </w:rPr>
        <w:tab/>
      </w:r>
      <w:r>
        <w:rPr>
          <w:rFonts w:hint="cs"/>
          <w:w w:val="103"/>
          <w:rtl/>
          <w:lang w:bidi="ar-EG"/>
        </w:rPr>
        <w:t>القانون الخاص المؤرخ 5 أيار/مايو 2003 الذي يكفل وجود أشخاص من الجنسين في الحكومة الفلمندية، وحكومة المجتمع الفرنسي، وإقليم والون، وحكومة إقليم بروكسل العاصمة، وضمن الوزراء الإقليميين لإقليم بروكسل العاصمة (الجريدة الرسمية الصادرة في 12 حزيران/يونيه 2003)، ويكفل القانون وجود أشخاص من الجنسين في حكومة المجتمع الناطق بالألمانية (الجريدة الرسمية الصادرة في 12 حزيران/يونيه 2003).</w:t>
      </w:r>
    </w:p>
  </w:footnote>
  <w:footnote w:id="30">
    <w:p w:rsidR="00AF077A" w:rsidRPr="004069B2" w:rsidRDefault="00AF077A" w:rsidP="00290339">
      <w:pPr>
        <w:pStyle w:val="FootnoteText"/>
        <w:tabs>
          <w:tab w:val="clear" w:pos="418"/>
          <w:tab w:val="right" w:pos="1195"/>
          <w:tab w:val="left" w:pos="1267"/>
          <w:tab w:val="left" w:pos="1930"/>
          <w:tab w:val="left" w:pos="2592"/>
          <w:tab w:val="left" w:pos="3254"/>
        </w:tabs>
        <w:spacing w:after="80"/>
        <w:ind w:left="1267" w:right="1267" w:hanging="547"/>
        <w:rPr>
          <w:rFonts w:hint="cs"/>
          <w:w w:val="103"/>
          <w:rtl/>
          <w:lang w:bidi="ar-EG"/>
        </w:rPr>
      </w:pPr>
      <w:r>
        <w:rPr>
          <w:rtl/>
        </w:rPr>
        <w:tab/>
      </w:r>
      <w:r w:rsidRPr="004069B2">
        <w:rPr>
          <w:w w:val="103"/>
          <w:rtl/>
          <w:lang w:bidi="ar-EG"/>
        </w:rPr>
        <w:t>(</w:t>
      </w:r>
      <w:r w:rsidRPr="004069B2">
        <w:rPr>
          <w:rStyle w:val="FootnoteReference"/>
          <w:spacing w:val="0"/>
          <w:w w:val="103"/>
          <w:vertAlign w:val="baseline"/>
          <w:rtl/>
        </w:rPr>
        <w:footnoteRef/>
      </w:r>
      <w:r w:rsidRPr="004069B2">
        <w:rPr>
          <w:w w:val="103"/>
          <w:rtl/>
          <w:lang w:bidi="ar-EG"/>
        </w:rPr>
        <w:t>)</w:t>
      </w:r>
      <w:r w:rsidRPr="004069B2">
        <w:rPr>
          <w:w w:val="103"/>
          <w:rtl/>
        </w:rPr>
        <w:tab/>
      </w:r>
      <w:r>
        <w:rPr>
          <w:rFonts w:hint="cs"/>
          <w:w w:val="103"/>
          <w:rtl/>
          <w:lang w:bidi="ar-EG"/>
        </w:rPr>
        <w:t>الجريدة الرسمية الصادرة في 12 حزيران/يونيه 2003.</w:t>
      </w:r>
    </w:p>
  </w:footnote>
  <w:footnote w:id="31">
    <w:p w:rsidR="00AF077A" w:rsidRPr="00ED2CA7" w:rsidRDefault="00AF077A" w:rsidP="00290339">
      <w:pPr>
        <w:pStyle w:val="FootnoteText"/>
        <w:tabs>
          <w:tab w:val="clear" w:pos="418"/>
          <w:tab w:val="right" w:pos="1195"/>
          <w:tab w:val="left" w:pos="1267"/>
          <w:tab w:val="left" w:pos="1930"/>
          <w:tab w:val="left" w:pos="2592"/>
          <w:tab w:val="left" w:pos="3254"/>
        </w:tabs>
        <w:spacing w:after="80"/>
        <w:ind w:left="1267" w:right="1267" w:hanging="547"/>
        <w:rPr>
          <w:rFonts w:hint="cs"/>
          <w:w w:val="103"/>
          <w:rtl/>
          <w:lang w:bidi="ar-EG"/>
        </w:rPr>
      </w:pPr>
      <w:r>
        <w:rPr>
          <w:rtl/>
        </w:rPr>
        <w:tab/>
      </w:r>
      <w:r w:rsidRPr="00ED2CA7">
        <w:rPr>
          <w:w w:val="103"/>
          <w:rtl/>
          <w:lang w:bidi="ar-EG"/>
        </w:rPr>
        <w:t>(</w:t>
      </w:r>
      <w:r w:rsidRPr="00ED2CA7">
        <w:rPr>
          <w:rStyle w:val="FootnoteReference"/>
          <w:spacing w:val="0"/>
          <w:w w:val="103"/>
          <w:vertAlign w:val="baseline"/>
          <w:rtl/>
        </w:rPr>
        <w:footnoteRef/>
      </w:r>
      <w:r w:rsidRPr="00ED2CA7">
        <w:rPr>
          <w:w w:val="103"/>
          <w:rtl/>
          <w:lang w:bidi="ar-EG"/>
        </w:rPr>
        <w:t>)</w:t>
      </w:r>
      <w:r w:rsidRPr="00ED2CA7">
        <w:rPr>
          <w:w w:val="103"/>
          <w:rtl/>
        </w:rPr>
        <w:tab/>
      </w:r>
      <w:r>
        <w:rPr>
          <w:rFonts w:hint="cs"/>
          <w:w w:val="103"/>
          <w:rtl/>
          <w:lang w:bidi="ar-EG"/>
        </w:rPr>
        <w:t>بالنسبة للإدارة الاتحادية، تعني هذه المصطلحات وظائف الرئيس والمدير العام والمدير ومدير دائرة الملاك.</w:t>
      </w:r>
    </w:p>
  </w:footnote>
  <w:footnote w:id="32">
    <w:p w:rsidR="00AF077A" w:rsidRPr="00075D10" w:rsidRDefault="00AF077A" w:rsidP="00290339">
      <w:pPr>
        <w:pStyle w:val="FootnoteText"/>
        <w:tabs>
          <w:tab w:val="clear" w:pos="418"/>
          <w:tab w:val="right" w:pos="1195"/>
          <w:tab w:val="left" w:pos="1267"/>
          <w:tab w:val="left" w:pos="1930"/>
          <w:tab w:val="left" w:pos="2592"/>
          <w:tab w:val="left" w:pos="3254"/>
        </w:tabs>
        <w:spacing w:after="80"/>
        <w:ind w:left="1267" w:right="1267" w:hanging="547"/>
        <w:rPr>
          <w:rFonts w:hint="cs"/>
          <w:w w:val="103"/>
          <w:rtl/>
          <w:lang w:bidi="ar-EG"/>
        </w:rPr>
      </w:pPr>
      <w:r>
        <w:rPr>
          <w:rtl/>
        </w:rPr>
        <w:tab/>
      </w:r>
      <w:r w:rsidRPr="00075D10">
        <w:rPr>
          <w:w w:val="103"/>
          <w:rtl/>
          <w:lang w:bidi="ar-EG"/>
        </w:rPr>
        <w:t>(</w:t>
      </w:r>
      <w:r w:rsidRPr="00075D10">
        <w:rPr>
          <w:rStyle w:val="FootnoteReference"/>
          <w:spacing w:val="0"/>
          <w:w w:val="103"/>
          <w:vertAlign w:val="baseline"/>
          <w:rtl/>
        </w:rPr>
        <w:footnoteRef/>
      </w:r>
      <w:r w:rsidRPr="00075D10">
        <w:rPr>
          <w:w w:val="103"/>
          <w:rtl/>
          <w:lang w:bidi="ar-EG"/>
        </w:rPr>
        <w:t>)</w:t>
      </w:r>
      <w:r w:rsidRPr="00075D10">
        <w:rPr>
          <w:w w:val="103"/>
          <w:rtl/>
        </w:rPr>
        <w:tab/>
      </w:r>
      <w:r>
        <w:rPr>
          <w:rFonts w:hint="cs"/>
          <w:w w:val="103"/>
          <w:rtl/>
          <w:lang w:bidi="ar-EG"/>
        </w:rPr>
        <w:t xml:space="preserve">قانون الانتخابات البلدية، المنسق في 4 آب/أغسطس 1932، بصيغته المعدلة بواسطة قانون البرلمان </w:t>
      </w:r>
      <w:r>
        <w:rPr>
          <w:rFonts w:hint="cs"/>
          <w:rtl/>
          <w:lang w:bidi="ar-EG"/>
        </w:rPr>
        <w:t>الفلمندي</w:t>
      </w:r>
      <w:r>
        <w:rPr>
          <w:rFonts w:hint="cs"/>
          <w:w w:val="103"/>
          <w:rtl/>
          <w:lang w:bidi="ar-EG"/>
        </w:rPr>
        <w:t xml:space="preserve"> الصادر في 10 شباط/فبراير 2006 المعدل لقانون الانتخابات البلدية وقانون التصويت الآلي وقانون البرلمان </w:t>
      </w:r>
      <w:r>
        <w:rPr>
          <w:rFonts w:hint="cs"/>
          <w:rtl/>
          <w:lang w:bidi="ar-EG"/>
        </w:rPr>
        <w:t>الفلمندي بشأن</w:t>
      </w:r>
      <w:r>
        <w:rPr>
          <w:rFonts w:hint="cs"/>
          <w:w w:val="103"/>
          <w:rtl/>
          <w:lang w:bidi="ar-EG"/>
        </w:rPr>
        <w:t xml:space="preserve"> رصد المصروفات الانتخابية.</w:t>
      </w:r>
    </w:p>
  </w:footnote>
  <w:footnote w:id="33">
    <w:p w:rsidR="00AF077A" w:rsidRPr="000748EC" w:rsidRDefault="00AF077A" w:rsidP="00290339">
      <w:pPr>
        <w:pStyle w:val="FootnoteText"/>
        <w:tabs>
          <w:tab w:val="clear" w:pos="418"/>
          <w:tab w:val="right" w:pos="1195"/>
          <w:tab w:val="left" w:pos="1267"/>
          <w:tab w:val="left" w:pos="1930"/>
          <w:tab w:val="left" w:pos="2592"/>
          <w:tab w:val="left" w:pos="3254"/>
        </w:tabs>
        <w:spacing w:after="80"/>
        <w:ind w:left="1267" w:right="1267" w:hanging="547"/>
        <w:rPr>
          <w:rFonts w:hint="cs"/>
          <w:w w:val="103"/>
          <w:rtl/>
          <w:lang w:val="nl-BE" w:bidi="ar-SY"/>
        </w:rPr>
      </w:pPr>
      <w:r>
        <w:rPr>
          <w:rtl/>
        </w:rPr>
        <w:tab/>
      </w:r>
      <w:r w:rsidRPr="000748EC">
        <w:rPr>
          <w:b/>
          <w:bCs/>
          <w:w w:val="103"/>
          <w:rtl/>
          <w:lang w:bidi="ar-EG"/>
        </w:rPr>
        <w:t>(</w:t>
      </w:r>
      <w:r w:rsidRPr="000748EC">
        <w:rPr>
          <w:rStyle w:val="FootnoteReference"/>
          <w:spacing w:val="0"/>
          <w:w w:val="103"/>
          <w:vertAlign w:val="baseline"/>
          <w:rtl/>
        </w:rPr>
        <w:footnoteRef/>
      </w:r>
      <w:r w:rsidRPr="000748EC">
        <w:rPr>
          <w:b/>
          <w:bCs/>
          <w:w w:val="103"/>
          <w:rtl/>
          <w:lang w:bidi="ar-EG"/>
        </w:rPr>
        <w:t>)</w:t>
      </w:r>
      <w:r w:rsidRPr="000748EC">
        <w:rPr>
          <w:w w:val="103"/>
          <w:rtl/>
        </w:rPr>
        <w:tab/>
      </w:r>
      <w:r>
        <w:rPr>
          <w:rFonts w:hint="cs"/>
          <w:w w:val="103"/>
          <w:rtl/>
        </w:rPr>
        <w:t xml:space="preserve">مقتطفات من مقال في مجلة </w:t>
      </w:r>
      <w:r>
        <w:rPr>
          <w:lang w:val="nl-BE"/>
        </w:rPr>
        <w:t>BinnenBand</w:t>
      </w:r>
      <w:r>
        <w:rPr>
          <w:rFonts w:hint="cs"/>
          <w:rtl/>
          <w:lang w:val="nl-BE" w:bidi="ar-SY"/>
        </w:rPr>
        <w:t xml:space="preserve"> التي ستصدر في كانون الأول/ديسمبر 2006،</w:t>
      </w:r>
      <w:r>
        <w:rPr>
          <w:lang w:val="nl-BE"/>
        </w:rPr>
        <w:t>Verkiezingen van 8 oktober 2006, Wie is verkozen: enkele trends, Katie Heyse</w:t>
      </w:r>
      <w:r>
        <w:rPr>
          <w:rFonts w:hint="cs"/>
          <w:w w:val="103"/>
          <w:rtl/>
          <w:lang w:val="nl-BE" w:bidi="ar-EG"/>
        </w:rPr>
        <w:t>.</w:t>
      </w:r>
    </w:p>
  </w:footnote>
  <w:footnote w:id="34">
    <w:p w:rsidR="00AF077A" w:rsidRPr="005A2ACB" w:rsidRDefault="00AF077A" w:rsidP="00290339">
      <w:pPr>
        <w:pStyle w:val="FootnoteText"/>
        <w:tabs>
          <w:tab w:val="clear" w:pos="418"/>
          <w:tab w:val="right" w:pos="1195"/>
          <w:tab w:val="left" w:pos="1267"/>
          <w:tab w:val="left" w:pos="1930"/>
          <w:tab w:val="left" w:pos="2592"/>
          <w:tab w:val="left" w:pos="3254"/>
        </w:tabs>
        <w:spacing w:after="80"/>
        <w:ind w:left="1267" w:right="1267" w:hanging="547"/>
        <w:rPr>
          <w:rFonts w:hint="cs"/>
          <w:w w:val="103"/>
          <w:rtl/>
          <w:lang w:bidi="ar-EG"/>
        </w:rPr>
      </w:pPr>
      <w:r>
        <w:rPr>
          <w:rtl/>
        </w:rPr>
        <w:tab/>
      </w:r>
      <w:r w:rsidRPr="005A2ACB">
        <w:rPr>
          <w:w w:val="103"/>
          <w:rtl/>
          <w:lang w:bidi="ar-EG"/>
        </w:rPr>
        <w:t>(</w:t>
      </w:r>
      <w:r w:rsidRPr="005A2ACB">
        <w:rPr>
          <w:rStyle w:val="FootnoteReference"/>
          <w:spacing w:val="0"/>
          <w:w w:val="103"/>
          <w:vertAlign w:val="baseline"/>
          <w:rtl/>
        </w:rPr>
        <w:footnoteRef/>
      </w:r>
      <w:r w:rsidRPr="005A2ACB">
        <w:rPr>
          <w:w w:val="103"/>
          <w:rtl/>
          <w:lang w:bidi="ar-EG"/>
        </w:rPr>
        <w:t>)</w:t>
      </w:r>
      <w:r w:rsidRPr="005A2ACB">
        <w:rPr>
          <w:w w:val="103"/>
          <w:rtl/>
        </w:rPr>
        <w:tab/>
      </w:r>
      <w:r>
        <w:rPr>
          <w:rFonts w:hint="cs"/>
          <w:w w:val="103"/>
          <w:rtl/>
          <w:lang w:bidi="ar-EG"/>
        </w:rPr>
        <w:t>الأمر الصادر في 17 شباط/فبراير 2005 الذي يكفل وجودا متساويا للرجل والمرأة في الانتخابات المجتمعية (الجريدة الرسمية الصادرة في 9 آذار/مارس 2005).</w:t>
      </w:r>
    </w:p>
  </w:footnote>
  <w:footnote w:id="35">
    <w:p w:rsidR="00AF077A" w:rsidRPr="0056795A" w:rsidRDefault="00AF077A" w:rsidP="00290339">
      <w:pPr>
        <w:pStyle w:val="FootnoteText"/>
        <w:tabs>
          <w:tab w:val="clear" w:pos="418"/>
          <w:tab w:val="right" w:pos="1195"/>
          <w:tab w:val="left" w:pos="1267"/>
          <w:tab w:val="left" w:pos="1930"/>
          <w:tab w:val="left" w:pos="2592"/>
          <w:tab w:val="left" w:pos="3254"/>
        </w:tabs>
        <w:spacing w:after="80"/>
        <w:ind w:left="1267" w:right="1267" w:hanging="547"/>
        <w:rPr>
          <w:rFonts w:hint="cs"/>
          <w:w w:val="103"/>
          <w:rtl/>
          <w:lang w:bidi="ar-EG"/>
        </w:rPr>
      </w:pPr>
      <w:r>
        <w:rPr>
          <w:rtl/>
        </w:rPr>
        <w:tab/>
      </w:r>
      <w:r w:rsidRPr="0056795A">
        <w:rPr>
          <w:w w:val="103"/>
          <w:rtl/>
          <w:lang w:bidi="ar-EG"/>
        </w:rPr>
        <w:t>(</w:t>
      </w:r>
      <w:r w:rsidRPr="0056795A">
        <w:rPr>
          <w:rStyle w:val="FootnoteReference"/>
          <w:spacing w:val="0"/>
          <w:w w:val="103"/>
          <w:vertAlign w:val="baseline"/>
          <w:rtl/>
        </w:rPr>
        <w:footnoteRef/>
      </w:r>
      <w:r w:rsidRPr="0056795A">
        <w:rPr>
          <w:w w:val="103"/>
          <w:rtl/>
          <w:lang w:bidi="ar-EG"/>
        </w:rPr>
        <w:t>)</w:t>
      </w:r>
      <w:r w:rsidRPr="0056795A">
        <w:rPr>
          <w:w w:val="103"/>
          <w:rtl/>
        </w:rPr>
        <w:tab/>
      </w:r>
      <w:r>
        <w:rPr>
          <w:rFonts w:hint="cs"/>
          <w:w w:val="103"/>
          <w:rtl/>
          <w:lang w:bidi="ar-EG"/>
        </w:rPr>
        <w:t>الأمر الصادر في 27 نيسان/أبريل 1995 بشأن الأخذ بتمثيل متوازن للرجل والمرأة في الأجهزة الاستشارية (الجريدة الرسمية الصادرة في 9 نيسان/أبريل 2002)..</w:t>
      </w:r>
    </w:p>
  </w:footnote>
  <w:footnote w:id="36">
    <w:p w:rsidR="00AF077A" w:rsidRPr="0056795A" w:rsidRDefault="00AF077A" w:rsidP="00290339">
      <w:pPr>
        <w:pStyle w:val="FootnoteText"/>
        <w:tabs>
          <w:tab w:val="clear" w:pos="418"/>
          <w:tab w:val="right" w:pos="1195"/>
          <w:tab w:val="left" w:pos="1267"/>
          <w:tab w:val="left" w:pos="1930"/>
          <w:tab w:val="left" w:pos="2592"/>
          <w:tab w:val="left" w:pos="3254"/>
        </w:tabs>
        <w:spacing w:after="80"/>
        <w:ind w:left="1267" w:right="1267" w:hanging="547"/>
        <w:rPr>
          <w:rFonts w:hint="cs"/>
          <w:w w:val="103"/>
          <w:rtl/>
          <w:lang w:bidi="ar-EG"/>
        </w:rPr>
      </w:pPr>
      <w:r>
        <w:rPr>
          <w:rtl/>
        </w:rPr>
        <w:tab/>
      </w:r>
      <w:r w:rsidRPr="0056795A">
        <w:rPr>
          <w:w w:val="103"/>
          <w:rtl/>
          <w:lang w:bidi="ar-EG"/>
        </w:rPr>
        <w:t>(</w:t>
      </w:r>
      <w:r w:rsidRPr="0056795A">
        <w:rPr>
          <w:rStyle w:val="FootnoteReference"/>
          <w:spacing w:val="0"/>
          <w:w w:val="103"/>
          <w:vertAlign w:val="baseline"/>
          <w:rtl/>
        </w:rPr>
        <w:footnoteRef/>
      </w:r>
      <w:r w:rsidRPr="0056795A">
        <w:rPr>
          <w:w w:val="103"/>
          <w:rtl/>
          <w:lang w:bidi="ar-EG"/>
        </w:rPr>
        <w:t>)</w:t>
      </w:r>
      <w:r w:rsidRPr="0056795A">
        <w:rPr>
          <w:w w:val="103"/>
          <w:rtl/>
        </w:rPr>
        <w:tab/>
      </w:r>
      <w:r>
        <w:rPr>
          <w:rFonts w:hint="cs"/>
          <w:w w:val="103"/>
          <w:rtl/>
          <w:lang w:bidi="ar-EG"/>
        </w:rPr>
        <w:t>مجلس إقليم بروكسل العاصمة، نشرة الاستجوابات والأسئلة الشفوية (2003-2004)، العدد 42.</w:t>
      </w:r>
    </w:p>
  </w:footnote>
  <w:footnote w:id="37">
    <w:p w:rsidR="00AF077A" w:rsidRPr="00CE107F" w:rsidRDefault="00AF077A" w:rsidP="00290339">
      <w:pPr>
        <w:pStyle w:val="FootnoteText"/>
        <w:tabs>
          <w:tab w:val="clear" w:pos="418"/>
          <w:tab w:val="right" w:pos="1195"/>
          <w:tab w:val="left" w:pos="1267"/>
          <w:tab w:val="left" w:pos="1930"/>
          <w:tab w:val="left" w:pos="2592"/>
          <w:tab w:val="left" w:pos="3254"/>
        </w:tabs>
        <w:spacing w:after="80"/>
        <w:ind w:left="1267" w:right="1267" w:hanging="547"/>
        <w:rPr>
          <w:rFonts w:hint="cs"/>
          <w:w w:val="95"/>
          <w:rtl/>
          <w:lang w:val="nl-BE"/>
        </w:rPr>
      </w:pPr>
      <w:r>
        <w:rPr>
          <w:rtl/>
        </w:rPr>
        <w:tab/>
      </w:r>
      <w:r w:rsidRPr="008C2329">
        <w:rPr>
          <w:w w:val="103"/>
          <w:rtl/>
          <w:lang w:bidi="ar-EG"/>
        </w:rPr>
        <w:t>(</w:t>
      </w:r>
      <w:r w:rsidRPr="008C2329">
        <w:rPr>
          <w:rStyle w:val="FootnoteReference"/>
          <w:spacing w:val="0"/>
          <w:w w:val="103"/>
          <w:vertAlign w:val="baseline"/>
          <w:rtl/>
        </w:rPr>
        <w:footnoteRef/>
      </w:r>
      <w:r w:rsidRPr="008C2329">
        <w:rPr>
          <w:w w:val="103"/>
          <w:rtl/>
          <w:lang w:bidi="ar-EG"/>
        </w:rPr>
        <w:t>)</w:t>
      </w:r>
      <w:r w:rsidRPr="008C2329">
        <w:rPr>
          <w:w w:val="103"/>
          <w:rtl/>
        </w:rPr>
        <w:tab/>
      </w:r>
      <w:r w:rsidRPr="00CE107F">
        <w:rPr>
          <w:w w:val="95"/>
          <w:lang w:val="nl-BE"/>
        </w:rPr>
        <w:t>Raad van de Vlaamse Gemeenschapscommissie, Ontwerp van verordening houdende de invoering van een meer evenwichtige vertegenwoordiging van mannen en vrouwen in adviesorganen, Stuk 312 (2004-2005) – Nr.2.</w:t>
      </w:r>
      <w:r w:rsidRPr="00CE107F">
        <w:rPr>
          <w:rFonts w:hint="cs"/>
          <w:w w:val="95"/>
          <w:rtl/>
          <w:lang w:val="nl-BE" w:bidi="ar-EG"/>
        </w:rPr>
        <w:t>.</w:t>
      </w:r>
    </w:p>
  </w:footnote>
  <w:footnote w:id="38">
    <w:p w:rsidR="00AF077A" w:rsidRPr="008C2329" w:rsidRDefault="00AF077A" w:rsidP="00290339">
      <w:pPr>
        <w:pStyle w:val="FootnoteText"/>
        <w:tabs>
          <w:tab w:val="clear" w:pos="418"/>
          <w:tab w:val="right" w:pos="1195"/>
          <w:tab w:val="left" w:pos="1267"/>
          <w:tab w:val="left" w:pos="1930"/>
          <w:tab w:val="left" w:pos="2592"/>
          <w:tab w:val="left" w:pos="3254"/>
        </w:tabs>
        <w:spacing w:after="80"/>
        <w:ind w:left="1267" w:right="1267" w:hanging="547"/>
        <w:rPr>
          <w:rFonts w:hint="cs"/>
          <w:w w:val="103"/>
          <w:rtl/>
          <w:lang w:bidi="ar-EG"/>
        </w:rPr>
      </w:pPr>
      <w:r>
        <w:rPr>
          <w:rtl/>
        </w:rPr>
        <w:tab/>
      </w:r>
      <w:r w:rsidRPr="008C2329">
        <w:rPr>
          <w:w w:val="103"/>
          <w:rtl/>
          <w:lang w:bidi="ar-EG"/>
        </w:rPr>
        <w:t>(</w:t>
      </w:r>
      <w:r w:rsidRPr="008C2329">
        <w:rPr>
          <w:rStyle w:val="FootnoteReference"/>
          <w:spacing w:val="0"/>
          <w:w w:val="103"/>
          <w:vertAlign w:val="baseline"/>
          <w:rtl/>
        </w:rPr>
        <w:footnoteRef/>
      </w:r>
      <w:r w:rsidRPr="008C2329">
        <w:rPr>
          <w:w w:val="103"/>
          <w:rtl/>
          <w:lang w:bidi="ar-EG"/>
        </w:rPr>
        <w:t>)</w:t>
      </w:r>
      <w:r w:rsidRPr="008C2329">
        <w:rPr>
          <w:w w:val="103"/>
          <w:rtl/>
        </w:rPr>
        <w:tab/>
      </w:r>
      <w:r>
        <w:rPr>
          <w:lang w:val="nl-BE"/>
        </w:rPr>
        <w:t>Collegebesluit nr. 05/263, 19 mei 2005</w:t>
      </w:r>
      <w:r>
        <w:rPr>
          <w:rFonts w:hint="cs"/>
          <w:w w:val="103"/>
          <w:rtl/>
          <w:lang w:bidi="ar-EG"/>
        </w:rPr>
        <w:t>.</w:t>
      </w:r>
    </w:p>
  </w:footnote>
  <w:footnote w:id="39">
    <w:p w:rsidR="00AF077A" w:rsidRPr="00FA5765" w:rsidRDefault="00AF077A" w:rsidP="00290339">
      <w:pPr>
        <w:pStyle w:val="FootnoteText"/>
        <w:tabs>
          <w:tab w:val="clear" w:pos="418"/>
          <w:tab w:val="right" w:pos="1195"/>
          <w:tab w:val="left" w:pos="1267"/>
          <w:tab w:val="left" w:pos="1930"/>
          <w:tab w:val="left" w:pos="2592"/>
          <w:tab w:val="left" w:pos="3254"/>
        </w:tabs>
        <w:spacing w:after="80"/>
        <w:ind w:left="1267" w:right="1267" w:hanging="547"/>
        <w:rPr>
          <w:rFonts w:hint="cs"/>
          <w:w w:val="103"/>
          <w:rtl/>
          <w:lang w:bidi="ar-EG"/>
        </w:rPr>
      </w:pPr>
      <w:r>
        <w:rPr>
          <w:rtl/>
        </w:rPr>
        <w:tab/>
      </w:r>
      <w:r w:rsidRPr="00FA5765">
        <w:rPr>
          <w:w w:val="103"/>
          <w:rtl/>
          <w:lang w:bidi="ar-EG"/>
        </w:rPr>
        <w:t>(</w:t>
      </w:r>
      <w:r w:rsidRPr="00FA5765">
        <w:rPr>
          <w:rStyle w:val="FootnoteReference"/>
          <w:spacing w:val="0"/>
          <w:w w:val="103"/>
          <w:vertAlign w:val="baseline"/>
          <w:rtl/>
        </w:rPr>
        <w:footnoteRef/>
      </w:r>
      <w:r w:rsidRPr="00FA5765">
        <w:rPr>
          <w:w w:val="103"/>
          <w:rtl/>
          <w:lang w:bidi="ar-EG"/>
        </w:rPr>
        <w:t>)</w:t>
      </w:r>
      <w:r w:rsidRPr="00FA5765">
        <w:rPr>
          <w:w w:val="103"/>
          <w:rtl/>
        </w:rPr>
        <w:tab/>
      </w:r>
      <w:r>
        <w:rPr>
          <w:rFonts w:hint="eastAsia"/>
          <w:w w:val="103"/>
          <w:rtl/>
          <w:lang w:bidi="ar-EG"/>
        </w:rPr>
        <w:t xml:space="preserve">”سياسة للموظفين محورها المساواة بين المرأة والرجل في القطاع العام. </w:t>
      </w:r>
      <w:r>
        <w:rPr>
          <w:rFonts w:hint="cs"/>
          <w:w w:val="103"/>
          <w:rtl/>
          <w:lang w:bidi="ar-EG"/>
        </w:rPr>
        <w:t>تدريب يستهدف أعضاء دوائر الموظفين بالإدارات الإقليمية في منطقة بروكسل العاصمة</w:t>
      </w:r>
      <w:r>
        <w:rPr>
          <w:rFonts w:hint="eastAsia"/>
          <w:w w:val="103"/>
          <w:rtl/>
          <w:lang w:bidi="ar-EG"/>
        </w:rPr>
        <w:t xml:space="preserve">“، </w:t>
      </w:r>
      <w:r>
        <w:rPr>
          <w:w w:val="103"/>
          <w:lang w:bidi="ar-EG"/>
        </w:rPr>
        <w:t>GSW-CEFESOC</w:t>
      </w:r>
      <w:r>
        <w:rPr>
          <w:rFonts w:hint="cs"/>
          <w:w w:val="103"/>
          <w:rtl/>
          <w:lang w:bidi="ar-EG"/>
        </w:rPr>
        <w:t>، تشرين الأول/أكتوبر 2003.</w:t>
      </w:r>
    </w:p>
  </w:footnote>
  <w:footnote w:id="40">
    <w:p w:rsidR="00AF077A" w:rsidRDefault="00AF077A" w:rsidP="00290339">
      <w:pPr>
        <w:pStyle w:val="FootnoteText"/>
        <w:tabs>
          <w:tab w:val="clear" w:pos="418"/>
          <w:tab w:val="right" w:pos="1195"/>
          <w:tab w:val="left" w:pos="1267"/>
          <w:tab w:val="left" w:pos="1930"/>
          <w:tab w:val="left" w:pos="2592"/>
          <w:tab w:val="left" w:pos="3254"/>
        </w:tabs>
        <w:spacing w:after="80"/>
        <w:ind w:left="1267" w:right="1267" w:hanging="547"/>
        <w:rPr>
          <w:rFonts w:hint="cs"/>
          <w:w w:val="103"/>
          <w:rtl/>
          <w:lang w:bidi="ar-EG"/>
        </w:rPr>
      </w:pPr>
      <w:r>
        <w:rPr>
          <w:rtl/>
        </w:rPr>
        <w:tab/>
      </w:r>
      <w:r w:rsidRPr="008D0A09">
        <w:rPr>
          <w:w w:val="103"/>
          <w:rtl/>
        </w:rPr>
        <w:t>(</w:t>
      </w:r>
      <w:r w:rsidRPr="008D0A09">
        <w:rPr>
          <w:rStyle w:val="FootnoteReference"/>
          <w:spacing w:val="0"/>
          <w:w w:val="103"/>
          <w:vertAlign w:val="baseline"/>
          <w:rtl/>
        </w:rPr>
        <w:footnoteRef/>
      </w:r>
      <w:r w:rsidRPr="008D0A09">
        <w:rPr>
          <w:w w:val="103"/>
          <w:rtl/>
        </w:rPr>
        <w:t>)</w:t>
      </w:r>
      <w:r w:rsidRPr="008D0A09">
        <w:rPr>
          <w:w w:val="103"/>
          <w:rtl/>
        </w:rPr>
        <w:tab/>
      </w:r>
      <w:r>
        <w:rPr>
          <w:rFonts w:hint="cs"/>
          <w:w w:val="103"/>
          <w:rtl/>
          <w:lang w:bidi="ar-EG"/>
        </w:rPr>
        <w:t xml:space="preserve">جداول مستخرجة من </w:t>
      </w:r>
      <w:r>
        <w:rPr>
          <w:rFonts w:hint="eastAsia"/>
          <w:w w:val="103"/>
          <w:rtl/>
          <w:lang w:bidi="ar-EG"/>
        </w:rPr>
        <w:t>”</w:t>
      </w:r>
      <w:r>
        <w:rPr>
          <w:rFonts w:hint="cs"/>
          <w:w w:val="103"/>
          <w:rtl/>
          <w:lang w:bidi="ar-EG"/>
        </w:rPr>
        <w:t>كتيب النساء والرجال في بلجيكا. إحصاءات ومؤشرات حسب الجنس</w:t>
      </w:r>
      <w:r>
        <w:rPr>
          <w:rFonts w:hint="eastAsia"/>
          <w:w w:val="103"/>
          <w:rtl/>
          <w:lang w:bidi="ar-EG"/>
        </w:rPr>
        <w:t>“</w:t>
      </w:r>
      <w:r>
        <w:rPr>
          <w:rFonts w:hint="cs"/>
          <w:w w:val="103"/>
          <w:rtl/>
          <w:lang w:bidi="ar-EG"/>
        </w:rPr>
        <w:t>، طبعة عام 2006، من منشورات المعهد المعني بالمساواة بين المرأة والرجل، ص 78 من النص الفرنسي.</w:t>
      </w:r>
    </w:p>
    <w:p w:rsidR="00AF077A" w:rsidRPr="008D0A09" w:rsidRDefault="00AF077A" w:rsidP="00290339">
      <w:pPr>
        <w:pStyle w:val="FootnoteText"/>
        <w:tabs>
          <w:tab w:val="clear" w:pos="418"/>
          <w:tab w:val="right" w:pos="1195"/>
          <w:tab w:val="left" w:pos="1267"/>
          <w:tab w:val="left" w:pos="1930"/>
          <w:tab w:val="left" w:pos="2592"/>
          <w:tab w:val="left" w:pos="3254"/>
        </w:tabs>
        <w:spacing w:after="80"/>
        <w:ind w:left="1267" w:right="1267" w:hanging="547"/>
        <w:rPr>
          <w:rFonts w:hint="cs"/>
          <w:w w:val="103"/>
          <w:rtl/>
          <w:lang w:bidi="ar-EG"/>
        </w:rPr>
      </w:pPr>
      <w:r>
        <w:rPr>
          <w:rFonts w:hint="cs"/>
          <w:w w:val="103"/>
          <w:rtl/>
          <w:lang w:bidi="ar-EG"/>
        </w:rPr>
        <w:tab/>
      </w:r>
      <w:r>
        <w:rPr>
          <w:rFonts w:hint="cs"/>
          <w:w w:val="103"/>
          <w:rtl/>
          <w:lang w:bidi="ar-EG"/>
        </w:rPr>
        <w:tab/>
        <w:t>قليل التأهيل = تعليم ابتدائي، وثانوي منخفض أو عدم الحصول على الدبلوم؛ متوسط التأهيل = ثانوي عال؛ عالي التأهيل = تعليم عال.</w:t>
      </w:r>
    </w:p>
  </w:footnote>
  <w:footnote w:id="41">
    <w:p w:rsidR="00AF077A" w:rsidRPr="0028005E" w:rsidRDefault="00AF077A" w:rsidP="00290339">
      <w:pPr>
        <w:pStyle w:val="FootnoteText"/>
        <w:tabs>
          <w:tab w:val="clear" w:pos="418"/>
          <w:tab w:val="right" w:pos="1195"/>
          <w:tab w:val="left" w:pos="1267"/>
          <w:tab w:val="left" w:pos="1930"/>
          <w:tab w:val="left" w:pos="2592"/>
          <w:tab w:val="left" w:pos="3254"/>
        </w:tabs>
        <w:spacing w:after="80"/>
        <w:ind w:left="1267" w:right="1267" w:hanging="547"/>
        <w:rPr>
          <w:rFonts w:hint="cs"/>
          <w:w w:val="103"/>
          <w:rtl/>
          <w:lang w:bidi="ar-EG"/>
        </w:rPr>
      </w:pPr>
      <w:r>
        <w:rPr>
          <w:rtl/>
        </w:rPr>
        <w:tab/>
      </w:r>
      <w:r w:rsidRPr="0028005E">
        <w:rPr>
          <w:w w:val="103"/>
          <w:rtl/>
        </w:rPr>
        <w:t>(</w:t>
      </w:r>
      <w:r w:rsidRPr="0028005E">
        <w:rPr>
          <w:rStyle w:val="FootnoteReference"/>
          <w:spacing w:val="0"/>
          <w:w w:val="103"/>
          <w:vertAlign w:val="baseline"/>
          <w:rtl/>
        </w:rPr>
        <w:footnoteRef/>
      </w:r>
      <w:r w:rsidRPr="0028005E">
        <w:rPr>
          <w:w w:val="103"/>
          <w:rtl/>
        </w:rPr>
        <w:t>)</w:t>
      </w:r>
      <w:r w:rsidRPr="0028005E">
        <w:rPr>
          <w:w w:val="103"/>
          <w:rtl/>
        </w:rPr>
        <w:tab/>
      </w:r>
      <w:r>
        <w:rPr>
          <w:rFonts w:hint="cs"/>
          <w:w w:val="103"/>
          <w:rtl/>
          <w:lang w:bidi="ar-EG"/>
        </w:rPr>
        <w:t>فرانسواز كلود (الحصيفات الاشتراكيات)؛ فابيين دوربولو (سيرة أنثوية)؛ فرانسوار هيك (الجامعة النسائية)؛ رولان مايرل (شبكة الرجال من أنصار حقوق المرأة - حملة الشريط الأبيض)؛ نادين بلاتو (صوفيا، الشبكة البلجيكية لدراسات حقوق المرأة)؛ آن تونغليه (الرابطة 29، شارع بلانش، الحركات</w:t>
      </w:r>
      <w:r>
        <w:rPr>
          <w:rFonts w:hint="eastAsia"/>
          <w:w w:val="103"/>
          <w:rtl/>
          <w:lang w:bidi="ar-EG"/>
        </w:rPr>
        <w:t> </w:t>
      </w:r>
      <w:r>
        <w:rPr>
          <w:rFonts w:hint="cs"/>
          <w:w w:val="103"/>
          <w:rtl/>
          <w:lang w:bidi="ar-EG"/>
        </w:rPr>
        <w:t>النسائية).</w:t>
      </w:r>
    </w:p>
  </w:footnote>
  <w:footnote w:id="42">
    <w:p w:rsidR="00AF077A" w:rsidRPr="005A4CB7" w:rsidRDefault="00AF077A" w:rsidP="00290339">
      <w:pPr>
        <w:pStyle w:val="FootnoteText"/>
        <w:tabs>
          <w:tab w:val="clear" w:pos="418"/>
          <w:tab w:val="right" w:pos="1195"/>
          <w:tab w:val="left" w:pos="1267"/>
          <w:tab w:val="left" w:pos="1930"/>
          <w:tab w:val="left" w:pos="2592"/>
          <w:tab w:val="left" w:pos="3254"/>
        </w:tabs>
        <w:spacing w:after="80"/>
        <w:ind w:left="1267" w:right="1267" w:hanging="547"/>
        <w:rPr>
          <w:rFonts w:hint="cs"/>
          <w:w w:val="103"/>
          <w:rtl/>
          <w:lang w:bidi="ar-EG"/>
        </w:rPr>
      </w:pPr>
      <w:r>
        <w:rPr>
          <w:rtl/>
        </w:rPr>
        <w:tab/>
      </w:r>
      <w:r w:rsidRPr="005A4CB7">
        <w:rPr>
          <w:w w:val="103"/>
          <w:rtl/>
          <w:lang w:bidi="ar-EG"/>
        </w:rPr>
        <w:t>(</w:t>
      </w:r>
      <w:r w:rsidRPr="005A4CB7">
        <w:rPr>
          <w:rStyle w:val="FootnoteReference"/>
          <w:spacing w:val="0"/>
          <w:w w:val="103"/>
          <w:vertAlign w:val="baseline"/>
          <w:rtl/>
        </w:rPr>
        <w:footnoteRef/>
      </w:r>
      <w:r w:rsidRPr="005A4CB7">
        <w:rPr>
          <w:w w:val="103"/>
          <w:rtl/>
          <w:lang w:bidi="ar-EG"/>
        </w:rPr>
        <w:t>)</w:t>
      </w:r>
      <w:r w:rsidRPr="005A4CB7">
        <w:rPr>
          <w:w w:val="103"/>
          <w:rtl/>
        </w:rPr>
        <w:tab/>
      </w:r>
      <w:r>
        <w:rPr>
          <w:rFonts w:hint="cs"/>
          <w:w w:val="103"/>
          <w:rtl/>
          <w:lang w:bidi="ar-EG"/>
        </w:rPr>
        <w:t>انظر البرنامج في المرفق 3.</w:t>
      </w:r>
    </w:p>
  </w:footnote>
  <w:footnote w:id="43">
    <w:p w:rsidR="00AF077A" w:rsidRPr="005A4CB7" w:rsidRDefault="00AF077A" w:rsidP="00290339">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5A4CB7">
        <w:rPr>
          <w:w w:val="103"/>
          <w:rtl/>
          <w:lang w:bidi="ar-EG"/>
        </w:rPr>
        <w:t>(</w:t>
      </w:r>
      <w:r w:rsidRPr="005A4CB7">
        <w:rPr>
          <w:rStyle w:val="FootnoteReference"/>
          <w:spacing w:val="0"/>
          <w:w w:val="103"/>
          <w:vertAlign w:val="baseline"/>
          <w:rtl/>
        </w:rPr>
        <w:footnoteRef/>
      </w:r>
      <w:r w:rsidRPr="005A4CB7">
        <w:rPr>
          <w:w w:val="103"/>
          <w:rtl/>
          <w:lang w:bidi="ar-EG"/>
        </w:rPr>
        <w:t>)</w:t>
      </w:r>
      <w:r w:rsidRPr="005A4CB7">
        <w:rPr>
          <w:w w:val="103"/>
          <w:rtl/>
        </w:rPr>
        <w:tab/>
      </w:r>
      <w:r>
        <w:rPr>
          <w:rFonts w:hint="cs"/>
          <w:w w:val="103"/>
          <w:rtl/>
          <w:lang w:bidi="ar-EG"/>
        </w:rPr>
        <w:t xml:space="preserve">راجع تقرير الأنشطة لعام 2004 الصادر عن إدارة تكافؤ الفرص، ص 20-21 من النص الفرنسي يمكن تنـزيله من الموقع </w:t>
      </w:r>
      <w:r>
        <w:rPr>
          <w:w w:val="103"/>
          <w:lang w:bidi="ar-EG"/>
        </w:rPr>
        <w:t>http://www.egalite.cfwb.be</w:t>
      </w:r>
      <w:r>
        <w:rPr>
          <w:rFonts w:hint="cs"/>
          <w:w w:val="103"/>
          <w:rtl/>
          <w:lang w:bidi="ar-EG"/>
        </w:rPr>
        <w:t xml:space="preserve">، تحت عنوان </w:t>
      </w:r>
      <w:r>
        <w:rPr>
          <w:rFonts w:hint="eastAsia"/>
          <w:w w:val="103"/>
          <w:rtl/>
          <w:lang w:bidi="ar-EG"/>
        </w:rPr>
        <w:t>”</w:t>
      </w:r>
      <w:r>
        <w:rPr>
          <w:rFonts w:hint="cs"/>
          <w:w w:val="103"/>
          <w:rtl/>
          <w:lang w:bidi="ar-EG"/>
        </w:rPr>
        <w:t>أنشطة وتقارير</w:t>
      </w:r>
      <w:r>
        <w:rPr>
          <w:rFonts w:hint="eastAsia"/>
          <w:w w:val="103"/>
          <w:rtl/>
          <w:lang w:bidi="ar-EG"/>
        </w:rPr>
        <w:t>“</w:t>
      </w:r>
      <w:r>
        <w:rPr>
          <w:rFonts w:hint="cs"/>
          <w:w w:val="103"/>
          <w:rtl/>
          <w:lang w:bidi="ar-EG"/>
        </w:rPr>
        <w:t>.</w:t>
      </w:r>
    </w:p>
  </w:footnote>
  <w:footnote w:id="44">
    <w:p w:rsidR="00AF077A" w:rsidRPr="00334A16" w:rsidRDefault="00AF077A" w:rsidP="00290339">
      <w:pPr>
        <w:pStyle w:val="FootnoteText"/>
        <w:tabs>
          <w:tab w:val="clear" w:pos="418"/>
          <w:tab w:val="right" w:pos="1195"/>
          <w:tab w:val="left" w:pos="1267"/>
          <w:tab w:val="left" w:pos="1930"/>
          <w:tab w:val="left" w:pos="2592"/>
          <w:tab w:val="left" w:pos="3254"/>
        </w:tabs>
        <w:spacing w:after="80"/>
        <w:ind w:left="1267" w:right="1267" w:hanging="547"/>
        <w:rPr>
          <w:rFonts w:hint="cs"/>
          <w:w w:val="103"/>
          <w:rtl/>
          <w:lang w:bidi="ar-EG"/>
        </w:rPr>
      </w:pPr>
      <w:r>
        <w:rPr>
          <w:rtl/>
        </w:rPr>
        <w:tab/>
      </w:r>
      <w:r w:rsidRPr="00334A16">
        <w:rPr>
          <w:w w:val="103"/>
          <w:rtl/>
          <w:lang w:bidi="ar-EG"/>
        </w:rPr>
        <w:t>(</w:t>
      </w:r>
      <w:r w:rsidRPr="00334A16">
        <w:rPr>
          <w:rStyle w:val="FootnoteReference"/>
          <w:spacing w:val="0"/>
          <w:w w:val="103"/>
          <w:vertAlign w:val="baseline"/>
          <w:rtl/>
        </w:rPr>
        <w:footnoteRef/>
      </w:r>
      <w:r w:rsidRPr="00334A16">
        <w:rPr>
          <w:w w:val="103"/>
          <w:rtl/>
          <w:lang w:bidi="ar-EG"/>
        </w:rPr>
        <w:t>)</w:t>
      </w:r>
      <w:r w:rsidRPr="00334A16">
        <w:rPr>
          <w:w w:val="103"/>
          <w:rtl/>
        </w:rPr>
        <w:tab/>
      </w:r>
      <w:r>
        <w:rPr>
          <w:rFonts w:hint="cs"/>
          <w:w w:val="103"/>
          <w:rtl/>
          <w:lang w:bidi="ar-EG"/>
        </w:rPr>
        <w:t>وبالتعاون مع لجنة التعليم في مجلس المرأة الناطقة بالفرنسية في بلجيكا.</w:t>
      </w:r>
    </w:p>
  </w:footnote>
  <w:footnote w:id="45">
    <w:p w:rsidR="00AF077A" w:rsidRPr="00F35034" w:rsidRDefault="00AF077A" w:rsidP="00290339">
      <w:pPr>
        <w:pStyle w:val="FootnoteText"/>
        <w:tabs>
          <w:tab w:val="clear" w:pos="418"/>
          <w:tab w:val="right" w:pos="1195"/>
          <w:tab w:val="left" w:pos="1267"/>
          <w:tab w:val="left" w:pos="1930"/>
          <w:tab w:val="left" w:pos="2592"/>
          <w:tab w:val="left" w:pos="3254"/>
        </w:tabs>
        <w:spacing w:after="80"/>
        <w:ind w:left="1267" w:right="1267" w:hanging="547"/>
        <w:rPr>
          <w:rFonts w:hint="cs"/>
          <w:w w:val="103"/>
          <w:rtl/>
          <w:lang w:bidi="ar-EG"/>
        </w:rPr>
      </w:pPr>
      <w:r>
        <w:rPr>
          <w:rtl/>
        </w:rPr>
        <w:tab/>
      </w:r>
      <w:r w:rsidRPr="00F35034">
        <w:rPr>
          <w:w w:val="103"/>
          <w:rtl/>
          <w:lang w:bidi="ar-EG"/>
        </w:rPr>
        <w:t>(</w:t>
      </w:r>
      <w:r w:rsidRPr="00F35034">
        <w:rPr>
          <w:rStyle w:val="FootnoteReference"/>
          <w:spacing w:val="0"/>
          <w:w w:val="103"/>
          <w:vertAlign w:val="baseline"/>
          <w:rtl/>
        </w:rPr>
        <w:footnoteRef/>
      </w:r>
      <w:r w:rsidRPr="00F35034">
        <w:rPr>
          <w:w w:val="103"/>
          <w:rtl/>
          <w:lang w:bidi="ar-EG"/>
        </w:rPr>
        <w:t>)</w:t>
      </w:r>
      <w:r w:rsidRPr="00F35034">
        <w:rPr>
          <w:w w:val="103"/>
          <w:rtl/>
        </w:rPr>
        <w:tab/>
      </w:r>
      <w:r>
        <w:rPr>
          <w:rFonts w:hint="cs"/>
          <w:w w:val="103"/>
          <w:rtl/>
          <w:lang w:bidi="ar-EG"/>
        </w:rPr>
        <w:t xml:space="preserve">راجع دوشان بيغان وكلودين كويبنس وكاترين لوسيه، وصمويل نداميه وغودليف ماسوي - ستروبانت، وأندريه ساس، ودانييل بييت، شباط/فبراير 2006: يمكن تنـزيله من الموقع: </w:t>
      </w:r>
      <w:hyperlink r:id="rId2" w:history="1">
        <w:r w:rsidRPr="006D5CDD">
          <w:rPr>
            <w:rStyle w:val="Hyperlink"/>
            <w:lang w:bidi="ar-EG"/>
          </w:rPr>
          <w:t>http://www.ulbac.be/esp/promes</w:t>
        </w:r>
      </w:hyperlink>
      <w:r>
        <w:rPr>
          <w:rFonts w:hint="cs"/>
          <w:w w:val="103"/>
          <w:rtl/>
          <w:lang w:bidi="ar-EG"/>
        </w:rPr>
        <w:t>.</w:t>
      </w:r>
    </w:p>
  </w:footnote>
  <w:footnote w:id="46">
    <w:p w:rsidR="00AF077A" w:rsidRPr="00367E41" w:rsidRDefault="00AF077A" w:rsidP="0073566C">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367E41">
        <w:rPr>
          <w:w w:val="103"/>
          <w:rtl/>
        </w:rPr>
        <w:t>(</w:t>
      </w:r>
      <w:r w:rsidRPr="00367E41">
        <w:rPr>
          <w:rStyle w:val="FootnoteReference"/>
          <w:spacing w:val="0"/>
          <w:w w:val="103"/>
          <w:vertAlign w:val="baseline"/>
          <w:rtl/>
        </w:rPr>
        <w:footnoteRef/>
      </w:r>
      <w:r w:rsidRPr="00367E41">
        <w:rPr>
          <w:w w:val="103"/>
          <w:rtl/>
        </w:rPr>
        <w:t>)</w:t>
      </w:r>
      <w:r w:rsidRPr="00367E41">
        <w:rPr>
          <w:w w:val="103"/>
          <w:rtl/>
        </w:rPr>
        <w:tab/>
      </w:r>
      <w:r>
        <w:rPr>
          <w:rFonts w:hint="cs"/>
          <w:w w:val="103"/>
          <w:rtl/>
        </w:rPr>
        <w:t>يتناول تقرير عام 2005 عن حالة الحريات الأساسية في بلجيكا، الذي وضعته مجموعة من الخبراء على المستوى الأوروبي، هذه المسألة من زاوية حرية الفكر والمعتقد والدين، وكذلك من زاوية الأمن العام. ولا يعتبر التقرير هذه المسألة تمييزا من الناحية الجنسانية، ونادرا ما تحلل المسألة بهذه الكيفية، بل تحلل من زاوية التمييز الإثني أو الديني.</w:t>
      </w:r>
    </w:p>
  </w:footnote>
  <w:footnote w:id="47">
    <w:p w:rsidR="00AF077A" w:rsidRDefault="00AF077A" w:rsidP="0073566C">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367E41">
        <w:rPr>
          <w:w w:val="103"/>
          <w:rtl/>
        </w:rPr>
        <w:t>(</w:t>
      </w:r>
      <w:r w:rsidRPr="00367E41">
        <w:rPr>
          <w:rStyle w:val="FootnoteReference"/>
          <w:spacing w:val="0"/>
          <w:w w:val="103"/>
          <w:vertAlign w:val="baseline"/>
          <w:rtl/>
        </w:rPr>
        <w:footnoteRef/>
      </w:r>
      <w:r w:rsidRPr="00367E41">
        <w:rPr>
          <w:w w:val="103"/>
          <w:rtl/>
        </w:rPr>
        <w:t>)</w:t>
      </w:r>
      <w:r w:rsidRPr="00367E41">
        <w:rPr>
          <w:w w:val="103"/>
          <w:rtl/>
        </w:rPr>
        <w:tab/>
      </w:r>
      <w:r>
        <w:rPr>
          <w:rFonts w:hint="cs"/>
          <w:w w:val="103"/>
          <w:rtl/>
        </w:rPr>
        <w:t xml:space="preserve">إيزابيل لومال، ’المدرسة تخلع الحجاب‘، وردت في </w:t>
      </w:r>
      <w:r>
        <w:rPr>
          <w:w w:val="103"/>
        </w:rPr>
        <w:t>Swardado</w:t>
      </w:r>
      <w:r>
        <w:rPr>
          <w:rFonts w:hint="cs"/>
          <w:w w:val="103"/>
          <w:rtl/>
        </w:rPr>
        <w:t>، 13 أيلول/سبتمبر 2005.</w:t>
      </w:r>
    </w:p>
    <w:p w:rsidR="00AF077A" w:rsidRPr="00B911B8" w:rsidRDefault="00AF077A" w:rsidP="0073566C">
      <w:pPr>
        <w:pStyle w:val="FootnoteText"/>
        <w:tabs>
          <w:tab w:val="clear" w:pos="418"/>
          <w:tab w:val="right" w:pos="1195"/>
          <w:tab w:val="left" w:pos="1267"/>
          <w:tab w:val="left" w:pos="1656"/>
          <w:tab w:val="left" w:pos="2088"/>
        </w:tabs>
        <w:spacing w:after="80"/>
        <w:ind w:left="1267" w:right="1267" w:hanging="547"/>
        <w:rPr>
          <w:rFonts w:hint="cs"/>
          <w:w w:val="103"/>
          <w:rtl/>
        </w:rPr>
      </w:pPr>
      <w:r>
        <w:rPr>
          <w:rFonts w:hint="cs"/>
          <w:w w:val="103"/>
          <w:rtl/>
        </w:rPr>
        <w:tab/>
      </w:r>
      <w:r>
        <w:rPr>
          <w:rFonts w:hint="cs"/>
          <w:w w:val="103"/>
          <w:rtl/>
        </w:rPr>
        <w:tab/>
      </w:r>
      <w:hyperlink r:id="rId3" w:history="1">
        <w:r w:rsidRPr="00941F41">
          <w:rPr>
            <w:rStyle w:val="Hyperlink"/>
          </w:rPr>
          <w:t>http://www.swardado.be/rubriques/keskia/page5548.361152.shtml</w:t>
        </w:r>
      </w:hyperlink>
      <w:r>
        <w:rPr>
          <w:rFonts w:hint="cs"/>
          <w:w w:val="103"/>
          <w:rtl/>
        </w:rPr>
        <w:t xml:space="preserve">. </w:t>
      </w:r>
    </w:p>
  </w:footnote>
  <w:footnote w:id="48">
    <w:p w:rsidR="00AF077A" w:rsidRPr="00EC0C1F" w:rsidRDefault="00AF077A" w:rsidP="0073566C">
      <w:pPr>
        <w:pStyle w:val="FootnoteText"/>
        <w:tabs>
          <w:tab w:val="clear" w:pos="418"/>
          <w:tab w:val="right" w:pos="1195"/>
          <w:tab w:val="left" w:pos="1267"/>
          <w:tab w:val="left" w:pos="1656"/>
          <w:tab w:val="left" w:pos="2088"/>
        </w:tabs>
        <w:spacing w:after="80"/>
        <w:ind w:left="1267" w:right="1267" w:hanging="547"/>
        <w:rPr>
          <w:rFonts w:hint="eastAsia"/>
          <w:w w:val="103"/>
          <w:rtl/>
        </w:rPr>
      </w:pPr>
      <w:r>
        <w:rPr>
          <w:rtl/>
        </w:rPr>
        <w:tab/>
      </w:r>
      <w:r w:rsidRPr="00EC0C1F">
        <w:rPr>
          <w:i/>
          <w:iCs/>
          <w:w w:val="103"/>
          <w:rtl/>
        </w:rPr>
        <w:t>(</w:t>
      </w:r>
      <w:r w:rsidRPr="00EC0C1F">
        <w:rPr>
          <w:rStyle w:val="FootnoteReference"/>
          <w:i/>
          <w:iCs/>
          <w:spacing w:val="0"/>
          <w:w w:val="103"/>
          <w:vertAlign w:val="baseline"/>
          <w:rtl/>
        </w:rPr>
        <w:footnoteRef/>
      </w:r>
      <w:r w:rsidRPr="00EC0C1F">
        <w:rPr>
          <w:i/>
          <w:iCs/>
          <w:w w:val="103"/>
          <w:rtl/>
        </w:rPr>
        <w:t>)</w:t>
      </w:r>
      <w:r w:rsidRPr="00EC0C1F">
        <w:rPr>
          <w:w w:val="103"/>
          <w:rtl/>
        </w:rPr>
        <w:tab/>
      </w:r>
      <w:r>
        <w:rPr>
          <w:rFonts w:hint="cs"/>
          <w:w w:val="103"/>
          <w:rtl/>
        </w:rPr>
        <w:t xml:space="preserve">المصدر: الدائرة العامة الاتحادية للاقتصاد، الإدارة العامة للإحصاءات والمعلومات الاقتصادية، مؤسسات التدريب عن طريق العمل (تجميع المعهد الاجتماعي والاقتصادي في جامعة ليمبورغ)، رسم بياني مستمد من الكتيب المعنون </w:t>
      </w:r>
      <w:r>
        <w:rPr>
          <w:rFonts w:hint="eastAsia"/>
          <w:w w:val="103"/>
          <w:rtl/>
        </w:rPr>
        <w:t xml:space="preserve">”النساء والرجال في بلجيكا. </w:t>
      </w:r>
      <w:r>
        <w:rPr>
          <w:rFonts w:hint="cs"/>
          <w:w w:val="103"/>
          <w:rtl/>
        </w:rPr>
        <w:t>إحصاءات ومؤشرات جنسانية</w:t>
      </w:r>
      <w:r>
        <w:rPr>
          <w:rFonts w:hint="eastAsia"/>
          <w:w w:val="103"/>
          <w:rtl/>
        </w:rPr>
        <w:t>“، طبعة عام 2006، من منشورات المعهد المعني بالمساواة بين المرأة والرجل، ص 32 من النص الفرنسي.</w:t>
      </w:r>
    </w:p>
  </w:footnote>
  <w:footnote w:id="49">
    <w:p w:rsidR="00AF077A" w:rsidRPr="001D50C6" w:rsidRDefault="00AF077A" w:rsidP="0073566C">
      <w:pPr>
        <w:pStyle w:val="FootnoteText"/>
        <w:tabs>
          <w:tab w:val="clear" w:pos="418"/>
          <w:tab w:val="right" w:pos="1195"/>
          <w:tab w:val="left" w:pos="1267"/>
          <w:tab w:val="left" w:pos="1656"/>
          <w:tab w:val="left" w:pos="2088"/>
        </w:tabs>
        <w:spacing w:after="80"/>
        <w:ind w:left="1267" w:right="1267" w:hanging="547"/>
        <w:rPr>
          <w:rFonts w:hint="eastAsia"/>
          <w:w w:val="103"/>
          <w:rtl/>
        </w:rPr>
      </w:pPr>
      <w:r>
        <w:rPr>
          <w:rtl/>
        </w:rPr>
        <w:tab/>
      </w:r>
      <w:r w:rsidRPr="001D50C6">
        <w:rPr>
          <w:w w:val="103"/>
          <w:rtl/>
        </w:rPr>
        <w:t>(</w:t>
      </w:r>
      <w:r w:rsidRPr="001D50C6">
        <w:rPr>
          <w:rStyle w:val="FootnoteReference"/>
          <w:spacing w:val="0"/>
          <w:w w:val="103"/>
          <w:vertAlign w:val="baseline"/>
          <w:rtl/>
        </w:rPr>
        <w:footnoteRef/>
      </w:r>
      <w:r w:rsidRPr="001D50C6">
        <w:rPr>
          <w:w w:val="103"/>
          <w:rtl/>
        </w:rPr>
        <w:t>)</w:t>
      </w:r>
      <w:r w:rsidRPr="001D50C6">
        <w:rPr>
          <w:w w:val="103"/>
          <w:rtl/>
        </w:rPr>
        <w:tab/>
      </w:r>
      <w:r>
        <w:rPr>
          <w:rFonts w:hint="cs"/>
          <w:w w:val="103"/>
          <w:rtl/>
        </w:rPr>
        <w:t xml:space="preserve">المصدر: خطة العمل الوطنية للإدماج الاجتماعي، المرفق، المؤشرات، 2005، رسم بياني مستمد من الكتيب المعنون </w:t>
      </w:r>
      <w:r>
        <w:rPr>
          <w:rFonts w:hint="eastAsia"/>
          <w:w w:val="103"/>
          <w:rtl/>
        </w:rPr>
        <w:t xml:space="preserve">”النساء والرجال في بلجيكا. </w:t>
      </w:r>
      <w:r>
        <w:rPr>
          <w:rFonts w:hint="cs"/>
          <w:w w:val="103"/>
          <w:rtl/>
        </w:rPr>
        <w:t>إحصاءات ومؤشرات جنسانية</w:t>
      </w:r>
      <w:r>
        <w:rPr>
          <w:rFonts w:hint="eastAsia"/>
          <w:w w:val="103"/>
          <w:rtl/>
        </w:rPr>
        <w:t>“، طبعة عام 2006، من منشورات المعهد المعني بالمساواة بين المرأة والرجل، ص 74 من النص الفرنسي.</w:t>
      </w:r>
    </w:p>
  </w:footnote>
  <w:footnote w:id="50">
    <w:p w:rsidR="00AF077A" w:rsidRPr="001D50C6" w:rsidRDefault="00AF077A" w:rsidP="0073566C">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1D50C6">
        <w:rPr>
          <w:w w:val="103"/>
          <w:rtl/>
        </w:rPr>
        <w:t>(</w:t>
      </w:r>
      <w:r w:rsidRPr="001D50C6">
        <w:rPr>
          <w:rStyle w:val="FootnoteReference"/>
          <w:spacing w:val="0"/>
          <w:w w:val="103"/>
          <w:vertAlign w:val="baseline"/>
          <w:rtl/>
        </w:rPr>
        <w:footnoteRef/>
      </w:r>
      <w:r w:rsidRPr="001D50C6">
        <w:rPr>
          <w:w w:val="103"/>
          <w:rtl/>
        </w:rPr>
        <w:t>)</w:t>
      </w:r>
      <w:r w:rsidRPr="001D50C6">
        <w:rPr>
          <w:w w:val="103"/>
          <w:rtl/>
        </w:rPr>
        <w:tab/>
      </w:r>
      <w:r>
        <w:rPr>
          <w:rFonts w:hint="cs"/>
          <w:w w:val="103"/>
          <w:rtl/>
        </w:rPr>
        <w:t xml:space="preserve">المصدر: 1983-2002: الدائرة العامة الاتحادية للعمالة والعمل والتوافق الاجتماعي (أجريت الحسابات على أساس التدريب عن طريق العمل)؛ 2003-2004: التدريب عن طريق العمل، الدائرة العامة الاتحادية للاقتصاد، الإدارة العامة للإحصاء (تجميع المعهد الاجتماعي والاقتصادي في جامعة ليمبورغ)، رسم بياني مستمد من الكتيب المعنون </w:t>
      </w:r>
      <w:r>
        <w:rPr>
          <w:rFonts w:hint="eastAsia"/>
          <w:w w:val="103"/>
          <w:rtl/>
        </w:rPr>
        <w:t xml:space="preserve">”الرجال والنساء في بلجيكا. </w:t>
      </w:r>
      <w:r>
        <w:rPr>
          <w:rFonts w:hint="cs"/>
          <w:w w:val="103"/>
          <w:rtl/>
        </w:rPr>
        <w:t>إحصاءات ومؤشرات جنسانية</w:t>
      </w:r>
      <w:r>
        <w:rPr>
          <w:rFonts w:hint="eastAsia"/>
          <w:w w:val="103"/>
          <w:rtl/>
        </w:rPr>
        <w:t>“، طبعة عام 2006</w:t>
      </w:r>
      <w:r>
        <w:rPr>
          <w:rFonts w:hint="cs"/>
          <w:w w:val="103"/>
          <w:rtl/>
        </w:rPr>
        <w:t>، من منشورات المعهد المعني بالمساواة بين المرأة والرجل، ص 46 من النص الفرنسي.</w:t>
      </w:r>
    </w:p>
  </w:footnote>
  <w:footnote w:id="51">
    <w:p w:rsidR="00AF077A" w:rsidRPr="00452FE5" w:rsidRDefault="00AF077A" w:rsidP="0073566C">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452FE5">
        <w:rPr>
          <w:w w:val="103"/>
          <w:rtl/>
        </w:rPr>
        <w:t>(</w:t>
      </w:r>
      <w:r w:rsidRPr="00452FE5">
        <w:rPr>
          <w:rStyle w:val="FootnoteReference"/>
          <w:spacing w:val="0"/>
          <w:w w:val="103"/>
          <w:vertAlign w:val="baseline"/>
          <w:rtl/>
        </w:rPr>
        <w:footnoteRef/>
      </w:r>
      <w:r w:rsidRPr="00452FE5">
        <w:rPr>
          <w:w w:val="103"/>
          <w:rtl/>
        </w:rPr>
        <w:t>)</w:t>
      </w:r>
      <w:r w:rsidRPr="00452FE5">
        <w:rPr>
          <w:w w:val="103"/>
          <w:rtl/>
        </w:rPr>
        <w:tab/>
      </w:r>
      <w:r>
        <w:rPr>
          <w:rFonts w:hint="cs"/>
          <w:w w:val="103"/>
          <w:rtl/>
        </w:rPr>
        <w:t>المصدر: المكتب الوطني للضمان الاجتماعي، أجري الحساب مولدرز، د. و س. أودوركاي (2006). ’فجوة الأجور بين الجنسين في بلجيكا‘، تقرير غير منشور (تجميع المعهد المعني بالمساواة بين المرأة والرجل)، جدول مستمد من الكتيب المعنون ”النساء والرجال في بلجيكا. إحصاءات ومؤشرات جنسانية“، طبعة عام 2006، من منشورات المعهد المعني بالمساواة بين المرأة والرجل، ص 66 من النص الفرنسي.</w:t>
      </w:r>
    </w:p>
  </w:footnote>
  <w:footnote w:id="52">
    <w:p w:rsidR="00AF077A" w:rsidRPr="0030205C" w:rsidRDefault="00AF077A" w:rsidP="0073566C">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30205C">
        <w:rPr>
          <w:w w:val="103"/>
          <w:rtl/>
        </w:rPr>
        <w:t>(</w:t>
      </w:r>
      <w:r w:rsidRPr="0030205C">
        <w:rPr>
          <w:rStyle w:val="FootnoteReference"/>
          <w:spacing w:val="0"/>
          <w:w w:val="103"/>
          <w:vertAlign w:val="baseline"/>
          <w:rtl/>
        </w:rPr>
        <w:footnoteRef/>
      </w:r>
      <w:r w:rsidRPr="0030205C">
        <w:rPr>
          <w:w w:val="103"/>
          <w:rtl/>
        </w:rPr>
        <w:t>)</w:t>
      </w:r>
      <w:r w:rsidRPr="0030205C">
        <w:rPr>
          <w:w w:val="103"/>
          <w:rtl/>
        </w:rPr>
        <w:tab/>
      </w:r>
      <w:r>
        <w:rPr>
          <w:rFonts w:hint="cs"/>
          <w:w w:val="103"/>
          <w:rtl/>
        </w:rPr>
        <w:t>القانون الإطاري المؤرخ 9 تموز/يوليه 2004 (الجريدة الرسمية الصادرة في 15 تموز/يوليه 2004، الطبعة</w:t>
      </w:r>
      <w:r>
        <w:rPr>
          <w:rFonts w:hint="eastAsia"/>
          <w:w w:val="103"/>
          <w:rtl/>
        </w:rPr>
        <w:t> </w:t>
      </w:r>
      <w:r>
        <w:rPr>
          <w:rFonts w:hint="cs"/>
          <w:w w:val="103"/>
          <w:rtl/>
        </w:rPr>
        <w:t>2).</w:t>
      </w:r>
    </w:p>
  </w:footnote>
  <w:footnote w:id="53">
    <w:p w:rsidR="00AF077A" w:rsidRPr="008F573F" w:rsidRDefault="00AF077A" w:rsidP="0073566C">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8F573F">
        <w:rPr>
          <w:w w:val="103"/>
          <w:rtl/>
        </w:rPr>
        <w:t>(</w:t>
      </w:r>
      <w:r w:rsidRPr="008F573F">
        <w:rPr>
          <w:rStyle w:val="FootnoteReference"/>
          <w:spacing w:val="0"/>
          <w:w w:val="103"/>
          <w:vertAlign w:val="baseline"/>
          <w:rtl/>
        </w:rPr>
        <w:footnoteRef/>
      </w:r>
      <w:r w:rsidRPr="008F573F">
        <w:rPr>
          <w:w w:val="103"/>
          <w:rtl/>
        </w:rPr>
        <w:t>)</w:t>
      </w:r>
      <w:r w:rsidRPr="008F573F">
        <w:rPr>
          <w:w w:val="103"/>
          <w:rtl/>
        </w:rPr>
        <w:tab/>
      </w:r>
      <w:r>
        <w:rPr>
          <w:rFonts w:hint="cs"/>
          <w:w w:val="103"/>
          <w:rtl/>
        </w:rPr>
        <w:t>ألغي الأمر الملكي المؤرخ 13 آذار/مارس 2001 (الجريدة الرسمية الصادرة في 10 نيسان/أبريل 2001) المادة 218 من الأمر الملكي المؤرخ 3 تموز/يوليه 1996 التي حددت الإعانة المدفوعة في إجازة الولادة الممددة بـ 60 في المائة من الحد الأقصى للأجر الإجمالي.</w:t>
      </w:r>
    </w:p>
  </w:footnote>
  <w:footnote w:id="54">
    <w:p w:rsidR="00AF077A" w:rsidRPr="008F573F" w:rsidRDefault="00AF077A" w:rsidP="0073566C">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8F573F">
        <w:rPr>
          <w:w w:val="103"/>
          <w:rtl/>
        </w:rPr>
        <w:t>(</w:t>
      </w:r>
      <w:r w:rsidRPr="008F573F">
        <w:rPr>
          <w:rStyle w:val="FootnoteReference"/>
          <w:spacing w:val="0"/>
          <w:w w:val="103"/>
          <w:vertAlign w:val="baseline"/>
          <w:rtl/>
        </w:rPr>
        <w:footnoteRef/>
      </w:r>
      <w:r w:rsidRPr="008F573F">
        <w:rPr>
          <w:w w:val="103"/>
          <w:rtl/>
        </w:rPr>
        <w:t>)</w:t>
      </w:r>
      <w:r w:rsidRPr="008F573F">
        <w:rPr>
          <w:w w:val="103"/>
          <w:rtl/>
        </w:rPr>
        <w:tab/>
      </w:r>
      <w:r>
        <w:rPr>
          <w:rFonts w:hint="cs"/>
          <w:w w:val="103"/>
          <w:rtl/>
        </w:rPr>
        <w:t>الأمر الملكي المؤرخ 9 شباط/فبراير 2003 (الجريدة الرسمية الصادرة في 18 آذار/مارس 2003).</w:t>
      </w:r>
    </w:p>
  </w:footnote>
  <w:footnote w:id="55">
    <w:p w:rsidR="00AF077A" w:rsidRPr="008F573F" w:rsidRDefault="00AF077A" w:rsidP="0073566C">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8F573F">
        <w:rPr>
          <w:w w:val="103"/>
          <w:rtl/>
        </w:rPr>
        <w:t>(</w:t>
      </w:r>
      <w:r w:rsidRPr="008F573F">
        <w:rPr>
          <w:rStyle w:val="FootnoteReference"/>
          <w:spacing w:val="0"/>
          <w:w w:val="103"/>
          <w:vertAlign w:val="baseline"/>
          <w:rtl/>
        </w:rPr>
        <w:footnoteRef/>
      </w:r>
      <w:r w:rsidRPr="008F573F">
        <w:rPr>
          <w:w w:val="103"/>
          <w:rtl/>
        </w:rPr>
        <w:t>)</w:t>
      </w:r>
      <w:r w:rsidRPr="008F573F">
        <w:rPr>
          <w:w w:val="103"/>
          <w:rtl/>
        </w:rPr>
        <w:tab/>
      </w:r>
      <w:r>
        <w:rPr>
          <w:rFonts w:hint="cs"/>
          <w:w w:val="103"/>
          <w:rtl/>
        </w:rPr>
        <w:t>القانون الإطاري المؤرخ 27 كانون الأول/ديسمبر 2004 (الجريدة الرسمية الصادرة في 31 كانون الأول/ديسمبر 2004، الطبعة 2) - الأمر الملكي المؤرخ 4 أيار/مايو 2005 (الجريدة الرسمية الصادرة في 26 أيار/مايو 2005).</w:t>
      </w:r>
    </w:p>
  </w:footnote>
  <w:footnote w:id="56">
    <w:p w:rsidR="00AF077A" w:rsidRPr="008F573F" w:rsidRDefault="00AF077A" w:rsidP="0073566C">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8F573F">
        <w:rPr>
          <w:w w:val="103"/>
          <w:rtl/>
        </w:rPr>
        <w:t>(</w:t>
      </w:r>
      <w:r w:rsidRPr="008F573F">
        <w:rPr>
          <w:rStyle w:val="FootnoteReference"/>
          <w:spacing w:val="0"/>
          <w:w w:val="103"/>
          <w:vertAlign w:val="baseline"/>
          <w:rtl/>
        </w:rPr>
        <w:footnoteRef/>
      </w:r>
      <w:r w:rsidRPr="008F573F">
        <w:rPr>
          <w:w w:val="103"/>
          <w:rtl/>
        </w:rPr>
        <w:t>)</w:t>
      </w:r>
      <w:r w:rsidRPr="008F573F">
        <w:rPr>
          <w:w w:val="103"/>
          <w:rtl/>
        </w:rPr>
        <w:tab/>
      </w:r>
      <w:r>
        <w:rPr>
          <w:rFonts w:hint="cs"/>
          <w:w w:val="103"/>
          <w:rtl/>
        </w:rPr>
        <w:t>الأمر الملكي المؤرخ 11 حزيران/يونيه 2002 (الجريدة الرسمية الصادرة في 29 حزيران/يونيه 2002، الطبعة 1).</w:t>
      </w:r>
    </w:p>
  </w:footnote>
  <w:footnote w:id="57">
    <w:p w:rsidR="00AF077A" w:rsidRPr="008F573F" w:rsidRDefault="00AF077A" w:rsidP="0073566C">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8F573F">
        <w:rPr>
          <w:w w:val="103"/>
          <w:rtl/>
        </w:rPr>
        <w:t>(</w:t>
      </w:r>
      <w:r w:rsidRPr="008F573F">
        <w:rPr>
          <w:rStyle w:val="FootnoteReference"/>
          <w:spacing w:val="0"/>
          <w:w w:val="103"/>
          <w:vertAlign w:val="baseline"/>
          <w:rtl/>
        </w:rPr>
        <w:footnoteRef/>
      </w:r>
      <w:r w:rsidRPr="008F573F">
        <w:rPr>
          <w:w w:val="103"/>
          <w:rtl/>
        </w:rPr>
        <w:t>)</w:t>
      </w:r>
      <w:r w:rsidRPr="008F573F">
        <w:rPr>
          <w:w w:val="103"/>
          <w:rtl/>
        </w:rPr>
        <w:tab/>
      </w:r>
      <w:r>
        <w:rPr>
          <w:rFonts w:hint="cs"/>
          <w:w w:val="103"/>
          <w:rtl/>
        </w:rPr>
        <w:t>الأمر الملكي المؤرخ 11 حزيران/يونيه 2002 (الجريدة الرسمية الصادرة في 29 حزيران/يونيه 2002، الطبعة 1).</w:t>
      </w:r>
    </w:p>
  </w:footnote>
  <w:footnote w:id="58">
    <w:p w:rsidR="00AF077A" w:rsidRPr="00E7321D" w:rsidRDefault="00AF077A" w:rsidP="0073566C">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E7321D">
        <w:rPr>
          <w:b/>
          <w:bCs/>
          <w:w w:val="103"/>
          <w:rtl/>
        </w:rPr>
        <w:t>(</w:t>
      </w:r>
      <w:r w:rsidRPr="00ED4800">
        <w:rPr>
          <w:rStyle w:val="FootnoteReference"/>
          <w:spacing w:val="0"/>
          <w:w w:val="103"/>
          <w:vertAlign w:val="baseline"/>
          <w:rtl/>
        </w:rPr>
        <w:footnoteRef/>
      </w:r>
      <w:r w:rsidRPr="00E7321D">
        <w:rPr>
          <w:b/>
          <w:bCs/>
          <w:w w:val="103"/>
          <w:rtl/>
        </w:rPr>
        <w:t>)</w:t>
      </w:r>
      <w:r w:rsidRPr="00E7321D">
        <w:rPr>
          <w:w w:val="103"/>
          <w:rtl/>
        </w:rPr>
        <w:tab/>
      </w:r>
      <w:r>
        <w:rPr>
          <w:rFonts w:hint="cs"/>
          <w:w w:val="103"/>
          <w:rtl/>
        </w:rPr>
        <w:t>القانون المؤرخ 2 آب/أغسطس 2002 (الجريدة الرسمية الصادرة في 29 آب/أغسطس 2002، الطبعة 2). الأمر الملكي المؤرخ 5 تشرين الثاني/نوفمبر 2002 (الجريدة الرسمية الصادرة في 30 تشرين الثاني/نوفمبر 2002، الطبعة 2). اتفاقيات العمل الجماعية، العدد 80 الصادر في 27 تشرين الثاني/نوفمبر 2001.</w:t>
      </w:r>
    </w:p>
  </w:footnote>
  <w:footnote w:id="59">
    <w:p w:rsidR="00AF077A" w:rsidRPr="009B5767" w:rsidRDefault="00AF077A" w:rsidP="0073566C">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9B5767">
        <w:rPr>
          <w:w w:val="103"/>
          <w:rtl/>
        </w:rPr>
        <w:t>(</w:t>
      </w:r>
      <w:r w:rsidRPr="009B5767">
        <w:rPr>
          <w:rStyle w:val="FootnoteReference"/>
          <w:spacing w:val="0"/>
          <w:w w:val="103"/>
          <w:vertAlign w:val="baseline"/>
          <w:rtl/>
        </w:rPr>
        <w:footnoteRef/>
      </w:r>
      <w:r w:rsidRPr="009B5767">
        <w:rPr>
          <w:w w:val="103"/>
          <w:rtl/>
        </w:rPr>
        <w:t>)</w:t>
      </w:r>
      <w:r w:rsidRPr="009B5767">
        <w:rPr>
          <w:w w:val="103"/>
          <w:rtl/>
        </w:rPr>
        <w:tab/>
      </w:r>
      <w:r>
        <w:rPr>
          <w:rFonts w:hint="cs"/>
          <w:w w:val="103"/>
          <w:rtl/>
        </w:rPr>
        <w:t>شبكة الاتحاد الأوروبي للخبراء المستقلين في مجال الحقوق الأساسية؛ ’</w:t>
      </w:r>
      <w:r>
        <w:rPr>
          <w:rFonts w:hint="cs"/>
          <w:w w:val="103"/>
          <w:u w:val="single"/>
          <w:rtl/>
        </w:rPr>
        <w:t>تقرير عن حالة الحقوق الأساسية في بلجيكا في عام 2005</w:t>
      </w:r>
      <w:r>
        <w:rPr>
          <w:rFonts w:hint="cs"/>
          <w:w w:val="103"/>
          <w:rtl/>
        </w:rPr>
        <w:t xml:space="preserve">‘ قدمه أوليفييه دي شوتر، شبكة الخبراء المستقلين في مجال الحقوق الأساسية، بلجيكا، 2005؛ </w:t>
      </w:r>
      <w:r>
        <w:rPr>
          <w:w w:val="103"/>
        </w:rPr>
        <w:t>http//:cridho.cpdr.ud.ac.be</w:t>
      </w:r>
      <w:r>
        <w:rPr>
          <w:rFonts w:hint="cs"/>
          <w:w w:val="103"/>
          <w:rtl/>
        </w:rPr>
        <w:t>.</w:t>
      </w:r>
    </w:p>
  </w:footnote>
  <w:footnote w:id="60">
    <w:p w:rsidR="00AF077A" w:rsidRPr="009B5767" w:rsidRDefault="00AF077A" w:rsidP="0073566C">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9B5767">
        <w:rPr>
          <w:w w:val="103"/>
          <w:rtl/>
        </w:rPr>
        <w:t>(</w:t>
      </w:r>
      <w:r w:rsidRPr="009B5767">
        <w:rPr>
          <w:rStyle w:val="FootnoteReference"/>
          <w:spacing w:val="0"/>
          <w:w w:val="103"/>
          <w:vertAlign w:val="baseline"/>
          <w:rtl/>
        </w:rPr>
        <w:footnoteRef/>
      </w:r>
      <w:r w:rsidRPr="009B5767">
        <w:rPr>
          <w:w w:val="103"/>
          <w:rtl/>
        </w:rPr>
        <w:t>)</w:t>
      </w:r>
      <w:r w:rsidRPr="009B5767">
        <w:rPr>
          <w:w w:val="103"/>
          <w:rtl/>
        </w:rPr>
        <w:tab/>
      </w:r>
      <w:r>
        <w:rPr>
          <w:rFonts w:hint="cs"/>
          <w:w w:val="103"/>
          <w:rtl/>
        </w:rPr>
        <w:t>لمزيد من المعلومات انظر مساهمة إقليم بروكسل العاصمة في المادة 2 من الاتفاقية.</w:t>
      </w:r>
    </w:p>
  </w:footnote>
  <w:footnote w:id="61">
    <w:p w:rsidR="00AF077A" w:rsidRPr="009B5767" w:rsidRDefault="00AF077A" w:rsidP="0073566C">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9B5767">
        <w:rPr>
          <w:w w:val="103"/>
          <w:rtl/>
        </w:rPr>
        <w:t>(</w:t>
      </w:r>
      <w:r w:rsidRPr="009B5767">
        <w:rPr>
          <w:rStyle w:val="FootnoteReference"/>
          <w:spacing w:val="0"/>
          <w:w w:val="103"/>
          <w:vertAlign w:val="baseline"/>
          <w:rtl/>
        </w:rPr>
        <w:footnoteRef/>
      </w:r>
      <w:r w:rsidRPr="009B5767">
        <w:rPr>
          <w:w w:val="103"/>
          <w:rtl/>
        </w:rPr>
        <w:t>)</w:t>
      </w:r>
      <w:r w:rsidRPr="009B5767">
        <w:rPr>
          <w:w w:val="103"/>
          <w:rtl/>
        </w:rPr>
        <w:tab/>
      </w:r>
      <w:r>
        <w:rPr>
          <w:rFonts w:hint="cs"/>
          <w:w w:val="103"/>
          <w:rtl/>
        </w:rPr>
        <w:t xml:space="preserve">الوثيقة </w:t>
      </w:r>
      <w:r>
        <w:rPr>
          <w:w w:val="103"/>
        </w:rPr>
        <w:t>A-179/1-04/05</w:t>
      </w:r>
      <w:r>
        <w:rPr>
          <w:rFonts w:hint="cs"/>
          <w:w w:val="103"/>
          <w:rtl/>
        </w:rPr>
        <w:t>.</w:t>
      </w:r>
    </w:p>
  </w:footnote>
  <w:footnote w:id="62">
    <w:p w:rsidR="00AF077A" w:rsidRPr="00083DF1" w:rsidRDefault="00AF077A" w:rsidP="0073566C">
      <w:pPr>
        <w:pStyle w:val="FootnoteText"/>
        <w:tabs>
          <w:tab w:val="clear" w:pos="418"/>
          <w:tab w:val="right" w:pos="1195"/>
          <w:tab w:val="left" w:pos="1267"/>
          <w:tab w:val="left" w:pos="1656"/>
          <w:tab w:val="left" w:pos="2088"/>
        </w:tabs>
        <w:spacing w:after="80"/>
        <w:ind w:left="1267" w:right="1267" w:hanging="547"/>
        <w:rPr>
          <w:rFonts w:hint="eastAsia"/>
          <w:w w:val="103"/>
          <w:rtl/>
        </w:rPr>
      </w:pPr>
      <w:r>
        <w:rPr>
          <w:rtl/>
        </w:rPr>
        <w:tab/>
      </w:r>
      <w:r w:rsidRPr="00083DF1">
        <w:rPr>
          <w:i/>
          <w:iCs/>
          <w:w w:val="103"/>
          <w:rtl/>
        </w:rPr>
        <w:t>(</w:t>
      </w:r>
      <w:r w:rsidRPr="00770D92">
        <w:rPr>
          <w:rStyle w:val="FootnoteReference"/>
          <w:spacing w:val="0"/>
          <w:w w:val="103"/>
          <w:vertAlign w:val="baseline"/>
          <w:rtl/>
        </w:rPr>
        <w:footnoteRef/>
      </w:r>
      <w:r w:rsidRPr="00083DF1">
        <w:rPr>
          <w:i/>
          <w:iCs/>
          <w:w w:val="103"/>
          <w:rtl/>
        </w:rPr>
        <w:t>)</w:t>
      </w:r>
      <w:r w:rsidRPr="00083DF1">
        <w:rPr>
          <w:w w:val="103"/>
          <w:rtl/>
        </w:rPr>
        <w:tab/>
      </w:r>
      <w:r>
        <w:rPr>
          <w:rFonts w:hint="cs"/>
          <w:w w:val="103"/>
          <w:rtl/>
        </w:rPr>
        <w:t xml:space="preserve">جدول مستمد من الكتيب المعنون </w:t>
      </w:r>
      <w:r>
        <w:rPr>
          <w:rFonts w:hint="eastAsia"/>
          <w:w w:val="103"/>
          <w:rtl/>
        </w:rPr>
        <w:t xml:space="preserve">”النساء والرجال في بلجيكا. </w:t>
      </w:r>
      <w:r>
        <w:rPr>
          <w:rFonts w:hint="cs"/>
          <w:w w:val="103"/>
          <w:rtl/>
        </w:rPr>
        <w:t>إحصاءات ومؤشرات جنسانية</w:t>
      </w:r>
      <w:r>
        <w:rPr>
          <w:rFonts w:hint="eastAsia"/>
          <w:w w:val="103"/>
          <w:rtl/>
        </w:rPr>
        <w:t>“، طبعة عام 2006، من منشورات المعهد المعني بالمساواة بين المرأة والرجل، ص 136 من النص الفرنسي.</w:t>
      </w:r>
    </w:p>
  </w:footnote>
  <w:footnote w:id="63">
    <w:p w:rsidR="00AF077A" w:rsidRPr="00A876F2" w:rsidRDefault="00AF077A" w:rsidP="0073566C">
      <w:pPr>
        <w:pStyle w:val="FootnoteText"/>
        <w:tabs>
          <w:tab w:val="clear" w:pos="418"/>
          <w:tab w:val="right" w:pos="1195"/>
          <w:tab w:val="left" w:pos="1267"/>
          <w:tab w:val="left" w:pos="1656"/>
          <w:tab w:val="left" w:pos="2088"/>
        </w:tabs>
        <w:spacing w:after="80"/>
        <w:ind w:left="1267" w:right="1267" w:hanging="547"/>
        <w:rPr>
          <w:rFonts w:hint="eastAsia"/>
          <w:w w:val="103"/>
          <w:rtl/>
        </w:rPr>
      </w:pPr>
      <w:r>
        <w:rPr>
          <w:rtl/>
        </w:rPr>
        <w:tab/>
      </w:r>
      <w:r w:rsidRPr="00A876F2">
        <w:rPr>
          <w:w w:val="103"/>
          <w:rtl/>
        </w:rPr>
        <w:t>(</w:t>
      </w:r>
      <w:r w:rsidRPr="00A876F2">
        <w:rPr>
          <w:rStyle w:val="FootnoteReference"/>
          <w:spacing w:val="0"/>
          <w:w w:val="103"/>
          <w:vertAlign w:val="baseline"/>
          <w:rtl/>
        </w:rPr>
        <w:footnoteRef/>
      </w:r>
      <w:r w:rsidRPr="00A876F2">
        <w:rPr>
          <w:w w:val="103"/>
          <w:rtl/>
        </w:rPr>
        <w:t>)</w:t>
      </w:r>
      <w:r w:rsidRPr="00A876F2">
        <w:rPr>
          <w:w w:val="103"/>
          <w:rtl/>
        </w:rPr>
        <w:tab/>
      </w:r>
      <w:r>
        <w:rPr>
          <w:rFonts w:hint="cs"/>
          <w:w w:val="103"/>
          <w:rtl/>
        </w:rPr>
        <w:t xml:space="preserve">المصدر: </w:t>
      </w:r>
      <w:r>
        <w:rPr>
          <w:w w:val="103"/>
        </w:rPr>
        <w:t>CRZ</w:t>
      </w:r>
      <w:r>
        <w:rPr>
          <w:rFonts w:hint="cs"/>
          <w:w w:val="103"/>
          <w:rtl/>
        </w:rPr>
        <w:t xml:space="preserve">، 2004 (تجميع المعهد الاجتماعي والاقتصادي في جامعة ليمبورغ والمعهد المعني بالمساواة بين المرأة والرجل)، جدول مستمد من الكتيب المعنون </w:t>
      </w:r>
      <w:r>
        <w:rPr>
          <w:rFonts w:hint="eastAsia"/>
          <w:w w:val="103"/>
          <w:rtl/>
        </w:rPr>
        <w:t xml:space="preserve">”النساء والرجال في بلجيكا. </w:t>
      </w:r>
      <w:r>
        <w:rPr>
          <w:rFonts w:hint="cs"/>
          <w:w w:val="103"/>
          <w:rtl/>
        </w:rPr>
        <w:t>إحصاءات ومؤشرات جنسانية</w:t>
      </w:r>
      <w:r>
        <w:rPr>
          <w:rFonts w:hint="eastAsia"/>
          <w:w w:val="103"/>
          <w:rtl/>
        </w:rPr>
        <w:t>“، طبعة عام 2006، من منشورات المعهد المعني بالمساواة بين المرأة والرجل، ص 141 من النص الفرنسي.</w:t>
      </w:r>
    </w:p>
  </w:footnote>
  <w:footnote w:id="64">
    <w:p w:rsidR="00AF077A" w:rsidRPr="00E9370B" w:rsidRDefault="00AF077A" w:rsidP="0073566C">
      <w:pPr>
        <w:pStyle w:val="FootnoteText"/>
        <w:tabs>
          <w:tab w:val="clear" w:pos="418"/>
          <w:tab w:val="right" w:pos="1195"/>
          <w:tab w:val="left" w:pos="1267"/>
          <w:tab w:val="left" w:pos="1656"/>
          <w:tab w:val="left" w:pos="2088"/>
        </w:tabs>
        <w:spacing w:after="80"/>
        <w:ind w:left="1267" w:right="1267" w:hanging="547"/>
        <w:rPr>
          <w:rFonts w:hint="eastAsia"/>
          <w:w w:val="103"/>
          <w:rtl/>
        </w:rPr>
      </w:pPr>
      <w:r>
        <w:rPr>
          <w:rtl/>
        </w:rPr>
        <w:tab/>
      </w:r>
      <w:r w:rsidRPr="00E9370B">
        <w:rPr>
          <w:i/>
          <w:iCs/>
          <w:w w:val="103"/>
          <w:rtl/>
        </w:rPr>
        <w:t>(</w:t>
      </w:r>
      <w:r w:rsidRPr="00770D92">
        <w:rPr>
          <w:rStyle w:val="FootnoteReference"/>
          <w:spacing w:val="0"/>
          <w:w w:val="103"/>
          <w:vertAlign w:val="baseline"/>
          <w:rtl/>
        </w:rPr>
        <w:footnoteRef/>
      </w:r>
      <w:r w:rsidRPr="00E9370B">
        <w:rPr>
          <w:i/>
          <w:iCs/>
          <w:w w:val="103"/>
          <w:rtl/>
        </w:rPr>
        <w:t>)</w:t>
      </w:r>
      <w:r w:rsidRPr="00E9370B">
        <w:rPr>
          <w:w w:val="103"/>
          <w:rtl/>
        </w:rPr>
        <w:tab/>
      </w:r>
      <w:r>
        <w:rPr>
          <w:rFonts w:hint="cs"/>
          <w:w w:val="103"/>
          <w:rtl/>
        </w:rPr>
        <w:t xml:space="preserve">جدول مستمد من الكتيب المعنون </w:t>
      </w:r>
      <w:r>
        <w:rPr>
          <w:rFonts w:hint="eastAsia"/>
          <w:w w:val="103"/>
          <w:rtl/>
        </w:rPr>
        <w:t xml:space="preserve">”النساء والرجال في بلجيكا. </w:t>
      </w:r>
      <w:r>
        <w:rPr>
          <w:rFonts w:hint="cs"/>
          <w:w w:val="103"/>
          <w:rtl/>
        </w:rPr>
        <w:t>إحصاءات ومؤشرات جنسانية</w:t>
      </w:r>
      <w:r>
        <w:rPr>
          <w:rFonts w:hint="eastAsia"/>
          <w:w w:val="103"/>
          <w:rtl/>
        </w:rPr>
        <w:t>“، طبعة عام 2006، من منشورات المعهد المعني بالمساواة بين المرأة والرجل، ص 142 من النص الفرنسي.</w:t>
      </w:r>
    </w:p>
  </w:footnote>
  <w:footnote w:id="65">
    <w:p w:rsidR="00AF077A" w:rsidRPr="00EC5857" w:rsidRDefault="00AF077A" w:rsidP="0073566C">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EC5857">
        <w:rPr>
          <w:w w:val="103"/>
          <w:rtl/>
        </w:rPr>
        <w:t>(</w:t>
      </w:r>
      <w:r w:rsidRPr="00EC5857">
        <w:rPr>
          <w:rStyle w:val="FootnoteReference"/>
          <w:spacing w:val="0"/>
          <w:w w:val="103"/>
          <w:vertAlign w:val="baseline"/>
          <w:rtl/>
        </w:rPr>
        <w:footnoteRef/>
      </w:r>
      <w:r w:rsidRPr="00EC5857">
        <w:rPr>
          <w:w w:val="103"/>
          <w:rtl/>
        </w:rPr>
        <w:t>)</w:t>
      </w:r>
      <w:r w:rsidRPr="00EC5857">
        <w:rPr>
          <w:w w:val="103"/>
          <w:rtl/>
        </w:rPr>
        <w:tab/>
      </w:r>
      <w:r>
        <w:rPr>
          <w:rFonts w:hint="cs"/>
          <w:w w:val="103"/>
          <w:rtl/>
        </w:rPr>
        <w:t>السجل المتكامل للصحة. إقليم بروكسل العاصمة، 2004. ص 43 من النص الفرنسي.</w:t>
      </w:r>
    </w:p>
  </w:footnote>
  <w:footnote w:id="66">
    <w:p w:rsidR="00AF077A" w:rsidRPr="00EC5857" w:rsidRDefault="00AF077A" w:rsidP="0073566C">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EC5857">
        <w:rPr>
          <w:w w:val="103"/>
          <w:rtl/>
        </w:rPr>
        <w:t>(</w:t>
      </w:r>
      <w:r w:rsidRPr="00EC5857">
        <w:rPr>
          <w:rStyle w:val="FootnoteReference"/>
          <w:spacing w:val="0"/>
          <w:w w:val="103"/>
          <w:vertAlign w:val="baseline"/>
          <w:rtl/>
        </w:rPr>
        <w:footnoteRef/>
      </w:r>
      <w:r w:rsidRPr="00EC5857">
        <w:rPr>
          <w:w w:val="103"/>
          <w:rtl/>
        </w:rPr>
        <w:t>)</w:t>
      </w:r>
      <w:r w:rsidRPr="00EC5857">
        <w:rPr>
          <w:w w:val="103"/>
          <w:rtl/>
        </w:rPr>
        <w:tab/>
      </w:r>
      <w:r>
        <w:rPr>
          <w:rFonts w:hint="cs"/>
          <w:w w:val="103"/>
          <w:rtl/>
        </w:rPr>
        <w:t>برنامج الكشف عن سرطان الثدي. الفترتان 2000-2001 و2002-2003، بروكسل: الوكالة المشتركة بين شركات التأمين التضامني، 2005، ص 101 من النص الفرنسي.</w:t>
      </w:r>
    </w:p>
  </w:footnote>
  <w:footnote w:id="67">
    <w:p w:rsidR="00AF077A" w:rsidRPr="00AF589C" w:rsidRDefault="00AF077A" w:rsidP="0073566C">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AF589C">
        <w:rPr>
          <w:w w:val="103"/>
          <w:rtl/>
        </w:rPr>
        <w:t>(</w:t>
      </w:r>
      <w:r w:rsidRPr="00AF589C">
        <w:rPr>
          <w:rStyle w:val="FootnoteReference"/>
          <w:spacing w:val="0"/>
          <w:w w:val="103"/>
          <w:vertAlign w:val="baseline"/>
          <w:rtl/>
        </w:rPr>
        <w:footnoteRef/>
      </w:r>
      <w:r w:rsidRPr="00AF589C">
        <w:rPr>
          <w:w w:val="103"/>
          <w:rtl/>
        </w:rPr>
        <w:t>)</w:t>
      </w:r>
      <w:r w:rsidRPr="00AF589C">
        <w:rPr>
          <w:w w:val="103"/>
          <w:rtl/>
        </w:rPr>
        <w:tab/>
      </w:r>
      <w:r>
        <w:rPr>
          <w:rFonts w:hint="cs"/>
          <w:w w:val="103"/>
          <w:rtl/>
        </w:rPr>
        <w:t xml:space="preserve">تقرير مرفوع إلى البرلمان من اللجنة الوطنية لتقييم القانون المؤرخ 3 نيسان/أبريل 1990 بشأن إسقاط الحمل (1 كانون الثاني/يناير 2002 - 31 كانون الأول/ديسمبر 2003)، بروكسل: مجلس النواب، 2004 (الوثيقة </w:t>
      </w:r>
      <w:r>
        <w:rPr>
          <w:w w:val="103"/>
        </w:rPr>
        <w:t>51-1324</w:t>
      </w:r>
      <w:r>
        <w:rPr>
          <w:rFonts w:hint="cs"/>
          <w:w w:val="103"/>
          <w:rtl/>
        </w:rPr>
        <w:t>)، ص 65 من النص الفرنسي.</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8"/>
      <w:gridCol w:w="4942"/>
    </w:tblGrid>
    <w:tr w:rsidR="00AF077A">
      <w:tblPrEx>
        <w:tblCellMar>
          <w:top w:w="0" w:type="dxa"/>
          <w:bottom w:w="0" w:type="dxa"/>
        </w:tblCellMar>
      </w:tblPrEx>
      <w:trPr>
        <w:trHeight w:hRule="exact" w:val="864"/>
        <w:jc w:val="center"/>
      </w:trPr>
      <w:tc>
        <w:tcPr>
          <w:tcW w:w="5033" w:type="dxa"/>
          <w:shd w:val="clear" w:color="auto" w:fill="auto"/>
          <w:vAlign w:val="bottom"/>
        </w:tcPr>
        <w:p w:rsidR="00AF077A" w:rsidRDefault="00AF077A" w:rsidP="005322B5">
          <w:pPr>
            <w:pStyle w:val="Header"/>
            <w:bidi/>
            <w:jc w:val="right"/>
          </w:pPr>
        </w:p>
      </w:tc>
      <w:tc>
        <w:tcPr>
          <w:tcW w:w="5033" w:type="dxa"/>
          <w:shd w:val="clear" w:color="auto" w:fill="auto"/>
          <w:vAlign w:val="bottom"/>
        </w:tcPr>
        <w:p w:rsidR="00AF077A" w:rsidRPr="005322B5" w:rsidRDefault="00AF077A" w:rsidP="005322B5">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CEDAW/C/BEL/6</w:t>
          </w:r>
          <w:r>
            <w:rPr>
              <w:w w:val="103"/>
            </w:rPr>
            <w:fldChar w:fldCharType="end"/>
          </w:r>
        </w:p>
      </w:tc>
    </w:tr>
  </w:tbl>
  <w:p w:rsidR="00AF077A" w:rsidRPr="005322B5" w:rsidRDefault="00AF077A" w:rsidP="005322B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2"/>
      <w:gridCol w:w="4908"/>
    </w:tblGrid>
    <w:tr w:rsidR="00AF077A">
      <w:tblPrEx>
        <w:tblCellMar>
          <w:top w:w="0" w:type="dxa"/>
          <w:bottom w:w="0" w:type="dxa"/>
        </w:tblCellMar>
      </w:tblPrEx>
      <w:trPr>
        <w:trHeight w:hRule="exact" w:val="864"/>
        <w:jc w:val="center"/>
      </w:trPr>
      <w:tc>
        <w:tcPr>
          <w:tcW w:w="5033" w:type="dxa"/>
          <w:shd w:val="clear" w:color="auto" w:fill="auto"/>
          <w:vAlign w:val="bottom"/>
        </w:tcPr>
        <w:p w:rsidR="00AF077A" w:rsidRPr="005322B5" w:rsidRDefault="00AF077A" w:rsidP="005322B5">
          <w:pPr>
            <w:pStyle w:val="Header"/>
            <w:spacing w:after="80"/>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CEDAW/C/BEL/6</w:t>
          </w:r>
          <w:r>
            <w:rPr>
              <w:w w:val="103"/>
              <w:rtl/>
            </w:rPr>
            <w:fldChar w:fldCharType="end"/>
          </w:r>
        </w:p>
      </w:tc>
      <w:tc>
        <w:tcPr>
          <w:tcW w:w="5033" w:type="dxa"/>
          <w:shd w:val="clear" w:color="auto" w:fill="auto"/>
          <w:vAlign w:val="bottom"/>
        </w:tcPr>
        <w:p w:rsidR="00AF077A" w:rsidRDefault="00AF077A" w:rsidP="005322B5">
          <w:pPr>
            <w:pStyle w:val="Header"/>
          </w:pPr>
        </w:p>
      </w:tc>
    </w:tr>
  </w:tbl>
  <w:p w:rsidR="00AF077A" w:rsidRPr="005322B5" w:rsidRDefault="00AF077A" w:rsidP="005322B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AF077A">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AF077A" w:rsidRDefault="00AF077A" w:rsidP="005322B5">
          <w:pPr>
            <w:pStyle w:val="Header"/>
            <w:spacing w:after="120"/>
          </w:pPr>
        </w:p>
      </w:tc>
      <w:tc>
        <w:tcPr>
          <w:tcW w:w="1786" w:type="dxa"/>
          <w:tcBorders>
            <w:bottom w:val="single" w:sz="4" w:space="0" w:color="auto"/>
          </w:tcBorders>
          <w:shd w:val="clear" w:color="auto" w:fill="auto"/>
          <w:vAlign w:val="bottom"/>
        </w:tcPr>
        <w:p w:rsidR="00AF077A" w:rsidRPr="005322B5" w:rsidRDefault="00AF077A" w:rsidP="005322B5">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AF077A" w:rsidRDefault="00AF077A" w:rsidP="005322B5">
          <w:pPr>
            <w:pStyle w:val="Header"/>
            <w:spacing w:after="120"/>
          </w:pPr>
        </w:p>
      </w:tc>
      <w:tc>
        <w:tcPr>
          <w:tcW w:w="6523" w:type="dxa"/>
          <w:gridSpan w:val="3"/>
          <w:tcBorders>
            <w:bottom w:val="single" w:sz="4" w:space="0" w:color="auto"/>
          </w:tcBorders>
          <w:shd w:val="clear" w:color="auto" w:fill="auto"/>
          <w:vAlign w:val="bottom"/>
        </w:tcPr>
        <w:p w:rsidR="00AF077A" w:rsidRPr="005322B5" w:rsidRDefault="00AF077A" w:rsidP="005322B5">
          <w:pPr>
            <w:spacing w:line="380" w:lineRule="exact"/>
            <w:jc w:val="right"/>
          </w:pPr>
          <w:r>
            <w:rPr>
              <w:sz w:val="40"/>
            </w:rPr>
            <w:t>CEDAW</w:t>
          </w:r>
          <w:r>
            <w:t>/C/BEL/6</w:t>
          </w:r>
        </w:p>
      </w:tc>
    </w:tr>
    <w:tr w:rsidR="00AF077A" w:rsidRPr="005322B5">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AF077A" w:rsidRDefault="00AF077A" w:rsidP="005322B5">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56.25pt;height:46.5pt">
                <v:imagedata r:id="rId1" o:title="_unlogo"/>
              </v:shape>
            </w:pict>
          </w:r>
        </w:p>
        <w:p w:rsidR="00AF077A" w:rsidRPr="005322B5" w:rsidRDefault="00AF077A" w:rsidP="005322B5">
          <w:pPr>
            <w:pStyle w:val="Header"/>
            <w:spacing w:before="109"/>
            <w:jc w:val="right"/>
          </w:pPr>
        </w:p>
      </w:tc>
      <w:tc>
        <w:tcPr>
          <w:tcW w:w="5227" w:type="dxa"/>
          <w:gridSpan w:val="3"/>
          <w:tcBorders>
            <w:top w:val="single" w:sz="4" w:space="0" w:color="auto"/>
            <w:bottom w:val="single" w:sz="12" w:space="0" w:color="auto"/>
          </w:tcBorders>
          <w:shd w:val="clear" w:color="auto" w:fill="auto"/>
        </w:tcPr>
        <w:p w:rsidR="00AF077A" w:rsidRPr="005322B5" w:rsidRDefault="00AF077A" w:rsidP="005322B5">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AF077A" w:rsidRPr="005322B5" w:rsidRDefault="00AF077A" w:rsidP="005322B5">
          <w:pPr>
            <w:pStyle w:val="Header"/>
            <w:spacing w:before="109"/>
          </w:pPr>
        </w:p>
      </w:tc>
      <w:tc>
        <w:tcPr>
          <w:tcW w:w="3100" w:type="dxa"/>
          <w:gridSpan w:val="2"/>
          <w:tcBorders>
            <w:top w:val="single" w:sz="4" w:space="0" w:color="auto"/>
            <w:bottom w:val="single" w:sz="12" w:space="0" w:color="auto"/>
          </w:tcBorders>
          <w:shd w:val="clear" w:color="auto" w:fill="auto"/>
        </w:tcPr>
        <w:p w:rsidR="00AF077A" w:rsidRDefault="00AF077A" w:rsidP="005322B5">
          <w:pPr>
            <w:bidi w:val="0"/>
            <w:spacing w:before="240" w:line="240" w:lineRule="exact"/>
          </w:pPr>
          <w:r>
            <w:t>Distr.: General</w:t>
          </w:r>
        </w:p>
        <w:p w:rsidR="00AF077A" w:rsidRDefault="00AF077A" w:rsidP="005322B5">
          <w:pPr>
            <w:bidi w:val="0"/>
            <w:spacing w:line="240" w:lineRule="exact"/>
            <w:jc w:val="left"/>
          </w:pPr>
          <w:r>
            <w:t>22 June 2007</w:t>
          </w:r>
        </w:p>
        <w:p w:rsidR="00AF077A" w:rsidRDefault="00AF077A" w:rsidP="005322B5">
          <w:pPr>
            <w:bidi w:val="0"/>
            <w:spacing w:line="240" w:lineRule="exact"/>
            <w:jc w:val="left"/>
          </w:pPr>
          <w:r>
            <w:t>Arabic</w:t>
          </w:r>
        </w:p>
        <w:p w:rsidR="00AF077A" w:rsidRPr="005322B5" w:rsidRDefault="00AF077A" w:rsidP="005322B5">
          <w:pPr>
            <w:bidi w:val="0"/>
            <w:spacing w:line="240" w:lineRule="exact"/>
            <w:jc w:val="left"/>
          </w:pPr>
          <w:r>
            <w:t>Original: English/French</w:t>
          </w:r>
        </w:p>
      </w:tc>
    </w:tr>
  </w:tbl>
  <w:p w:rsidR="00AF077A" w:rsidRPr="005322B5" w:rsidRDefault="00AF077A" w:rsidP="005322B5">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3610376"/>
    <w:multiLevelType w:val="hybridMultilevel"/>
    <w:tmpl w:val="81CCF054"/>
    <w:lvl w:ilvl="0" w:tplc="6D328798">
      <w:start w:val="1"/>
      <w:numFmt w:val="upperRoman"/>
      <w:pStyle w:val="StyleRA"/>
      <w:lvlText w:val="%1."/>
      <w:lvlJc w:val="left"/>
      <w:pPr>
        <w:tabs>
          <w:tab w:val="num" w:pos="1080"/>
        </w:tabs>
        <w:ind w:left="1080" w:hanging="720"/>
      </w:pPr>
      <w:rPr>
        <w:rFonts w:hint="default"/>
        <w:b/>
        <w:i w:val="0"/>
        <w:sz w:val="24"/>
        <w:szCs w:val="24"/>
      </w:rPr>
    </w:lvl>
    <w:lvl w:ilvl="1" w:tplc="FFFFFFFF">
      <w:start w:val="1"/>
      <w:numFmt w:val="decimal"/>
      <w:lvlText w:val="%2)"/>
      <w:lvlJc w:val="left"/>
      <w:pPr>
        <w:tabs>
          <w:tab w:val="num" w:pos="1440"/>
        </w:tabs>
        <w:ind w:left="1440" w:hanging="360"/>
      </w:pPr>
      <w:rPr>
        <w:rFonts w:hint="default"/>
      </w:rPr>
    </w:lvl>
    <w:lvl w:ilvl="2" w:tplc="FFFFFFFF">
      <w:start w:val="1"/>
      <w:numFmt w:val="lowerLetter"/>
      <w:lvlText w:val="%3)"/>
      <w:lvlJc w:val="left"/>
      <w:pPr>
        <w:tabs>
          <w:tab w:val="num" w:pos="2340"/>
        </w:tabs>
        <w:ind w:left="2340" w:hanging="360"/>
      </w:pPr>
      <w:rPr>
        <w:rFonts w:hint="default"/>
      </w:rPr>
    </w:lvl>
    <w:lvl w:ilvl="3" w:tplc="FFFFFFFF">
      <w:start w:val="1"/>
      <w:numFmt w:val="upperLetter"/>
      <w:lvlText w:val="%4."/>
      <w:lvlJc w:val="left"/>
      <w:pPr>
        <w:tabs>
          <w:tab w:val="num" w:pos="2880"/>
        </w:tabs>
        <w:ind w:left="2880" w:hanging="36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39544*"/>
    <w:docVar w:name="CreationDt" w:val="29/10/2007 03:053 م"/>
    <w:docVar w:name="DocCategory" w:val="Doc"/>
    <w:docVar w:name="DocType" w:val="Final"/>
    <w:docVar w:name="FooterJN" w:val="07-39544"/>
    <w:docVar w:name="jobn" w:val="07-39544 (A)"/>
    <w:docVar w:name="jobnDT" w:val="07-39544 (A)   291007"/>
    <w:docVar w:name="jobnDTDT" w:val="07-39544 (A)   291007   291007"/>
    <w:docVar w:name="JobNo" w:val="0739544A"/>
    <w:docVar w:name="OandT" w:val=" "/>
    <w:docVar w:name="sss1" w:val="CEDAW/C/BEL/6"/>
    <w:docVar w:name="sss2" w:val="-"/>
    <w:docVar w:name="Symbol1" w:val="CEDAW/C/BEL/6"/>
    <w:docVar w:name="Symbol2" w:val="-"/>
  </w:docVars>
  <w:rsids>
    <w:rsidRoot w:val="0096206A"/>
    <w:rsid w:val="000137D4"/>
    <w:rsid w:val="00042425"/>
    <w:rsid w:val="0006648F"/>
    <w:rsid w:val="00086998"/>
    <w:rsid w:val="00087310"/>
    <w:rsid w:val="0009732C"/>
    <w:rsid w:val="000C4EED"/>
    <w:rsid w:val="000D2CEC"/>
    <w:rsid w:val="00101EE8"/>
    <w:rsid w:val="00113349"/>
    <w:rsid w:val="001519A9"/>
    <w:rsid w:val="001737F8"/>
    <w:rsid w:val="00187870"/>
    <w:rsid w:val="00190714"/>
    <w:rsid w:val="00194684"/>
    <w:rsid w:val="001F6786"/>
    <w:rsid w:val="00231EBF"/>
    <w:rsid w:val="002416C5"/>
    <w:rsid w:val="002501C2"/>
    <w:rsid w:val="0025503E"/>
    <w:rsid w:val="00266F59"/>
    <w:rsid w:val="00272B6C"/>
    <w:rsid w:val="0027623A"/>
    <w:rsid w:val="00290339"/>
    <w:rsid w:val="00290F2F"/>
    <w:rsid w:val="002937DA"/>
    <w:rsid w:val="002A09C6"/>
    <w:rsid w:val="002C2AF2"/>
    <w:rsid w:val="002C4E1B"/>
    <w:rsid w:val="002F71EC"/>
    <w:rsid w:val="0030451F"/>
    <w:rsid w:val="00312162"/>
    <w:rsid w:val="003122F1"/>
    <w:rsid w:val="0032329F"/>
    <w:rsid w:val="0033602F"/>
    <w:rsid w:val="003501D5"/>
    <w:rsid w:val="00371AC4"/>
    <w:rsid w:val="00383CA8"/>
    <w:rsid w:val="0039161D"/>
    <w:rsid w:val="003A0BD4"/>
    <w:rsid w:val="003A65ED"/>
    <w:rsid w:val="003D341C"/>
    <w:rsid w:val="003D4612"/>
    <w:rsid w:val="003F4910"/>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D1B0C"/>
    <w:rsid w:val="004D3C2E"/>
    <w:rsid w:val="004F1402"/>
    <w:rsid w:val="004F784B"/>
    <w:rsid w:val="0050659B"/>
    <w:rsid w:val="00524A2E"/>
    <w:rsid w:val="005279DE"/>
    <w:rsid w:val="005322B5"/>
    <w:rsid w:val="00534772"/>
    <w:rsid w:val="00537FCD"/>
    <w:rsid w:val="00545F76"/>
    <w:rsid w:val="005545BB"/>
    <w:rsid w:val="00556882"/>
    <w:rsid w:val="00561E43"/>
    <w:rsid w:val="0057078E"/>
    <w:rsid w:val="005838F5"/>
    <w:rsid w:val="00591B45"/>
    <w:rsid w:val="005A0F73"/>
    <w:rsid w:val="005A2EA3"/>
    <w:rsid w:val="005C2ECE"/>
    <w:rsid w:val="0060431E"/>
    <w:rsid w:val="00616E82"/>
    <w:rsid w:val="006218A3"/>
    <w:rsid w:val="00635120"/>
    <w:rsid w:val="00655E37"/>
    <w:rsid w:val="006564CE"/>
    <w:rsid w:val="00663F64"/>
    <w:rsid w:val="00696B7A"/>
    <w:rsid w:val="006C38EE"/>
    <w:rsid w:val="006D0927"/>
    <w:rsid w:val="006D5CDD"/>
    <w:rsid w:val="007023B4"/>
    <w:rsid w:val="0071334E"/>
    <w:rsid w:val="0071531E"/>
    <w:rsid w:val="0071645B"/>
    <w:rsid w:val="00716E9D"/>
    <w:rsid w:val="0073566C"/>
    <w:rsid w:val="00747B9E"/>
    <w:rsid w:val="007524BE"/>
    <w:rsid w:val="007525FA"/>
    <w:rsid w:val="00774FF0"/>
    <w:rsid w:val="0079046D"/>
    <w:rsid w:val="0079753A"/>
    <w:rsid w:val="007A6DD9"/>
    <w:rsid w:val="007B7857"/>
    <w:rsid w:val="007D557F"/>
    <w:rsid w:val="007D5B72"/>
    <w:rsid w:val="007D60E0"/>
    <w:rsid w:val="007D6B8D"/>
    <w:rsid w:val="007E32B9"/>
    <w:rsid w:val="0081284F"/>
    <w:rsid w:val="00814843"/>
    <w:rsid w:val="008170DE"/>
    <w:rsid w:val="00830E32"/>
    <w:rsid w:val="00866A2C"/>
    <w:rsid w:val="00873A11"/>
    <w:rsid w:val="00873AF9"/>
    <w:rsid w:val="008D1C04"/>
    <w:rsid w:val="008F04A0"/>
    <w:rsid w:val="008F64A7"/>
    <w:rsid w:val="0090012B"/>
    <w:rsid w:val="0090351F"/>
    <w:rsid w:val="0095311E"/>
    <w:rsid w:val="0096206A"/>
    <w:rsid w:val="00970BAD"/>
    <w:rsid w:val="00971410"/>
    <w:rsid w:val="009768D1"/>
    <w:rsid w:val="009829B7"/>
    <w:rsid w:val="009927C0"/>
    <w:rsid w:val="00993694"/>
    <w:rsid w:val="009961E6"/>
    <w:rsid w:val="009B0925"/>
    <w:rsid w:val="009B6C65"/>
    <w:rsid w:val="009C0017"/>
    <w:rsid w:val="009C15F4"/>
    <w:rsid w:val="009D62A3"/>
    <w:rsid w:val="009E2A1F"/>
    <w:rsid w:val="00A37C4B"/>
    <w:rsid w:val="00A40E8F"/>
    <w:rsid w:val="00A43598"/>
    <w:rsid w:val="00A46F75"/>
    <w:rsid w:val="00A66F66"/>
    <w:rsid w:val="00A71AE5"/>
    <w:rsid w:val="00AA1E16"/>
    <w:rsid w:val="00AC002C"/>
    <w:rsid w:val="00AC54D8"/>
    <w:rsid w:val="00AC6CDD"/>
    <w:rsid w:val="00AD38D0"/>
    <w:rsid w:val="00AE108C"/>
    <w:rsid w:val="00AF077A"/>
    <w:rsid w:val="00AF1A53"/>
    <w:rsid w:val="00AF7AC7"/>
    <w:rsid w:val="00B05ADC"/>
    <w:rsid w:val="00B105BA"/>
    <w:rsid w:val="00B14663"/>
    <w:rsid w:val="00B272BE"/>
    <w:rsid w:val="00B9542C"/>
    <w:rsid w:val="00B95560"/>
    <w:rsid w:val="00B97F44"/>
    <w:rsid w:val="00BA7FAB"/>
    <w:rsid w:val="00BC2F4C"/>
    <w:rsid w:val="00BC4A05"/>
    <w:rsid w:val="00BF0B15"/>
    <w:rsid w:val="00C12CBB"/>
    <w:rsid w:val="00C25A2D"/>
    <w:rsid w:val="00C260F8"/>
    <w:rsid w:val="00C43FBE"/>
    <w:rsid w:val="00C449C6"/>
    <w:rsid w:val="00C564B0"/>
    <w:rsid w:val="00C6283F"/>
    <w:rsid w:val="00C6719A"/>
    <w:rsid w:val="00C6724F"/>
    <w:rsid w:val="00C70FDF"/>
    <w:rsid w:val="00C814A5"/>
    <w:rsid w:val="00C81B4E"/>
    <w:rsid w:val="00C96573"/>
    <w:rsid w:val="00C97F63"/>
    <w:rsid w:val="00CB4FD6"/>
    <w:rsid w:val="00CD0BB8"/>
    <w:rsid w:val="00CD3849"/>
    <w:rsid w:val="00CE107F"/>
    <w:rsid w:val="00CF7384"/>
    <w:rsid w:val="00D13D02"/>
    <w:rsid w:val="00D2343D"/>
    <w:rsid w:val="00D30EAE"/>
    <w:rsid w:val="00D318F1"/>
    <w:rsid w:val="00D40B0E"/>
    <w:rsid w:val="00D70385"/>
    <w:rsid w:val="00D904F3"/>
    <w:rsid w:val="00DA66B7"/>
    <w:rsid w:val="00DB0865"/>
    <w:rsid w:val="00DE5433"/>
    <w:rsid w:val="00DE68A7"/>
    <w:rsid w:val="00DF5C20"/>
    <w:rsid w:val="00DF5F38"/>
    <w:rsid w:val="00E215AB"/>
    <w:rsid w:val="00E23336"/>
    <w:rsid w:val="00E31661"/>
    <w:rsid w:val="00E3275E"/>
    <w:rsid w:val="00E32B52"/>
    <w:rsid w:val="00E3492F"/>
    <w:rsid w:val="00E3717B"/>
    <w:rsid w:val="00E47EB8"/>
    <w:rsid w:val="00E750E1"/>
    <w:rsid w:val="00E9114A"/>
    <w:rsid w:val="00E960BC"/>
    <w:rsid w:val="00EA489C"/>
    <w:rsid w:val="00EB0CA7"/>
    <w:rsid w:val="00EB4992"/>
    <w:rsid w:val="00EF2E52"/>
    <w:rsid w:val="00F32E4A"/>
    <w:rsid w:val="00F36D8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zh-CN"/>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link w:val="H1Char"/>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SingleTxt"/>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5322B5"/>
    <w:rPr>
      <w:szCs w:val="20"/>
    </w:rPr>
  </w:style>
  <w:style w:type="paragraph" w:styleId="CommentSubject">
    <w:name w:val="annotation subject"/>
    <w:basedOn w:val="CommentText"/>
    <w:next w:val="CommentText"/>
    <w:semiHidden/>
    <w:rsid w:val="005322B5"/>
    <w:rPr>
      <w:b/>
      <w:bCs/>
    </w:rPr>
  </w:style>
  <w:style w:type="table" w:styleId="TableGrid">
    <w:name w:val="Table Grid"/>
    <w:basedOn w:val="TableNormal"/>
    <w:rsid w:val="004D3C2E"/>
    <w:pPr>
      <w:bidi/>
      <w:spacing w:line="400" w:lineRule="exact"/>
      <w:jc w:val="lowKashida"/>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rsid w:val="004D3C2E"/>
    <w:rPr>
      <w:color w:val="0000FF"/>
      <w:u w:val="none"/>
    </w:rPr>
  </w:style>
  <w:style w:type="character" w:customStyle="1" w:styleId="H1Char">
    <w:name w:val="_ H_1 Char"/>
    <w:link w:val="H1"/>
    <w:rsid w:val="004D3C2E"/>
    <w:rPr>
      <w:rFonts w:eastAsia="SimSun" w:cs="Traditional Arabic"/>
      <w:b/>
      <w:bCs/>
      <w:w w:val="103"/>
      <w:kern w:val="14"/>
      <w:sz w:val="24"/>
      <w:szCs w:val="34"/>
      <w:lang w:val="en-US" w:eastAsia="zh-CN" w:bidi="ar-SA"/>
    </w:rPr>
  </w:style>
  <w:style w:type="paragraph" w:customStyle="1" w:styleId="StyleRA">
    <w:name w:val="Style RA"/>
    <w:basedOn w:val="Normal"/>
    <w:rsid w:val="0073566C"/>
    <w:pPr>
      <w:numPr>
        <w:numId w:val="1"/>
      </w:numPr>
      <w:tabs>
        <w:tab w:val="clear" w:pos="1080"/>
      </w:tabs>
      <w:bidi w:val="0"/>
      <w:spacing w:line="240" w:lineRule="auto"/>
      <w:ind w:left="0" w:firstLine="0"/>
      <w:jc w:val="both"/>
    </w:pPr>
    <w:rPr>
      <w:rFonts w:ascii="Arial" w:eastAsia="Times New Roman" w:hAnsi="Arial" w:cs="Times New Roman"/>
      <w:w w:val="100"/>
      <w:kern w:val="0"/>
      <w:szCs w:val="20"/>
      <w:lang w:val="fr-BE" w:eastAsia="fr-BE"/>
    </w:rPr>
  </w:style>
  <w:style w:type="paragraph" w:styleId="Caption">
    <w:name w:val="caption"/>
    <w:basedOn w:val="Normal"/>
    <w:next w:val="Normal"/>
    <w:autoRedefine/>
    <w:qFormat/>
    <w:rsid w:val="0073566C"/>
    <w:pPr>
      <w:tabs>
        <w:tab w:val="left" w:pos="360"/>
        <w:tab w:val="center" w:pos="4153"/>
      </w:tabs>
      <w:bidi w:val="0"/>
      <w:spacing w:before="120" w:after="120" w:line="240" w:lineRule="auto"/>
      <w:jc w:val="center"/>
    </w:pPr>
    <w:rPr>
      <w:rFonts w:ascii="Verdana" w:eastAsia="Times New Roman" w:hAnsi="Verdana" w:cs="Tahoma"/>
      <w:b/>
      <w:iCs/>
      <w:smallCaps/>
      <w:w w:val="100"/>
      <w:kern w:val="0"/>
      <w:sz w:val="16"/>
      <w:szCs w:val="20"/>
      <w:lang w:val="fr-FR" w:eastAsia="nl-NL"/>
    </w:rPr>
  </w:style>
  <w:style w:type="paragraph" w:styleId="BodyText2">
    <w:name w:val="Body Text 2"/>
    <w:basedOn w:val="Normal"/>
    <w:rsid w:val="0073566C"/>
    <w:pPr>
      <w:tabs>
        <w:tab w:val="left" w:pos="-720"/>
        <w:tab w:val="left" w:pos="1"/>
        <w:tab w:val="left" w:pos="576"/>
        <w:tab w:val="left" w:pos="1152"/>
        <w:tab w:val="left" w:pos="1728"/>
        <w:tab w:val="left" w:pos="6480"/>
      </w:tabs>
      <w:bidi w:val="0"/>
      <w:spacing w:line="240" w:lineRule="exact"/>
      <w:jc w:val="left"/>
    </w:pPr>
    <w:rPr>
      <w:rFonts w:eastAsia="Times New Roman" w:cs="Times New Roman"/>
      <w:w w:val="100"/>
      <w:kern w:val="0"/>
      <w:sz w:val="22"/>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www.lesfamilles.be" TargetMode="External"/><Relationship Id="rId26" Type="http://schemas.openxmlformats.org/officeDocument/2006/relationships/oleObject" Target="embeddings/Microsoft_Excel_Chart1.xls"/><Relationship Id="rId3" Type="http://schemas.openxmlformats.org/officeDocument/2006/relationships/settings" Target="settings.xml"/><Relationship Id="rId21" Type="http://schemas.openxmlformats.org/officeDocument/2006/relationships/hyperlink" Target="http://www.enseignement.be/infosup" TargetMode="External"/><Relationship Id="rId34"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www.csa.be/avis/caavis.asp" TargetMode="External"/><Relationship Id="rId25" Type="http://schemas.openxmlformats.org/officeDocument/2006/relationships/image" Target="media/image2.wmf"/><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conseildelegalite.be" TargetMode="External"/><Relationship Id="rId20" Type="http://schemas.openxmlformats.org/officeDocument/2006/relationships/hyperlink" Target="http://www.vlaanderenkiest.be" TargetMode="External"/><Relationship Id="rId29" Type="http://schemas.openxmlformats.org/officeDocument/2006/relationships/image" Target="media/image4.w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www.emploi.belgique.be" TargetMode="External"/><Relationship Id="rId32" Type="http://schemas.openxmlformats.org/officeDocument/2006/relationships/image" Target="media/image5.emf"/><Relationship Id="rId5" Type="http://schemas.openxmlformats.org/officeDocument/2006/relationships/footnotes" Target="footnotes.xml"/><Relationship Id="rId15" Type="http://schemas.openxmlformats.org/officeDocument/2006/relationships/hyperlink" Target="http://www.iefh.fgov.be" TargetMode="External"/><Relationship Id="rId23" Type="http://schemas.openxmlformats.org/officeDocument/2006/relationships/hyperlink" Target="http://www.enseignement.be/" TargetMode="External"/><Relationship Id="rId28" Type="http://schemas.openxmlformats.org/officeDocument/2006/relationships/oleObject" Target="embeddings/Microsoft_Excel_Chart2.xls"/><Relationship Id="rId10" Type="http://schemas.openxmlformats.org/officeDocument/2006/relationships/footer" Target="footer2.xml"/><Relationship Id="rId19" Type="http://schemas.openxmlformats.org/officeDocument/2006/relationships/hyperlink" Target="http://www.csa.be/AVIS/cac_recommandations.asp" TargetMode="External"/><Relationship Id="rId31" Type="http://schemas.openxmlformats.org/officeDocument/2006/relationships/hyperlink" Target="http://www.femmeetpension.be"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amazone" TargetMode="External"/><Relationship Id="rId22" Type="http://schemas.openxmlformats.org/officeDocument/2006/relationships/hyperlink" Target="(http://www.educ-egal.org)" TargetMode="External"/><Relationship Id="rId27" Type="http://schemas.openxmlformats.org/officeDocument/2006/relationships/image" Target="media/image3.wmf"/><Relationship Id="rId30" Type="http://schemas.openxmlformats.org/officeDocument/2006/relationships/oleObject" Target="embeddings/Microsoft_Excel_Chart3.xls"/></Relationships>
</file>

<file path=word/_rels/footnotes.xml.rels><?xml version="1.0" encoding="UTF-8" standalone="yes"?>
<Relationships xmlns="http://schemas.openxmlformats.org/package/2006/relationships"><Relationship Id="rId3" Type="http://schemas.openxmlformats.org/officeDocument/2006/relationships/hyperlink" Target="http://www.swardado.be/rubriques/keskia/page5548.361152.shtml" TargetMode="External"/><Relationship Id="rId2" Type="http://schemas.openxmlformats.org/officeDocument/2006/relationships/hyperlink" Target="http://www.ulbac.be/esp/promes" TargetMode="External"/><Relationship Id="rId1" Type="http://schemas.openxmlformats.org/officeDocument/2006/relationships/hyperlink" Target="http://www.diversite.be"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306</TotalTime>
  <Pages>1</Pages>
  <Words>43030</Words>
  <Characters>245274</Characters>
  <Application>Microsoft Office Word</Application>
  <DocSecurity>4</DocSecurity>
  <Lines>2043</Lines>
  <Paragraphs>575</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287729</CharactersWithSpaces>
  <SharedDoc>false</SharedDoc>
  <HLinks>
    <vt:vector size="90" baseType="variant">
      <vt:variant>
        <vt:i4>196678</vt:i4>
      </vt:variant>
      <vt:variant>
        <vt:i4>36</vt:i4>
      </vt:variant>
      <vt:variant>
        <vt:i4>0</vt:i4>
      </vt:variant>
      <vt:variant>
        <vt:i4>5</vt:i4>
      </vt:variant>
      <vt:variant>
        <vt:lpwstr>http://www.femmeetpension.be/</vt:lpwstr>
      </vt:variant>
      <vt:variant>
        <vt:lpwstr/>
      </vt:variant>
      <vt:variant>
        <vt:i4>2359393</vt:i4>
      </vt:variant>
      <vt:variant>
        <vt:i4>30</vt:i4>
      </vt:variant>
      <vt:variant>
        <vt:i4>0</vt:i4>
      </vt:variant>
      <vt:variant>
        <vt:i4>5</vt:i4>
      </vt:variant>
      <vt:variant>
        <vt:lpwstr>http://www.emploi.belgique.be/</vt:lpwstr>
      </vt:variant>
      <vt:variant>
        <vt:lpwstr/>
      </vt:variant>
      <vt:variant>
        <vt:i4>7471146</vt:i4>
      </vt:variant>
      <vt:variant>
        <vt:i4>27</vt:i4>
      </vt:variant>
      <vt:variant>
        <vt:i4>0</vt:i4>
      </vt:variant>
      <vt:variant>
        <vt:i4>5</vt:i4>
      </vt:variant>
      <vt:variant>
        <vt:lpwstr>http://www.enseignement.be/</vt:lpwstr>
      </vt:variant>
      <vt:variant>
        <vt:lpwstr/>
      </vt:variant>
      <vt:variant>
        <vt:i4>2490429</vt:i4>
      </vt:variant>
      <vt:variant>
        <vt:i4>24</vt:i4>
      </vt:variant>
      <vt:variant>
        <vt:i4>0</vt:i4>
      </vt:variant>
      <vt:variant>
        <vt:i4>5</vt:i4>
      </vt:variant>
      <vt:variant>
        <vt:lpwstr>(http://www.educ-egal.org)</vt:lpwstr>
      </vt:variant>
      <vt:variant>
        <vt:lpwstr/>
      </vt:variant>
      <vt:variant>
        <vt:i4>8257649</vt:i4>
      </vt:variant>
      <vt:variant>
        <vt:i4>21</vt:i4>
      </vt:variant>
      <vt:variant>
        <vt:i4>0</vt:i4>
      </vt:variant>
      <vt:variant>
        <vt:i4>5</vt:i4>
      </vt:variant>
      <vt:variant>
        <vt:lpwstr>http://www.enseignement.be/infosup</vt:lpwstr>
      </vt:variant>
      <vt:variant>
        <vt:lpwstr/>
      </vt:variant>
      <vt:variant>
        <vt:i4>6619252</vt:i4>
      </vt:variant>
      <vt:variant>
        <vt:i4>18</vt:i4>
      </vt:variant>
      <vt:variant>
        <vt:i4>0</vt:i4>
      </vt:variant>
      <vt:variant>
        <vt:i4>5</vt:i4>
      </vt:variant>
      <vt:variant>
        <vt:lpwstr>http://www.vlaanderenkiest.be/</vt:lpwstr>
      </vt:variant>
      <vt:variant>
        <vt:lpwstr/>
      </vt:variant>
      <vt:variant>
        <vt:i4>6357059</vt:i4>
      </vt:variant>
      <vt:variant>
        <vt:i4>15</vt:i4>
      </vt:variant>
      <vt:variant>
        <vt:i4>0</vt:i4>
      </vt:variant>
      <vt:variant>
        <vt:i4>5</vt:i4>
      </vt:variant>
      <vt:variant>
        <vt:lpwstr>http://www.csa.be/AVIS/cac_recommandations.asp</vt:lpwstr>
      </vt:variant>
      <vt:variant>
        <vt:lpwstr/>
      </vt:variant>
      <vt:variant>
        <vt:i4>7209084</vt:i4>
      </vt:variant>
      <vt:variant>
        <vt:i4>12</vt:i4>
      </vt:variant>
      <vt:variant>
        <vt:i4>0</vt:i4>
      </vt:variant>
      <vt:variant>
        <vt:i4>5</vt:i4>
      </vt:variant>
      <vt:variant>
        <vt:lpwstr>http://www.lesfamilles.be/</vt:lpwstr>
      </vt:variant>
      <vt:variant>
        <vt:lpwstr/>
      </vt:variant>
      <vt:variant>
        <vt:i4>5701706</vt:i4>
      </vt:variant>
      <vt:variant>
        <vt:i4>9</vt:i4>
      </vt:variant>
      <vt:variant>
        <vt:i4>0</vt:i4>
      </vt:variant>
      <vt:variant>
        <vt:i4>5</vt:i4>
      </vt:variant>
      <vt:variant>
        <vt:lpwstr>http://www.csa.be/avis/caavis.asp</vt:lpwstr>
      </vt:variant>
      <vt:variant>
        <vt:lpwstr/>
      </vt:variant>
      <vt:variant>
        <vt:i4>983065</vt:i4>
      </vt:variant>
      <vt:variant>
        <vt:i4>6</vt:i4>
      </vt:variant>
      <vt:variant>
        <vt:i4>0</vt:i4>
      </vt:variant>
      <vt:variant>
        <vt:i4>5</vt:i4>
      </vt:variant>
      <vt:variant>
        <vt:lpwstr>http://www.conseildelegalite.be/</vt:lpwstr>
      </vt:variant>
      <vt:variant>
        <vt:lpwstr/>
      </vt:variant>
      <vt:variant>
        <vt:i4>5636127</vt:i4>
      </vt:variant>
      <vt:variant>
        <vt:i4>3</vt:i4>
      </vt:variant>
      <vt:variant>
        <vt:i4>0</vt:i4>
      </vt:variant>
      <vt:variant>
        <vt:i4>5</vt:i4>
      </vt:variant>
      <vt:variant>
        <vt:lpwstr>http://www.iefh.fgov.be/</vt:lpwstr>
      </vt:variant>
      <vt:variant>
        <vt:lpwstr/>
      </vt:variant>
      <vt:variant>
        <vt:i4>2162729</vt:i4>
      </vt:variant>
      <vt:variant>
        <vt:i4>0</vt:i4>
      </vt:variant>
      <vt:variant>
        <vt:i4>0</vt:i4>
      </vt:variant>
      <vt:variant>
        <vt:i4>5</vt:i4>
      </vt:variant>
      <vt:variant>
        <vt:lpwstr>http://www.amazone/</vt:lpwstr>
      </vt:variant>
      <vt:variant>
        <vt:lpwstr/>
      </vt:variant>
      <vt:variant>
        <vt:i4>4587599</vt:i4>
      </vt:variant>
      <vt:variant>
        <vt:i4>6</vt:i4>
      </vt:variant>
      <vt:variant>
        <vt:i4>0</vt:i4>
      </vt:variant>
      <vt:variant>
        <vt:i4>5</vt:i4>
      </vt:variant>
      <vt:variant>
        <vt:lpwstr>http://www.swardado.be/rubriques/keskia/page5548.361152.shtml</vt:lpwstr>
      </vt:variant>
      <vt:variant>
        <vt:lpwstr/>
      </vt:variant>
      <vt:variant>
        <vt:i4>2228345</vt:i4>
      </vt:variant>
      <vt:variant>
        <vt:i4>3</vt:i4>
      </vt:variant>
      <vt:variant>
        <vt:i4>0</vt:i4>
      </vt:variant>
      <vt:variant>
        <vt:i4>5</vt:i4>
      </vt:variant>
      <vt:variant>
        <vt:lpwstr>http://www.ulbac.be/esp/promes</vt:lpwstr>
      </vt:variant>
      <vt:variant>
        <vt:lpwstr/>
      </vt:variant>
      <vt:variant>
        <vt:i4>655376</vt:i4>
      </vt:variant>
      <vt:variant>
        <vt:i4>0</vt:i4>
      </vt:variant>
      <vt:variant>
        <vt:i4>0</vt:i4>
      </vt:variant>
      <vt:variant>
        <vt:i4>5</vt:i4>
      </vt:variant>
      <vt:variant>
        <vt:lpwstr>http://www.diversite.be/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Antone.Boulis</dc:creator>
  <cp:keywords/>
  <dc:description/>
  <cp:lastModifiedBy>IMTU</cp:lastModifiedBy>
  <cp:revision>28</cp:revision>
  <cp:lastPrinted>2007-11-05T15:33:00Z</cp:lastPrinted>
  <dcterms:created xsi:type="dcterms:W3CDTF">2007-11-01T12:19:00Z</dcterms:created>
  <dcterms:modified xsi:type="dcterms:W3CDTF">2007-11-05T17:51:00Z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0739544</vt:lpwstr>
  </property>
  <property fmtid="{D5CDD505-2E9C-101B-9397-08002B2CF9AE}" pid="3" name="Symbol1">
    <vt:lpwstr>CEDAW/C/BEL/6</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