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A43F5" w:rsidRDefault="006A43F5">
      <w:pPr>
        <w:spacing w:line="60" w:lineRule="exact"/>
        <w:rPr>
          <w:rFonts w:ascii="Times New Roman"/>
          <w:sz w:val="6"/>
        </w:rPr>
        <w:sectPr w:rsidR="006A43F5">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2" w:h="15842" w:code="1"/>
          <w:pgMar w:top="1742" w:right="1195" w:bottom="1898" w:left="1195" w:header="576" w:footer="1030" w:gutter="0"/>
          <w:cols w:space="425"/>
          <w:titlePg/>
          <w:docGrid w:type="lines" w:linePitch="312"/>
        </w:sectPr>
      </w:pPr>
      <w:r>
        <w:rPr>
          <w:rStyle w:val="CommentReference"/>
          <w:rFonts w:ascii="Times New Roman" w:hint="eastAsia"/>
          <w:vanish/>
        </w:rPr>
        <w:commentReference w:id="0"/>
      </w:r>
    </w:p>
    <w:p w:rsidR="006A43F5" w:rsidRDefault="006A43F5">
      <w:pPr>
        <w:pStyle w:val="H1"/>
        <w:spacing w:line="340" w:lineRule="exact"/>
        <w:rPr>
          <w:rFonts w:hint="eastAsia"/>
        </w:rPr>
      </w:pPr>
      <w:r>
        <w:rPr>
          <w:rFonts w:hint="eastAsia"/>
        </w:rPr>
        <w:t>消除对妇女歧视委员会</w:t>
      </w:r>
    </w:p>
    <w:p w:rsidR="006A43F5" w:rsidRDefault="006A43F5">
      <w:pPr>
        <w:pStyle w:val="DualTxt"/>
        <w:spacing w:afterLines="50" w:after="156"/>
        <w:rPr>
          <w:rFonts w:ascii="SimHei" w:eastAsia="SimHei" w:hint="eastAsia"/>
          <w:color w:val="FF0000"/>
        </w:rPr>
      </w:pPr>
      <w:r>
        <w:rPr>
          <w:rFonts w:ascii="SimHei" w:eastAsia="SimHei" w:hint="eastAsia"/>
          <w:color w:val="FF0000"/>
        </w:rPr>
        <w:t>第三十七届会议</w:t>
      </w:r>
    </w:p>
    <w:p w:rsidR="006A43F5" w:rsidRDefault="006A43F5">
      <w:pPr>
        <w:pStyle w:val="DualTxt"/>
        <w:spacing w:after="0"/>
        <w:rPr>
          <w:rFonts w:ascii="SimHei" w:eastAsia="SimHei" w:hint="eastAsia"/>
          <w:color w:val="FF0000"/>
        </w:rPr>
      </w:pPr>
      <w:r>
        <w:rPr>
          <w:rFonts w:ascii="SimHei" w:eastAsia="SimHei" w:hint="eastAsia"/>
          <w:color w:val="FF0000"/>
        </w:rPr>
        <w:t>第758次会议简要记录（B室）</w:t>
      </w:r>
    </w:p>
    <w:p w:rsidR="006A43F5" w:rsidRDefault="006A43F5">
      <w:pPr>
        <w:spacing w:afterLines="50" w:after="156"/>
        <w:rPr>
          <w:rFonts w:ascii="Times New Roman" w:hint="eastAsia"/>
        </w:rPr>
      </w:pPr>
      <w:r>
        <w:rPr>
          <w:rFonts w:ascii="Times New Roman" w:hint="eastAsia"/>
        </w:rPr>
        <w:t>2007</w:t>
      </w:r>
      <w:r>
        <w:rPr>
          <w:rFonts w:ascii="Times New Roman" w:hint="eastAsia"/>
        </w:rPr>
        <w:t>年</w:t>
      </w:r>
      <w:r>
        <w:rPr>
          <w:rFonts w:ascii="Times New Roman" w:hint="eastAsia"/>
        </w:rPr>
        <w:t>1</w:t>
      </w:r>
      <w:r>
        <w:rPr>
          <w:rFonts w:ascii="Times New Roman" w:hint="eastAsia"/>
        </w:rPr>
        <w:t>月</w:t>
      </w:r>
      <w:r>
        <w:rPr>
          <w:rFonts w:ascii="Times New Roman" w:hint="eastAsia"/>
        </w:rPr>
        <w:t>16</w:t>
      </w:r>
      <w:r>
        <w:rPr>
          <w:rFonts w:ascii="Times New Roman" w:hint="eastAsia"/>
        </w:rPr>
        <w:t>日，星期二，下午</w:t>
      </w:r>
      <w:r>
        <w:rPr>
          <w:rFonts w:ascii="Times New Roman" w:hint="eastAsia"/>
        </w:rPr>
        <w:t>3</w:t>
      </w:r>
      <w:r>
        <w:rPr>
          <w:rFonts w:ascii="Times New Roman" w:hint="eastAsia"/>
        </w:rPr>
        <w:t>时在纽约总部举行</w:t>
      </w:r>
    </w:p>
    <w:p w:rsidR="006A43F5" w:rsidRDefault="006A43F5">
      <w:pPr>
        <w:tabs>
          <w:tab w:val="left" w:pos="1260"/>
          <w:tab w:val="right" w:leader="dot" w:pos="8568"/>
        </w:tabs>
        <w:spacing w:line="360" w:lineRule="auto"/>
        <w:ind w:right="1267"/>
        <w:rPr>
          <w:rFonts w:ascii="Times New Roman" w:hint="eastAsia"/>
          <w:color w:val="000000"/>
          <w:kern w:val="2"/>
          <w:szCs w:val="24"/>
        </w:rPr>
      </w:pPr>
      <w:r>
        <w:rPr>
          <w:rFonts w:eastAsia="KaiTi_GB2312" w:hint="eastAsia"/>
          <w:color w:val="0000FF"/>
        </w:rPr>
        <w:t>主席：</w:t>
      </w:r>
      <w:r>
        <w:rPr>
          <w:rFonts w:ascii="Times New Roman"/>
          <w:color w:val="000000"/>
          <w:kern w:val="2"/>
          <w:szCs w:val="24"/>
        </w:rPr>
        <w:tab/>
      </w:r>
      <w:r>
        <w:rPr>
          <w:rFonts w:ascii="Times New Roman" w:hint="eastAsia"/>
        </w:rPr>
        <w:t>加斯帕德女士（副主席）</w:t>
      </w:r>
    </w:p>
    <w:p w:rsidR="006A43F5" w:rsidRDefault="006A43F5">
      <w:pPr>
        <w:tabs>
          <w:tab w:val="left" w:pos="1260"/>
          <w:tab w:val="right" w:leader="dot" w:pos="8568"/>
        </w:tabs>
        <w:spacing w:line="360" w:lineRule="auto"/>
        <w:ind w:right="1267"/>
        <w:rPr>
          <w:rFonts w:ascii="Times New Roman"/>
        </w:rPr>
      </w:pPr>
    </w:p>
    <w:p w:rsidR="006A43F5" w:rsidRDefault="006A43F5">
      <w:pPr>
        <w:tabs>
          <w:tab w:val="left" w:pos="1267"/>
          <w:tab w:val="right" w:leader="dot" w:pos="8568"/>
        </w:tabs>
        <w:spacing w:line="120" w:lineRule="exact"/>
        <w:ind w:right="1267"/>
        <w:rPr>
          <w:rFonts w:ascii="Times New Roman"/>
          <w:sz w:val="10"/>
        </w:rPr>
      </w:pPr>
    </w:p>
    <w:p w:rsidR="006A43F5" w:rsidRDefault="006A43F5">
      <w:pPr>
        <w:pStyle w:val="HCh"/>
        <w:keepNext w:val="0"/>
        <w:keepLines w:val="0"/>
        <w:tabs>
          <w:tab w:val="clear" w:pos="57"/>
        </w:tabs>
        <w:suppressAutoHyphens w:val="0"/>
        <w:spacing w:afterLines="50" w:after="156" w:line="320" w:lineRule="exact"/>
        <w:outlineLvl w:val="9"/>
        <w:rPr>
          <w:rFonts w:ascii="Times New Roman" w:eastAsia="SimSun" w:hint="eastAsia"/>
        </w:rPr>
      </w:pPr>
      <w:r>
        <w:rPr>
          <w:rFonts w:ascii="Times New Roman" w:eastAsia="SimSun" w:hint="eastAsia"/>
        </w:rPr>
        <w:t>目录</w:t>
      </w:r>
    </w:p>
    <w:p w:rsidR="006A43F5" w:rsidRDefault="006A43F5">
      <w:pPr>
        <w:pStyle w:val="SingleTxt"/>
        <w:spacing w:after="180" w:line="340" w:lineRule="exact"/>
        <w:rPr>
          <w:rFonts w:hAnsi="SimSun" w:hint="eastAsia"/>
          <w:color w:val="000000"/>
        </w:rPr>
      </w:pPr>
      <w:r>
        <w:rPr>
          <w:rFonts w:hAnsi="SimSun" w:hint="eastAsia"/>
          <w:color w:val="000000"/>
        </w:rPr>
        <w:t>审议缔约国根据《公约》第18条提交的报告（</w:t>
      </w:r>
      <w:r>
        <w:rPr>
          <w:rFonts w:ascii="Times New Roman" w:eastAsia="KaiTi_GB2312" w:hint="eastAsia"/>
          <w:color w:val="0000FF"/>
        </w:rPr>
        <w:t>续</w:t>
      </w:r>
      <w:r>
        <w:rPr>
          <w:rFonts w:hAnsi="SimSun" w:hint="eastAsia"/>
          <w:color w:val="000000"/>
        </w:rPr>
        <w:t>）</w:t>
      </w:r>
    </w:p>
    <w:p w:rsidR="006A43F5" w:rsidRDefault="006A43F5" w:rsidP="009450CD">
      <w:pPr>
        <w:pStyle w:val="SingleTxt"/>
        <w:spacing w:after="180" w:line="340" w:lineRule="exact"/>
        <w:ind w:leftChars="807" w:left="31680" w:rightChars="602" w:right="31680"/>
        <w:rPr>
          <w:rFonts w:ascii="Times New Roman" w:eastAsia="KaiTi_GB2312" w:hint="eastAsia"/>
          <w:color w:val="0000FF"/>
        </w:rPr>
      </w:pPr>
      <w:r>
        <w:rPr>
          <w:rFonts w:ascii="Times New Roman" w:eastAsia="KaiTi_GB2312" w:hint="eastAsia"/>
          <w:color w:val="0000FF"/>
        </w:rPr>
        <w:t>波兰的第四、第五和第六次合并定期报告（续）</w:t>
      </w:r>
    </w:p>
    <w:p w:rsidR="006A43F5" w:rsidRDefault="006A43F5" w:rsidP="009450CD">
      <w:pPr>
        <w:pStyle w:val="SingleTxt"/>
        <w:spacing w:after="180" w:line="340" w:lineRule="exact"/>
        <w:ind w:leftChars="807" w:left="31680" w:rightChars="602" w:right="31680"/>
        <w:rPr>
          <w:rFonts w:ascii="Times New Roman" w:eastAsia="KaiTi_GB2312" w:hint="eastAsia"/>
          <w:color w:val="0000FF"/>
        </w:rPr>
        <w:sectPr w:rsidR="006A43F5">
          <w:endnotePr>
            <w:numFmt w:val="decimal"/>
          </w:endnotePr>
          <w:type w:val="continuous"/>
          <w:pgSz w:w="12242" w:h="15842" w:code="1"/>
          <w:pgMar w:top="1742" w:right="1195" w:bottom="1898" w:left="1195" w:header="576" w:footer="1030" w:gutter="0"/>
          <w:pgNumType w:start="1"/>
          <w:cols w:space="425"/>
          <w:noEndnote/>
          <w:docGrid w:type="lines" w:linePitch="312"/>
        </w:sectPr>
      </w:pPr>
    </w:p>
    <w:p w:rsidR="006A43F5" w:rsidRDefault="006A43F5">
      <w:pPr>
        <w:pStyle w:val="SingleTxt"/>
        <w:spacing w:after="0" w:line="20" w:lineRule="exact"/>
        <w:rPr>
          <w:rFonts w:ascii="Times New Roman"/>
        </w:rPr>
        <w:sectPr w:rsidR="006A43F5">
          <w:endnotePr>
            <w:numFmt w:val="decimal"/>
          </w:endnotePr>
          <w:pgSz w:w="12242" w:h="15842" w:code="1"/>
          <w:pgMar w:top="1742" w:right="1195" w:bottom="1898" w:left="1195" w:header="576" w:footer="1030" w:gutter="0"/>
          <w:cols w:space="425"/>
          <w:noEndnote/>
          <w:docGrid w:type="lines" w:linePitch="312"/>
        </w:sectPr>
      </w:pPr>
    </w:p>
    <w:p w:rsidR="006A43F5" w:rsidRDefault="006A43F5">
      <w:pPr>
        <w:tabs>
          <w:tab w:val="left" w:pos="420"/>
        </w:tabs>
        <w:spacing w:after="180" w:line="340" w:lineRule="exact"/>
        <w:rPr>
          <w:rFonts w:ascii="KaiTi_GB2312" w:eastAsia="KaiTi_GB2312" w:hint="eastAsia"/>
          <w:color w:val="0000FF"/>
          <w:lang w:val="en-GB"/>
        </w:rPr>
      </w:pPr>
      <w:r>
        <w:rPr>
          <w:rFonts w:ascii="KaiTi_GB2312" w:eastAsia="KaiTi_GB2312" w:hint="eastAsia"/>
          <w:color w:val="0000FF"/>
          <w:lang w:val="en-GB"/>
        </w:rPr>
        <w:t>因西蒙诺维奇女士缺席，副主席加斯帕德女士代行主席职务。</w:t>
      </w:r>
    </w:p>
    <w:p w:rsidR="006A43F5" w:rsidRDefault="006A43F5" w:rsidP="009450CD">
      <w:pPr>
        <w:tabs>
          <w:tab w:val="left" w:pos="420"/>
        </w:tabs>
        <w:spacing w:after="180" w:line="340" w:lineRule="exact"/>
        <w:ind w:firstLineChars="200" w:firstLine="31680"/>
        <w:rPr>
          <w:rFonts w:ascii="KaiTi_GB2312" w:eastAsia="KaiTi_GB2312" w:hint="eastAsia"/>
          <w:color w:val="0000FF"/>
          <w:lang w:val="en-GB"/>
        </w:rPr>
      </w:pPr>
      <w:r>
        <w:rPr>
          <w:rFonts w:ascii="KaiTi_GB2312" w:eastAsia="KaiTi_GB2312" w:hint="eastAsia"/>
          <w:color w:val="0000FF"/>
          <w:lang w:val="en-GB"/>
        </w:rPr>
        <w:t>下午3时零5分宣布开会</w:t>
      </w:r>
    </w:p>
    <w:p w:rsidR="006A43F5" w:rsidRDefault="006A43F5">
      <w:pPr>
        <w:tabs>
          <w:tab w:val="left" w:pos="420"/>
        </w:tabs>
        <w:spacing w:after="140" w:line="340" w:lineRule="exact"/>
        <w:jc w:val="both"/>
        <w:rPr>
          <w:rFonts w:ascii="Times New Roman" w:eastAsia="KaiTi_GB2312" w:hint="eastAsia"/>
          <w:bCs/>
          <w:color w:val="0000FF"/>
        </w:rPr>
      </w:pPr>
      <w:r>
        <w:rPr>
          <w:rFonts w:ascii="SimHei" w:eastAsia="SimHei" w:hint="eastAsia"/>
          <w:color w:val="FF0000"/>
        </w:rPr>
        <w:t>审议缔约国根据《公约》第</w:t>
      </w:r>
      <w:r>
        <w:rPr>
          <w:rFonts w:ascii="Times New Roman"/>
          <w:color w:val="FF0000"/>
        </w:rPr>
        <w:t>18</w:t>
      </w:r>
      <w:r>
        <w:rPr>
          <w:rFonts w:ascii="SimHei" w:eastAsia="SimHei" w:hint="eastAsia"/>
          <w:color w:val="FF0000"/>
        </w:rPr>
        <w:t>条提交的报告</w:t>
      </w:r>
      <w:r>
        <w:rPr>
          <w:rFonts w:ascii="Times New Roman" w:eastAsia="KaiTi_GB2312" w:hint="eastAsia"/>
          <w:bCs/>
          <w:color w:val="0000FF"/>
        </w:rPr>
        <w:t>（续）</w:t>
      </w:r>
    </w:p>
    <w:p w:rsidR="006A43F5" w:rsidRDefault="006A43F5">
      <w:pPr>
        <w:tabs>
          <w:tab w:val="left" w:pos="420"/>
        </w:tabs>
        <w:spacing w:after="140" w:line="340" w:lineRule="exact"/>
        <w:jc w:val="both"/>
        <w:rPr>
          <w:rFonts w:ascii="Times New Roman" w:eastAsia="KaiTi_GB2312" w:hint="eastAsia"/>
        </w:rPr>
      </w:pPr>
      <w:r>
        <w:rPr>
          <w:rFonts w:ascii="Times New Roman" w:eastAsia="KaiTi_GB2312" w:hint="eastAsia"/>
          <w:color w:val="0000FF"/>
        </w:rPr>
        <w:tab/>
      </w:r>
      <w:r>
        <w:rPr>
          <w:rFonts w:ascii="Times New Roman" w:eastAsia="KaiTi_GB2312" w:hint="eastAsia"/>
          <w:color w:val="0000FF"/>
        </w:rPr>
        <w:t>波兰的第四、第五和</w:t>
      </w:r>
      <w:r>
        <w:rPr>
          <w:rFonts w:eastAsia="KaiTi_GB2312" w:hint="eastAsia"/>
          <w:color w:val="0000FF"/>
        </w:rPr>
        <w:t>第六</w:t>
      </w:r>
      <w:r>
        <w:rPr>
          <w:rFonts w:ascii="Times New Roman" w:eastAsia="KaiTi_GB2312" w:hint="eastAsia"/>
          <w:color w:val="0000FF"/>
        </w:rPr>
        <w:t>次合并定期报告（续）</w:t>
      </w:r>
      <w:r>
        <w:rPr>
          <w:rFonts w:ascii="Times New Roman" w:eastAsia="KaiTi_GB2312" w:hint="eastAsia"/>
        </w:rPr>
        <w:t>（</w:t>
      </w:r>
      <w:r>
        <w:rPr>
          <w:rFonts w:ascii="Times New Roman" w:eastAsia="KaiTi_GB2312" w:hint="eastAsia"/>
        </w:rPr>
        <w:t>CEDAW/C/POL/4-5</w:t>
      </w:r>
      <w:r>
        <w:rPr>
          <w:rFonts w:ascii="Times New Roman" w:eastAsia="KaiTi_GB2312" w:hint="eastAsia"/>
        </w:rPr>
        <w:t>、</w:t>
      </w:r>
      <w:r>
        <w:rPr>
          <w:rFonts w:ascii="Times New Roman" w:eastAsia="KaiTi_GB2312" w:hint="eastAsia"/>
        </w:rPr>
        <w:t>CEDAW/C/POL/6</w:t>
      </w:r>
      <w:r>
        <w:rPr>
          <w:rFonts w:ascii="Times New Roman" w:eastAsia="KaiTi_GB2312" w:hint="eastAsia"/>
        </w:rPr>
        <w:t>、</w:t>
      </w:r>
      <w:r>
        <w:rPr>
          <w:rFonts w:ascii="Times New Roman" w:eastAsia="KaiTi_GB2312" w:hint="eastAsia"/>
        </w:rPr>
        <w:t>CEDAW/ POL/Q/6</w:t>
      </w:r>
      <w:r>
        <w:rPr>
          <w:rFonts w:ascii="Times New Roman" w:eastAsia="KaiTi_GB2312" w:hint="eastAsia"/>
        </w:rPr>
        <w:t>和</w:t>
      </w:r>
      <w:r>
        <w:rPr>
          <w:rFonts w:ascii="Times New Roman" w:eastAsia="KaiTi_GB2312" w:hint="eastAsia"/>
        </w:rPr>
        <w:t xml:space="preserve"> Add.1</w:t>
      </w:r>
      <w:r>
        <w:rPr>
          <w:rFonts w:ascii="Times New Roman" w:eastAsia="KaiTi_GB2312" w:hint="eastAsia"/>
        </w:rPr>
        <w:t>）</w:t>
      </w:r>
    </w:p>
    <w:p w:rsidR="006A43F5" w:rsidRDefault="006A43F5">
      <w:pPr>
        <w:pStyle w:val="DualTxt"/>
        <w:numPr>
          <w:ilvl w:val="0"/>
          <w:numId w:val="19"/>
        </w:numPr>
        <w:tabs>
          <w:tab w:val="clear" w:pos="360"/>
          <w:tab w:val="clear" w:pos="432"/>
          <w:tab w:val="clear" w:pos="864"/>
          <w:tab w:val="clear" w:pos="1293"/>
          <w:tab w:val="clear" w:pos="1724"/>
          <w:tab w:val="clear" w:pos="2155"/>
          <w:tab w:val="clear" w:pos="2586"/>
          <w:tab w:val="left" w:pos="450"/>
        </w:tabs>
        <w:spacing w:line="340" w:lineRule="exact"/>
        <w:ind w:left="0" w:firstLine="0"/>
        <w:rPr>
          <w:rFonts w:ascii="KaiTi_GB2312" w:eastAsia="KaiTi_GB2312" w:hAnsi="SimSun" w:hint="eastAsia"/>
          <w:color w:val="0000FF"/>
        </w:rPr>
      </w:pPr>
      <w:r>
        <w:rPr>
          <w:rFonts w:ascii="KaiTi_GB2312" w:eastAsia="KaiTi_GB2312" w:hAnsi="SimSun" w:hint="eastAsia"/>
          <w:color w:val="0000FF"/>
        </w:rPr>
        <w:t>应主席邀请，波兰代表团成员在委员会议席就座。</w:t>
      </w:r>
    </w:p>
    <w:p w:rsidR="006A43F5" w:rsidRDefault="006A43F5">
      <w:pPr>
        <w:tabs>
          <w:tab w:val="left" w:pos="420"/>
        </w:tabs>
        <w:spacing w:after="140" w:line="340" w:lineRule="exact"/>
        <w:jc w:val="both"/>
        <w:rPr>
          <w:rFonts w:ascii="KaiTi_GB2312" w:eastAsia="KaiTi_GB2312" w:hint="eastAsia"/>
          <w:color w:val="0000FF"/>
        </w:rPr>
      </w:pPr>
      <w:r>
        <w:rPr>
          <w:rFonts w:ascii="KaiTi_GB2312" w:eastAsia="KaiTi_GB2312" w:hint="eastAsia"/>
          <w:color w:val="0000FF"/>
        </w:rPr>
        <w:t>第10条至第14条</w:t>
      </w:r>
    </w:p>
    <w:p w:rsidR="006A43F5" w:rsidRDefault="006A43F5">
      <w:pPr>
        <w:numPr>
          <w:ilvl w:val="0"/>
          <w:numId w:val="19"/>
        </w:numPr>
        <w:tabs>
          <w:tab w:val="clear" w:pos="360"/>
          <w:tab w:val="left" w:pos="450"/>
        </w:tabs>
        <w:spacing w:after="140" w:line="340" w:lineRule="exact"/>
        <w:ind w:left="0" w:firstLine="0"/>
        <w:jc w:val="both"/>
        <w:rPr>
          <w:rFonts w:ascii="Times New Roman" w:hint="eastAsia"/>
        </w:rPr>
      </w:pPr>
      <w:r>
        <w:rPr>
          <w:rFonts w:ascii="SimHei" w:eastAsia="SimHei" w:hint="eastAsia"/>
          <w:color w:val="FF0000"/>
        </w:rPr>
        <w:t>Patten女士</w:t>
      </w:r>
      <w:r>
        <w:rPr>
          <w:rFonts w:ascii="Times New Roman" w:hint="eastAsia"/>
        </w:rPr>
        <w:t>提到《公约》第</w:t>
      </w:r>
      <w:r>
        <w:rPr>
          <w:rFonts w:ascii="Times New Roman" w:hint="eastAsia"/>
        </w:rPr>
        <w:t>10</w:t>
      </w:r>
      <w:r>
        <w:rPr>
          <w:rFonts w:ascii="Times New Roman" w:hint="eastAsia"/>
        </w:rPr>
        <w:t>条和第</w:t>
      </w:r>
      <w:r>
        <w:rPr>
          <w:rFonts w:ascii="Times New Roman" w:hint="eastAsia"/>
        </w:rPr>
        <w:t>11</w:t>
      </w:r>
      <w:r>
        <w:rPr>
          <w:rFonts w:ascii="Times New Roman" w:hint="eastAsia"/>
        </w:rPr>
        <w:t>条时询问相关部门在使妇女职业选择多样化方面采取了何种措施，政府是否大力支持波兰大学进行的妇女和两性问题研究。如果能了解波兰是否开始实施其关于男女同等退休年龄的计划，在消除男女收入差距的过程中遇到了什么困难，是否有裁决劳动力市场中歧视行为的机制，她将不胜感激。该缔约国应说明它是否采取了任何措施来改变以女性为主的职业的工资结构，是否采取了保护非全日和季节性工人的措施。最后，虽然委员会赞扬波兰对其《劳动法》的修订，但它希望知道新《劳动法》是否正在有效实施。</w:t>
      </w:r>
    </w:p>
    <w:p w:rsidR="006A43F5" w:rsidRDefault="006A43F5">
      <w:pPr>
        <w:numPr>
          <w:ilvl w:val="0"/>
          <w:numId w:val="19"/>
        </w:numPr>
        <w:tabs>
          <w:tab w:val="clear" w:pos="360"/>
          <w:tab w:val="left" w:pos="450"/>
        </w:tabs>
        <w:spacing w:after="140" w:line="340" w:lineRule="exact"/>
        <w:ind w:left="0" w:firstLine="0"/>
        <w:jc w:val="both"/>
        <w:rPr>
          <w:rFonts w:ascii="Times New Roman" w:hint="eastAsia"/>
        </w:rPr>
      </w:pPr>
      <w:r>
        <w:rPr>
          <w:rFonts w:ascii="SimHei" w:eastAsia="SimHei" w:hint="eastAsia"/>
          <w:color w:val="FF0000"/>
        </w:rPr>
        <w:t>主席</w:t>
      </w:r>
      <w:r>
        <w:rPr>
          <w:rFonts w:ascii="Times New Roman" w:hint="eastAsia"/>
        </w:rPr>
        <w:t>作为委员会成员发言时说，她也希望知道波兰关于妇女和两性问题研究方面的情况。此类研究为培训打击对妇女的歧视行为的专家提供了必要的工具。</w:t>
      </w:r>
    </w:p>
    <w:p w:rsidR="006A43F5" w:rsidRDefault="006A43F5">
      <w:pPr>
        <w:numPr>
          <w:ilvl w:val="0"/>
          <w:numId w:val="19"/>
        </w:numPr>
        <w:tabs>
          <w:tab w:val="clear" w:pos="360"/>
          <w:tab w:val="left" w:pos="450"/>
        </w:tabs>
        <w:spacing w:after="140" w:line="340" w:lineRule="exact"/>
        <w:ind w:left="0" w:firstLine="0"/>
        <w:jc w:val="both"/>
        <w:rPr>
          <w:rFonts w:ascii="Times New Roman" w:hint="eastAsia"/>
        </w:rPr>
      </w:pPr>
      <w:r>
        <w:rPr>
          <w:rFonts w:ascii="SimHei" w:eastAsia="SimHei" w:hint="eastAsia"/>
          <w:color w:val="FF0000"/>
        </w:rPr>
        <w:t>Tan女士</w:t>
      </w:r>
      <w:r>
        <w:rPr>
          <w:rFonts w:ascii="Times New Roman" w:hint="eastAsia"/>
        </w:rPr>
        <w:t>对波兰政府为禁止工作场所基于性别的歧视而对《波兰劳动法》进行修订表示欢迎。然而，调查显示妇女仍然遭受歧视。因此她想知道，新修订的《劳动法》是否赋予妇女就歧视向法院提出诉讼的权利。</w:t>
      </w:r>
    </w:p>
    <w:p w:rsidR="006A43F5" w:rsidRDefault="006A43F5">
      <w:pPr>
        <w:numPr>
          <w:ilvl w:val="0"/>
          <w:numId w:val="19"/>
        </w:numPr>
        <w:tabs>
          <w:tab w:val="clear" w:pos="360"/>
          <w:tab w:val="left" w:pos="450"/>
        </w:tabs>
        <w:spacing w:after="140" w:line="346" w:lineRule="exact"/>
        <w:ind w:left="0" w:firstLine="0"/>
        <w:jc w:val="both"/>
        <w:rPr>
          <w:rFonts w:ascii="Times New Roman" w:hint="eastAsia"/>
        </w:rPr>
      </w:pPr>
      <w:r>
        <w:rPr>
          <w:rFonts w:ascii="SimHei" w:eastAsia="SimHei" w:hint="eastAsia"/>
          <w:color w:val="FF0000"/>
        </w:rPr>
        <w:t>邹晓巧女士</w:t>
      </w:r>
      <w:r>
        <w:rPr>
          <w:rFonts w:ascii="Times New Roman" w:hint="eastAsia"/>
        </w:rPr>
        <w:t>询问由于市场经济转型而离开劳动力市场的雇员中有多少人在波兰重新就业方案中受益。根据该缔约国的报告，一些缺乏教育的妇女被迫在黑市</w:t>
      </w:r>
      <w:r>
        <w:rPr>
          <w:rFonts w:ascii="Times New Roman"/>
          <w:color w:val="000000"/>
        </w:rPr>
        <w:t>找工作</w:t>
      </w:r>
      <w:r>
        <w:rPr>
          <w:rFonts w:ascii="Times New Roman" w:hint="eastAsia"/>
        </w:rPr>
        <w:t>，由于《劳动法》没有为这些黑市提供保障，因此造成贫困妇女人数不断增多。还有资料表明存在年龄歧视现象。因此她希望知道政府采取了何种措施来改变这种状况，是否制定了培训这些妇女的特别优先措施？如果有这种政策，有多少妇女从中受益？如果能知道建立了什么机制来监督歧视、骚扰和基于性别的收入差距，以及采取了什么措施来援助受影响妇女，她将不胜感激。</w:t>
      </w:r>
    </w:p>
    <w:p w:rsidR="006A43F5" w:rsidRDefault="006A43F5">
      <w:pPr>
        <w:numPr>
          <w:ilvl w:val="0"/>
          <w:numId w:val="19"/>
        </w:numPr>
        <w:tabs>
          <w:tab w:val="clear" w:pos="360"/>
          <w:tab w:val="left" w:pos="450"/>
        </w:tabs>
        <w:spacing w:after="140" w:line="346" w:lineRule="exact"/>
        <w:ind w:left="0" w:firstLine="0"/>
        <w:jc w:val="both"/>
        <w:rPr>
          <w:rFonts w:ascii="Times New Roman" w:hint="eastAsia"/>
        </w:rPr>
      </w:pPr>
      <w:r>
        <w:rPr>
          <w:rFonts w:ascii="SimHei" w:eastAsia="SimHei" w:hint="eastAsia"/>
          <w:color w:val="FF0000"/>
        </w:rPr>
        <w:t>Kluzik-Rostkowska女士</w:t>
      </w:r>
      <w:r>
        <w:rPr>
          <w:rFonts w:ascii="Times New Roman" w:hint="eastAsia"/>
        </w:rPr>
        <w:t>（波兰）说，由于波兰代表团没有教育专家，因此她将以书面形式对涉及波兰教育部门的问题做出详细答复。在教育行业妇女人数多于男人并不表明妇女受的是低等教育。然而，在妇女从教育转向工作场所过程中，要给予她们更多的援助，并须做出更大努力来帮助妇女协调其工作角色和家庭角色。虽然在一些低收入部门妇女的人数不断增多，但被迫在传统上以女性为主的部门工作的男子人数也日益增加，这两种现象都是由于劳动力市场的困难重重所导致。</w:t>
      </w:r>
    </w:p>
    <w:p w:rsidR="006A43F5" w:rsidRDefault="006A43F5">
      <w:pPr>
        <w:numPr>
          <w:ilvl w:val="0"/>
          <w:numId w:val="19"/>
        </w:numPr>
        <w:tabs>
          <w:tab w:val="clear" w:pos="360"/>
          <w:tab w:val="left" w:pos="450"/>
        </w:tabs>
        <w:spacing w:after="140" w:line="340" w:lineRule="exact"/>
        <w:ind w:left="0" w:firstLine="0"/>
        <w:jc w:val="both"/>
        <w:rPr>
          <w:rFonts w:ascii="Times New Roman" w:hint="eastAsia"/>
        </w:rPr>
      </w:pPr>
      <w:r>
        <w:rPr>
          <w:rFonts w:ascii="Times New Roman" w:hint="eastAsia"/>
        </w:rPr>
        <w:t>虽然修订的《劳动法》已消除了法律上的歧视，但一些雇主并未有效执行法律而且妇女没有信心向法庭提出诉讼。因此必须更努力提高妇女对其权利的认识并向她们提供法律援助和咨询，同时就工作场所的性骚扰等问题对雇主进行教育。虽然执法和法庭程序通常很慢，但司法部为改善这种状况做出了很多努力，例如，制定反“职场骚扰”法。</w:t>
      </w:r>
    </w:p>
    <w:p w:rsidR="006A43F5" w:rsidRDefault="006A43F5">
      <w:pPr>
        <w:numPr>
          <w:ilvl w:val="0"/>
          <w:numId w:val="19"/>
        </w:numPr>
        <w:tabs>
          <w:tab w:val="clear" w:pos="360"/>
          <w:tab w:val="left" w:pos="450"/>
        </w:tabs>
        <w:spacing w:after="140" w:line="340" w:lineRule="exact"/>
        <w:ind w:left="0" w:firstLine="0"/>
        <w:jc w:val="both"/>
        <w:rPr>
          <w:rFonts w:ascii="Times New Roman" w:hint="eastAsia"/>
        </w:rPr>
      </w:pPr>
      <w:r>
        <w:rPr>
          <w:rFonts w:ascii="Times New Roman" w:hint="eastAsia"/>
        </w:rPr>
        <w:t>虽然法律确实规定了同工同酬，但并未得到有效执行。由于该国的失业率较高，很难说服雇主为妇女做出灵活的工作安排，因此必须要给予雇主一些激励。年长妇女在向市场经济转型过程中由于其受教育程度和专业技能的限制，通常会遇到困难，波兰政府必须在增加妇女进入劳动力市场的机会和确保法律有效实施方面寻求一条出路。</w:t>
      </w:r>
    </w:p>
    <w:p w:rsidR="006A43F5" w:rsidRDefault="006A43F5">
      <w:pPr>
        <w:numPr>
          <w:ilvl w:val="0"/>
          <w:numId w:val="19"/>
        </w:numPr>
        <w:tabs>
          <w:tab w:val="clear" w:pos="360"/>
          <w:tab w:val="left" w:pos="450"/>
        </w:tabs>
        <w:spacing w:after="140" w:line="340" w:lineRule="exact"/>
        <w:ind w:left="0" w:firstLine="0"/>
        <w:jc w:val="both"/>
        <w:rPr>
          <w:rFonts w:ascii="Times New Roman" w:hint="eastAsia"/>
        </w:rPr>
      </w:pPr>
      <w:r>
        <w:rPr>
          <w:rFonts w:ascii="SimHei" w:eastAsia="SimHei" w:hint="eastAsia"/>
          <w:color w:val="FF0000"/>
        </w:rPr>
        <w:t>Wencel女士</w:t>
      </w:r>
      <w:r>
        <w:rPr>
          <w:rFonts w:ascii="Times New Roman" w:hint="eastAsia"/>
        </w:rPr>
        <w:t>（波兰）说，根据《刑法典》，性骚扰应受到惩治，如果强迫发生性行为，应判处</w:t>
      </w:r>
      <w:r>
        <w:rPr>
          <w:rFonts w:ascii="Times New Roman" w:hint="eastAsia"/>
        </w:rPr>
        <w:t>3</w:t>
      </w:r>
      <w:r>
        <w:rPr>
          <w:rFonts w:ascii="Times New Roman" w:hint="eastAsia"/>
        </w:rPr>
        <w:t>年的监禁。这种犯罪一经受害者提起诉讼，即自动予以受理。根据《劳动法》，职场骚扰应受到惩治，一般在劳动法庭处理。当职场骚扰也涉及性骚扰问题时，受害者可以再次提出诉讼。如果委员会希望得到更详细的信息，可以提供按性别分类的统计资料和已经审理的案例。</w:t>
      </w:r>
    </w:p>
    <w:p w:rsidR="006A43F5" w:rsidRDefault="006A43F5">
      <w:pPr>
        <w:numPr>
          <w:ilvl w:val="0"/>
          <w:numId w:val="19"/>
        </w:numPr>
        <w:tabs>
          <w:tab w:val="clear" w:pos="360"/>
          <w:tab w:val="left" w:pos="450"/>
        </w:tabs>
        <w:spacing w:after="140" w:line="340" w:lineRule="exact"/>
        <w:ind w:left="0" w:firstLine="0"/>
        <w:jc w:val="both"/>
        <w:rPr>
          <w:rFonts w:ascii="Times New Roman" w:hint="eastAsia"/>
        </w:rPr>
      </w:pPr>
      <w:r>
        <w:rPr>
          <w:rFonts w:ascii="SimHei" w:eastAsia="SimHei" w:hint="eastAsia"/>
          <w:color w:val="FF0000"/>
        </w:rPr>
        <w:t>Tavares da Silva女士</w:t>
      </w:r>
      <w:r>
        <w:rPr>
          <w:rFonts w:ascii="Times New Roman" w:hint="eastAsia"/>
        </w:rPr>
        <w:t>说，即使在像波兰这样一个民族均衡的社会中，一些少数民族妇女还处于弱势地位。她尤其想知道政府是否了解难民中女户主家庭的状况，是否注意到了她们的需求。政府提供了涉及另一个少数民族罗姆妇女的一些互相矛盾的资料。据说罗姆代表本身——毫无疑问这些代表都是男人——都不相信存在对他们歧视的危险，另外又说由于早婚现象特别普遍，罗姆妇女受的教育较少，辍学率较高。她希望进一步了解</w:t>
      </w:r>
      <w:r>
        <w:rPr>
          <w:rFonts w:ascii="Times New Roman" w:hint="eastAsia"/>
        </w:rPr>
        <w:t>2004</w:t>
      </w:r>
      <w:r>
        <w:rPr>
          <w:rFonts w:ascii="Times New Roman" w:hint="eastAsia"/>
        </w:rPr>
        <w:t>年发起的有关为罗姆社区提供援助的多年期国家方案的内容和目标（第六次报告，第</w:t>
      </w:r>
      <w:r>
        <w:rPr>
          <w:rFonts w:ascii="Times New Roman" w:hint="eastAsia"/>
        </w:rPr>
        <w:t>127</w:t>
      </w:r>
      <w:r>
        <w:rPr>
          <w:rFonts w:ascii="Times New Roman" w:hint="eastAsia"/>
        </w:rPr>
        <w:t>段），并且该方案是否承认性别因素。</w:t>
      </w:r>
    </w:p>
    <w:p w:rsidR="006A43F5" w:rsidRDefault="006A43F5">
      <w:pPr>
        <w:numPr>
          <w:ilvl w:val="0"/>
          <w:numId w:val="19"/>
        </w:numPr>
        <w:tabs>
          <w:tab w:val="clear" w:pos="360"/>
          <w:tab w:val="left" w:pos="450"/>
        </w:tabs>
        <w:spacing w:after="140" w:line="340" w:lineRule="exact"/>
        <w:ind w:left="0" w:firstLine="0"/>
        <w:jc w:val="both"/>
        <w:rPr>
          <w:rFonts w:ascii="Times New Roman" w:hint="eastAsia"/>
        </w:rPr>
      </w:pPr>
      <w:r>
        <w:rPr>
          <w:rFonts w:ascii="SimHei" w:eastAsia="SimHei" w:hint="eastAsia"/>
          <w:color w:val="FF0000"/>
        </w:rPr>
        <w:t>Arocha Domínguez女士</w:t>
      </w:r>
      <w:r>
        <w:rPr>
          <w:rFonts w:ascii="Times New Roman" w:hint="eastAsia"/>
        </w:rPr>
        <w:t>询问政府的卫生服务改革——导致减少乡村诊所和药房——对农村妇女健康有何影响，并且如何确保她们获得医疗和避孕用具。了解《</w:t>
      </w:r>
      <w:r>
        <w:rPr>
          <w:rFonts w:ascii="Times New Roman" w:hint="eastAsia"/>
        </w:rPr>
        <w:t>2004-2006</w:t>
      </w:r>
      <w:r>
        <w:rPr>
          <w:rFonts w:ascii="Times New Roman" w:hint="eastAsia"/>
        </w:rPr>
        <w:t>年国家发展计划》（答复，问题</w:t>
      </w:r>
      <w:r>
        <w:rPr>
          <w:rFonts w:ascii="Times New Roman" w:hint="eastAsia"/>
        </w:rPr>
        <w:t>25</w:t>
      </w:r>
      <w:r>
        <w:rPr>
          <w:rFonts w:ascii="Times New Roman" w:hint="eastAsia"/>
        </w:rPr>
        <w:t>）在妇女健康、孕产保健和计划生育方面取得的成果非常有意义。代表团在前次会议上表示，</w:t>
      </w:r>
      <w:r>
        <w:rPr>
          <w:rFonts w:ascii="Times New Roman" w:hint="eastAsia"/>
        </w:rPr>
        <w:t>75%</w:t>
      </w:r>
      <w:r>
        <w:rPr>
          <w:rFonts w:ascii="Times New Roman" w:hint="eastAsia"/>
        </w:rPr>
        <w:t>年龄在</w:t>
      </w:r>
      <w:r>
        <w:rPr>
          <w:rFonts w:ascii="Times New Roman" w:hint="eastAsia"/>
        </w:rPr>
        <w:t>15</w:t>
      </w:r>
      <w:r>
        <w:rPr>
          <w:rFonts w:ascii="Times New Roman" w:hint="eastAsia"/>
        </w:rPr>
        <w:t>岁至</w:t>
      </w:r>
      <w:r>
        <w:rPr>
          <w:rFonts w:ascii="Times New Roman" w:hint="eastAsia"/>
        </w:rPr>
        <w:t>46</w:t>
      </w:r>
      <w:r>
        <w:rPr>
          <w:rFonts w:ascii="Times New Roman" w:hint="eastAsia"/>
        </w:rPr>
        <w:t>岁的妇女使用避孕用具：如果按农村和城市地区并按使用的避孕用具种类进行详细分类将会非常有用。还有令人惊讶的是，尽管保健服务已有所改善，但近几年的流产率仍保持不变。显然，考虑到导致流产的因素（答复，问题</w:t>
      </w:r>
      <w:r>
        <w:rPr>
          <w:rFonts w:ascii="Times New Roman" w:hint="eastAsia"/>
        </w:rPr>
        <w:t>24</w:t>
      </w:r>
      <w:r>
        <w:rPr>
          <w:rFonts w:ascii="Times New Roman" w:hint="eastAsia"/>
        </w:rPr>
        <w:t>），在政府政策与现实状况之间存在着出入。她希望从农村和城市卫生服务的角度对政府的计划生育和堕胎政策做更详细的说明并想知道是否有医生因不履行</w:t>
      </w:r>
      <w:r>
        <w:rPr>
          <w:rFonts w:ascii="Times New Roman" w:hint="eastAsia"/>
        </w:rPr>
        <w:t>2005</w:t>
      </w:r>
      <w:r>
        <w:rPr>
          <w:rFonts w:ascii="Times New Roman" w:hint="eastAsia"/>
        </w:rPr>
        <w:t>年卫生部关于提供堕胎服务的指示中规定的条件而被中止其合同。</w:t>
      </w:r>
    </w:p>
    <w:p w:rsidR="006A43F5" w:rsidRDefault="006A43F5">
      <w:pPr>
        <w:numPr>
          <w:ilvl w:val="0"/>
          <w:numId w:val="19"/>
        </w:numPr>
        <w:tabs>
          <w:tab w:val="clear" w:pos="360"/>
          <w:tab w:val="left" w:pos="450"/>
        </w:tabs>
        <w:spacing w:after="140" w:line="340" w:lineRule="exact"/>
        <w:ind w:left="0" w:firstLine="0"/>
        <w:jc w:val="both"/>
        <w:rPr>
          <w:rFonts w:ascii="Times New Roman" w:hint="eastAsia"/>
        </w:rPr>
      </w:pPr>
      <w:r>
        <w:rPr>
          <w:rFonts w:ascii="SimHei" w:eastAsia="SimHei" w:hint="eastAsia"/>
          <w:color w:val="FF0000"/>
        </w:rPr>
        <w:t>Patten女士</w:t>
      </w:r>
      <w:r>
        <w:rPr>
          <w:rFonts w:ascii="Times New Roman" w:hint="eastAsia"/>
        </w:rPr>
        <w:t>在提到第</w:t>
      </w:r>
      <w:r>
        <w:rPr>
          <w:rFonts w:ascii="Times New Roman" w:hint="eastAsia"/>
        </w:rPr>
        <w:t>14</w:t>
      </w:r>
      <w:r>
        <w:rPr>
          <w:rFonts w:ascii="Times New Roman" w:hint="eastAsia"/>
        </w:rPr>
        <w:t>条时注意到，银行规定用财产作为抵押来担保贷款（第六次报告，第</w:t>
      </w:r>
      <w:r>
        <w:rPr>
          <w:rFonts w:ascii="Times New Roman" w:hint="eastAsia"/>
        </w:rPr>
        <w:t>228</w:t>
      </w:r>
      <w:r>
        <w:rPr>
          <w:rFonts w:ascii="Times New Roman" w:hint="eastAsia"/>
        </w:rPr>
        <w:t>段），要求提供与男子相比有多少妇女取得了信贷的统计资料，鉴于妇女在获得财产方面所受限制，并要求提供关于采取何种措施来增强妇女创收潜力、增加她们取得生产资源的机会、制定方案和建立合作结构方面的资料。由于农村妇女进入劳动力市场的状况并不稳定，她想知道政府是否在其所有农村方案中提倡将性别纳入主流；其针对女企业家的项目是否也普及到了农村妇女；前次会议提到的一系列印象深刻的项目将多少农村妇女纳入了目标群体；是否计划采取任何具体措施来推动农村妇女进入市场、企业、金融机构和掌握适当技术等；妇女是否正在参与由负责农村人口的部门通过的、能够对她们产生影响的政策的制定。</w:t>
      </w:r>
    </w:p>
    <w:p w:rsidR="006A43F5" w:rsidRDefault="006A43F5">
      <w:pPr>
        <w:numPr>
          <w:ilvl w:val="0"/>
          <w:numId w:val="19"/>
        </w:numPr>
        <w:tabs>
          <w:tab w:val="clear" w:pos="360"/>
          <w:tab w:val="left" w:pos="450"/>
        </w:tabs>
        <w:spacing w:after="140" w:line="340" w:lineRule="exact"/>
        <w:ind w:left="0" w:firstLine="0"/>
        <w:jc w:val="both"/>
        <w:rPr>
          <w:rFonts w:ascii="Times New Roman" w:hint="eastAsia"/>
        </w:rPr>
      </w:pPr>
      <w:r>
        <w:rPr>
          <w:rFonts w:ascii="SimHei" w:eastAsia="SimHei" w:hint="eastAsia"/>
          <w:color w:val="FF0000"/>
        </w:rPr>
        <w:t>Tan女士</w:t>
      </w:r>
      <w:r>
        <w:rPr>
          <w:rFonts w:ascii="Times New Roman" w:hint="eastAsia"/>
        </w:rPr>
        <w:t>说，尽管自</w:t>
      </w:r>
      <w:r>
        <w:rPr>
          <w:rFonts w:ascii="Times New Roman" w:hint="eastAsia"/>
        </w:rPr>
        <w:t>1990</w:t>
      </w:r>
      <w:r>
        <w:rPr>
          <w:rFonts w:ascii="Times New Roman" w:hint="eastAsia"/>
        </w:rPr>
        <w:t>年代以来政府在改善农村基础设施方面做出了努力，但</w:t>
      </w:r>
      <w:r>
        <w:rPr>
          <w:rFonts w:ascii="Times New Roman" w:hint="eastAsia"/>
        </w:rPr>
        <w:t>2002</w:t>
      </w:r>
      <w:r>
        <w:rPr>
          <w:rFonts w:ascii="Times New Roman" w:hint="eastAsia"/>
        </w:rPr>
        <w:t>年的调查显示几乎一半的农村家庭表示对其生活水平不满意。她想知道她们尤其对什么感到不满意，</w:t>
      </w:r>
      <w:r>
        <w:rPr>
          <w:rFonts w:ascii="Times New Roman" w:hint="eastAsia"/>
        </w:rPr>
        <w:t>2002</w:t>
      </w:r>
      <w:r>
        <w:rPr>
          <w:rFonts w:ascii="Times New Roman" w:hint="eastAsia"/>
        </w:rPr>
        <w:t>年以来生活水平是否得到了改善。同时她也不清楚农村妇女参与地方行政机关事务是否存在障碍，因为她们的参与率很低。卫生部门在农村进行了改革，但显然仍需要产生积极的影响。她询问政府是否有足够的诊所为农村妇女提供医疗，尤其是那些没有经济实力进行保健的人，为降低产妇的高死亡率和克服由于宗教原因而不愿避孕的观念，这些诊所如何对农村妇女进行教育，使她们认识到妇产保健的重要性。</w:t>
      </w:r>
    </w:p>
    <w:p w:rsidR="006A43F5" w:rsidRDefault="006A43F5">
      <w:pPr>
        <w:numPr>
          <w:ilvl w:val="0"/>
          <w:numId w:val="19"/>
        </w:numPr>
        <w:tabs>
          <w:tab w:val="clear" w:pos="360"/>
          <w:tab w:val="left" w:pos="450"/>
        </w:tabs>
        <w:spacing w:after="140" w:line="340" w:lineRule="exact"/>
        <w:ind w:left="0" w:firstLine="0"/>
        <w:jc w:val="both"/>
        <w:rPr>
          <w:rFonts w:ascii="Times New Roman" w:hint="eastAsia"/>
        </w:rPr>
      </w:pPr>
      <w:r>
        <w:rPr>
          <w:rFonts w:ascii="SimHei" w:eastAsia="SimHei" w:hint="eastAsia"/>
          <w:color w:val="FF0000"/>
        </w:rPr>
        <w:t>Begum女士</w:t>
      </w:r>
      <w:r>
        <w:rPr>
          <w:rFonts w:ascii="Times New Roman" w:hint="eastAsia"/>
        </w:rPr>
        <w:t>说，虽然波兰有三分之一以上的人生活在农村，但报告并未提供许多关于农村妇女参与制定社会和经济指标的信息，没有提供按性别分类的关于女户主家庭或工作妇女的信息，也未提供有关改善农村妇女状况、消除陈规陋习、为她们提供所需技能培训或免抵押贷款以弥补其缺少教育并使她们能够创办微型企业方面的政策性计划的信息。</w:t>
      </w:r>
    </w:p>
    <w:p w:rsidR="006A43F5" w:rsidRDefault="006A43F5">
      <w:pPr>
        <w:numPr>
          <w:ilvl w:val="0"/>
          <w:numId w:val="19"/>
        </w:numPr>
        <w:tabs>
          <w:tab w:val="clear" w:pos="360"/>
          <w:tab w:val="left" w:pos="450"/>
        </w:tabs>
        <w:spacing w:after="140" w:line="340" w:lineRule="exact"/>
        <w:ind w:left="0" w:firstLine="0"/>
        <w:jc w:val="both"/>
        <w:rPr>
          <w:rFonts w:ascii="Times New Roman" w:hint="eastAsia"/>
        </w:rPr>
      </w:pPr>
      <w:r>
        <w:rPr>
          <w:rFonts w:ascii="Times New Roman" w:hint="eastAsia"/>
        </w:rPr>
        <w:t>她询问政府如何提高农村妇女的领导潜力，她们在地方政府中的任职人数偏低。在基层一级，如何消除歧视行为。她也想知道政府是否设法打击特别是出于宗教原因禁止农村妇女利用现代医疗援助的行为。</w:t>
      </w:r>
    </w:p>
    <w:p w:rsidR="006A43F5" w:rsidRDefault="006A43F5">
      <w:pPr>
        <w:numPr>
          <w:ilvl w:val="0"/>
          <w:numId w:val="19"/>
        </w:numPr>
        <w:tabs>
          <w:tab w:val="clear" w:pos="360"/>
          <w:tab w:val="left" w:pos="450"/>
        </w:tabs>
        <w:spacing w:after="140" w:line="340" w:lineRule="exact"/>
        <w:ind w:left="0" w:firstLine="0"/>
        <w:jc w:val="both"/>
        <w:rPr>
          <w:rFonts w:ascii="Times New Roman" w:hint="eastAsia"/>
        </w:rPr>
      </w:pPr>
      <w:r>
        <w:rPr>
          <w:rFonts w:ascii="SimHei" w:eastAsia="SimHei" w:hint="eastAsia"/>
          <w:color w:val="FF0000"/>
        </w:rPr>
        <w:t>Kluzik-Rostkowska女士</w:t>
      </w:r>
      <w:r>
        <w:rPr>
          <w:rFonts w:ascii="Times New Roman" w:hint="eastAsia"/>
        </w:rPr>
        <w:t>（波兰）说，虽然目前波兰是个民族均衡的社会，并不存在严重的少数民族问题，但它一旦加入欧洲联盟，情况将无疑会发生变化。解决罗姆问题意味着会涉及到不同的文化层面：根据波兰法律，</w:t>
      </w:r>
      <w:r>
        <w:rPr>
          <w:rFonts w:ascii="Times New Roman" w:hint="eastAsia"/>
        </w:rPr>
        <w:t>13</w:t>
      </w:r>
      <w:r>
        <w:rPr>
          <w:rFonts w:ascii="Times New Roman" w:hint="eastAsia"/>
        </w:rPr>
        <w:t>岁儿童不得辍学或结婚，但政府必须要努力说服家长遵守法律。</w:t>
      </w:r>
    </w:p>
    <w:p w:rsidR="006A43F5" w:rsidRDefault="006A43F5">
      <w:pPr>
        <w:numPr>
          <w:ilvl w:val="0"/>
          <w:numId w:val="19"/>
        </w:numPr>
        <w:tabs>
          <w:tab w:val="clear" w:pos="360"/>
          <w:tab w:val="left" w:pos="450"/>
        </w:tabs>
        <w:spacing w:after="140" w:line="340" w:lineRule="exact"/>
        <w:ind w:left="0" w:firstLine="0"/>
        <w:jc w:val="both"/>
        <w:rPr>
          <w:rFonts w:ascii="Times New Roman" w:hint="eastAsia"/>
        </w:rPr>
      </w:pPr>
      <w:r>
        <w:rPr>
          <w:rFonts w:ascii="Times New Roman" w:hint="eastAsia"/>
        </w:rPr>
        <w:t>关于妇女健康问题，并非很多人都很贫困且不能达到基本生活水平。流产虽然经常发生，但数字一直保持稳定，正如其他国家一样，这主要包括那些非常贫困和严重营养不良的孕妇。大多数妇女怀孕期间都进行了妇科保健。事实上在一些城市更易于获得适当的专门保健。政府的目标是农村地区的妇产保健水平要达到一般标准。多数没有取得这种保健的妇女是由于生活窘迫或缺乏机会。计划生育是另一个问题，并且在避孕用具的使用上确实涉及到宗教方面的考虑。</w:t>
      </w:r>
    </w:p>
    <w:p w:rsidR="006A43F5" w:rsidRDefault="006A43F5">
      <w:pPr>
        <w:numPr>
          <w:ilvl w:val="0"/>
          <w:numId w:val="19"/>
        </w:numPr>
        <w:tabs>
          <w:tab w:val="clear" w:pos="360"/>
          <w:tab w:val="left" w:pos="450"/>
        </w:tabs>
        <w:spacing w:after="140" w:line="340" w:lineRule="exact"/>
        <w:ind w:left="0" w:firstLine="0"/>
        <w:jc w:val="both"/>
        <w:rPr>
          <w:rFonts w:ascii="Times New Roman" w:hint="eastAsia"/>
        </w:rPr>
      </w:pPr>
      <w:r>
        <w:rPr>
          <w:rFonts w:ascii="Times New Roman" w:hint="eastAsia"/>
        </w:rPr>
        <w:t>关于农村妇女问题，在波兰已婚配偶之间存在一个财产社区。如果配偶来自农村，其财产和土地应归配偶双方共同所有。然而重要的是应指出，并不是所有生活在农村的人都从事农业生产。妇女通常和丈夫一块儿在农场工作，但如果只靠农业生产并不能维持其家庭生活，就会产生是妻子还是丈夫承担家庭开支的问题。在一些地区，由于多数青年为了寻求更好的生活离开了农村，因此只剩下老一辈人来经营很小的农场。然而，拥有肥沃土壤的大型农场的居民生活水平与城镇居民的生活没有大的差别。</w:t>
      </w:r>
    </w:p>
    <w:p w:rsidR="006A43F5" w:rsidRDefault="006A43F5">
      <w:pPr>
        <w:numPr>
          <w:ilvl w:val="0"/>
          <w:numId w:val="19"/>
        </w:numPr>
        <w:tabs>
          <w:tab w:val="clear" w:pos="360"/>
          <w:tab w:val="left" w:pos="450"/>
        </w:tabs>
        <w:spacing w:after="140" w:line="356" w:lineRule="exact"/>
        <w:ind w:left="0" w:firstLine="0"/>
        <w:jc w:val="both"/>
        <w:rPr>
          <w:rFonts w:ascii="Times New Roman" w:hint="eastAsia"/>
        </w:rPr>
      </w:pPr>
      <w:r>
        <w:rPr>
          <w:rFonts w:ascii="Times New Roman" w:hint="eastAsia"/>
        </w:rPr>
        <w:t>农村地区在政府工作中占有最优先地位，这主要是由于人口发展趋势：</w:t>
      </w:r>
      <w:r>
        <w:rPr>
          <w:rFonts w:ascii="Times New Roman" w:hint="eastAsia"/>
        </w:rPr>
        <w:t xml:space="preserve"> 1990</w:t>
      </w:r>
      <w:r>
        <w:rPr>
          <w:rFonts w:ascii="Times New Roman" w:hint="eastAsia"/>
        </w:rPr>
        <w:t>年代农村地区的“婴儿潮”导致将来大多数的波兰成年人都是在农村长大。政府如果不平衡农村和城镇的教育和卫生保健水平，那么在</w:t>
      </w:r>
      <w:r>
        <w:rPr>
          <w:rFonts w:ascii="Times New Roman" w:hint="eastAsia"/>
        </w:rPr>
        <w:t>15</w:t>
      </w:r>
      <w:r>
        <w:rPr>
          <w:rFonts w:ascii="Times New Roman" w:hint="eastAsia"/>
        </w:rPr>
        <w:t>年左右的时间内波兰社会将出现文化程度低下的现象。因此，政府制定了许多侧重于农村的方案。</w:t>
      </w:r>
      <w:r>
        <w:rPr>
          <w:rFonts w:ascii="Times New Roman" w:hint="eastAsia"/>
        </w:rPr>
        <w:t xml:space="preserve"> </w:t>
      </w:r>
    </w:p>
    <w:p w:rsidR="006A43F5" w:rsidRDefault="006A43F5">
      <w:pPr>
        <w:numPr>
          <w:ilvl w:val="0"/>
          <w:numId w:val="19"/>
        </w:numPr>
        <w:tabs>
          <w:tab w:val="clear" w:pos="360"/>
          <w:tab w:val="left" w:pos="450"/>
        </w:tabs>
        <w:spacing w:after="140" w:line="356" w:lineRule="exact"/>
        <w:ind w:left="0" w:firstLine="0"/>
        <w:jc w:val="both"/>
        <w:rPr>
          <w:rFonts w:ascii="Times New Roman" w:hint="eastAsia"/>
        </w:rPr>
      </w:pPr>
      <w:r>
        <w:rPr>
          <w:rFonts w:ascii="Times New Roman" w:hint="eastAsia"/>
        </w:rPr>
        <w:t>在城市，家庭根据其所得收入纳税。然而，由于农村家庭不按这种方法纳税，所以没有关于多数农村家庭的资料。因此，很难确定农村贫困家庭的数目。要说城市与农村状况相同，那将是一种误导。例如，尽管农村学校中的医生和护士人数有所增加，但生活在农村的儿童并没有享受与城市儿童相同的接受教育和保健的机会。政府已意识到了这个问题并在尽全力改善波兰农村的状况。</w:t>
      </w:r>
    </w:p>
    <w:p w:rsidR="006A43F5" w:rsidRDefault="006A43F5">
      <w:pPr>
        <w:numPr>
          <w:ilvl w:val="0"/>
          <w:numId w:val="19"/>
        </w:numPr>
        <w:tabs>
          <w:tab w:val="clear" w:pos="360"/>
          <w:tab w:val="left" w:pos="450"/>
        </w:tabs>
        <w:spacing w:after="140" w:line="356" w:lineRule="exact"/>
        <w:ind w:left="0" w:firstLine="0"/>
        <w:jc w:val="both"/>
        <w:rPr>
          <w:rFonts w:ascii="Times New Roman" w:hint="eastAsia"/>
        </w:rPr>
      </w:pPr>
      <w:r>
        <w:rPr>
          <w:rFonts w:ascii="SimHei" w:eastAsia="SimHei" w:hint="eastAsia"/>
          <w:color w:val="FF0000"/>
        </w:rPr>
        <w:t>Furgala女士</w:t>
      </w:r>
      <w:r>
        <w:rPr>
          <w:rFonts w:ascii="Times New Roman" w:hint="eastAsia"/>
        </w:rPr>
        <w:t>（波兰）说，政府已采取了一系列全面行动来帮助罗姆女孩和妇女，尤其是旨在帮助小波兰省罗姆人的方案，该方案主要侧重于教育。截至</w:t>
      </w:r>
      <w:r>
        <w:rPr>
          <w:rFonts w:ascii="Times New Roman" w:hint="eastAsia"/>
        </w:rPr>
        <w:t>2006</w:t>
      </w:r>
      <w:r>
        <w:rPr>
          <w:rFonts w:ascii="Times New Roman" w:hint="eastAsia"/>
        </w:rPr>
        <w:t>年，划拨了约</w:t>
      </w:r>
      <w:r>
        <w:rPr>
          <w:rFonts w:ascii="Times New Roman" w:hint="eastAsia"/>
        </w:rPr>
        <w:t>2 300</w:t>
      </w:r>
      <w:r>
        <w:rPr>
          <w:rFonts w:ascii="Times New Roman" w:hint="eastAsia"/>
        </w:rPr>
        <w:t>万兹罗提（相当于</w:t>
      </w:r>
      <w:r>
        <w:rPr>
          <w:rFonts w:ascii="Times New Roman" w:hint="eastAsia"/>
        </w:rPr>
        <w:t>600</w:t>
      </w:r>
      <w:r>
        <w:rPr>
          <w:rFonts w:ascii="Times New Roman" w:hint="eastAsia"/>
        </w:rPr>
        <w:t>万欧元）用于地方当局和包括罗姆组织在内的非政府组织实施许多项目，为该方案所涉及的任务提供资金。</w:t>
      </w:r>
    </w:p>
    <w:p w:rsidR="006A43F5" w:rsidRDefault="006A43F5">
      <w:pPr>
        <w:numPr>
          <w:ilvl w:val="0"/>
          <w:numId w:val="19"/>
        </w:numPr>
        <w:tabs>
          <w:tab w:val="clear" w:pos="360"/>
          <w:tab w:val="left" w:pos="450"/>
        </w:tabs>
        <w:spacing w:after="140" w:line="340" w:lineRule="exact"/>
        <w:ind w:left="0" w:firstLine="0"/>
        <w:jc w:val="both"/>
        <w:rPr>
          <w:rFonts w:ascii="Times New Roman" w:hint="eastAsia"/>
        </w:rPr>
      </w:pPr>
      <w:r>
        <w:rPr>
          <w:rFonts w:ascii="SimHei" w:eastAsia="SimHei" w:hint="eastAsia"/>
          <w:color w:val="FF0000"/>
        </w:rPr>
        <w:t>Przygucka女士</w:t>
      </w:r>
      <w:r>
        <w:rPr>
          <w:rFonts w:ascii="Times New Roman" w:hint="eastAsia"/>
        </w:rPr>
        <w:t>（波兰）说，波兰政府是欧盟建议在多元文化社会中开展保健工作的发起国之一。波兰的方案主要针对罗姆居民，特别建议增强保健专业人员的技能和资质并尊重罗姆人的人权和尊严。作为卫生部倡议的一部分，医学院开设了生物理论学和关于尊重文化多样性的课程，从而确保波兰将来的医生能够尊重不同文化的不同看法和做法。</w:t>
      </w:r>
    </w:p>
    <w:p w:rsidR="006A43F5" w:rsidRDefault="006A43F5">
      <w:pPr>
        <w:numPr>
          <w:ilvl w:val="0"/>
          <w:numId w:val="19"/>
        </w:numPr>
        <w:tabs>
          <w:tab w:val="clear" w:pos="360"/>
          <w:tab w:val="left" w:pos="450"/>
        </w:tabs>
        <w:spacing w:after="140" w:line="340" w:lineRule="exact"/>
        <w:ind w:left="0" w:firstLine="0"/>
        <w:jc w:val="both"/>
        <w:rPr>
          <w:rFonts w:ascii="Times New Roman" w:hint="eastAsia"/>
        </w:rPr>
      </w:pPr>
      <w:r>
        <w:rPr>
          <w:rFonts w:ascii="SimHei" w:eastAsia="SimHei" w:hint="eastAsia"/>
          <w:color w:val="FF0000"/>
        </w:rPr>
        <w:t>Grabowski先生</w:t>
      </w:r>
      <w:r>
        <w:rPr>
          <w:rFonts w:ascii="Times New Roman" w:hint="eastAsia"/>
        </w:rPr>
        <w:t>（波兰）说，《公约》第</w:t>
      </w:r>
      <w:r>
        <w:rPr>
          <w:rFonts w:ascii="Times New Roman" w:hint="eastAsia"/>
        </w:rPr>
        <w:t>12</w:t>
      </w:r>
      <w:r>
        <w:rPr>
          <w:rFonts w:ascii="Times New Roman" w:hint="eastAsia"/>
        </w:rPr>
        <w:t>条与《宪法》的一些规定以及</w:t>
      </w:r>
      <w:r>
        <w:rPr>
          <w:rFonts w:ascii="Times New Roman" w:hint="eastAsia"/>
          <w:bCs/>
          <w:noProof/>
        </w:rPr>
        <w:t>关于医疗设施的法律和关于计划生育、保护胎儿及准许堕胎条件的法律</w:t>
      </w:r>
      <w:r>
        <w:rPr>
          <w:rFonts w:ascii="Times New Roman" w:hint="eastAsia"/>
        </w:rPr>
        <w:t>相关。</w:t>
      </w:r>
    </w:p>
    <w:p w:rsidR="006A43F5" w:rsidRDefault="006A43F5">
      <w:pPr>
        <w:numPr>
          <w:ilvl w:val="0"/>
          <w:numId w:val="19"/>
        </w:numPr>
        <w:tabs>
          <w:tab w:val="clear" w:pos="360"/>
          <w:tab w:val="left" w:pos="450"/>
        </w:tabs>
        <w:spacing w:after="140" w:line="340" w:lineRule="exact"/>
        <w:ind w:left="0" w:firstLine="0"/>
        <w:jc w:val="both"/>
        <w:rPr>
          <w:rFonts w:ascii="Times New Roman" w:hint="eastAsia"/>
        </w:rPr>
      </w:pPr>
      <w:r>
        <w:rPr>
          <w:rFonts w:ascii="Times New Roman" w:hint="eastAsia"/>
        </w:rPr>
        <w:t>卫生部设立了一个特别工作组，该工作组致力于改善农村妇女获得保健服务的状况、特别是妇科、牙科和计划生育服务。不论经济状况如何，所有需要这种援助的人都享有同等待遇。</w:t>
      </w:r>
      <w:r>
        <w:rPr>
          <w:rFonts w:ascii="Times New Roman" w:hint="eastAsia"/>
        </w:rPr>
        <w:t>2002</w:t>
      </w:r>
      <w:r>
        <w:rPr>
          <w:rFonts w:ascii="Times New Roman" w:hint="eastAsia"/>
        </w:rPr>
        <w:t>年，政府禁止在进入劳动力市场方面对妇女的歧视行为。经修改的条款列出了对妇女，特别是对怀孕妇女和哺乳妇女的健康有危害的工作。</w:t>
      </w:r>
    </w:p>
    <w:p w:rsidR="006A43F5" w:rsidRDefault="006A43F5">
      <w:pPr>
        <w:numPr>
          <w:ilvl w:val="0"/>
          <w:numId w:val="19"/>
        </w:numPr>
        <w:tabs>
          <w:tab w:val="clear" w:pos="360"/>
          <w:tab w:val="left" w:pos="450"/>
        </w:tabs>
        <w:spacing w:after="140" w:line="340" w:lineRule="exact"/>
        <w:ind w:left="0" w:firstLine="0"/>
        <w:jc w:val="both"/>
        <w:rPr>
          <w:rFonts w:ascii="Times New Roman" w:hint="eastAsia"/>
        </w:rPr>
      </w:pPr>
      <w:r>
        <w:rPr>
          <w:rFonts w:ascii="Times New Roman" w:hint="eastAsia"/>
        </w:rPr>
        <w:t>根据最近有关使用避孕用具的调查显示，</w:t>
      </w:r>
      <w:r>
        <w:rPr>
          <w:rFonts w:ascii="Times New Roman" w:hint="eastAsia"/>
        </w:rPr>
        <w:t>60%</w:t>
      </w:r>
      <w:r>
        <w:rPr>
          <w:rFonts w:ascii="Times New Roman" w:hint="eastAsia"/>
        </w:rPr>
        <w:t>以上的波兰妇女使用避孕套、避孕药品或其他含激素的避孕药品。波兰现有</w:t>
      </w:r>
      <w:r>
        <w:rPr>
          <w:rFonts w:ascii="Times New Roman" w:hint="eastAsia"/>
        </w:rPr>
        <w:t>34</w:t>
      </w:r>
      <w:r>
        <w:rPr>
          <w:rFonts w:ascii="Times New Roman" w:hint="eastAsia"/>
        </w:rPr>
        <w:t>种产品，其中有三种可报销</w:t>
      </w:r>
      <w:r>
        <w:rPr>
          <w:rFonts w:ascii="Times New Roman" w:hint="eastAsia"/>
        </w:rPr>
        <w:t>30%</w:t>
      </w:r>
      <w:r>
        <w:rPr>
          <w:rFonts w:ascii="Times New Roman" w:hint="eastAsia"/>
        </w:rPr>
        <w:t>。全国所有的药店包括农村和城市药店都供应避孕用具。因此农村妇女享有平等获得的机会。</w:t>
      </w:r>
    </w:p>
    <w:p w:rsidR="006A43F5" w:rsidRDefault="006A43F5">
      <w:pPr>
        <w:numPr>
          <w:ilvl w:val="0"/>
          <w:numId w:val="19"/>
        </w:numPr>
        <w:tabs>
          <w:tab w:val="clear" w:pos="360"/>
          <w:tab w:val="left" w:pos="450"/>
        </w:tabs>
        <w:spacing w:after="140" w:line="340" w:lineRule="exact"/>
        <w:ind w:left="0" w:firstLine="0"/>
        <w:jc w:val="both"/>
        <w:rPr>
          <w:rFonts w:ascii="Times New Roman" w:hint="eastAsia"/>
        </w:rPr>
      </w:pPr>
      <w:r>
        <w:rPr>
          <w:rFonts w:ascii="Times New Roman" w:hint="eastAsia"/>
        </w:rPr>
        <w:t>在下述情况下，波兰法律允许堕胎：被强奸导致怀孕、胎儿有问题或怀孕对妇女健康带来危害。</w:t>
      </w:r>
      <w:r>
        <w:rPr>
          <w:rFonts w:ascii="Times New Roman" w:hint="eastAsia"/>
        </w:rPr>
        <w:t>2006</w:t>
      </w:r>
      <w:r>
        <w:rPr>
          <w:rFonts w:ascii="Times New Roman" w:hint="eastAsia"/>
        </w:rPr>
        <w:t>年，堕胎数目是</w:t>
      </w:r>
      <w:r>
        <w:rPr>
          <w:rFonts w:ascii="Times New Roman" w:hint="eastAsia"/>
        </w:rPr>
        <w:t>225</w:t>
      </w:r>
      <w:r>
        <w:rPr>
          <w:rFonts w:ascii="Times New Roman" w:hint="eastAsia"/>
        </w:rPr>
        <w:t>例，比</w:t>
      </w:r>
      <w:r>
        <w:rPr>
          <w:rFonts w:ascii="Times New Roman" w:hint="eastAsia"/>
        </w:rPr>
        <w:t>2004</w:t>
      </w:r>
      <w:r>
        <w:rPr>
          <w:rFonts w:ascii="Times New Roman" w:hint="eastAsia"/>
        </w:rPr>
        <w:t>年多</w:t>
      </w:r>
      <w:r>
        <w:rPr>
          <w:rFonts w:ascii="Times New Roman" w:hint="eastAsia"/>
        </w:rPr>
        <w:t>32</w:t>
      </w:r>
      <w:r>
        <w:rPr>
          <w:rFonts w:ascii="Times New Roman" w:hint="eastAsia"/>
        </w:rPr>
        <w:t>例。过去十年中自然流产的数目下降，从</w:t>
      </w:r>
      <w:r>
        <w:rPr>
          <w:rFonts w:ascii="Times New Roman" w:hint="eastAsia"/>
        </w:rPr>
        <w:t>1996</w:t>
      </w:r>
      <w:r>
        <w:rPr>
          <w:rFonts w:ascii="Times New Roman" w:hint="eastAsia"/>
        </w:rPr>
        <w:t>年的</w:t>
      </w:r>
      <w:r>
        <w:rPr>
          <w:rFonts w:ascii="Times New Roman" w:hint="eastAsia"/>
        </w:rPr>
        <w:t xml:space="preserve">    45 000</w:t>
      </w:r>
      <w:r>
        <w:rPr>
          <w:rFonts w:ascii="Times New Roman" w:hint="eastAsia"/>
        </w:rPr>
        <w:t>例降至</w:t>
      </w:r>
      <w:r>
        <w:rPr>
          <w:rFonts w:ascii="Times New Roman" w:hint="eastAsia"/>
        </w:rPr>
        <w:t>2005</w:t>
      </w:r>
      <w:r>
        <w:rPr>
          <w:rFonts w:ascii="Times New Roman" w:hint="eastAsia"/>
        </w:rPr>
        <w:t>年的</w:t>
      </w:r>
      <w:r>
        <w:rPr>
          <w:rFonts w:ascii="Times New Roman" w:hint="eastAsia"/>
        </w:rPr>
        <w:t>40 000</w:t>
      </w:r>
      <w:r>
        <w:rPr>
          <w:rFonts w:ascii="Times New Roman" w:hint="eastAsia"/>
        </w:rPr>
        <w:t>例。下降的原因之一是妇女看妇科医生的次数增多。</w:t>
      </w:r>
    </w:p>
    <w:p w:rsidR="006A43F5" w:rsidRDefault="006A43F5">
      <w:pPr>
        <w:numPr>
          <w:ilvl w:val="0"/>
          <w:numId w:val="19"/>
        </w:numPr>
        <w:tabs>
          <w:tab w:val="clear" w:pos="360"/>
          <w:tab w:val="left" w:pos="450"/>
        </w:tabs>
        <w:spacing w:after="140" w:line="340" w:lineRule="exact"/>
        <w:ind w:left="0" w:firstLine="0"/>
        <w:jc w:val="both"/>
        <w:rPr>
          <w:rFonts w:ascii="Times New Roman" w:hint="eastAsia"/>
        </w:rPr>
      </w:pPr>
      <w:r>
        <w:rPr>
          <w:rFonts w:ascii="Times New Roman" w:hint="eastAsia"/>
        </w:rPr>
        <w:t>2002</w:t>
      </w:r>
      <w:r>
        <w:rPr>
          <w:rFonts w:ascii="Times New Roman" w:hint="eastAsia"/>
        </w:rPr>
        <w:t>年，卫生部会同国家教育和体育部为公立和私立学校设立了</w:t>
      </w:r>
      <w:r>
        <w:rPr>
          <w:rFonts w:ascii="Times New Roman" w:hint="eastAsia"/>
        </w:rPr>
        <w:t xml:space="preserve"> </w:t>
      </w:r>
      <w:r>
        <w:rPr>
          <w:rFonts w:ascii="Times New Roman" w:hint="eastAsia"/>
        </w:rPr>
        <w:t>“</w:t>
      </w:r>
      <w:r>
        <w:rPr>
          <w:rFonts w:ascii="Times New Roman" w:hint="eastAsia"/>
          <w:bCs/>
          <w:noProof/>
        </w:rPr>
        <w:t>家庭生活教育”课程。这些课程涉及预防艾滋病毒</w:t>
      </w:r>
      <w:r>
        <w:rPr>
          <w:rFonts w:ascii="Times New Roman" w:hint="eastAsia"/>
          <w:bCs/>
          <w:noProof/>
        </w:rPr>
        <w:t>/</w:t>
      </w:r>
      <w:r>
        <w:rPr>
          <w:rFonts w:ascii="Times New Roman" w:hint="eastAsia"/>
          <w:bCs/>
          <w:noProof/>
        </w:rPr>
        <w:t>艾滋病等问题。从</w:t>
      </w:r>
      <w:r>
        <w:rPr>
          <w:rFonts w:ascii="Times New Roman" w:hint="eastAsia"/>
          <w:bCs/>
          <w:noProof/>
        </w:rPr>
        <w:t>1985</w:t>
      </w:r>
      <w:r>
        <w:rPr>
          <w:rFonts w:ascii="Times New Roman" w:hint="eastAsia"/>
          <w:bCs/>
          <w:noProof/>
        </w:rPr>
        <w:t>年到</w:t>
      </w:r>
      <w:r>
        <w:rPr>
          <w:rFonts w:ascii="Times New Roman" w:hint="eastAsia"/>
          <w:bCs/>
          <w:noProof/>
        </w:rPr>
        <w:t>2006</w:t>
      </w:r>
      <w:r>
        <w:rPr>
          <w:rFonts w:ascii="Times New Roman" w:hint="eastAsia"/>
          <w:bCs/>
          <w:noProof/>
        </w:rPr>
        <w:t>年期间，波兰登记的艾滋病例有</w:t>
      </w:r>
      <w:r>
        <w:rPr>
          <w:rFonts w:ascii="Times New Roman" w:hint="eastAsia"/>
          <w:bCs/>
          <w:noProof/>
        </w:rPr>
        <w:t>10 000</w:t>
      </w:r>
      <w:r>
        <w:rPr>
          <w:rFonts w:ascii="Times New Roman" w:hint="eastAsia"/>
          <w:bCs/>
          <w:noProof/>
        </w:rPr>
        <w:t>例，其中</w:t>
      </w:r>
      <w:r>
        <w:rPr>
          <w:rFonts w:ascii="Times New Roman" w:hint="eastAsia"/>
          <w:bCs/>
          <w:noProof/>
        </w:rPr>
        <w:t>20%</w:t>
      </w:r>
      <w:r>
        <w:rPr>
          <w:rFonts w:ascii="Times New Roman" w:hint="eastAsia"/>
          <w:bCs/>
          <w:noProof/>
        </w:rPr>
        <w:t>为妇女。波兰所有感染艾滋病毒</w:t>
      </w:r>
      <w:r>
        <w:rPr>
          <w:rFonts w:ascii="Times New Roman" w:hint="eastAsia"/>
          <w:bCs/>
          <w:noProof/>
        </w:rPr>
        <w:t>/</w:t>
      </w:r>
      <w:r>
        <w:rPr>
          <w:rFonts w:ascii="Times New Roman" w:hint="eastAsia"/>
          <w:bCs/>
          <w:noProof/>
        </w:rPr>
        <w:t>艾滋病的患者都采用抗逆转录病毒治疗法。由于该种治疗的费用相当可观，因此对于国家预算来说是个沉重的负担。</w:t>
      </w:r>
    </w:p>
    <w:p w:rsidR="006A43F5" w:rsidRDefault="006A43F5">
      <w:pPr>
        <w:numPr>
          <w:ilvl w:val="0"/>
          <w:numId w:val="19"/>
        </w:numPr>
        <w:tabs>
          <w:tab w:val="clear" w:pos="360"/>
          <w:tab w:val="left" w:pos="450"/>
        </w:tabs>
        <w:spacing w:after="140" w:line="340" w:lineRule="exact"/>
        <w:ind w:left="0" w:firstLine="0"/>
        <w:jc w:val="both"/>
        <w:rPr>
          <w:rFonts w:ascii="Times New Roman" w:hint="eastAsia"/>
        </w:rPr>
      </w:pPr>
      <w:r>
        <w:rPr>
          <w:rFonts w:ascii="Times New Roman" w:hint="eastAsia"/>
        </w:rPr>
        <w:t>有人指出政府未对非政府组织报道的即使法律准许堕胎，一些卫生保健设施也拒绝实施堕胎的问题做出答复，他对此答复说，</w:t>
      </w:r>
      <w:r>
        <w:rPr>
          <w:rFonts w:ascii="Times New Roman" w:hint="eastAsia"/>
        </w:rPr>
        <w:t>2003</w:t>
      </w:r>
      <w:r>
        <w:rPr>
          <w:rFonts w:ascii="Times New Roman" w:hint="eastAsia"/>
        </w:rPr>
        <w:t>年</w:t>
      </w:r>
      <w:r>
        <w:rPr>
          <w:rFonts w:ascii="Times New Roman" w:hint="eastAsia"/>
        </w:rPr>
        <w:t>3</w:t>
      </w:r>
      <w:r>
        <w:rPr>
          <w:rFonts w:ascii="Times New Roman" w:hint="eastAsia"/>
        </w:rPr>
        <w:t>月卫生部以书面形式提醒各省负责人，必须实施法律准许的堕胎。</w:t>
      </w:r>
    </w:p>
    <w:p w:rsidR="006A43F5" w:rsidRDefault="006A43F5">
      <w:pPr>
        <w:numPr>
          <w:ilvl w:val="0"/>
          <w:numId w:val="19"/>
        </w:numPr>
        <w:tabs>
          <w:tab w:val="clear" w:pos="360"/>
          <w:tab w:val="left" w:pos="450"/>
        </w:tabs>
        <w:spacing w:after="140" w:line="340" w:lineRule="exact"/>
        <w:ind w:left="0" w:firstLine="0"/>
        <w:jc w:val="both"/>
        <w:rPr>
          <w:rFonts w:ascii="Times New Roman" w:hint="eastAsia"/>
        </w:rPr>
      </w:pPr>
      <w:r>
        <w:rPr>
          <w:rFonts w:ascii="SimHei" w:eastAsia="SimHei" w:hint="eastAsia"/>
          <w:color w:val="FF0000"/>
        </w:rPr>
        <w:t>Przygucka女士</w:t>
      </w:r>
      <w:r>
        <w:rPr>
          <w:rFonts w:ascii="Times New Roman" w:hint="eastAsia"/>
        </w:rPr>
        <w:t>（波兰）说，医生出于良知拒绝实施堕胎的权利不能剥夺病人的堕胎权。根据有关医疗设施的法律，如果某个医院的所有医生都拒绝实施堕胎，医院必须与另一个实施堕胎的保健设施签订合同。此外，如果怀孕直接威胁到母亲的生命安全，如果面临受到严重伤害风险或由于医疗原因出现紧急情况不容耽搁时，医生有义务实施堕胎。不能解雇因出于良知而拒绝实施堕胎的医生，上述提到的情况除外。</w:t>
      </w:r>
    </w:p>
    <w:p w:rsidR="006A43F5" w:rsidRDefault="006A43F5">
      <w:pPr>
        <w:numPr>
          <w:ilvl w:val="0"/>
          <w:numId w:val="19"/>
        </w:numPr>
        <w:tabs>
          <w:tab w:val="clear" w:pos="360"/>
          <w:tab w:val="left" w:pos="450"/>
        </w:tabs>
        <w:spacing w:after="140" w:line="340" w:lineRule="exact"/>
        <w:ind w:left="0" w:firstLine="0"/>
        <w:jc w:val="both"/>
        <w:rPr>
          <w:rFonts w:ascii="Times New Roman" w:hint="eastAsia"/>
        </w:rPr>
      </w:pPr>
      <w:r>
        <w:rPr>
          <w:rFonts w:ascii="SimHei" w:eastAsia="SimHei" w:hint="eastAsia"/>
          <w:color w:val="FF0000"/>
        </w:rPr>
        <w:t>Furgala女士</w:t>
      </w:r>
      <w:r>
        <w:rPr>
          <w:rFonts w:ascii="Times New Roman" w:hint="eastAsia"/>
        </w:rPr>
        <w:t>（波兰）说，与其他国家相比，波兰难民的数目有限。截至</w:t>
      </w:r>
      <w:r>
        <w:rPr>
          <w:rFonts w:ascii="Times New Roman" w:hint="eastAsia"/>
        </w:rPr>
        <w:t>2006</w:t>
      </w:r>
      <w:r>
        <w:rPr>
          <w:rFonts w:ascii="Times New Roman" w:hint="eastAsia"/>
        </w:rPr>
        <w:t>年</w:t>
      </w:r>
      <w:r>
        <w:rPr>
          <w:rFonts w:ascii="Times New Roman" w:hint="eastAsia"/>
        </w:rPr>
        <w:t>12</w:t>
      </w:r>
      <w:r>
        <w:rPr>
          <w:rFonts w:ascii="Times New Roman" w:hint="eastAsia"/>
        </w:rPr>
        <w:t>月，政府收到了约</w:t>
      </w:r>
      <w:r>
        <w:rPr>
          <w:rFonts w:ascii="Times New Roman" w:hint="eastAsia"/>
        </w:rPr>
        <w:t>2 000</w:t>
      </w:r>
      <w:r>
        <w:rPr>
          <w:rFonts w:ascii="Times New Roman" w:hint="eastAsia"/>
        </w:rPr>
        <w:t>个难民地位申请，批准了其中的</w:t>
      </w:r>
      <w:r>
        <w:rPr>
          <w:rFonts w:ascii="Times New Roman" w:hint="eastAsia"/>
        </w:rPr>
        <w:t>400</w:t>
      </w:r>
      <w:r>
        <w:rPr>
          <w:rFonts w:ascii="Times New Roman" w:hint="eastAsia"/>
        </w:rPr>
        <w:t>多个。波兰最近加入欧盟也对此产生影响。政府向难民和侨民提供了膳宿、免费公共交通、综合医疗服务及必要的心理援助等服务。</w:t>
      </w:r>
    </w:p>
    <w:p w:rsidR="006A43F5" w:rsidRDefault="006A43F5">
      <w:pPr>
        <w:numPr>
          <w:ilvl w:val="0"/>
          <w:numId w:val="19"/>
        </w:numPr>
        <w:tabs>
          <w:tab w:val="clear" w:pos="360"/>
          <w:tab w:val="left" w:pos="450"/>
        </w:tabs>
        <w:spacing w:after="140" w:line="340" w:lineRule="exact"/>
        <w:ind w:left="0" w:firstLine="0"/>
        <w:jc w:val="both"/>
        <w:rPr>
          <w:rFonts w:ascii="Times New Roman" w:hint="eastAsia"/>
        </w:rPr>
      </w:pPr>
      <w:r>
        <w:rPr>
          <w:rFonts w:ascii="SimHei" w:eastAsia="SimHei" w:hint="eastAsia"/>
          <w:color w:val="FF0000"/>
        </w:rPr>
        <w:t>Tavares da Silva女士</w:t>
      </w:r>
      <w:r>
        <w:rPr>
          <w:rFonts w:ascii="Times New Roman" w:hint="eastAsia"/>
        </w:rPr>
        <w:t>说，委员会收到了关于限制获得含激素避孕药品的法律草案的资料，并希望知道该法律还载有什么其他限制。</w:t>
      </w:r>
    </w:p>
    <w:p w:rsidR="006A43F5" w:rsidRDefault="006A43F5">
      <w:pPr>
        <w:numPr>
          <w:ilvl w:val="0"/>
          <w:numId w:val="19"/>
        </w:numPr>
        <w:tabs>
          <w:tab w:val="clear" w:pos="360"/>
          <w:tab w:val="left" w:pos="450"/>
        </w:tabs>
        <w:spacing w:after="140" w:line="340" w:lineRule="exact"/>
        <w:ind w:left="0" w:firstLine="0"/>
        <w:jc w:val="both"/>
        <w:rPr>
          <w:rFonts w:ascii="Times New Roman" w:hint="eastAsia"/>
        </w:rPr>
      </w:pPr>
      <w:r>
        <w:rPr>
          <w:rFonts w:ascii="SimHei" w:eastAsia="SimHei" w:hint="eastAsia"/>
          <w:color w:val="FF0000"/>
        </w:rPr>
        <w:t>Kluzik-Rostkowska女士</w:t>
      </w:r>
      <w:r>
        <w:rPr>
          <w:rFonts w:ascii="Times New Roman" w:hint="eastAsia"/>
        </w:rPr>
        <w:t>（波兰）说，没有此类法律草案。多年来波兰的计划生育就一直有自然避孕法和激素避孕法。极端保守的波兰家庭联盟确实想侧重于自然方法上。然而，其观点并未得到普遍支持，而且卫生部也很快与此保持了距离。该法律保证了不论哪个政党执政，公民都能获得堕胎和避孕的机会。因此，目前妇女取得避孕用具的机会比以前少的说法并不真实。</w:t>
      </w:r>
    </w:p>
    <w:p w:rsidR="006A43F5" w:rsidRDefault="006A43F5">
      <w:pPr>
        <w:numPr>
          <w:ilvl w:val="0"/>
          <w:numId w:val="19"/>
        </w:numPr>
        <w:tabs>
          <w:tab w:val="clear" w:pos="360"/>
          <w:tab w:val="left" w:pos="450"/>
        </w:tabs>
        <w:spacing w:after="140" w:line="340" w:lineRule="exact"/>
        <w:ind w:left="0" w:firstLine="0"/>
        <w:jc w:val="both"/>
        <w:rPr>
          <w:rFonts w:ascii="Times New Roman" w:hint="eastAsia"/>
        </w:rPr>
      </w:pPr>
      <w:r>
        <w:rPr>
          <w:rFonts w:ascii="Times New Roman" w:hint="eastAsia"/>
        </w:rPr>
        <w:t>波兰只有少数避孕用具可以报销是另一个问题。不是政府不想增加其他可报销的避孕用具，而是因为没有这个经济能力。尽管近几年波兰的经济有所增长，但政府仍需要有轻重缓急之分。目前的优先事项不是避孕用具，而是救生药物。</w:t>
      </w:r>
    </w:p>
    <w:p w:rsidR="006A43F5" w:rsidRDefault="006A43F5">
      <w:pPr>
        <w:numPr>
          <w:ilvl w:val="0"/>
          <w:numId w:val="19"/>
        </w:numPr>
        <w:tabs>
          <w:tab w:val="clear" w:pos="360"/>
          <w:tab w:val="left" w:pos="450"/>
        </w:tabs>
        <w:spacing w:after="140" w:line="340" w:lineRule="exact"/>
        <w:ind w:left="0" w:firstLine="0"/>
        <w:jc w:val="both"/>
        <w:rPr>
          <w:rFonts w:ascii="Times New Roman" w:hint="eastAsia"/>
        </w:rPr>
      </w:pPr>
      <w:r>
        <w:rPr>
          <w:rFonts w:ascii="SimHei" w:eastAsia="SimHei" w:hint="eastAsia"/>
          <w:color w:val="FF0000"/>
        </w:rPr>
        <w:t>Šimonovi</w:t>
      </w:r>
      <w:r>
        <w:rPr>
          <w:rFonts w:ascii="SimHei" w:eastAsia="SimHei"/>
          <w:color w:val="FF0000"/>
        </w:rPr>
        <w:t>ć</w:t>
      </w:r>
      <w:r>
        <w:rPr>
          <w:rFonts w:ascii="SimHei" w:eastAsia="SimHei" w:hint="eastAsia"/>
          <w:color w:val="FF0000"/>
        </w:rPr>
        <w:t xml:space="preserve"> 女士</w:t>
      </w:r>
      <w:r>
        <w:rPr>
          <w:rFonts w:ascii="Times New Roman" w:hint="eastAsia"/>
        </w:rPr>
        <w:t>问，波兰的非法堕胎数量是多少。她也想知道卫生部是只提倡自然计划生育方法呢还是提倡所有现有的方法，包括自然方法。</w:t>
      </w:r>
    </w:p>
    <w:p w:rsidR="006A43F5" w:rsidRDefault="006A43F5">
      <w:pPr>
        <w:numPr>
          <w:ilvl w:val="0"/>
          <w:numId w:val="19"/>
        </w:numPr>
        <w:tabs>
          <w:tab w:val="clear" w:pos="360"/>
          <w:tab w:val="left" w:pos="450"/>
        </w:tabs>
        <w:spacing w:after="140" w:line="360" w:lineRule="exact"/>
        <w:ind w:left="0" w:firstLine="0"/>
        <w:jc w:val="both"/>
        <w:rPr>
          <w:rFonts w:ascii="Times New Roman" w:hint="eastAsia"/>
        </w:rPr>
      </w:pPr>
      <w:r>
        <w:rPr>
          <w:rFonts w:ascii="SimHei" w:eastAsia="SimHei" w:hint="eastAsia"/>
          <w:color w:val="FF0000"/>
        </w:rPr>
        <w:t>Kluzik-Rostkowska女士</w:t>
      </w:r>
      <w:r>
        <w:rPr>
          <w:rFonts w:ascii="Times New Roman" w:hint="eastAsia"/>
        </w:rPr>
        <w:t>（波兰）说，由于资料来源不同，对非法堕胎数量的统计也大不相同。非政府组织估计每年约有</w:t>
      </w:r>
      <w:r>
        <w:rPr>
          <w:rFonts w:ascii="Times New Roman" w:hint="eastAsia"/>
        </w:rPr>
        <w:t>80 000-200 000</w:t>
      </w:r>
      <w:r>
        <w:rPr>
          <w:rFonts w:ascii="Times New Roman" w:hint="eastAsia"/>
        </w:rPr>
        <w:t>例非法堕胎，但其他资料显示的数量要低得多。不管怎样，主要问题并非实施堕胎的数量，而是国家未向年轻孕妇提供足够的福利。这些妇女通常选择堕胎是因为如果没有社会援助她们就没有信心将子女抚养成人。</w:t>
      </w:r>
    </w:p>
    <w:p w:rsidR="006A43F5" w:rsidRDefault="006A43F5">
      <w:pPr>
        <w:numPr>
          <w:ilvl w:val="0"/>
          <w:numId w:val="19"/>
        </w:numPr>
        <w:tabs>
          <w:tab w:val="clear" w:pos="360"/>
          <w:tab w:val="left" w:pos="450"/>
        </w:tabs>
        <w:spacing w:after="140" w:line="360" w:lineRule="exact"/>
        <w:ind w:left="0" w:firstLine="0"/>
        <w:jc w:val="both"/>
        <w:rPr>
          <w:rFonts w:ascii="Times New Roman" w:hint="eastAsia"/>
        </w:rPr>
      </w:pPr>
      <w:r>
        <w:rPr>
          <w:rFonts w:ascii="Times New Roman" w:hint="eastAsia"/>
        </w:rPr>
        <w:t>关于计划生育，卫生部提倡所有的避孕方法。确实曾有一个工作组提议国家应只提倡自然分娩管理。但是这个提议已被坚决否决。</w:t>
      </w:r>
    </w:p>
    <w:p w:rsidR="006A43F5" w:rsidRDefault="006A43F5">
      <w:pPr>
        <w:tabs>
          <w:tab w:val="left" w:pos="420"/>
        </w:tabs>
        <w:spacing w:after="140" w:line="360" w:lineRule="exact"/>
        <w:jc w:val="both"/>
        <w:rPr>
          <w:rFonts w:ascii="KaiTi_GB2312" w:eastAsia="KaiTi_GB2312" w:hint="eastAsia"/>
          <w:color w:val="0000FF"/>
        </w:rPr>
      </w:pPr>
      <w:r>
        <w:rPr>
          <w:rFonts w:ascii="KaiTi_GB2312" w:eastAsia="KaiTi_GB2312" w:hint="eastAsia"/>
          <w:color w:val="0000FF"/>
        </w:rPr>
        <w:t>第15条和第16条</w:t>
      </w:r>
    </w:p>
    <w:p w:rsidR="006A43F5" w:rsidRDefault="006A43F5">
      <w:pPr>
        <w:numPr>
          <w:ilvl w:val="0"/>
          <w:numId w:val="19"/>
        </w:numPr>
        <w:tabs>
          <w:tab w:val="clear" w:pos="360"/>
          <w:tab w:val="left" w:pos="450"/>
        </w:tabs>
        <w:spacing w:after="140" w:line="360" w:lineRule="exact"/>
        <w:ind w:left="0" w:firstLine="0"/>
        <w:jc w:val="both"/>
        <w:rPr>
          <w:rFonts w:ascii="Times New Roman" w:hint="eastAsia"/>
          <w:bCs/>
          <w:noProof/>
        </w:rPr>
      </w:pPr>
      <w:r>
        <w:rPr>
          <w:rFonts w:ascii="SimHei" w:eastAsia="SimHei" w:hint="eastAsia"/>
          <w:color w:val="FF0000"/>
        </w:rPr>
        <w:t>Belmihoub-Zerdani女士</w:t>
      </w:r>
      <w:r>
        <w:rPr>
          <w:rFonts w:ascii="Times New Roman" w:hint="eastAsia"/>
        </w:rPr>
        <w:t>（阿尔及利亚）想知道《民法典》有关婚姻和家庭生活的规定是否适用于所有的人，不论其宗教如何。她注意到，努力为婚姻破裂的罗马天主教徒寻找解决办法，</w:t>
      </w:r>
      <w:r>
        <w:rPr>
          <w:rFonts w:ascii="Times New Roman" w:hint="eastAsia"/>
          <w:bCs/>
          <w:noProof/>
        </w:rPr>
        <w:t>《家庭和监护法》规定分居和离婚具有同样的结果。如果能获得关于这个问题的进一步资料，她将不胜感激，因为这可能会有助于研究其他国家的报告。</w:t>
      </w:r>
    </w:p>
    <w:p w:rsidR="006A43F5" w:rsidRDefault="006A43F5">
      <w:pPr>
        <w:numPr>
          <w:ilvl w:val="0"/>
          <w:numId w:val="19"/>
        </w:numPr>
        <w:tabs>
          <w:tab w:val="clear" w:pos="360"/>
          <w:tab w:val="left" w:pos="450"/>
        </w:tabs>
        <w:spacing w:after="140" w:line="340" w:lineRule="exact"/>
        <w:ind w:left="0" w:firstLine="0"/>
        <w:jc w:val="both"/>
        <w:rPr>
          <w:rFonts w:ascii="Times New Roman" w:hint="eastAsia"/>
        </w:rPr>
      </w:pPr>
      <w:r>
        <w:rPr>
          <w:rFonts w:ascii="SimHei" w:eastAsia="SimHei" w:hint="eastAsia"/>
          <w:color w:val="FF0000"/>
        </w:rPr>
        <w:t>Tan女士</w:t>
      </w:r>
      <w:r>
        <w:rPr>
          <w:rFonts w:ascii="Times New Roman" w:hint="eastAsia"/>
        </w:rPr>
        <w:t>对低离婚率可能是由于妇女缺少进行离婚的必要信息和资金的问题表示关切。关于这方面，她希望知道国会是否通过了</w:t>
      </w:r>
      <w:r>
        <w:rPr>
          <w:rFonts w:ascii="Times New Roman" w:hint="eastAsia"/>
        </w:rPr>
        <w:t>1994</w:t>
      </w:r>
      <w:r>
        <w:rPr>
          <w:rFonts w:ascii="Times New Roman" w:hint="eastAsia"/>
        </w:rPr>
        <w:t>年妇女议员团向国会提交的离婚法草案，该法简化了离婚程序并将离婚案件转给家庭法院审理，如果国会没有通过，预计何时会通过？她还想知道</w:t>
      </w:r>
      <w:r>
        <w:rPr>
          <w:rFonts w:ascii="Times New Roman" w:hint="eastAsia"/>
        </w:rPr>
        <w:t>1993</w:t>
      </w:r>
      <w:r>
        <w:rPr>
          <w:rFonts w:ascii="Times New Roman" w:hint="eastAsia"/>
        </w:rPr>
        <w:t>年以来离婚率是否有所增长。最后，她想知道计算赡养费时法院是否使用一个公式；预计离婚妇女多长时间可以收到赡养费和子女供养费；妻子一般可以分得多大比例丈夫或夫妻双方的财产。她最后表示，如果能获得有关造成离婚的原因及提出离婚请求的男女人数的最新数据，她将不胜感激。</w:t>
      </w:r>
    </w:p>
    <w:p w:rsidR="006A43F5" w:rsidRDefault="006A43F5">
      <w:pPr>
        <w:numPr>
          <w:ilvl w:val="0"/>
          <w:numId w:val="19"/>
        </w:numPr>
        <w:tabs>
          <w:tab w:val="clear" w:pos="360"/>
          <w:tab w:val="left" w:pos="450"/>
        </w:tabs>
        <w:spacing w:after="140" w:line="340" w:lineRule="exact"/>
        <w:ind w:left="0" w:firstLine="0"/>
        <w:jc w:val="both"/>
        <w:rPr>
          <w:rFonts w:ascii="Times New Roman" w:hint="eastAsia"/>
        </w:rPr>
      </w:pPr>
      <w:r>
        <w:rPr>
          <w:rFonts w:ascii="SimHei" w:eastAsia="SimHei" w:hint="eastAsia"/>
          <w:color w:val="FF0000"/>
        </w:rPr>
        <w:t>Kluzik-Rostkowska女士</w:t>
      </w:r>
      <w:r>
        <w:rPr>
          <w:rFonts w:ascii="Times New Roman" w:hint="eastAsia"/>
        </w:rPr>
        <w:t>（波兰）重申，教会和国家曾一度分离，并重申不存在基于信仰的歧视。波兰的离婚率确实有所增长，这主要是因为法律极为有利。事实上，许多配偶假称离婚，这样妇女就可以获得提供给单身母亲的特殊经济援助。</w:t>
      </w:r>
    </w:p>
    <w:p w:rsidR="006A43F5" w:rsidRDefault="006A43F5">
      <w:pPr>
        <w:numPr>
          <w:ilvl w:val="0"/>
          <w:numId w:val="19"/>
        </w:numPr>
        <w:tabs>
          <w:tab w:val="clear" w:pos="360"/>
          <w:tab w:val="left" w:pos="450"/>
        </w:tabs>
        <w:spacing w:after="140" w:line="340" w:lineRule="exact"/>
        <w:ind w:left="0" w:firstLine="0"/>
        <w:jc w:val="both"/>
        <w:rPr>
          <w:rFonts w:ascii="Times New Roman" w:hint="eastAsia"/>
        </w:rPr>
      </w:pPr>
      <w:r>
        <w:rPr>
          <w:rFonts w:ascii="Times New Roman" w:hint="eastAsia"/>
        </w:rPr>
        <w:t>虽然法院传统上会做出有利于妇女的判决，但男人要求子女监护权的情况也在增多。关于赡养费，结果取决于是否发现丈夫有过错。如果法院认定丈夫“有罪”，那么他将支付足够的赡养费和子女供养费以使其家人能够维持目前的生活水平。如果法院没有认定任何一方有罪，那么丈夫只需支付子女供养费。波兰国会目前正在采取措施重新建立赡养费基金，这为单身父母在对方不能支付其赡养费时提供补助金。财产分割根据个案具体情况做出判决。然而，由于法院首先考虑的是儿童的福利并通常把监护权判给母亲，因此她会分得相当大部分的财产。</w:t>
      </w:r>
    </w:p>
    <w:p w:rsidR="006A43F5" w:rsidRDefault="006A43F5">
      <w:pPr>
        <w:numPr>
          <w:ilvl w:val="0"/>
          <w:numId w:val="19"/>
        </w:numPr>
        <w:tabs>
          <w:tab w:val="clear" w:pos="360"/>
          <w:tab w:val="left" w:pos="450"/>
        </w:tabs>
        <w:spacing w:after="140" w:line="340" w:lineRule="exact"/>
        <w:ind w:left="0" w:firstLine="0"/>
        <w:jc w:val="both"/>
        <w:rPr>
          <w:rFonts w:hint="eastAsia"/>
        </w:rPr>
      </w:pPr>
      <w:r>
        <w:rPr>
          <w:rFonts w:ascii="SimHei" w:eastAsia="SimHei" w:hint="eastAsia"/>
          <w:color w:val="FF0000"/>
        </w:rPr>
        <w:t>主席</w:t>
      </w:r>
      <w:r>
        <w:rPr>
          <w:rFonts w:ascii="Times New Roman" w:hint="eastAsia"/>
        </w:rPr>
        <w:t>说，波兰政府将适时接受委员会的最后考察。她促请波兰政府尽可能广泛地传达，特别是向国会、各政府部门及民间社会各成员传达这些考察结果。</w:t>
      </w:r>
    </w:p>
    <w:p w:rsidR="006A43F5" w:rsidRDefault="006A43F5">
      <w:pPr>
        <w:tabs>
          <w:tab w:val="left" w:pos="420"/>
        </w:tabs>
        <w:spacing w:after="180" w:line="340" w:lineRule="exact"/>
        <w:jc w:val="both"/>
        <w:rPr>
          <w:rFonts w:ascii="Times New Roman" w:eastAsia="KaiTi_GB2312"/>
          <w:color w:val="0000FF"/>
        </w:rPr>
      </w:pPr>
      <w:r>
        <w:rPr>
          <w:rFonts w:ascii="Times New Roman" w:eastAsia="KaiTi_GB2312" w:hint="eastAsia"/>
          <w:color w:val="0000FF"/>
        </w:rPr>
        <w:tab/>
      </w:r>
      <w:r>
        <w:rPr>
          <w:rFonts w:ascii="Times New Roman" w:eastAsia="KaiTi_GB2312" w:hint="eastAsia"/>
          <w:color w:val="0000FF"/>
        </w:rPr>
        <w:t>下午</w:t>
      </w:r>
      <w:r>
        <w:rPr>
          <w:rFonts w:ascii="Times New Roman" w:eastAsia="KaiTi_GB2312" w:hint="eastAsia"/>
          <w:color w:val="0000FF"/>
        </w:rPr>
        <w:t>5</w:t>
      </w:r>
      <w:r>
        <w:rPr>
          <w:rFonts w:ascii="Times New Roman" w:eastAsia="KaiTi_GB2312" w:hint="eastAsia"/>
          <w:color w:val="0000FF"/>
        </w:rPr>
        <w:t>时散会</w:t>
      </w:r>
    </w:p>
    <w:p w:rsidR="006A43F5" w:rsidRDefault="006A43F5">
      <w:pPr>
        <w:tabs>
          <w:tab w:val="left" w:pos="420"/>
        </w:tabs>
        <w:spacing w:after="180" w:line="340" w:lineRule="exact"/>
        <w:jc w:val="both"/>
        <w:rPr>
          <w:rFonts w:ascii="Times New Roman" w:eastAsia="KaiTi_GB2312"/>
          <w:color w:val="0000FF"/>
        </w:rPr>
        <w:sectPr w:rsidR="006A43F5">
          <w:endnotePr>
            <w:numFmt w:val="decimal"/>
          </w:endnotePr>
          <w:type w:val="continuous"/>
          <w:pgSz w:w="12242" w:h="15842" w:code="1"/>
          <w:pgMar w:top="1742" w:right="1195" w:bottom="1898" w:left="1195" w:header="576" w:footer="1030" w:gutter="0"/>
          <w:cols w:num="2" w:space="425"/>
          <w:noEndnote/>
          <w:docGrid w:type="lines" w:linePitch="312"/>
        </w:sectPr>
      </w:pPr>
    </w:p>
    <w:p w:rsidR="006A43F5" w:rsidRDefault="006A43F5">
      <w:pPr>
        <w:tabs>
          <w:tab w:val="left" w:pos="420"/>
        </w:tabs>
        <w:spacing w:after="180" w:line="340" w:lineRule="exact"/>
        <w:jc w:val="both"/>
        <w:rPr>
          <w:rFonts w:ascii="KaiTi_GB2312" w:eastAsia="KaiTi_GB2312"/>
          <w:color w:val="0000FF"/>
        </w:rPr>
      </w:pPr>
    </w:p>
    <w:sectPr w:rsidR="006A43F5">
      <w:endnotePr>
        <w:numFmt w:val="decimal"/>
      </w:endnotePr>
      <w:type w:val="continuous"/>
      <w:pgSz w:w="12242" w:h="15842" w:code="1"/>
      <w:pgMar w:top="1742" w:right="1195" w:bottom="1898" w:left="1195" w:header="576" w:footer="1030" w:gutter="0"/>
      <w:cols w:space="720"/>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6A43F5" w:rsidRDefault="006A43F5">
      <w:pPr>
        <w:pStyle w:val="CommentText"/>
        <w:rPr>
          <w:rFonts w:ascii="Times New Roman"/>
        </w:rPr>
      </w:pPr>
      <w:r>
        <w:rPr>
          <w:rStyle w:val="CommentReference"/>
          <w:rFonts w:ascii="Times New Roman" w:hint="eastAsia"/>
        </w:rPr>
        <w:annotationRef/>
      </w:r>
      <w:r>
        <w:rPr>
          <w:rFonts w:ascii="Times New Roman"/>
        </w:rPr>
        <w:t>&lt;&lt;ODS JOB NO&gt;&gt;N0</w:t>
      </w:r>
      <w:r>
        <w:rPr>
          <w:rFonts w:ascii="Times New Roman" w:hint="eastAsia"/>
        </w:rPr>
        <w:t>721115</w:t>
      </w:r>
      <w:r>
        <w:rPr>
          <w:rFonts w:ascii="Times New Roman"/>
        </w:rPr>
        <w:t>C&lt;&lt;ODS JOB NO&gt;&gt;</w:t>
      </w:r>
    </w:p>
    <w:p w:rsidR="006A43F5" w:rsidRDefault="006A43F5">
      <w:pPr>
        <w:pStyle w:val="CommentText"/>
        <w:rPr>
          <w:rFonts w:ascii="Times New Roman"/>
        </w:rPr>
      </w:pPr>
      <w:r>
        <w:rPr>
          <w:rFonts w:ascii="Times New Roman"/>
        </w:rPr>
        <w:t>&lt;&lt;ODS DOC SYMBOL1&gt;&gt;CEDAW/C/SR.</w:t>
      </w:r>
      <w:r>
        <w:rPr>
          <w:rFonts w:ascii="Times New Roman" w:hint="eastAsia"/>
        </w:rPr>
        <w:t>758 (B)</w:t>
      </w:r>
      <w:r>
        <w:rPr>
          <w:rFonts w:ascii="Times New Roman"/>
        </w:rPr>
        <w:t>&lt;&lt;ODS DOC SYMBOL1&gt;&gt;</w:t>
      </w:r>
    </w:p>
    <w:p w:rsidR="006A43F5" w:rsidRDefault="006A43F5">
      <w:pPr>
        <w:pStyle w:val="CommentText"/>
        <w:rPr>
          <w:rFonts w:ascii="Times New Roman"/>
        </w:rPr>
      </w:pPr>
      <w:r>
        <w:rPr>
          <w:rFonts w:ascii="Times New Roman"/>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400D8" w:rsidRDefault="008400D8">
      <w:r>
        <w:separator/>
      </w:r>
    </w:p>
  </w:endnote>
  <w:endnote w:type="continuationSeparator" w:id="0">
    <w:p w:rsidR="008400D8" w:rsidRDefault="008400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TXihei">
    <w:altName w:val="华文细黑"/>
    <w:charset w:val="86"/>
    <w:family w:val="auto"/>
    <w:pitch w:val="variable"/>
    <w:sig w:usb0="00000287" w:usb1="080F0000" w:usb2="00000010" w:usb3="00000000" w:csb0="0004009F" w:csb1="00000000"/>
  </w:font>
  <w:font w:name="KaiTi_GB2312">
    <w:altName w:val="楷体_GB2312"/>
    <w:panose1 w:val="02010609060101010101"/>
    <w:charset w:val="86"/>
    <w:family w:val="modern"/>
    <w:pitch w:val="fixed"/>
    <w:sig w:usb0="00000001" w:usb1="080E0000" w:usb2="00000010" w:usb3="00000000" w:csb0="0004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A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FangSong_GB2312">
    <w:altName w:val="仿宋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6A43F5">
      <w:tblPrEx>
        <w:tblCellMar>
          <w:top w:w="0" w:type="dxa"/>
          <w:bottom w:w="0" w:type="dxa"/>
        </w:tblCellMar>
      </w:tblPrEx>
      <w:tc>
        <w:tcPr>
          <w:tcW w:w="5034" w:type="dxa"/>
          <w:vAlign w:val="bottom"/>
        </w:tcPr>
        <w:p w:rsidR="006A43F5" w:rsidRDefault="006A43F5">
          <w:pPr>
            <w:pStyle w:val="Footer"/>
            <w:rPr>
              <w:sz w:val="18"/>
            </w:rPr>
          </w:pPr>
          <w:r>
            <w:rPr>
              <w:sz w:val="18"/>
            </w:rPr>
            <w:fldChar w:fldCharType="begin"/>
          </w:r>
          <w:r>
            <w:rPr>
              <w:sz w:val="18"/>
            </w:rPr>
            <w:instrText xml:space="preserve"> PAGE  \* MERGEFORMAT </w:instrText>
          </w:r>
          <w:r>
            <w:rPr>
              <w:sz w:val="18"/>
            </w:rPr>
            <w:fldChar w:fldCharType="separate"/>
          </w:r>
          <w:r w:rsidR="00841417">
            <w:rPr>
              <w:sz w:val="18"/>
            </w:rPr>
            <w:t>2</w:t>
          </w:r>
          <w:r>
            <w:rPr>
              <w:sz w:val="18"/>
            </w:rPr>
            <w:fldChar w:fldCharType="end"/>
          </w:r>
        </w:p>
      </w:tc>
      <w:tc>
        <w:tcPr>
          <w:tcW w:w="5034" w:type="dxa"/>
          <w:vAlign w:val="bottom"/>
        </w:tcPr>
        <w:p w:rsidR="006A43F5" w:rsidRDefault="006A43F5">
          <w:pPr>
            <w:pStyle w:val="Footer"/>
            <w:jc w:val="right"/>
          </w:pPr>
        </w:p>
      </w:tc>
    </w:tr>
  </w:tbl>
  <w:p w:rsidR="006A43F5" w:rsidRDefault="006A43F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6A43F5">
      <w:tblPrEx>
        <w:tblCellMar>
          <w:top w:w="0" w:type="dxa"/>
          <w:bottom w:w="0" w:type="dxa"/>
        </w:tblCellMar>
      </w:tblPrEx>
      <w:tc>
        <w:tcPr>
          <w:tcW w:w="5034" w:type="dxa"/>
          <w:vAlign w:val="bottom"/>
        </w:tcPr>
        <w:p w:rsidR="006A43F5" w:rsidRDefault="006A43F5">
          <w:pPr>
            <w:pStyle w:val="Footer"/>
          </w:pPr>
        </w:p>
      </w:tc>
      <w:tc>
        <w:tcPr>
          <w:tcW w:w="5034" w:type="dxa"/>
          <w:vAlign w:val="bottom"/>
        </w:tcPr>
        <w:p w:rsidR="006A43F5" w:rsidRDefault="006A43F5">
          <w:pPr>
            <w:pStyle w:val="Footer"/>
            <w:jc w:val="right"/>
            <w:rPr>
              <w:sz w:val="18"/>
            </w:rPr>
          </w:pPr>
          <w:r>
            <w:rPr>
              <w:sz w:val="18"/>
            </w:rPr>
            <w:fldChar w:fldCharType="begin"/>
          </w:r>
          <w:r>
            <w:rPr>
              <w:sz w:val="18"/>
            </w:rPr>
            <w:instrText xml:space="preserve"> PAGE  \* MERGEFORMAT </w:instrText>
          </w:r>
          <w:r>
            <w:rPr>
              <w:sz w:val="18"/>
            </w:rPr>
            <w:fldChar w:fldCharType="separate"/>
          </w:r>
          <w:r w:rsidR="00841417">
            <w:rPr>
              <w:sz w:val="18"/>
            </w:rPr>
            <w:t>3</w:t>
          </w:r>
          <w:r>
            <w:rPr>
              <w:sz w:val="18"/>
            </w:rPr>
            <w:fldChar w:fldCharType="end"/>
          </w:r>
        </w:p>
      </w:tc>
    </w:tr>
  </w:tbl>
  <w:p w:rsidR="006A43F5" w:rsidRDefault="006A43F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43F5" w:rsidRDefault="006A43F5">
    <w:pPr>
      <w:pStyle w:val="Footer"/>
    </w:pPr>
  </w:p>
  <w:p w:rsidR="006A43F5" w:rsidRDefault="006A43F5">
    <w:pPr>
      <w:pStyle w:val="Footer"/>
      <w:pBdr>
        <w:top w:val="single" w:sz="2" w:space="0" w:color="000000"/>
      </w:pBdr>
      <w:rPr>
        <w:sz w:val="2"/>
      </w:rPr>
    </w:pPr>
  </w:p>
  <w:p w:rsidR="006A43F5" w:rsidRDefault="006A43F5">
    <w:pPr>
      <w:spacing w:before="60" w:after="120" w:line="240" w:lineRule="auto"/>
      <w:ind w:left="1264" w:right="1264"/>
      <w:jc w:val="both"/>
      <w:rPr>
        <w:rFonts w:ascii="Times New Roman"/>
        <w:snapToGrid w:val="0"/>
        <w:spacing w:val="5"/>
        <w:w w:val="104"/>
        <w:sz w:val="18"/>
      </w:rPr>
    </w:pPr>
    <w:r>
      <w:rPr>
        <w:rFonts w:ascii="Times New Roman" w:hint="eastAsia"/>
        <w:snapToGrid w:val="0"/>
        <w:spacing w:val="5"/>
        <w:w w:val="104"/>
        <w:sz w:val="18"/>
      </w:rPr>
      <w:t>本记录可以更正。</w:t>
    </w:r>
  </w:p>
  <w:p w:rsidR="006A43F5" w:rsidRDefault="006A43F5">
    <w:pPr>
      <w:spacing w:before="60" w:after="120" w:line="240" w:lineRule="auto"/>
      <w:ind w:left="1264" w:right="1264"/>
      <w:jc w:val="both"/>
      <w:rPr>
        <w:rFonts w:ascii="Times New Roman" w:hint="eastAsia"/>
        <w:snapToGrid w:val="0"/>
        <w:spacing w:val="5"/>
        <w:w w:val="104"/>
        <w:sz w:val="18"/>
      </w:rPr>
    </w:pPr>
    <w:r>
      <w:rPr>
        <w:rFonts w:ascii="Times New Roman" w:hint="eastAsia"/>
        <w:snapToGrid w:val="0"/>
        <w:spacing w:val="5"/>
        <w:w w:val="104"/>
        <w:sz w:val="18"/>
      </w:rPr>
      <w:t>本记录的各项更正应以一种工作语文提出。各项更正应在一份备忘录内列明，并填写在一份记录上。各项更正应在本文件</w:t>
    </w:r>
    <w:r>
      <w:rPr>
        <w:rFonts w:ascii="Times New Roman" w:eastAsia="KaiTi_GB2312" w:hint="eastAsia"/>
        <w:snapToGrid w:val="0"/>
        <w:color w:val="0000FF"/>
        <w:spacing w:val="5"/>
        <w:w w:val="104"/>
        <w:sz w:val="18"/>
      </w:rPr>
      <w:t>印发日期后一个星期内</w:t>
    </w:r>
    <w:r>
      <w:rPr>
        <w:rFonts w:ascii="Times New Roman" w:hint="eastAsia"/>
        <w:snapToGrid w:val="0"/>
        <w:spacing w:val="5"/>
        <w:w w:val="104"/>
        <w:sz w:val="18"/>
      </w:rPr>
      <w:t>送交正式记录编辑科科长（联合国广场</w:t>
    </w:r>
    <w:r>
      <w:rPr>
        <w:rFonts w:ascii="Times New Roman"/>
        <w:snapToGrid w:val="0"/>
        <w:spacing w:val="5"/>
        <w:w w:val="104"/>
        <w:sz w:val="18"/>
      </w:rPr>
      <w:t>2</w:t>
    </w:r>
    <w:r>
      <w:rPr>
        <w:rFonts w:ascii="Times New Roman" w:hint="eastAsia"/>
        <w:snapToGrid w:val="0"/>
        <w:spacing w:val="5"/>
        <w:w w:val="104"/>
        <w:sz w:val="18"/>
      </w:rPr>
      <w:t>号</w:t>
    </w:r>
    <w:r>
      <w:rPr>
        <w:rFonts w:ascii="Times New Roman"/>
        <w:snapToGrid w:val="0"/>
        <w:spacing w:val="5"/>
        <w:w w:val="104"/>
        <w:sz w:val="18"/>
      </w:rPr>
      <w:t xml:space="preserve"> DC2-750</w:t>
    </w:r>
    <w:r>
      <w:rPr>
        <w:rFonts w:ascii="Times New Roman" w:hint="eastAsia"/>
        <w:snapToGrid w:val="0"/>
        <w:spacing w:val="5"/>
        <w:w w:val="104"/>
        <w:sz w:val="18"/>
      </w:rPr>
      <w:t>室）。</w:t>
    </w:r>
  </w:p>
  <w:p w:rsidR="006A43F5" w:rsidRDefault="006A43F5">
    <w:pPr>
      <w:spacing w:before="60" w:after="120" w:line="240" w:lineRule="auto"/>
      <w:ind w:left="1264" w:right="1264"/>
      <w:jc w:val="both"/>
      <w:rPr>
        <w:rFonts w:hint="eastAsia"/>
        <w:sz w:val="18"/>
      </w:rPr>
    </w:pPr>
    <w:r>
      <w:rPr>
        <w:rFonts w:hint="eastAsia"/>
        <w:snapToGrid w:val="0"/>
        <w:spacing w:val="5"/>
        <w:w w:val="104"/>
        <w:sz w:val="18"/>
      </w:rPr>
      <w:t>对本届会议各次会议记录的任何更正将并入一份更正汇编，在届会结束后不久印发</w:t>
    </w:r>
    <w:r>
      <w:rPr>
        <w:rFonts w:hint="eastAsia"/>
        <w:snapToGrid w:val="0"/>
        <w:w w:val="104"/>
        <w:sz w:val="18"/>
      </w:rPr>
      <w:t>。</w:t>
    </w:r>
  </w:p>
  <w:p w:rsidR="006A43F5" w:rsidRDefault="006A43F5">
    <w:pPr>
      <w:pStyle w:val="Footer"/>
      <w:rPr>
        <w:b w:val="0"/>
        <w:snapToGrid w:val="0"/>
        <w:sz w:val="21"/>
      </w:rPr>
    </w:pPr>
    <w:r>
      <w:rPr>
        <w:b w:val="0"/>
        <w:snapToGrid w:val="0"/>
        <w:sz w:val="21"/>
      </w:rPr>
      <w:t>0</w:t>
    </w:r>
    <w:r>
      <w:rPr>
        <w:rFonts w:hint="eastAsia"/>
        <w:b w:val="0"/>
        <w:snapToGrid w:val="0"/>
        <w:sz w:val="21"/>
      </w:rPr>
      <w:t>7</w:t>
    </w:r>
    <w:r>
      <w:rPr>
        <w:b w:val="0"/>
        <w:snapToGrid w:val="0"/>
        <w:sz w:val="21"/>
      </w:rPr>
      <w:t>-</w:t>
    </w:r>
    <w:r>
      <w:rPr>
        <w:rFonts w:hint="eastAsia"/>
        <w:b w:val="0"/>
        <w:snapToGrid w:val="0"/>
        <w:sz w:val="21"/>
      </w:rPr>
      <w:t>21115</w:t>
    </w:r>
    <w:r>
      <w:rPr>
        <w:b w:val="0"/>
        <w:snapToGrid w:val="0"/>
        <w:sz w:val="21"/>
      </w:rPr>
      <w:t>(C)</w:t>
    </w:r>
  </w:p>
  <w:p w:rsidR="006A43F5" w:rsidRPr="00841417" w:rsidRDefault="006A43F5">
    <w:pPr>
      <w:pStyle w:val="Footer"/>
      <w:rPr>
        <w:rFonts w:ascii="Barcode 3 of 9 by request" w:hAnsi="Barcode 3 of 9 by request"/>
        <w:bCs/>
        <w:snapToGrid w:val="0"/>
        <w:sz w:val="21"/>
      </w:rPr>
    </w:pPr>
    <w:r w:rsidRPr="00841417">
      <w:rPr>
        <w:rFonts w:ascii="Barcode 3 of 9 by request" w:hAnsi="Barcode 3 of 9 by request"/>
        <w:bCs/>
        <w:snapToGrid w:val="0"/>
        <w:sz w:val="21"/>
      </w:rPr>
      <w:t>*0721115*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400D8" w:rsidRDefault="008400D8">
      <w:r>
        <w:separator/>
      </w:r>
    </w:p>
  </w:footnote>
  <w:footnote w:type="continuationSeparator" w:id="0">
    <w:p w:rsidR="008400D8" w:rsidRDefault="008400D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43F5" w:rsidRDefault="006A43F5">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6A43F5">
                  <w:tblPrEx>
                    <w:tblCellMar>
                      <w:top w:w="0" w:type="dxa"/>
                      <w:bottom w:w="0" w:type="dxa"/>
                    </w:tblCellMar>
                  </w:tblPrEx>
                  <w:trPr>
                    <w:trHeight w:hRule="exact" w:val="864"/>
                  </w:trPr>
                  <w:tc>
                    <w:tcPr>
                      <w:tcW w:w="4838" w:type="dxa"/>
                      <w:vAlign w:val="bottom"/>
                    </w:tcPr>
                    <w:p w:rsidR="006A43F5" w:rsidRDefault="006A43F5">
                      <w:pPr>
                        <w:pStyle w:val="Header"/>
                        <w:spacing w:after="80"/>
                        <w:rPr>
                          <w:rFonts w:hint="eastAsia"/>
                          <w:b/>
                        </w:rPr>
                      </w:pPr>
                      <w:r>
                        <w:rPr>
                          <w:b/>
                        </w:rPr>
                        <w:t>CEDAW/C/SR.</w:t>
                      </w:r>
                      <w:r>
                        <w:rPr>
                          <w:rFonts w:hint="eastAsia"/>
                          <w:b/>
                        </w:rPr>
                        <w:t>758 (B)</w:t>
                      </w:r>
                    </w:p>
                  </w:tc>
                  <w:tc>
                    <w:tcPr>
                      <w:tcW w:w="5048" w:type="dxa"/>
                      <w:vAlign w:val="bottom"/>
                    </w:tcPr>
                    <w:p w:rsidR="006A43F5" w:rsidRDefault="006A43F5">
                      <w:pPr>
                        <w:pStyle w:val="Header"/>
                      </w:pPr>
                    </w:p>
                  </w:tc>
                </w:tr>
              </w:tbl>
              <w:p w:rsidR="006A43F5" w:rsidRDefault="006A43F5"/>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43F5" w:rsidRDefault="006A43F5">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6A43F5">
                  <w:tblPrEx>
                    <w:tblCellMar>
                      <w:top w:w="0" w:type="dxa"/>
                      <w:bottom w:w="0" w:type="dxa"/>
                    </w:tblCellMar>
                  </w:tblPrEx>
                  <w:trPr>
                    <w:trHeight w:hRule="exact" w:val="864"/>
                  </w:trPr>
                  <w:tc>
                    <w:tcPr>
                      <w:tcW w:w="4838" w:type="dxa"/>
                      <w:vAlign w:val="bottom"/>
                    </w:tcPr>
                    <w:p w:rsidR="006A43F5" w:rsidRDefault="006A43F5">
                      <w:pPr>
                        <w:pStyle w:val="Header"/>
                      </w:pPr>
                    </w:p>
                  </w:tc>
                  <w:tc>
                    <w:tcPr>
                      <w:tcW w:w="5048" w:type="dxa"/>
                      <w:vAlign w:val="bottom"/>
                    </w:tcPr>
                    <w:p w:rsidR="006A43F5" w:rsidRDefault="006A43F5">
                      <w:pPr>
                        <w:pStyle w:val="Header"/>
                        <w:wordWrap w:val="0"/>
                        <w:spacing w:after="80"/>
                        <w:jc w:val="right"/>
                        <w:rPr>
                          <w:rFonts w:hint="eastAsia"/>
                          <w:b/>
                        </w:rPr>
                      </w:pPr>
                      <w:r>
                        <w:rPr>
                          <w:b/>
                        </w:rPr>
                        <w:t>CEDAW/C/SR.</w:t>
                      </w:r>
                      <w:r>
                        <w:rPr>
                          <w:rFonts w:hint="eastAsia"/>
                          <w:b/>
                        </w:rPr>
                        <w:t>758 (B)</w:t>
                      </w:r>
                    </w:p>
                  </w:tc>
                </w:tr>
              </w:tbl>
              <w:p w:rsidR="006A43F5" w:rsidRDefault="006A43F5"/>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6A43F5">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6A43F5" w:rsidRDefault="006A43F5">
          <w:pPr>
            <w:pStyle w:val="Header"/>
            <w:spacing w:after="120"/>
          </w:pPr>
        </w:p>
      </w:tc>
      <w:tc>
        <w:tcPr>
          <w:tcW w:w="1872" w:type="dxa"/>
          <w:tcBorders>
            <w:top w:val="nil"/>
            <w:left w:val="nil"/>
            <w:bottom w:val="single" w:sz="4" w:space="0" w:color="auto"/>
            <w:right w:val="nil"/>
          </w:tcBorders>
          <w:vAlign w:val="bottom"/>
        </w:tcPr>
        <w:p w:rsidR="006A43F5" w:rsidRDefault="006A43F5">
          <w:pPr>
            <w:pStyle w:val="HCh"/>
            <w:spacing w:after="80"/>
            <w:rPr>
              <w:rFonts w:eastAsia="SimSun"/>
              <w:spacing w:val="40"/>
              <w:w w:val="96"/>
            </w:rPr>
          </w:pPr>
          <w:r>
            <w:rPr>
              <w:rFonts w:ascii="Times New Roman" w:eastAsia="SimSun" w:hint="eastAsia"/>
              <w:spacing w:val="40"/>
              <w:w w:val="96"/>
            </w:rPr>
            <w:t>联合国</w:t>
          </w:r>
        </w:p>
      </w:tc>
      <w:tc>
        <w:tcPr>
          <w:tcW w:w="245" w:type="dxa"/>
          <w:tcBorders>
            <w:top w:val="nil"/>
            <w:left w:val="nil"/>
            <w:bottom w:val="single" w:sz="4" w:space="0" w:color="auto"/>
            <w:right w:val="nil"/>
          </w:tcBorders>
          <w:vAlign w:val="bottom"/>
        </w:tcPr>
        <w:p w:rsidR="006A43F5" w:rsidRDefault="006A43F5">
          <w:pPr>
            <w:pStyle w:val="Header"/>
            <w:spacing w:after="120"/>
          </w:pPr>
        </w:p>
      </w:tc>
      <w:tc>
        <w:tcPr>
          <w:tcW w:w="6523" w:type="dxa"/>
          <w:gridSpan w:val="3"/>
          <w:tcBorders>
            <w:top w:val="nil"/>
            <w:left w:val="nil"/>
            <w:bottom w:val="single" w:sz="4" w:space="0" w:color="auto"/>
            <w:right w:val="nil"/>
          </w:tcBorders>
          <w:vAlign w:val="bottom"/>
        </w:tcPr>
        <w:p w:rsidR="006A43F5" w:rsidRDefault="006A43F5">
          <w:pPr>
            <w:wordWrap w:val="0"/>
            <w:spacing w:line="240" w:lineRule="auto"/>
            <w:jc w:val="right"/>
            <w:rPr>
              <w:rFonts w:ascii="Times New Roman" w:hint="eastAsia"/>
              <w:position w:val="-4"/>
              <w:sz w:val="20"/>
            </w:rPr>
          </w:pPr>
          <w:r>
            <w:rPr>
              <w:rFonts w:ascii="Times New Roman"/>
              <w:position w:val="-4"/>
              <w:sz w:val="40"/>
            </w:rPr>
            <w:t>CEDAW</w:t>
          </w:r>
          <w:r>
            <w:rPr>
              <w:rFonts w:ascii="Times New Roman"/>
              <w:position w:val="-4"/>
            </w:rPr>
            <w:t>/C/SR.</w:t>
          </w:r>
          <w:r>
            <w:rPr>
              <w:rFonts w:ascii="Times New Roman" w:hint="eastAsia"/>
              <w:position w:val="-4"/>
            </w:rPr>
            <w:t>758 (B)</w:t>
          </w:r>
        </w:p>
      </w:tc>
    </w:tr>
    <w:tr w:rsidR="006A43F5">
      <w:tblPrEx>
        <w:tblCellMar>
          <w:top w:w="0" w:type="dxa"/>
          <w:bottom w:w="0" w:type="dxa"/>
        </w:tblCellMar>
      </w:tblPrEx>
      <w:trPr>
        <w:trHeight w:hRule="exact" w:val="2880"/>
      </w:trPr>
      <w:tc>
        <w:tcPr>
          <w:tcW w:w="1267" w:type="dxa"/>
          <w:tcBorders>
            <w:left w:val="nil"/>
            <w:bottom w:val="single" w:sz="12" w:space="0" w:color="auto"/>
            <w:right w:val="nil"/>
          </w:tcBorders>
        </w:tcPr>
        <w:p w:rsidR="006A43F5" w:rsidRDefault="006A43F5">
          <w:pPr>
            <w:pStyle w:val="Header"/>
            <w:spacing w:before="109"/>
            <w:ind w:left="-72"/>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75pt;height:48.75pt">
                <v:imagedata r:id="rId1" o:title="_unlogo"/>
              </v:shape>
            </w:pict>
          </w:r>
        </w:p>
        <w:p w:rsidR="006A43F5" w:rsidRDefault="006A43F5">
          <w:pPr>
            <w:pStyle w:val="Header"/>
            <w:spacing w:before="109"/>
            <w:ind w:left="-72"/>
          </w:pPr>
        </w:p>
      </w:tc>
      <w:tc>
        <w:tcPr>
          <w:tcW w:w="5227" w:type="dxa"/>
          <w:gridSpan w:val="3"/>
          <w:tcBorders>
            <w:left w:val="nil"/>
            <w:bottom w:val="single" w:sz="12" w:space="0" w:color="auto"/>
            <w:right w:val="nil"/>
          </w:tcBorders>
        </w:tcPr>
        <w:p w:rsidR="006A43F5" w:rsidRDefault="006A43F5">
          <w:pPr>
            <w:pStyle w:val="XLarge"/>
            <w:spacing w:before="109" w:after="140" w:line="440" w:lineRule="exact"/>
            <w:rPr>
              <w:rFonts w:hint="eastAsia"/>
              <w:sz w:val="38"/>
            </w:rPr>
          </w:pPr>
          <w:r>
            <w:rPr>
              <w:rFonts w:hint="eastAsia"/>
              <w:sz w:val="38"/>
            </w:rPr>
            <w:t>消除对妇女一切形式</w:t>
          </w:r>
          <w:r>
            <w:rPr>
              <w:sz w:val="38"/>
            </w:rPr>
            <w:br/>
          </w:r>
          <w:r>
            <w:rPr>
              <w:rFonts w:hint="eastAsia"/>
              <w:sz w:val="38"/>
            </w:rPr>
            <w:t>歧视公约</w:t>
          </w:r>
        </w:p>
        <w:p w:rsidR="006A43F5" w:rsidRDefault="006A43F5">
          <w:pPr>
            <w:rPr>
              <w:rFonts w:eastAsia="KaiTi_GB2312"/>
              <w:color w:val="0000FF"/>
              <w:sz w:val="28"/>
            </w:rPr>
          </w:pPr>
        </w:p>
      </w:tc>
      <w:tc>
        <w:tcPr>
          <w:tcW w:w="245" w:type="dxa"/>
          <w:tcBorders>
            <w:left w:val="nil"/>
            <w:bottom w:val="single" w:sz="12" w:space="0" w:color="auto"/>
            <w:right w:val="nil"/>
          </w:tcBorders>
        </w:tcPr>
        <w:p w:rsidR="006A43F5" w:rsidRDefault="006A43F5">
          <w:pPr>
            <w:pStyle w:val="Header"/>
            <w:spacing w:before="109"/>
          </w:pPr>
        </w:p>
      </w:tc>
      <w:tc>
        <w:tcPr>
          <w:tcW w:w="3180" w:type="dxa"/>
          <w:gridSpan w:val="2"/>
          <w:tcBorders>
            <w:left w:val="nil"/>
            <w:bottom w:val="single" w:sz="12" w:space="0" w:color="auto"/>
            <w:right w:val="nil"/>
          </w:tcBorders>
        </w:tcPr>
        <w:p w:rsidR="00841417" w:rsidRDefault="00841417" w:rsidP="00841417">
          <w:pPr>
            <w:spacing w:before="240" w:line="240" w:lineRule="exact"/>
            <w:rPr>
              <w:rFonts w:ascii="Times New Roman"/>
            </w:rPr>
          </w:pPr>
          <w:r>
            <w:rPr>
              <w:rFonts w:ascii="Times New Roman"/>
            </w:rPr>
            <w:t>Distr.: General</w:t>
          </w:r>
        </w:p>
        <w:p w:rsidR="00841417" w:rsidRDefault="00841417" w:rsidP="00841417">
          <w:pPr>
            <w:pStyle w:val="H56"/>
            <w:keepNext w:val="0"/>
            <w:keepLines w:val="0"/>
            <w:tabs>
              <w:tab w:val="clear" w:pos="360"/>
            </w:tabs>
            <w:suppressAutoHyphens w:val="0"/>
            <w:spacing w:line="240" w:lineRule="exact"/>
            <w:outlineLvl w:val="9"/>
            <w:rPr>
              <w:rFonts w:ascii="Times New Roman" w:hint="eastAsia"/>
              <w:noProof w:val="0"/>
              <w:spacing w:val="0"/>
              <w:w w:val="100"/>
            </w:rPr>
          </w:pPr>
          <w:r>
            <w:rPr>
              <w:rFonts w:ascii="Times New Roman" w:hint="eastAsia"/>
              <w:noProof w:val="0"/>
              <w:spacing w:val="0"/>
              <w:w w:val="100"/>
            </w:rPr>
            <w:t>26</w:t>
          </w:r>
          <w:r>
            <w:rPr>
              <w:rFonts w:ascii="Times New Roman"/>
              <w:noProof w:val="0"/>
              <w:spacing w:val="0"/>
              <w:w w:val="100"/>
            </w:rPr>
            <w:t xml:space="preserve"> </w:t>
          </w:r>
          <w:r>
            <w:rPr>
              <w:rFonts w:ascii="Times New Roman" w:hint="eastAsia"/>
              <w:noProof w:val="0"/>
              <w:spacing w:val="0"/>
              <w:w w:val="100"/>
            </w:rPr>
            <w:t>M</w:t>
          </w:r>
          <w:r>
            <w:rPr>
              <w:rFonts w:ascii="Times New Roman"/>
              <w:noProof w:val="0"/>
              <w:spacing w:val="0"/>
              <w:w w:val="100"/>
            </w:rPr>
            <w:t>arch</w:t>
          </w:r>
          <w:r>
            <w:rPr>
              <w:rFonts w:ascii="Times New Roman" w:hint="eastAsia"/>
              <w:noProof w:val="0"/>
              <w:spacing w:val="0"/>
              <w:w w:val="100"/>
            </w:rPr>
            <w:t xml:space="preserve"> </w:t>
          </w:r>
          <w:r>
            <w:rPr>
              <w:rFonts w:ascii="Times New Roman"/>
              <w:noProof w:val="0"/>
              <w:spacing w:val="0"/>
              <w:w w:val="100"/>
            </w:rPr>
            <w:t>200</w:t>
          </w:r>
          <w:r>
            <w:rPr>
              <w:rFonts w:ascii="Times New Roman" w:hint="eastAsia"/>
              <w:noProof w:val="0"/>
              <w:spacing w:val="0"/>
              <w:w w:val="100"/>
            </w:rPr>
            <w:t>7</w:t>
          </w:r>
        </w:p>
        <w:p w:rsidR="006A43F5" w:rsidRDefault="006A43F5">
          <w:pPr>
            <w:spacing w:line="240" w:lineRule="exact"/>
            <w:rPr>
              <w:rFonts w:ascii="Times New Roman"/>
            </w:rPr>
          </w:pPr>
          <w:r>
            <w:rPr>
              <w:rFonts w:ascii="Times New Roman"/>
            </w:rPr>
            <w:t>Chinese</w:t>
          </w:r>
        </w:p>
        <w:p w:rsidR="006A43F5" w:rsidRDefault="006A43F5">
          <w:pPr>
            <w:spacing w:line="240" w:lineRule="exact"/>
            <w:rPr>
              <w:rFonts w:ascii="Times New Roman"/>
            </w:rPr>
          </w:pPr>
          <w:r>
            <w:rPr>
              <w:rFonts w:ascii="Times New Roman"/>
            </w:rPr>
            <w:t>Original: English</w:t>
          </w:r>
        </w:p>
      </w:tc>
    </w:tr>
  </w:tbl>
  <w:p w:rsidR="006A43F5" w:rsidRDefault="006A43F5">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522B5E"/>
    <w:multiLevelType w:val="hybridMultilevel"/>
    <w:tmpl w:val="E578E892"/>
    <w:lvl w:ilvl="0" w:tplc="B198BBA4">
      <w:start w:val="1"/>
      <w:numFmt w:val="decimal"/>
      <w:lvlText w:val="%1."/>
      <w:lvlJc w:val="left"/>
      <w:pPr>
        <w:tabs>
          <w:tab w:val="num" w:pos="360"/>
        </w:tabs>
        <w:ind w:left="360" w:hanging="360"/>
      </w:pPr>
      <w:rPr>
        <w:rFonts w:hint="eastAsia"/>
        <w:color w:val="auto"/>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0DB20B88"/>
    <w:multiLevelType w:val="hybridMultilevel"/>
    <w:tmpl w:val="4B5C8DD2"/>
    <w:lvl w:ilvl="0" w:tplc="02DAE8CA">
      <w:start w:val="2"/>
      <w:numFmt w:val="decimal"/>
      <w:lvlText w:val="%1."/>
      <w:lvlJc w:val="left"/>
      <w:pPr>
        <w:tabs>
          <w:tab w:val="num" w:pos="420"/>
        </w:tabs>
        <w:ind w:left="420" w:hanging="420"/>
      </w:pPr>
      <w:rPr>
        <w:rFonts w:ascii="Times New Roman" w:hAnsi="Times New Roman" w:hint="eastAsia"/>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1C8D7BBB"/>
    <w:multiLevelType w:val="hybridMultilevel"/>
    <w:tmpl w:val="E430C8DC"/>
    <w:lvl w:ilvl="0" w:tplc="97BC8702">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3B7A6451"/>
    <w:multiLevelType w:val="hybridMultilevel"/>
    <w:tmpl w:val="08E6BB98"/>
    <w:lvl w:ilvl="0" w:tplc="6BC62014">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484366AC"/>
    <w:multiLevelType w:val="hybridMultilevel"/>
    <w:tmpl w:val="6A2223D0"/>
    <w:lvl w:ilvl="0" w:tplc="8EEA3616">
      <w:start w:val="18"/>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
    <w:nsid w:val="49382BDC"/>
    <w:multiLevelType w:val="hybridMultilevel"/>
    <w:tmpl w:val="7130B8EC"/>
    <w:lvl w:ilvl="0" w:tplc="6D76CAFA">
      <w:start w:val="1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4B454FFF"/>
    <w:multiLevelType w:val="hybridMultilevel"/>
    <w:tmpl w:val="A35A59E2"/>
    <w:lvl w:ilvl="0" w:tplc="926A520C">
      <w:start w:val="1"/>
      <w:numFmt w:val="decimal"/>
      <w:lvlText w:val="%1. "/>
      <w:lvlJc w:val="left"/>
      <w:pPr>
        <w:tabs>
          <w:tab w:val="num" w:pos="1620"/>
        </w:tabs>
        <w:ind w:left="162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8">
    <w:nsid w:val="5AAA01CF"/>
    <w:multiLevelType w:val="hybridMultilevel"/>
    <w:tmpl w:val="0394ABD0"/>
    <w:lvl w:ilvl="0" w:tplc="9EC0CF70">
      <w:start w:val="1"/>
      <w:numFmt w:val="ideographDigital"/>
      <w:lvlText w:val="%1"/>
      <w:lvlJc w:val="left"/>
      <w:pPr>
        <w:tabs>
          <w:tab w:val="num" w:pos="720"/>
        </w:tabs>
        <w:ind w:left="360" w:hanging="360"/>
      </w:pPr>
      <w:rPr>
        <w:rFonts w:ascii="Book Antiqua" w:eastAsia="STXihei" w:hAnsi="Book Antiqua" w:hint="default"/>
        <w:b/>
        <w:i w:val="0"/>
        <w:color w:val="auto"/>
        <w:sz w:val="21"/>
        <w:szCs w:val="21"/>
      </w:rPr>
    </w:lvl>
    <w:lvl w:ilvl="1" w:tplc="C09A5BA8">
      <w:start w:val="1"/>
      <w:numFmt w:val="decimal"/>
      <w:lvlText w:val="%2."/>
      <w:lvlJc w:val="left"/>
      <w:pPr>
        <w:tabs>
          <w:tab w:val="num" w:pos="840"/>
        </w:tabs>
        <w:ind w:left="420" w:firstLine="0"/>
      </w:pPr>
      <w:rPr>
        <w:rFonts w:hint="eastAsia"/>
        <w:b/>
        <w:i w:val="0"/>
        <w:color w:val="auto"/>
        <w:sz w:val="21"/>
        <w:szCs w:val="21"/>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
    <w:nsid w:val="61FB1B9D"/>
    <w:multiLevelType w:val="hybridMultilevel"/>
    <w:tmpl w:val="98A467D8"/>
    <w:lvl w:ilvl="0" w:tplc="5262E7BC">
      <w:start w:val="1"/>
      <w:numFmt w:val="decimal"/>
      <w:lvlText w:val="%1."/>
      <w:lvlJc w:val="left"/>
      <w:pPr>
        <w:tabs>
          <w:tab w:val="num" w:pos="360"/>
        </w:tabs>
        <w:ind w:left="360" w:hanging="360"/>
      </w:pPr>
      <w:rPr>
        <w:rFonts w:ascii="Times New Roman" w:eastAsia="KaiTi_GB2312" w:hAnsi="Times New Roman"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
    <w:nsid w:val="62A071A4"/>
    <w:multiLevelType w:val="hybridMultilevel"/>
    <w:tmpl w:val="7F0EC74E"/>
    <w:lvl w:ilvl="0" w:tplc="6E448EB4">
      <w:start w:val="1"/>
      <w:numFmt w:val="decimal"/>
      <w:lvlText w:val="%1."/>
      <w:lvlJc w:val="left"/>
      <w:pPr>
        <w:tabs>
          <w:tab w:val="num" w:pos="360"/>
        </w:tabs>
        <w:ind w:left="360" w:hanging="360"/>
      </w:pPr>
      <w:rPr>
        <w:rFonts w:ascii="SimSun" w:eastAsia="SimSun" w:hAnsi="SimSun" w:hint="default"/>
        <w:color w:val="auto"/>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7"/>
  </w:num>
  <w:num w:numId="2">
    <w:abstractNumId w:val="7"/>
  </w:num>
  <w:num w:numId="3">
    <w:abstractNumId w:val="7"/>
  </w:num>
  <w:num w:numId="4">
    <w:abstractNumId w:val="7"/>
  </w:num>
  <w:num w:numId="5">
    <w:abstractNumId w:val="7"/>
  </w:num>
  <w:num w:numId="6">
    <w:abstractNumId w:val="7"/>
  </w:num>
  <w:num w:numId="7">
    <w:abstractNumId w:val="7"/>
  </w:num>
  <w:num w:numId="8">
    <w:abstractNumId w:val="7"/>
  </w:num>
  <w:num w:numId="9">
    <w:abstractNumId w:val="7"/>
  </w:num>
  <w:num w:numId="10">
    <w:abstractNumId w:val="8"/>
  </w:num>
  <w:num w:numId="11">
    <w:abstractNumId w:val="1"/>
  </w:num>
  <w:num w:numId="12">
    <w:abstractNumId w:val="5"/>
  </w:num>
  <w:num w:numId="13">
    <w:abstractNumId w:val="4"/>
  </w:num>
  <w:num w:numId="14">
    <w:abstractNumId w:val="6"/>
  </w:num>
  <w:num w:numId="15">
    <w:abstractNumId w:val="2"/>
  </w:num>
  <w:num w:numId="16">
    <w:abstractNumId w:val="3"/>
  </w:num>
  <w:num w:numId="17">
    <w:abstractNumId w:val="10"/>
  </w:num>
  <w:num w:numId="18">
    <w:abstractNumId w:val="0"/>
  </w:num>
  <w:num w:numId="1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zh-CN" w:vendorID="64" w:dllVersion="131077" w:nlCheck="1" w:checkStyle="1"/>
  <w:activeWritingStyle w:appName="MSWord" w:lang="en-US" w:vendorID="64" w:dllVersion="131077"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2"/>
  <w:drawingGridVerticalSpacing w:val="3"/>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9/03/2003 9:37: AM"/>
    <w:docVar w:name="DocCategory" w:val="SRMain"/>
    <w:docVar w:name="DocType" w:val="Final"/>
    <w:docVar w:name="JobNo" w:val="0261298C"/>
    <w:docVar w:name="OandT" w:val="DLF"/>
    <w:docVar w:name="Symbol1" w:val="A/C.3/57/SR.5"/>
    <w:docVar w:name="Symbol2" w:val="-"/>
  </w:docVars>
  <w:rsids>
    <w:rsidRoot w:val="007276CC"/>
    <w:rsid w:val="006A43F5"/>
    <w:rsid w:val="007276CC"/>
    <w:rsid w:val="008400D8"/>
    <w:rsid w:val="00841417"/>
    <w:rsid w:val="009450C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pPr>
      <w:tabs>
        <w:tab w:val="left" w:pos="431"/>
      </w:tabs>
      <w:spacing w:after="140"/>
    </w:pPr>
    <w:rPr>
      <w:rFonts w:hAnsi="Courier New" w:cs="Courier New"/>
      <w:szCs w:val="21"/>
    </w:rPr>
  </w:style>
  <w:style w:type="paragraph" w:styleId="NormalIndent">
    <w:name w:val="Normal Indent"/>
    <w:basedOn w:val="Normal"/>
    <w:pPr>
      <w:ind w:firstLine="431"/>
    </w:pPr>
  </w:style>
  <w:style w:type="paragraph" w:styleId="BodyText">
    <w:name w:val="Body Text"/>
    <w:basedOn w:val="Normal"/>
  </w:style>
  <w:style w:type="paragraph" w:styleId="BodyText2">
    <w:name w:val="Body Text 2"/>
    <w:basedOn w:val="Normal"/>
  </w:style>
  <w:style w:type="character" w:styleId="LineNumber">
    <w:name w:val="line number"/>
    <w:rPr>
      <w:sz w:val="14"/>
    </w:rPr>
  </w:style>
  <w:style w:type="paragraph" w:styleId="Header">
    <w:name w:val="header"/>
    <w:pPr>
      <w:tabs>
        <w:tab w:val="center" w:pos="4320"/>
        <w:tab w:val="right" w:pos="8640"/>
      </w:tabs>
    </w:pPr>
    <w:rPr>
      <w:noProof/>
      <w:sz w:val="18"/>
      <w:lang w:val="en-US" w:eastAsia="zh-CN"/>
    </w:rPr>
  </w:style>
  <w:style w:type="paragraph" w:styleId="Footer">
    <w:name w:val="footer"/>
    <w:pPr>
      <w:tabs>
        <w:tab w:val="center" w:pos="4320"/>
        <w:tab w:val="right" w:pos="8640"/>
      </w:tabs>
    </w:pPr>
    <w:rPr>
      <w:b/>
      <w:noProof/>
      <w:sz w:val="17"/>
      <w:lang w:val="en-US" w:eastAsia="zh-CN"/>
    </w:rPr>
  </w:style>
  <w:style w:type="paragraph" w:styleId="CommentText">
    <w:name w:val="annotation text"/>
    <w:basedOn w:val="Normal"/>
    <w:semiHidden/>
  </w:style>
  <w:style w:type="paragraph" w:styleId="BalloonText">
    <w:name w:val="Balloon Text"/>
    <w:basedOn w:val="Normal"/>
    <w:semiHidden/>
    <w:rPr>
      <w:sz w:val="16"/>
      <w:szCs w:val="16"/>
    </w:rPr>
  </w:style>
  <w:style w:type="paragraph" w:customStyle="1" w:styleId="4">
    <w:name w:val="样式4"/>
    <w:basedOn w:val="Normal"/>
    <w:pPr>
      <w:widowControl w:val="0"/>
      <w:spacing w:line="240" w:lineRule="auto"/>
      <w:ind w:leftChars="600" w:left="600" w:rightChars="600" w:right="600" w:firstLineChars="200" w:firstLine="200"/>
      <w:jc w:val="both"/>
    </w:pPr>
    <w:rPr>
      <w:rFonts w:ascii="Bookman Old Style" w:eastAsia="FangSong_GB2312" w:hAnsi="Bookman Old Style"/>
      <w:kern w:val="2"/>
      <w:szCs w:val="21"/>
      <w:lang w:val="es-ES"/>
    </w:rPr>
  </w:style>
  <w:style w:type="paragraph" w:customStyle="1" w:styleId="2111">
    <w:name w:val="样式 正文2 + 段前: 1 行 段后: 1 行1"/>
    <w:basedOn w:val="2"/>
    <w:pPr>
      <w:numPr>
        <w:ilvl w:val="1"/>
        <w:numId w:val="10"/>
      </w:numPr>
      <w:spacing w:before="436" w:after="436"/>
    </w:pPr>
    <w:rPr>
      <w:szCs w:val="20"/>
    </w:rPr>
  </w:style>
  <w:style w:type="paragraph" w:customStyle="1" w:styleId="2">
    <w:name w:val="正文2"/>
    <w:basedOn w:val="Normal"/>
    <w:pPr>
      <w:widowControl w:val="0"/>
      <w:spacing w:beforeLines="100" w:before="100" w:afterLines="100" w:after="100" w:line="240" w:lineRule="auto"/>
      <w:jc w:val="both"/>
    </w:pPr>
    <w:rPr>
      <w:rFonts w:ascii="Times New Roman"/>
      <w:kern w:val="2"/>
      <w:szCs w:val="21"/>
    </w:rPr>
  </w:style>
  <w:style w:type="paragraph" w:customStyle="1" w:styleId="211111">
    <w:name w:val="样式 样式 正文2 + 段前: 1 行 段后: 1 行1 + 段前: 1 行 段后: 1 行"/>
    <w:basedOn w:val="2111"/>
    <w:pPr>
      <w:numPr>
        <w:ilvl w:val="0"/>
        <w:numId w:val="0"/>
      </w:numPr>
      <w:spacing w:beforeLines="50" w:before="50" w:afterLines="50" w:after="50"/>
    </w:pPr>
    <w:rPr>
      <w:rFonts w:ascii="Book Antiqua" w:eastAsia="KaiTi_GB2312" w:hAnsi="Book Antiqua"/>
      <w:szCs w:val="21"/>
    </w:rPr>
  </w:style>
  <w:style w:type="paragraph" w:styleId="BlockText">
    <w:name w:val="Block Text"/>
    <w:basedOn w:val="Normal"/>
    <w:pPr>
      <w:spacing w:before="60" w:after="120" w:line="240" w:lineRule="auto"/>
      <w:ind w:left="1264" w:right="1264"/>
      <w:jc w:val="both"/>
    </w:pPr>
    <w:rPr>
      <w:snapToGrid w:val="0"/>
      <w:w w:val="104"/>
      <w:sz w:val="18"/>
    </w:rPr>
  </w:style>
  <w:style w:type="paragraph" w:customStyle="1" w:styleId="1">
    <w:name w:val="批注框文本1"/>
    <w:basedOn w:val="Normal"/>
    <w:semiHidden/>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1021</Words>
  <Characters>5822</Characters>
  <Application>Microsoft Office Word</Application>
  <DocSecurity>4</DocSecurity>
  <Lines>48</Lines>
  <Paragraphs>13</Paragraphs>
  <ScaleCrop>false</ScaleCrop>
  <Company>ctpc</Company>
  <LinksUpToDate>false</LinksUpToDate>
  <CharactersWithSpaces>6830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联合国</dc:title>
  <dc:subject/>
  <dc:creator>ctpc</dc:creator>
  <cp:keywords/>
  <cp:lastModifiedBy>xudong liu</cp:lastModifiedBy>
  <cp:revision>3</cp:revision>
  <cp:lastPrinted>2007-03-26T11:24:00Z</cp:lastPrinted>
  <dcterms:created xsi:type="dcterms:W3CDTF">2007-03-16T09:21:00Z</dcterms:created>
  <dcterms:modified xsi:type="dcterms:W3CDTF">2007-03-26T11:24:00Z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0261298</vt:lpwstr>
  </property>
  <property fmtid="{D5CDD505-2E9C-101B-9397-08002B2CF9AE}" pid="3" name="Symbol1">
    <vt:lpwstr>A/C.3/57/SR.5</vt:lpwstr>
  </property>
  <property fmtid="{D5CDD505-2E9C-101B-9397-08002B2CF9AE}" pid="4" name="Symbol2">
    <vt:lpwstr/>
  </property>
  <property fmtid="{D5CDD505-2E9C-101B-9397-08002B2CF9AE}" pid="5" name="Translator">
    <vt:lpwstr/>
  </property>
  <property fmtid="{D5CDD505-2E9C-101B-9397-08002B2CF9AE}" pid="6" name="Operator">
    <vt:lpwstr>DLF</vt:lpwstr>
  </property>
  <property fmtid="{D5CDD505-2E9C-101B-9397-08002B2CF9AE}" pid="7" name="DraftPages">
    <vt:lpwstr> </vt:lpwstr>
  </property>
  <property fmtid="{D5CDD505-2E9C-101B-9397-08002B2CF9AE}" pid="8" name="Comment">
    <vt:lpwstr/>
  </property>
</Properties>
</file>