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4530EC2" w14:textId="77777777" w:rsidTr="00FB115A">
        <w:trPr>
          <w:cantSplit/>
          <w:trHeight w:hRule="exact" w:val="851"/>
        </w:trPr>
        <w:tc>
          <w:tcPr>
            <w:tcW w:w="1276" w:type="dxa"/>
            <w:tcBorders>
              <w:bottom w:val="single" w:sz="4" w:space="0" w:color="auto"/>
            </w:tcBorders>
            <w:vAlign w:val="bottom"/>
          </w:tcPr>
          <w:p w14:paraId="7857E2CE" w14:textId="77777777" w:rsidR="00A126AC" w:rsidRDefault="00A126AC" w:rsidP="00FB115A">
            <w:pPr>
              <w:spacing w:after="80"/>
            </w:pPr>
          </w:p>
        </w:tc>
        <w:tc>
          <w:tcPr>
            <w:tcW w:w="2268" w:type="dxa"/>
            <w:tcBorders>
              <w:bottom w:val="single" w:sz="4" w:space="0" w:color="auto"/>
            </w:tcBorders>
            <w:vAlign w:val="bottom"/>
          </w:tcPr>
          <w:p w14:paraId="5EA4F2AB"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FE7172" w14:textId="77777777" w:rsidR="00A126AC" w:rsidRPr="006E4EE9" w:rsidRDefault="00AC31A8" w:rsidP="00AC31A8">
            <w:pPr>
              <w:suppressAutoHyphens w:val="0"/>
              <w:spacing w:after="20"/>
              <w:jc w:val="right"/>
            </w:pPr>
            <w:r w:rsidRPr="00AC31A8">
              <w:rPr>
                <w:sz w:val="40"/>
              </w:rPr>
              <w:t>CED</w:t>
            </w:r>
            <w:r>
              <w:t>/C/IRQ/Q/AI/2</w:t>
            </w:r>
          </w:p>
        </w:tc>
      </w:tr>
      <w:tr w:rsidR="00A126AC" w14:paraId="4C60460E" w14:textId="77777777" w:rsidTr="00FB115A">
        <w:trPr>
          <w:cantSplit/>
          <w:trHeight w:hRule="exact" w:val="2835"/>
        </w:trPr>
        <w:tc>
          <w:tcPr>
            <w:tcW w:w="1276" w:type="dxa"/>
            <w:tcBorders>
              <w:top w:val="single" w:sz="4" w:space="0" w:color="auto"/>
              <w:bottom w:val="single" w:sz="12" w:space="0" w:color="auto"/>
            </w:tcBorders>
          </w:tcPr>
          <w:p w14:paraId="116A1B7F" w14:textId="77777777" w:rsidR="00A126AC" w:rsidRDefault="00A126AC" w:rsidP="00FB115A">
            <w:pPr>
              <w:spacing w:before="120"/>
              <w:jc w:val="center"/>
            </w:pPr>
            <w:r>
              <w:rPr>
                <w:noProof/>
                <w:lang w:val="fr-CH" w:eastAsia="fr-CH"/>
              </w:rPr>
              <w:drawing>
                <wp:inline distT="0" distB="0" distL="0" distR="0" wp14:anchorId="7F90C5AE" wp14:editId="6FFC9FF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AD83A5"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144C368" w14:textId="77777777" w:rsidR="00AC31A8" w:rsidRPr="005A6537" w:rsidRDefault="00AC31A8" w:rsidP="00AC31A8">
            <w:pPr>
              <w:spacing w:before="240"/>
            </w:pPr>
            <w:r w:rsidRPr="005A6537">
              <w:t>Distr.: General</w:t>
            </w:r>
          </w:p>
          <w:p w14:paraId="46090C1A" w14:textId="77777777" w:rsidR="00AC31A8" w:rsidRPr="003544A1" w:rsidRDefault="00AC31A8" w:rsidP="00AC31A8">
            <w:pPr>
              <w:suppressAutoHyphens w:val="0"/>
            </w:pPr>
            <w:r>
              <w:t>4 December</w:t>
            </w:r>
            <w:r w:rsidRPr="003544A1">
              <w:t xml:space="preserve"> 2025</w:t>
            </w:r>
          </w:p>
          <w:p w14:paraId="64221870" w14:textId="77777777" w:rsidR="00AC31A8" w:rsidRPr="005A6537" w:rsidRDefault="00AC31A8" w:rsidP="00AC31A8">
            <w:pPr>
              <w:suppressAutoHyphens w:val="0"/>
            </w:pPr>
          </w:p>
          <w:p w14:paraId="0B106193" w14:textId="77777777" w:rsidR="00AC31A8" w:rsidRPr="005A6537" w:rsidRDefault="00AC31A8" w:rsidP="00AC31A8">
            <w:pPr>
              <w:suppressAutoHyphens w:val="0"/>
            </w:pPr>
            <w:r w:rsidRPr="005A6537">
              <w:t>Original: English</w:t>
            </w:r>
          </w:p>
          <w:p w14:paraId="00796690" w14:textId="0E7BF290" w:rsidR="00AC31A8" w:rsidRDefault="00AC31A8" w:rsidP="00AC31A8">
            <w:pPr>
              <w:suppressAutoHyphens w:val="0"/>
            </w:pPr>
            <w:r w:rsidRPr="003544A1">
              <w:t>English, French</w:t>
            </w:r>
            <w:r w:rsidRPr="005A6537">
              <w:t xml:space="preserve"> and </w:t>
            </w:r>
            <w:r w:rsidRPr="003544A1">
              <w:t>Spanish</w:t>
            </w:r>
            <w:r w:rsidRPr="005A6537">
              <w:t xml:space="preserve"> only</w:t>
            </w:r>
          </w:p>
        </w:tc>
      </w:tr>
    </w:tbl>
    <w:p w14:paraId="74541540" w14:textId="77777777" w:rsidR="00AC31A8" w:rsidRPr="005A6537" w:rsidRDefault="00AC31A8" w:rsidP="00AC31A8">
      <w:pPr>
        <w:spacing w:before="120"/>
        <w:rPr>
          <w:b/>
          <w:sz w:val="24"/>
          <w:szCs w:val="24"/>
        </w:rPr>
      </w:pPr>
      <w:r w:rsidRPr="005A6537">
        <w:rPr>
          <w:b/>
          <w:sz w:val="24"/>
          <w:szCs w:val="24"/>
        </w:rPr>
        <w:t>Committee on Enforced Disappearances</w:t>
      </w:r>
    </w:p>
    <w:p w14:paraId="58C04005" w14:textId="77777777" w:rsidR="00AC31A8" w:rsidRPr="005A6537" w:rsidRDefault="00AC31A8" w:rsidP="00AC31A8">
      <w:pPr>
        <w:rPr>
          <w:b/>
        </w:rPr>
      </w:pPr>
      <w:r>
        <w:rPr>
          <w:b/>
        </w:rPr>
        <w:t>Thirtieth</w:t>
      </w:r>
      <w:r w:rsidRPr="005A6537">
        <w:rPr>
          <w:b/>
        </w:rPr>
        <w:t xml:space="preserve"> session </w:t>
      </w:r>
    </w:p>
    <w:p w14:paraId="6264DEC0" w14:textId="77777777" w:rsidR="00AC31A8" w:rsidRPr="003544A1" w:rsidRDefault="00AC31A8" w:rsidP="00AC31A8">
      <w:pPr>
        <w:rPr>
          <w:bCs/>
        </w:rPr>
      </w:pPr>
      <w:r w:rsidRPr="005A6537">
        <w:rPr>
          <w:bCs/>
        </w:rPr>
        <w:t xml:space="preserve">Geneva, </w:t>
      </w:r>
      <w:r w:rsidRPr="003544A1">
        <w:rPr>
          <w:bCs/>
        </w:rPr>
        <w:t>9–27 March 2026</w:t>
      </w:r>
    </w:p>
    <w:p w14:paraId="52C24AE8" w14:textId="42197A12" w:rsidR="00AC31A8" w:rsidRPr="00BD025B" w:rsidRDefault="00AC31A8" w:rsidP="00AC31A8">
      <w:pPr>
        <w:pStyle w:val="HChG"/>
      </w:pPr>
      <w:r w:rsidRPr="00BD025B">
        <w:tab/>
      </w:r>
      <w:r w:rsidRPr="00BD025B">
        <w:tab/>
      </w:r>
      <w:bookmarkStart w:id="0" w:name="_Hlk180064764"/>
      <w:r w:rsidRPr="00BD025B">
        <w:t>List of priority themes in relation to the</w:t>
      </w:r>
      <w:r>
        <w:t xml:space="preserve"> </w:t>
      </w:r>
      <w:r w:rsidRPr="00BD025B">
        <w:t>additional information</w:t>
      </w:r>
      <w:r>
        <w:t xml:space="preserve"> submitted by Iraq</w:t>
      </w:r>
      <w:r w:rsidRPr="00BD025B">
        <w:t xml:space="preserve"> under article</w:t>
      </w:r>
      <w:r>
        <w:t xml:space="preserve"> </w:t>
      </w:r>
      <w:r w:rsidRPr="00BD025B">
        <w:t>29</w:t>
      </w:r>
      <w:r>
        <w:t xml:space="preserve"> </w:t>
      </w:r>
      <w:r w:rsidRPr="00BD025B">
        <w:t>(4)</w:t>
      </w:r>
      <w:r>
        <w:br/>
      </w:r>
      <w:r w:rsidRPr="00BD025B">
        <w:t>of the Convention</w:t>
      </w:r>
      <w:bookmarkEnd w:id="0"/>
      <w:r>
        <w:t xml:space="preserve"> and to the State Party’s observations on the report of the Committee on its visit to Iraq under article 33 </w:t>
      </w:r>
    </w:p>
    <w:p w14:paraId="02C09A59" w14:textId="77777777" w:rsidR="00AC31A8" w:rsidRPr="00BD025B" w:rsidRDefault="00AC31A8" w:rsidP="00AC31A8">
      <w:pPr>
        <w:pStyle w:val="H1G"/>
      </w:pPr>
      <w:r w:rsidRPr="00BD025B">
        <w:tab/>
      </w:r>
      <w:r w:rsidRPr="00BD025B">
        <w:tab/>
      </w:r>
      <w:bookmarkStart w:id="1" w:name="_Hlk180065151"/>
      <w:r w:rsidRPr="00BD025B">
        <w:t xml:space="preserve">Note by the </w:t>
      </w:r>
      <w:bookmarkEnd w:id="1"/>
      <w:r w:rsidRPr="00BD025B">
        <w:t>Committee</w:t>
      </w:r>
    </w:p>
    <w:p w14:paraId="31EE09AC" w14:textId="77777777" w:rsidR="00AC31A8" w:rsidRPr="00791A6B" w:rsidRDefault="00AC31A8" w:rsidP="00AC31A8">
      <w:pPr>
        <w:pStyle w:val="SingleTxtG"/>
      </w:pPr>
      <w:r>
        <w:t>1</w:t>
      </w:r>
      <w:r w:rsidRPr="00BD025B">
        <w:t>.</w:t>
      </w:r>
      <w:r w:rsidRPr="00BD025B">
        <w:tab/>
      </w:r>
      <w:r>
        <w:t>The Committee recalls that the International Convention for the Protection of All Persons from Enforced Disappearance does not provide for periodic reports; rather, it provides for a procedure in which the Committee may request States Parties for additional information. To enable effective and efficient monitoring, and pursuant to rule 49 (1) of its rules of procedure, the Committee may request such information whenever it considers it necessary, in the light of the status of implementation of its recommendations by the State P</w:t>
      </w:r>
      <w:r w:rsidRPr="00E052E5">
        <w:t xml:space="preserve">arty and the evolution of the situation related to enforced disappearance in the State </w:t>
      </w:r>
      <w:r>
        <w:t>P</w:t>
      </w:r>
      <w:r w:rsidRPr="00E052E5">
        <w:t>arty</w:t>
      </w:r>
      <w:r>
        <w:t xml:space="preserve">. In that regard, the examination of the </w:t>
      </w:r>
      <w:r w:rsidRPr="00791A6B">
        <w:t>additional information submitted by States Parties pursuant to article 29 (3) and (4) of the Convention covers a maximum of four priority themes identified by the Committee, and the procedure comprises four phases:</w:t>
      </w:r>
    </w:p>
    <w:p w14:paraId="13F5CDF3" w14:textId="77777777" w:rsidR="00AC31A8" w:rsidRPr="00791A6B" w:rsidRDefault="00AC31A8" w:rsidP="00AC31A8">
      <w:pPr>
        <w:pStyle w:val="SingleTxtG"/>
      </w:pPr>
      <w:r w:rsidRPr="00791A6B">
        <w:tab/>
        <w:t>(a)</w:t>
      </w:r>
      <w:r w:rsidRPr="00791A6B">
        <w:tab/>
        <w:t xml:space="preserve">Identification, by the country rapporteurs, of priority themes related to the implementation of previous concluding observations and/or to the evolution of the situation of enforced disappearance in the State Party concerned and adoption of the list of priority themes by the Committee plenary; </w:t>
      </w:r>
    </w:p>
    <w:p w14:paraId="57EAB22D" w14:textId="77777777" w:rsidR="00AC31A8" w:rsidRPr="00791A6B" w:rsidRDefault="00AC31A8" w:rsidP="00AC31A8">
      <w:pPr>
        <w:pStyle w:val="SingleTxtG"/>
      </w:pPr>
      <w:r w:rsidRPr="00791A6B">
        <w:tab/>
        <w:t>(b)</w:t>
      </w:r>
      <w:r w:rsidRPr="00791A6B">
        <w:tab/>
        <w:t>Transmission of the list of priority themes to the State Party; no written response is expected from the State Party at this stage of the procedure;</w:t>
      </w:r>
    </w:p>
    <w:p w14:paraId="61C24C73" w14:textId="77777777" w:rsidR="00AC31A8" w:rsidRPr="00791A6B" w:rsidRDefault="00AC31A8" w:rsidP="00AC31A8">
      <w:pPr>
        <w:pStyle w:val="SingleTxtG"/>
      </w:pPr>
      <w:r w:rsidRPr="00791A6B">
        <w:tab/>
        <w:t>(c)</w:t>
      </w:r>
      <w:r w:rsidRPr="00791A6B">
        <w:tab/>
        <w:t xml:space="preserve">Public dialogue between the Committee and a delegation of the State Party, with active participation by the competent authorities of the State Party; for Iraq, the constructive dialogue will take place during two three-hour meetings at the </w:t>
      </w:r>
      <w:r>
        <w:t>thirtieth</w:t>
      </w:r>
      <w:r w:rsidRPr="00791A6B">
        <w:t xml:space="preserve"> session of the Committee;</w:t>
      </w:r>
    </w:p>
    <w:p w14:paraId="75FBCB64" w14:textId="77777777" w:rsidR="00AC31A8" w:rsidRPr="00791A6B" w:rsidRDefault="00AC31A8" w:rsidP="00AC31A8">
      <w:pPr>
        <w:pStyle w:val="SingleTxtG"/>
      </w:pPr>
      <w:r w:rsidRPr="00791A6B">
        <w:tab/>
        <w:t>(d)</w:t>
      </w:r>
      <w:r w:rsidRPr="00791A6B">
        <w:tab/>
        <w:t xml:space="preserve">Adoption by the Committee of concluding observations, in which the Committee highlights its concerns and recommendations and indicates the next steps in the procedure, as determined in the light of the measures needed to implement the recommendations and of the evolution in the situation of enforced disappearance in the State Party. </w:t>
      </w:r>
    </w:p>
    <w:p w14:paraId="57B69F95" w14:textId="77777777" w:rsidR="00AC31A8" w:rsidRPr="00791A6B" w:rsidRDefault="00AC31A8" w:rsidP="00AC31A8">
      <w:pPr>
        <w:pStyle w:val="SingleTxtG"/>
      </w:pPr>
      <w:r w:rsidRPr="00791A6B">
        <w:t>2.</w:t>
      </w:r>
      <w:r w:rsidRPr="00791A6B">
        <w:tab/>
        <w:t>Having considered the additional information submitted by Iraq under article 29 (4) of the Convention, dated 30 October 2024,</w:t>
      </w:r>
      <w:r w:rsidRPr="00791A6B">
        <w:rPr>
          <w:rStyle w:val="FootnoteReference"/>
        </w:rPr>
        <w:footnoteReference w:id="1"/>
      </w:r>
      <w:r w:rsidRPr="00791A6B">
        <w:t xml:space="preserve"> and the observations </w:t>
      </w:r>
      <w:r>
        <w:t xml:space="preserve">received from the State Party, dated 2 August 2023, in relation to the Committee’s report on its visit under article 33 </w:t>
      </w:r>
      <w:r>
        <w:lastRenderedPageBreak/>
        <w:t>of the Convention,</w:t>
      </w:r>
      <w:r w:rsidRPr="00791A6B">
        <w:rPr>
          <w:rStyle w:val="FootnoteReference"/>
        </w:rPr>
        <w:footnoteReference w:id="2"/>
      </w:r>
      <w:r w:rsidRPr="00791A6B">
        <w:t xml:space="preserve"> the Committee decided to focus its next dialogue with the State Party on the list of priority themes and related issues set out below. The list is not exhaustive and other issues may be raised during the dialogue. All interested persons and organizations may provide information on the issues raised, through written contributions and in confidential oral briefings with the Committee that will take place ahead of the dialogue with the State Party.</w:t>
      </w:r>
    </w:p>
    <w:p w14:paraId="1414F278" w14:textId="77777777" w:rsidR="00AC31A8" w:rsidRPr="00CB6EB4" w:rsidRDefault="00AC31A8" w:rsidP="00AC31A8">
      <w:pPr>
        <w:pStyle w:val="HChG"/>
      </w:pPr>
      <w:r>
        <w:tab/>
        <w:t>I.</w:t>
      </w:r>
      <w:r>
        <w:tab/>
        <w:t>Harmonization of legislation with the Convention, and institutional framework</w:t>
      </w:r>
    </w:p>
    <w:p w14:paraId="02A6A92F" w14:textId="77777777" w:rsidR="00AC31A8" w:rsidRDefault="00AC31A8" w:rsidP="00AC31A8">
      <w:pPr>
        <w:pStyle w:val="SingleTxtG"/>
      </w:pPr>
      <w:r>
        <w:t>3.</w:t>
      </w:r>
      <w:r>
        <w:tab/>
        <w:t>Please clarify t</w:t>
      </w:r>
      <w:r w:rsidRPr="00B63075">
        <w:t>he timeline for</w:t>
      </w:r>
      <w:r>
        <w:t xml:space="preserve"> the</w:t>
      </w:r>
      <w:r w:rsidRPr="00B63075">
        <w:t xml:space="preserve"> adopti</w:t>
      </w:r>
      <w:r>
        <w:t>o</w:t>
      </w:r>
      <w:r w:rsidRPr="00B63075">
        <w:t>n</w:t>
      </w:r>
      <w:r>
        <w:t xml:space="preserve"> of</w:t>
      </w:r>
      <w:r w:rsidRPr="00B63075">
        <w:t xml:space="preserve"> a law establishing enforced disappearance as an autonomous offence, in line with</w:t>
      </w:r>
      <w:r>
        <w:t xml:space="preserve"> article 4 of the Convention and the </w:t>
      </w:r>
      <w:r w:rsidRPr="00B63075">
        <w:t>recommendations</w:t>
      </w:r>
      <w:r>
        <w:t xml:space="preserve"> made by the Committee</w:t>
      </w:r>
      <w:r w:rsidRPr="00B63075">
        <w:t xml:space="preserve"> since 2015,</w:t>
      </w:r>
      <w:r w:rsidRPr="00E571C3">
        <w:rPr>
          <w:vertAlign w:val="superscript"/>
        </w:rPr>
        <w:footnoteReference w:id="3"/>
      </w:r>
      <w:r w:rsidRPr="00B63075">
        <w:t xml:space="preserve"> and </w:t>
      </w:r>
      <w:r>
        <w:t>indicate</w:t>
      </w:r>
      <w:r w:rsidRPr="00B63075">
        <w:t xml:space="preserve"> the current status of the </w:t>
      </w:r>
      <w:r w:rsidRPr="00386AE5">
        <w:t>bill on enforced disappearance</w:t>
      </w:r>
      <w:r w:rsidRPr="00B63075">
        <w:t xml:space="preserve">, including steps envisaged to ensure its prompt enactment </w:t>
      </w:r>
      <w:r>
        <w:t>(arts. 1–8, 12 and 24).</w:t>
      </w:r>
    </w:p>
    <w:p w14:paraId="4EB51D68" w14:textId="77777777" w:rsidR="00AC31A8" w:rsidRPr="00B63075" w:rsidRDefault="00AC31A8" w:rsidP="00AC31A8">
      <w:pPr>
        <w:pStyle w:val="SingleTxtG"/>
      </w:pPr>
      <w:r w:rsidRPr="00B63075">
        <w:t>4.</w:t>
      </w:r>
      <w:r w:rsidRPr="00B63075">
        <w:tab/>
        <w:t>Please clarify whether the draft law includes:</w:t>
      </w:r>
    </w:p>
    <w:p w14:paraId="1535F481" w14:textId="492C3A54" w:rsidR="00AC31A8" w:rsidRDefault="00AC31A8" w:rsidP="00AC31A8">
      <w:pPr>
        <w:pStyle w:val="SingleTxtG"/>
      </w:pPr>
      <w:r>
        <w:tab/>
        <w:t>(a)</w:t>
      </w:r>
      <w:r>
        <w:tab/>
        <w:t xml:space="preserve">A definition of enforced disappearance that fully complies with article 2 of the Convention and covers acts committed by </w:t>
      </w:r>
      <w:r w:rsidRPr="000A47F1">
        <w:t xml:space="preserve">agents of the State or by persons or groups of persons acting </w:t>
      </w:r>
      <w:r w:rsidRPr="00B63075">
        <w:t>with the authorization, support or acquiescence of the State;</w:t>
      </w:r>
    </w:p>
    <w:p w14:paraId="51F1BB8C" w14:textId="77777777" w:rsidR="00AC31A8" w:rsidRPr="00B63075" w:rsidRDefault="00AC31A8" w:rsidP="00AC31A8">
      <w:pPr>
        <w:pStyle w:val="SingleTxtG"/>
      </w:pPr>
      <w:r>
        <w:tab/>
        <w:t>(b)</w:t>
      </w:r>
      <w:r>
        <w:tab/>
        <w:t>A c</w:t>
      </w:r>
      <w:r w:rsidRPr="00B63075">
        <w:t>omprehensive reparation</w:t>
      </w:r>
      <w:r>
        <w:t xml:space="preserve"> framework that includes </w:t>
      </w:r>
      <w:r w:rsidRPr="00B63075">
        <w:t>restitution, rehabilitation, satisfaction and guarantees of non-repetition</w:t>
      </w:r>
      <w:r>
        <w:t>, in line with article 24 (5) of the Convention (arts. 1–7).</w:t>
      </w:r>
    </w:p>
    <w:p w14:paraId="41B4DD06" w14:textId="77777777" w:rsidR="00AC31A8" w:rsidRPr="00B63075" w:rsidRDefault="00AC31A8" w:rsidP="00AC31A8">
      <w:pPr>
        <w:pStyle w:val="SingleTxtG"/>
      </w:pPr>
      <w:r w:rsidRPr="00B63075">
        <w:t>5.</w:t>
      </w:r>
      <w:r w:rsidRPr="00B63075">
        <w:tab/>
      </w:r>
      <w:r>
        <w:t>P</w:t>
      </w:r>
      <w:r w:rsidRPr="00B63075">
        <w:t xml:space="preserve">lease explain how executive decrees on “missing persons” will be harmonized with </w:t>
      </w:r>
      <w:r w:rsidRPr="00054AA9">
        <w:t xml:space="preserve">legislative guarantees </w:t>
      </w:r>
      <w:r>
        <w:t xml:space="preserve">adopted </w:t>
      </w:r>
      <w:r w:rsidRPr="00054AA9">
        <w:t>under the Convention</w:t>
      </w:r>
      <w:r w:rsidRPr="00B63075">
        <w:t xml:space="preserve"> and confirm that such executive measures will not</w:t>
      </w:r>
      <w:r>
        <w:t xml:space="preserve"> serve as a</w:t>
      </w:r>
      <w:r w:rsidRPr="00B63075">
        <w:t xml:space="preserve"> substitute for the adoption and implementation of a comprehensive law on enforced disappearance</w:t>
      </w:r>
      <w:r>
        <w:t xml:space="preserve"> (arts. 1–7).</w:t>
      </w:r>
    </w:p>
    <w:p w14:paraId="52900FFC" w14:textId="77777777" w:rsidR="00AC31A8" w:rsidRPr="00B63075" w:rsidRDefault="00AC31A8" w:rsidP="00AC31A8">
      <w:pPr>
        <w:pStyle w:val="SingleTxtG"/>
      </w:pPr>
      <w:r w:rsidRPr="00B63075">
        <w:t>6.</w:t>
      </w:r>
      <w:r w:rsidRPr="00B63075">
        <w:tab/>
        <w:t>Please describe steps taken to ensure</w:t>
      </w:r>
      <w:r>
        <w:t xml:space="preserve"> that</w:t>
      </w:r>
      <w:r w:rsidRPr="00DF5991">
        <w:t xml:space="preserve"> </w:t>
      </w:r>
      <w:r w:rsidRPr="00B63075">
        <w:t>all institutions, policies and registers</w:t>
      </w:r>
      <w:r>
        <w:t xml:space="preserve"> make</w:t>
      </w:r>
      <w:r w:rsidRPr="00B63075">
        <w:t xml:space="preserve"> a clear operational distinction between</w:t>
      </w:r>
      <w:r>
        <w:t xml:space="preserve"> the terms</w:t>
      </w:r>
      <w:r w:rsidRPr="00B63075">
        <w:t xml:space="preserve"> “missing persons”</w:t>
      </w:r>
      <w:r>
        <w:t>,</w:t>
      </w:r>
      <w:r w:rsidRPr="00B63075">
        <w:t xml:space="preserve"> “disappearance” and “enforced disappearance” and </w:t>
      </w:r>
      <w:r>
        <w:t xml:space="preserve">describe </w:t>
      </w:r>
      <w:r w:rsidRPr="00B63075">
        <w:t>how this distinction is reflected in procedures for</w:t>
      </w:r>
      <w:r>
        <w:t xml:space="preserve"> the</w:t>
      </w:r>
      <w:r w:rsidRPr="00B63075">
        <w:t xml:space="preserve"> search</w:t>
      </w:r>
      <w:r>
        <w:t xml:space="preserve"> for disappeared persons</w:t>
      </w:r>
      <w:r w:rsidRPr="00B63075">
        <w:t xml:space="preserve">, </w:t>
      </w:r>
      <w:r>
        <w:t xml:space="preserve">the investigation of alleged disappearances </w:t>
      </w:r>
      <w:r w:rsidRPr="00B63075">
        <w:t>and</w:t>
      </w:r>
      <w:r>
        <w:t xml:space="preserve"> the</w:t>
      </w:r>
      <w:r w:rsidRPr="00B63075">
        <w:t xml:space="preserve"> reparation</w:t>
      </w:r>
      <w:r>
        <w:t xml:space="preserve"> framework for victims (arts. 2–5 and 24).</w:t>
      </w:r>
    </w:p>
    <w:p w14:paraId="7BC22A75" w14:textId="3257848B" w:rsidR="00AC31A8" w:rsidRDefault="00AC31A8" w:rsidP="00AC31A8">
      <w:pPr>
        <w:pStyle w:val="SingleTxtG"/>
      </w:pPr>
      <w:r>
        <w:t>7.</w:t>
      </w:r>
      <w:r>
        <w:tab/>
      </w:r>
      <w:r w:rsidRPr="00B63075">
        <w:t xml:space="preserve">Please describe measures taken to align </w:t>
      </w:r>
      <w:r>
        <w:t xml:space="preserve">provisions relating to </w:t>
      </w:r>
      <w:r w:rsidRPr="00B63075">
        <w:t>the criminal responsibility of superior</w:t>
      </w:r>
      <w:r>
        <w:t xml:space="preserve"> officer</w:t>
      </w:r>
      <w:r w:rsidRPr="00B63075">
        <w:t>s and t</w:t>
      </w:r>
      <w:r>
        <w:t xml:space="preserve">o </w:t>
      </w:r>
      <w:r w:rsidRPr="00F472FC">
        <w:t>due obedience</w:t>
      </w:r>
      <w:r w:rsidRPr="00B63075">
        <w:t xml:space="preserve"> with article 6 of the Convention, including any amendments to article 40 of the </w:t>
      </w:r>
      <w:r>
        <w:t>Crimi</w:t>
      </w:r>
      <w:r w:rsidRPr="00B63075">
        <w:t xml:space="preserve">nal Code </w:t>
      </w:r>
      <w:r>
        <w:t>(arts. 7 and 8).</w:t>
      </w:r>
    </w:p>
    <w:p w14:paraId="62E3CAA1" w14:textId="77777777" w:rsidR="00AC31A8" w:rsidRPr="00B63075" w:rsidRDefault="00AC31A8" w:rsidP="00AC31A8">
      <w:pPr>
        <w:pStyle w:val="SingleTxtG"/>
      </w:pPr>
      <w:r w:rsidRPr="00B63075">
        <w:t>8.</w:t>
      </w:r>
      <w:r w:rsidRPr="00B63075">
        <w:tab/>
      </w:r>
      <w:r>
        <w:t>Please</w:t>
      </w:r>
      <w:r w:rsidRPr="00B63075">
        <w:t xml:space="preserve"> explain how delays in</w:t>
      </w:r>
      <w:r>
        <w:t xml:space="preserve"> the</w:t>
      </w:r>
      <w:r w:rsidRPr="00B63075">
        <w:t xml:space="preserve"> issu</w:t>
      </w:r>
      <w:r>
        <w:t>ance of</w:t>
      </w:r>
      <w:r w:rsidRPr="00B63075">
        <w:t xml:space="preserve"> arrest warrants</w:t>
      </w:r>
      <w:r>
        <w:t xml:space="preserve">, which have been reported in the majority of </w:t>
      </w:r>
      <w:r w:rsidRPr="00B63075">
        <w:t>cases raised under the Committee</w:t>
      </w:r>
      <w:r w:rsidRPr="00B63075">
        <w:rPr>
          <w:rFonts w:ascii="Aptos" w:hAnsi="Aptos" w:cs="Aptos"/>
        </w:rPr>
        <w:t>’</w:t>
      </w:r>
      <w:r w:rsidRPr="00B63075">
        <w:t>s urgent action procedure</w:t>
      </w:r>
      <w:r>
        <w:t>,</w:t>
      </w:r>
      <w:r w:rsidRPr="00B63075">
        <w:t xml:space="preserve"> are being addressed</w:t>
      </w:r>
      <w:r>
        <w:t xml:space="preserve"> by the State Party (arts. 7 and 8).</w:t>
      </w:r>
    </w:p>
    <w:p w14:paraId="57E173B4" w14:textId="77777777" w:rsidR="00AC31A8" w:rsidRDefault="00AC31A8" w:rsidP="00AC31A8">
      <w:pPr>
        <w:pStyle w:val="SingleTxtG"/>
      </w:pPr>
      <w:r>
        <w:t>9.</w:t>
      </w:r>
      <w:r>
        <w:tab/>
      </w:r>
      <w:r w:rsidRPr="00B63075">
        <w:t>Please provide information on time-bound targets, indicators and resources</w:t>
      </w:r>
      <w:r>
        <w:t xml:space="preserve"> that will be included in</w:t>
      </w:r>
      <w:r w:rsidRPr="00B63075" w:rsidDel="001F4726">
        <w:t xml:space="preserve"> </w:t>
      </w:r>
      <w:r w:rsidRPr="00B63075">
        <w:t xml:space="preserve">the next national human rights plan and the human rights plan </w:t>
      </w:r>
      <w:r>
        <w:t xml:space="preserve">of the Kurdistan Region </w:t>
      </w:r>
      <w:r w:rsidRPr="00B63075">
        <w:t>to prevent and eradicate enforced disappearance</w:t>
      </w:r>
      <w:r>
        <w:t>s (arts. 1–7).</w:t>
      </w:r>
    </w:p>
    <w:p w14:paraId="7F20ABD6" w14:textId="77777777" w:rsidR="00AC31A8" w:rsidRDefault="00AC31A8" w:rsidP="00AC31A8">
      <w:pPr>
        <w:pStyle w:val="SingleTxtG"/>
      </w:pPr>
      <w:r>
        <w:t>10.</w:t>
      </w:r>
      <w:r>
        <w:tab/>
        <w:t>Please provide information on the number of cases of alleged enforced disappearance reported to the National Committee for Missing Persons and the High Commission for Human Rights and the proportion of these cases that have been registered</w:t>
      </w:r>
      <w:r w:rsidRPr="00BC60E9">
        <w:rPr>
          <w:rFonts w:eastAsia="Times New Roman"/>
          <w:lang w:eastAsia="en-US"/>
        </w:rPr>
        <w:t xml:space="preserve"> </w:t>
      </w:r>
      <w:r>
        <w:t>(arts. 12 and 24).</w:t>
      </w:r>
    </w:p>
    <w:p w14:paraId="236D1CB7" w14:textId="77777777" w:rsidR="00AC31A8" w:rsidRDefault="00AC31A8" w:rsidP="00AC31A8">
      <w:pPr>
        <w:pStyle w:val="SingleTxtG"/>
      </w:pPr>
      <w:r>
        <w:t>11.</w:t>
      </w:r>
      <w:r>
        <w:tab/>
        <w:t>In view of</w:t>
      </w:r>
      <w:r w:rsidRPr="000F12EB">
        <w:t xml:space="preserve"> the termination of the</w:t>
      </w:r>
      <w:r>
        <w:t xml:space="preserve"> mandates of the</w:t>
      </w:r>
      <w:r w:rsidRPr="000F12EB">
        <w:t xml:space="preserve"> United Nations Assistance Mission for Iraq and the United Nations Investigative Team to Promote Accountability for Crimes Committed by</w:t>
      </w:r>
      <w:r>
        <w:t xml:space="preserve"> </w:t>
      </w:r>
      <w:r w:rsidRPr="000F12EB">
        <w:t>Da’esh/I</w:t>
      </w:r>
      <w:r>
        <w:t xml:space="preserve">slamic </w:t>
      </w:r>
      <w:r w:rsidRPr="000F12EB">
        <w:t>S</w:t>
      </w:r>
      <w:r>
        <w:t xml:space="preserve">tate in </w:t>
      </w:r>
      <w:r w:rsidRPr="000F12EB">
        <w:t>I</w:t>
      </w:r>
      <w:r>
        <w:t xml:space="preserve">raq and the </w:t>
      </w:r>
      <w:r w:rsidRPr="000F12EB">
        <w:t>L</w:t>
      </w:r>
      <w:r>
        <w:t>evant</w:t>
      </w:r>
      <w:r w:rsidRPr="000F12EB">
        <w:t xml:space="preserve"> (UNITAD)</w:t>
      </w:r>
      <w:r>
        <w:t>, p</w:t>
      </w:r>
      <w:r w:rsidRPr="000F12EB">
        <w:t>lease indicate</w:t>
      </w:r>
      <w:r>
        <w:t xml:space="preserve"> the</w:t>
      </w:r>
      <w:r w:rsidRPr="000F12EB">
        <w:t xml:space="preserve"> measures </w:t>
      </w:r>
      <w:r>
        <w:t>taken</w:t>
      </w:r>
      <w:r w:rsidRPr="000F12EB">
        <w:t xml:space="preserve"> to prevent gaps in</w:t>
      </w:r>
      <w:r>
        <w:t xml:space="preserve"> the</w:t>
      </w:r>
      <w:r w:rsidRPr="000F12EB">
        <w:t xml:space="preserve"> documentation, investigation and prosecution of enforced disappearance cases resulting from the closure of these mechanisms, including</w:t>
      </w:r>
      <w:r>
        <w:t xml:space="preserve"> </w:t>
      </w:r>
      <w:r w:rsidRPr="000F12EB">
        <w:t xml:space="preserve">steps to preserve and transfer forensic, testimonial and evidentiary materials collected by UNITAD </w:t>
      </w:r>
      <w:r w:rsidRPr="000F12EB">
        <w:lastRenderedPageBreak/>
        <w:t xml:space="preserve">in relation to mass graves and </w:t>
      </w:r>
      <w:r>
        <w:t xml:space="preserve">Da’esh </w:t>
      </w:r>
      <w:r w:rsidRPr="000F12EB">
        <w:t>crimes</w:t>
      </w:r>
      <w:r>
        <w:t xml:space="preserve">. Please clarify how victims and civil society organizations will have access to this information (arts. 12–14 and 24). </w:t>
      </w:r>
    </w:p>
    <w:p w14:paraId="2BF36895" w14:textId="77777777" w:rsidR="00AC31A8" w:rsidRDefault="00AC31A8" w:rsidP="00AC31A8">
      <w:pPr>
        <w:pStyle w:val="SingleTxtG"/>
      </w:pPr>
      <w:r>
        <w:t>12.</w:t>
      </w:r>
      <w:r>
        <w:tab/>
      </w:r>
      <w:r w:rsidRPr="000F12EB">
        <w:t xml:space="preserve">Please </w:t>
      </w:r>
      <w:r>
        <w:t>describe</w:t>
      </w:r>
      <w:r w:rsidRPr="000F12EB">
        <w:t xml:space="preserve"> </w:t>
      </w:r>
      <w:r>
        <w:t xml:space="preserve">the </w:t>
      </w:r>
      <w:r w:rsidRPr="000F12EB">
        <w:t>measures adopted or envisaged to safeguard the institutional, functional and financial independence</w:t>
      </w:r>
      <w:r>
        <w:t xml:space="preserve"> of the</w:t>
      </w:r>
      <w:r w:rsidRPr="00283CC6">
        <w:t xml:space="preserve"> </w:t>
      </w:r>
      <w:r>
        <w:t>High Commission for Human Rights</w:t>
      </w:r>
      <w:r w:rsidRPr="000F12EB">
        <w:t xml:space="preserve"> in line with the</w:t>
      </w:r>
      <w:r>
        <w:t xml:space="preserve"> principles relating to the status of national institutions for the promotion and protection of human rights (the</w:t>
      </w:r>
      <w:r w:rsidRPr="000F12EB">
        <w:t xml:space="preserve"> Paris Principles</w:t>
      </w:r>
      <w:r>
        <w:t>)</w:t>
      </w:r>
      <w:r w:rsidRPr="000F12EB">
        <w:t>, particularly in</w:t>
      </w:r>
      <w:r>
        <w:t xml:space="preserve"> the</w:t>
      </w:r>
      <w:r w:rsidRPr="000F12EB">
        <w:t xml:space="preserve"> light of its placement under ministerial authority</w:t>
      </w:r>
      <w:r>
        <w:t>. Please</w:t>
      </w:r>
      <w:r w:rsidRPr="000F12EB">
        <w:t xml:space="preserve"> clarify </w:t>
      </w:r>
      <w:r>
        <w:t>how</w:t>
      </w:r>
      <w:r w:rsidRPr="000F12EB">
        <w:t xml:space="preserve"> </w:t>
      </w:r>
      <w:r>
        <w:t>the Commission’s</w:t>
      </w:r>
      <w:r w:rsidRPr="000F12EB">
        <w:t xml:space="preserve"> mandate and access to places of deprivation of liberty and </w:t>
      </w:r>
      <w:r>
        <w:t xml:space="preserve">to </w:t>
      </w:r>
      <w:r w:rsidRPr="000F12EB">
        <w:t>registers</w:t>
      </w:r>
      <w:r>
        <w:t xml:space="preserve"> of persons deprived of liberty have been affected by this structure (arts. 12 and 24). </w:t>
      </w:r>
    </w:p>
    <w:p w14:paraId="33FFD646" w14:textId="77777777" w:rsidR="00AC31A8" w:rsidRDefault="00AC31A8" w:rsidP="00AC31A8">
      <w:pPr>
        <w:pStyle w:val="SingleTxtG"/>
      </w:pPr>
      <w:r>
        <w:t>13.</w:t>
      </w:r>
      <w:r>
        <w:tab/>
      </w:r>
      <w:r w:rsidRPr="00383B14">
        <w:t xml:space="preserve">Please indicate </w:t>
      </w:r>
      <w:r>
        <w:t>what measures</w:t>
      </w:r>
      <w:r w:rsidRPr="00383B14">
        <w:t xml:space="preserve"> the State </w:t>
      </w:r>
      <w:r>
        <w:t>P</w:t>
      </w:r>
      <w:r w:rsidRPr="00383B14">
        <w:t xml:space="preserve">arty envisages </w:t>
      </w:r>
      <w:r>
        <w:t>in order to restructure</w:t>
      </w:r>
      <w:r w:rsidRPr="00383B14">
        <w:t xml:space="preserve"> the National Committee for Missing Persons </w:t>
      </w:r>
      <w:r>
        <w:t xml:space="preserve">and ensure its </w:t>
      </w:r>
      <w:r w:rsidRPr="00383B14">
        <w:t xml:space="preserve">independence, impartiality and effectiveness, </w:t>
      </w:r>
      <w:r>
        <w:t xml:space="preserve">and a membership with relevant qualifications, excluding any </w:t>
      </w:r>
      <w:r w:rsidRPr="00B66997">
        <w:t>persons</w:t>
      </w:r>
      <w:r>
        <w:t xml:space="preserve"> who are suspected or organizations whose members</w:t>
      </w:r>
      <w:r w:rsidRPr="00B66997">
        <w:t xml:space="preserve"> </w:t>
      </w:r>
      <w:r>
        <w:t xml:space="preserve">are </w:t>
      </w:r>
      <w:r w:rsidRPr="00B66997">
        <w:t>suspected of having committed</w:t>
      </w:r>
      <w:r w:rsidRPr="000302D1">
        <w:t xml:space="preserve"> </w:t>
      </w:r>
      <w:r w:rsidRPr="00B66997">
        <w:t>an offence of enforced disappearance</w:t>
      </w:r>
      <w:r w:rsidRPr="00E571C3">
        <w:rPr>
          <w:vertAlign w:val="superscript"/>
        </w:rPr>
        <w:footnoteReference w:id="4"/>
      </w:r>
      <w:r>
        <w:t xml:space="preserve"> (arts. 12 and 24).</w:t>
      </w:r>
    </w:p>
    <w:p w14:paraId="78CC1378" w14:textId="77777777" w:rsidR="00AC31A8" w:rsidRDefault="00AC31A8" w:rsidP="00AC31A8">
      <w:pPr>
        <w:pStyle w:val="SingleTxtG"/>
      </w:pPr>
      <w:r>
        <w:t>14.</w:t>
      </w:r>
      <w:r>
        <w:tab/>
        <w:t>In the light of article 95 of the Constitution prohibiting the establishment of special courts, p</w:t>
      </w:r>
      <w:r w:rsidRPr="000F12EB">
        <w:t xml:space="preserve">lease </w:t>
      </w:r>
      <w:r>
        <w:t>clarify what measures are envisaged to establish a specialized</w:t>
      </w:r>
      <w:r w:rsidRPr="000F12EB">
        <w:t xml:space="preserve"> judicial body or prosecutorial unit</w:t>
      </w:r>
      <w:r>
        <w:t xml:space="preserve"> </w:t>
      </w:r>
      <w:r w:rsidRPr="000F12EB">
        <w:t>to handle cases of enforced disappearance</w:t>
      </w:r>
      <w:r>
        <w:t xml:space="preserve"> (art. 11). </w:t>
      </w:r>
    </w:p>
    <w:p w14:paraId="4813CCD8" w14:textId="77777777" w:rsidR="00AC31A8" w:rsidRDefault="00AC31A8" w:rsidP="00AC31A8">
      <w:pPr>
        <w:pStyle w:val="SingleTxtG"/>
      </w:pPr>
      <w:r>
        <w:t>15.</w:t>
      </w:r>
      <w:r>
        <w:tab/>
      </w:r>
      <w:r w:rsidRPr="000F12EB">
        <w:t xml:space="preserve">Please clarify the implementation status of </w:t>
      </w:r>
      <w:r>
        <w:t xml:space="preserve">the </w:t>
      </w:r>
      <w:r w:rsidRPr="000F12EB">
        <w:t xml:space="preserve">instructions issued by the Prime Minister’s Office </w:t>
      </w:r>
      <w:r>
        <w:t xml:space="preserve">to ensure </w:t>
      </w:r>
      <w:r w:rsidRPr="000F12EB">
        <w:t xml:space="preserve">training </w:t>
      </w:r>
      <w:r>
        <w:t xml:space="preserve">on </w:t>
      </w:r>
      <w:r w:rsidRPr="000F12EB">
        <w:t>enforced disappearance</w:t>
      </w:r>
      <w:r>
        <w:t>s and on the promotion of related inter-institutional coordination</w:t>
      </w:r>
      <w:r w:rsidRPr="000F12EB">
        <w:t xml:space="preserve">, including </w:t>
      </w:r>
      <w:r>
        <w:t xml:space="preserve">the </w:t>
      </w:r>
      <w:r w:rsidRPr="000F12EB">
        <w:t>dates, participants and outcomes</w:t>
      </w:r>
      <w:r>
        <w:t xml:space="preserve"> of such training (art. 23).</w:t>
      </w:r>
    </w:p>
    <w:p w14:paraId="3AA643D3" w14:textId="77777777" w:rsidR="00AC31A8" w:rsidRDefault="00AC31A8" w:rsidP="00AC31A8">
      <w:pPr>
        <w:pStyle w:val="HChG"/>
      </w:pPr>
      <w:r>
        <w:tab/>
        <w:t>II.</w:t>
      </w:r>
      <w:r>
        <w:tab/>
        <w:t>Search, investigation, prosecution and prevention of enforced disappearances</w:t>
      </w:r>
    </w:p>
    <w:p w14:paraId="1784C8D3" w14:textId="77777777" w:rsidR="00AC31A8" w:rsidRDefault="00AC31A8" w:rsidP="00AC31A8">
      <w:pPr>
        <w:pStyle w:val="SingleTxtG"/>
      </w:pPr>
      <w:r>
        <w:t>16.</w:t>
      </w:r>
      <w:r>
        <w:tab/>
        <w:t xml:space="preserve">Please describe the measures taken to establish </w:t>
      </w:r>
      <w:r w:rsidRPr="001C7D78">
        <w:t xml:space="preserve">a centralized, independent </w:t>
      </w:r>
      <w:r>
        <w:t>and efficient</w:t>
      </w:r>
      <w:r w:rsidRPr="001C7D78">
        <w:t xml:space="preserve"> search mechanism</w:t>
      </w:r>
      <w:r>
        <w:t xml:space="preserve"> that has adequate resources to address all cases of enforced disappearances in the State Party, and indicate the timeline for the implementation of this project. Please also describe t</w:t>
      </w:r>
      <w:r w:rsidRPr="001C7D78">
        <w:t>he challenges</w:t>
      </w:r>
      <w:r>
        <w:t xml:space="preserve"> faced</w:t>
      </w:r>
      <w:r w:rsidRPr="001C7D78">
        <w:t xml:space="preserve"> </w:t>
      </w:r>
      <w:r>
        <w:t xml:space="preserve">by </w:t>
      </w:r>
      <w:r w:rsidRPr="001C7D78">
        <w:t xml:space="preserve">the </w:t>
      </w:r>
      <w:r>
        <w:t>State Party</w:t>
      </w:r>
      <w:r w:rsidRPr="001C7D78">
        <w:t xml:space="preserve"> </w:t>
      </w:r>
      <w:r>
        <w:t xml:space="preserve">in </w:t>
      </w:r>
      <w:r w:rsidRPr="001C7D78">
        <w:t>establish</w:t>
      </w:r>
      <w:r>
        <w:t>ing</w:t>
      </w:r>
      <w:r w:rsidRPr="001C7D78">
        <w:t xml:space="preserve"> such </w:t>
      </w:r>
      <w:r>
        <w:t>a mechanism and the measures taken to overcome them. In that context, please specify the</w:t>
      </w:r>
      <w:r w:rsidRPr="00BC60E9">
        <w:t xml:space="preserve"> </w:t>
      </w:r>
      <w:r>
        <w:t>measures taken to ensure that cases of enforced disappearance that have occurred since</w:t>
      </w:r>
      <w:r w:rsidRPr="00BC60E9">
        <w:t xml:space="preserve"> 2003</w:t>
      </w:r>
      <w:r>
        <w:t xml:space="preserve"> are duly investigated (arts. 12 and 24).</w:t>
      </w:r>
    </w:p>
    <w:p w14:paraId="5C1911F4" w14:textId="77777777" w:rsidR="00AC31A8" w:rsidRPr="00F77549" w:rsidRDefault="00AC31A8" w:rsidP="00AC31A8">
      <w:pPr>
        <w:pStyle w:val="SingleTxtG"/>
      </w:pPr>
      <w:r w:rsidRPr="00F77549">
        <w:t>17.</w:t>
      </w:r>
      <w:r w:rsidRPr="00F77549">
        <w:tab/>
        <w:t xml:space="preserve">Please provide information on investigations into allegations </w:t>
      </w:r>
      <w:r>
        <w:t>received by the Committee in relation to the enforced disappearance and</w:t>
      </w:r>
      <w:r w:rsidRPr="00F77549">
        <w:t xml:space="preserve"> execution of persons in detention, </w:t>
      </w:r>
      <w:r>
        <w:t xml:space="preserve">and </w:t>
      </w:r>
      <w:r w:rsidRPr="00F77549">
        <w:t>o</w:t>
      </w:r>
      <w:r>
        <w:t>n</w:t>
      </w:r>
      <w:r w:rsidRPr="00F77549">
        <w:t xml:space="preserve"> the investigation mechanisms that have been </w:t>
      </w:r>
      <w:r>
        <w:t>used</w:t>
      </w:r>
      <w:r w:rsidRPr="00F77549">
        <w:t>, their findings and adopted sanctions (arts. 17</w:t>
      </w:r>
      <w:r>
        <w:t xml:space="preserve"> and </w:t>
      </w:r>
      <w:r w:rsidRPr="00F77549">
        <w:t>18)</w:t>
      </w:r>
      <w:r>
        <w:t>.</w:t>
      </w:r>
    </w:p>
    <w:p w14:paraId="48D2AC89" w14:textId="77777777" w:rsidR="00AC31A8" w:rsidRDefault="00AC31A8" w:rsidP="00AC31A8">
      <w:pPr>
        <w:pStyle w:val="SingleTxtG"/>
      </w:pPr>
      <w:r>
        <w:t>18.</w:t>
      </w:r>
      <w:r>
        <w:tab/>
      </w:r>
      <w:r w:rsidRPr="000F12EB">
        <w:t xml:space="preserve">Please provide updated information on mass graves </w:t>
      </w:r>
      <w:r>
        <w:t>identified and excavated since the Committee’s visit to Iraq in 2022</w:t>
      </w:r>
      <w:r w:rsidRPr="000F12EB">
        <w:t xml:space="preserve"> and those planned for future investigation, </w:t>
      </w:r>
      <w:r w:rsidRPr="00EF0CBF">
        <w:t xml:space="preserve">including </w:t>
      </w:r>
      <w:r>
        <w:t xml:space="preserve">information on </w:t>
      </w:r>
      <w:r w:rsidRPr="00EF0CBF">
        <w:t>geographic</w:t>
      </w:r>
      <w:r>
        <w:t>al</w:t>
      </w:r>
      <w:r w:rsidRPr="00EF0CBF">
        <w:t xml:space="preserve"> scope, prioritization criteria and</w:t>
      </w:r>
      <w:r>
        <w:t xml:space="preserve"> the</w:t>
      </w:r>
      <w:r w:rsidRPr="00EF0CBF">
        <w:t xml:space="preserve"> inclusion of all victims</w:t>
      </w:r>
      <w:r w:rsidRPr="00E571C3">
        <w:t xml:space="preserve"> of alleged disappearance</w:t>
      </w:r>
      <w:r w:rsidRPr="00EF0CBF">
        <w:t xml:space="preserve">, </w:t>
      </w:r>
      <w:r w:rsidRPr="002B3E0F">
        <w:t>regardless of the</w:t>
      </w:r>
      <w:r>
        <w:t>ir</w:t>
      </w:r>
      <w:r w:rsidRPr="002B3E0F">
        <w:t xml:space="preserve"> ethnic, religious or national background or</w:t>
      </w:r>
      <w:r>
        <w:t xml:space="preserve"> </w:t>
      </w:r>
      <w:r w:rsidRPr="002B3E0F">
        <w:t>the time, location and circumstances of the</w:t>
      </w:r>
      <w:r>
        <w:t>ir</w:t>
      </w:r>
      <w:r w:rsidRPr="002B3E0F">
        <w:t xml:space="preserve"> disappearance</w:t>
      </w:r>
      <w:r>
        <w:t xml:space="preserve"> (arts. 12 and 24).</w:t>
      </w:r>
    </w:p>
    <w:p w14:paraId="5531D704" w14:textId="77777777" w:rsidR="00AC31A8" w:rsidRDefault="00AC31A8" w:rsidP="00AC31A8">
      <w:pPr>
        <w:pStyle w:val="SingleTxtG"/>
      </w:pPr>
      <w:r>
        <w:t>19.</w:t>
      </w:r>
      <w:r>
        <w:tab/>
        <w:t>P</w:t>
      </w:r>
      <w:r w:rsidRPr="000F12EB">
        <w:t xml:space="preserve">lease </w:t>
      </w:r>
      <w:r>
        <w:t>indicate</w:t>
      </w:r>
      <w:r w:rsidRPr="000F12EB">
        <w:t xml:space="preserve"> whether any</w:t>
      </w:r>
      <w:r>
        <w:t xml:space="preserve"> identified or excavated </w:t>
      </w:r>
      <w:r w:rsidRPr="000F12EB">
        <w:t xml:space="preserve">graves, </w:t>
      </w:r>
      <w:r>
        <w:t>or</w:t>
      </w:r>
      <w:r w:rsidRPr="000F12EB">
        <w:t xml:space="preserve"> investigative files</w:t>
      </w:r>
      <w:r>
        <w:t>,</w:t>
      </w:r>
      <w:r w:rsidRPr="000F12EB">
        <w:t xml:space="preserve"> </w:t>
      </w:r>
      <w:r>
        <w:t>relate</w:t>
      </w:r>
      <w:r w:rsidRPr="000F12EB">
        <w:t xml:space="preserve"> to cases registered under the Committee’s urgent action procedure</w:t>
      </w:r>
      <w:r>
        <w:t>,</w:t>
      </w:r>
      <w:r w:rsidRPr="000F12EB">
        <w:t xml:space="preserve"> and describe</w:t>
      </w:r>
      <w:r>
        <w:t xml:space="preserve"> the measures taken to ensure </w:t>
      </w:r>
      <w:r w:rsidRPr="000F12EB">
        <w:t>coordination between</w:t>
      </w:r>
      <w:r>
        <w:t xml:space="preserve"> the competent search and</w:t>
      </w:r>
      <w:r w:rsidRPr="000F12EB">
        <w:t xml:space="preserve"> investigative bodies </w:t>
      </w:r>
      <w:r>
        <w:t>and</w:t>
      </w:r>
      <w:r w:rsidRPr="000F12EB">
        <w:t xml:space="preserve"> the focal point</w:t>
      </w:r>
      <w:r>
        <w:t xml:space="preserve"> on urgent actions of the Ministry of Foreign Affairs</w:t>
      </w:r>
      <w:r w:rsidRPr="000F12EB">
        <w:t xml:space="preserve"> </w:t>
      </w:r>
      <w:r>
        <w:t>s</w:t>
      </w:r>
      <w:r w:rsidRPr="000F12EB">
        <w:t xml:space="preserve">o </w:t>
      </w:r>
      <w:r>
        <w:t>that all relevant information is efficiently shared between these entities and with the victims and the Committee (arts. 12, 24 and 30).</w:t>
      </w:r>
    </w:p>
    <w:p w14:paraId="741286B9" w14:textId="77777777" w:rsidR="00AC31A8" w:rsidRDefault="00AC31A8" w:rsidP="00AC31A8">
      <w:pPr>
        <w:pStyle w:val="SingleTxtG"/>
      </w:pPr>
      <w:r>
        <w:lastRenderedPageBreak/>
        <w:t>20.</w:t>
      </w:r>
      <w:r>
        <w:tab/>
      </w:r>
      <w:r w:rsidRPr="000F12EB">
        <w:t>Please indicate whether any unauthorized openings of mass graves</w:t>
      </w:r>
      <w:r w:rsidRPr="00E571C3">
        <w:rPr>
          <w:vertAlign w:val="superscript"/>
        </w:rPr>
        <w:footnoteReference w:id="5"/>
      </w:r>
      <w:r w:rsidRPr="000F12EB">
        <w:t xml:space="preserve"> </w:t>
      </w:r>
      <w:r>
        <w:t xml:space="preserve">have occurred and, if so, describe </w:t>
      </w:r>
      <w:r w:rsidRPr="000F12EB">
        <w:t>the State</w:t>
      </w:r>
      <w:r w:rsidRPr="00C32118">
        <w:t>’</w:t>
      </w:r>
      <w:r w:rsidRPr="000F12EB">
        <w:t>s response</w:t>
      </w:r>
      <w:r>
        <w:t xml:space="preserve"> to such acts. Please also describe the measures taken </w:t>
      </w:r>
      <w:r w:rsidRPr="000F12EB">
        <w:t xml:space="preserve">to </w:t>
      </w:r>
      <w:r>
        <w:t xml:space="preserve">protect the chain of custody and to </w:t>
      </w:r>
      <w:r w:rsidRPr="000F12EB">
        <w:t xml:space="preserve">prevent </w:t>
      </w:r>
      <w:r>
        <w:t xml:space="preserve">the </w:t>
      </w:r>
      <w:r w:rsidRPr="000F12EB">
        <w:t>contamination</w:t>
      </w:r>
      <w:r>
        <w:t xml:space="preserve"> and</w:t>
      </w:r>
      <w:r w:rsidRPr="000F12EB">
        <w:t xml:space="preserve"> loss of evidence</w:t>
      </w:r>
      <w:r>
        <w:t xml:space="preserve"> (arts. 12 and 24).</w:t>
      </w:r>
    </w:p>
    <w:p w14:paraId="05C751FC" w14:textId="77777777" w:rsidR="00AC31A8" w:rsidRDefault="00AC31A8" w:rsidP="00AC31A8">
      <w:pPr>
        <w:pStyle w:val="SingleTxtG"/>
      </w:pPr>
      <w:r>
        <w:t>21.</w:t>
      </w:r>
      <w:r>
        <w:tab/>
        <w:t>Please provide information on steps taken to establish and maintain complete, accurate and up-to-date national registers of all persons deprived of liberty, in accordance with article 17 of the Convention, and on the consideration given to the recommendations made by the High Commission for Human Rights to improve prison administration</w:t>
      </w:r>
      <w:r w:rsidRPr="00255709">
        <w:t xml:space="preserve"> (arts. 17</w:t>
      </w:r>
      <w:r>
        <w:t xml:space="preserve"> and </w:t>
      </w:r>
      <w:r w:rsidRPr="00255709">
        <w:t>18)</w:t>
      </w:r>
      <w:r>
        <w:t>.</w:t>
      </w:r>
    </w:p>
    <w:p w14:paraId="4AA0DDE1" w14:textId="77777777" w:rsidR="00AC31A8" w:rsidRDefault="00AC31A8" w:rsidP="00AC31A8">
      <w:pPr>
        <w:pStyle w:val="SingleTxtG"/>
      </w:pPr>
      <w:r>
        <w:t>22.</w:t>
      </w:r>
      <w:r>
        <w:tab/>
        <w:t>Please explain what measures the State Party is taking to address reports of ongoing disappearances.</w:t>
      </w:r>
    </w:p>
    <w:p w14:paraId="186CD676" w14:textId="77777777" w:rsidR="00AC31A8" w:rsidRDefault="00AC31A8" w:rsidP="00AC31A8">
      <w:pPr>
        <w:pStyle w:val="SingleTxtG"/>
      </w:pPr>
      <w:r>
        <w:t>23.</w:t>
      </w:r>
      <w:r>
        <w:tab/>
        <w:t>Please describe the measures taken to ensure that all persons deprived of liberty enjoy immediate access to legal counsel, family contact and judicial oversight from the outset of the deprivation of liberty, and to investigate allegations of secret detention and denial of safeguards, taking into account the concerns expressed and the recommendations frequently made by the Committee in that regard in the context of its urgent action procedure and in the report on its visit to Iraq</w:t>
      </w:r>
      <w:r>
        <w:rPr>
          <w:rStyle w:val="FootnoteReference"/>
        </w:rPr>
        <w:footnoteReference w:id="6"/>
      </w:r>
      <w:r w:rsidRPr="000101EC">
        <w:t xml:space="preserve"> </w:t>
      </w:r>
      <w:r>
        <w:t>(arts. 10, 17, 18 and 22).</w:t>
      </w:r>
    </w:p>
    <w:p w14:paraId="226C188D" w14:textId="77777777" w:rsidR="00AC31A8" w:rsidRDefault="00AC31A8" w:rsidP="00AC31A8">
      <w:pPr>
        <w:pStyle w:val="SingleTxtG"/>
      </w:pPr>
      <w:r>
        <w:t>24.</w:t>
      </w:r>
      <w:r>
        <w:tab/>
        <w:t xml:space="preserve">Please provide information on plans to ensure adequate health services in all places of detention nationwide as a key tool to prevent and eradicate enforced disappearances, including measures to extend initiatives reported in the Kurdistan Region </w:t>
      </w:r>
      <w:r w:rsidRPr="00C528FD">
        <w:t>(arts. 17</w:t>
      </w:r>
      <w:r>
        <w:t xml:space="preserve"> and </w:t>
      </w:r>
      <w:r w:rsidRPr="00C528FD">
        <w:t>18)</w:t>
      </w:r>
      <w:r>
        <w:t>.</w:t>
      </w:r>
    </w:p>
    <w:p w14:paraId="27F6AF18" w14:textId="77777777" w:rsidR="00AC31A8" w:rsidRDefault="00AC31A8" w:rsidP="00AC31A8">
      <w:pPr>
        <w:pStyle w:val="SingleTxtG"/>
      </w:pPr>
      <w:r>
        <w:t>25.</w:t>
      </w:r>
      <w:r>
        <w:tab/>
        <w:t>Please describe how allegations related to the existence and use of secret places of deprivation of liberty are verified and investigated by the State Party, and the outcome of such processes.</w:t>
      </w:r>
      <w:r>
        <w:rPr>
          <w:rStyle w:val="FootnoteReference"/>
        </w:rPr>
        <w:footnoteReference w:id="7"/>
      </w:r>
      <w:r>
        <w:t xml:space="preserve"> Please explain how the State Party informs the victims and society at large about the conduct and outcome of such investigations</w:t>
      </w:r>
      <w:r w:rsidRPr="0081370B">
        <w:t xml:space="preserve"> (arts. 17</w:t>
      </w:r>
      <w:r>
        <w:t xml:space="preserve"> and </w:t>
      </w:r>
      <w:r w:rsidRPr="0081370B">
        <w:t>18)</w:t>
      </w:r>
      <w:r>
        <w:t>.</w:t>
      </w:r>
    </w:p>
    <w:p w14:paraId="3DA7E557" w14:textId="77777777" w:rsidR="00AC31A8" w:rsidRDefault="00AC31A8" w:rsidP="00AC31A8">
      <w:pPr>
        <w:pStyle w:val="HChG"/>
      </w:pPr>
      <w:r>
        <w:tab/>
        <w:t>III.</w:t>
      </w:r>
      <w:r>
        <w:tab/>
        <w:t>R</w:t>
      </w:r>
      <w:r w:rsidRPr="00A908D4">
        <w:t>ights of victims</w:t>
      </w:r>
      <w:r>
        <w:t xml:space="preserve"> of enforced disappearance</w:t>
      </w:r>
    </w:p>
    <w:p w14:paraId="6D16083B" w14:textId="77777777" w:rsidR="00AC31A8" w:rsidRDefault="00AC31A8" w:rsidP="00AC31A8">
      <w:pPr>
        <w:pStyle w:val="SingleTxtG"/>
      </w:pPr>
      <w:r>
        <w:t>26.</w:t>
      </w:r>
      <w:r>
        <w:tab/>
      </w:r>
      <w:r w:rsidRPr="000F12EB">
        <w:t xml:space="preserve">Please </w:t>
      </w:r>
      <w:r>
        <w:t>clarify how</w:t>
      </w:r>
      <w:r w:rsidRPr="000F12EB">
        <w:t xml:space="preserve"> </w:t>
      </w:r>
      <w:r>
        <w:t>the High Commission for Human Rights</w:t>
      </w:r>
      <w:r w:rsidRPr="000F12EB">
        <w:t xml:space="preserve"> and civil society organizations were consulted </w:t>
      </w:r>
      <w:r>
        <w:t>during the preparation of</w:t>
      </w:r>
      <w:r w:rsidRPr="000F12EB">
        <w:t xml:space="preserve"> the State </w:t>
      </w:r>
      <w:r>
        <w:t>P</w:t>
      </w:r>
      <w:r w:rsidRPr="000F12EB">
        <w:t xml:space="preserve">arty’s </w:t>
      </w:r>
      <w:r>
        <w:t>a</w:t>
      </w:r>
      <w:r w:rsidRPr="000F12EB">
        <w:t xml:space="preserve">dditional </w:t>
      </w:r>
      <w:r>
        <w:t>i</w:t>
      </w:r>
      <w:r w:rsidRPr="000F12EB">
        <w:t xml:space="preserve">nformation </w:t>
      </w:r>
      <w:r>
        <w:t>(arts. 23 and 24).</w:t>
      </w:r>
    </w:p>
    <w:p w14:paraId="0146A02C" w14:textId="77777777" w:rsidR="00AC31A8" w:rsidRPr="000F12EB" w:rsidRDefault="00AC31A8" w:rsidP="00AC31A8">
      <w:pPr>
        <w:pStyle w:val="SingleTxtG"/>
      </w:pPr>
      <w:r w:rsidRPr="000F12EB">
        <w:t>27.</w:t>
      </w:r>
      <w:r w:rsidRPr="000F12EB">
        <w:tab/>
        <w:t xml:space="preserve">Please indicate </w:t>
      </w:r>
      <w:r>
        <w:t xml:space="preserve">what </w:t>
      </w:r>
      <w:r w:rsidRPr="000F12EB">
        <w:t>steps</w:t>
      </w:r>
      <w:r>
        <w:t xml:space="preserve"> have been</w:t>
      </w:r>
      <w:r w:rsidRPr="000F12EB">
        <w:t xml:space="preserve"> taken to ensure that the definition of “victim” in domestic law fully </w:t>
      </w:r>
      <w:r>
        <w:t>complies</w:t>
      </w:r>
      <w:r w:rsidRPr="000F12EB">
        <w:t xml:space="preserve"> with article 24 of the Convention, including</w:t>
      </w:r>
      <w:r>
        <w:t xml:space="preserve"> by recognizing as victims</w:t>
      </w:r>
      <w:r w:rsidRPr="000F12EB">
        <w:t xml:space="preserve"> </w:t>
      </w:r>
      <w:r>
        <w:t xml:space="preserve">the relatives of disappeared persons and </w:t>
      </w:r>
      <w:r w:rsidRPr="000618C4">
        <w:t>any individual who has suffered harm as the direct result of an enforced disappearance</w:t>
      </w:r>
      <w:r>
        <w:t xml:space="preserve">. Please specify the measures taken to ensure their effective </w:t>
      </w:r>
      <w:r w:rsidRPr="000F12EB">
        <w:t>access to truth, justice</w:t>
      </w:r>
      <w:r>
        <w:t xml:space="preserve">, </w:t>
      </w:r>
      <w:r w:rsidRPr="000F12EB">
        <w:t>reparation</w:t>
      </w:r>
      <w:r>
        <w:t xml:space="preserve"> and guarantees of non-repetition, in compliance with the Convention, and, in that regard, </w:t>
      </w:r>
      <w:r w:rsidRPr="000F12EB">
        <w:t xml:space="preserve">clarify </w:t>
      </w:r>
      <w:r>
        <w:t xml:space="preserve">the specific provisions included in the current version of the </w:t>
      </w:r>
      <w:r w:rsidRPr="00386AE5">
        <w:t>bill on enforced disappearance</w:t>
      </w:r>
      <w:r>
        <w:t xml:space="preserve"> (art. 24).</w:t>
      </w:r>
    </w:p>
    <w:p w14:paraId="0D7B5848" w14:textId="77777777" w:rsidR="00AC31A8" w:rsidRPr="000F12EB" w:rsidRDefault="00AC31A8" w:rsidP="00AC31A8">
      <w:pPr>
        <w:pStyle w:val="SingleTxtG"/>
      </w:pPr>
      <w:r w:rsidRPr="000F12EB">
        <w:t>28.</w:t>
      </w:r>
      <w:r w:rsidRPr="000F12EB">
        <w:tab/>
        <w:t xml:space="preserve">Please </w:t>
      </w:r>
      <w:r>
        <w:t>describe the</w:t>
      </w:r>
      <w:r w:rsidRPr="000F12EB">
        <w:t xml:space="preserve"> measures </w:t>
      </w:r>
      <w:r>
        <w:t>taken</w:t>
      </w:r>
      <w:r w:rsidRPr="000F12EB">
        <w:t xml:space="preserve"> to guarantee the effective participation of victims and their representatives in</w:t>
      </w:r>
      <w:r>
        <w:t xml:space="preserve"> </w:t>
      </w:r>
      <w:r w:rsidRPr="000F12EB">
        <w:t>search, investigation, exhumation, identification and judicial processes</w:t>
      </w:r>
      <w:r>
        <w:t>, providing concrete examples of such participation (arts. 12 and 24).</w:t>
      </w:r>
    </w:p>
    <w:p w14:paraId="4FF680A6" w14:textId="77777777" w:rsidR="00AC31A8" w:rsidRPr="000F12EB" w:rsidRDefault="00AC31A8" w:rsidP="00AC31A8">
      <w:pPr>
        <w:pStyle w:val="SingleTxtG"/>
      </w:pPr>
      <w:r w:rsidRPr="000F12EB">
        <w:t>29.</w:t>
      </w:r>
      <w:r w:rsidRPr="000F12EB">
        <w:tab/>
        <w:t xml:space="preserve">Please </w:t>
      </w:r>
      <w:r>
        <w:t>describe the measures taken to implement the Committee’s recommendation</w:t>
      </w:r>
      <w:r w:rsidRPr="00746575">
        <w:t xml:space="preserve">s to </w:t>
      </w:r>
      <w:r w:rsidRPr="00E571C3">
        <w:t>remove the requirement for a death certificate from all procedures until the fate of the disappeared person has been fully clarified and to legally provide for the issuance of declarations of absence by reason of disappearance</w:t>
      </w:r>
      <w:r>
        <w:t xml:space="preserve"> to enable the regularization of the </w:t>
      </w:r>
      <w:r w:rsidRPr="008A4AE7">
        <w:t xml:space="preserve">legal situation of </w:t>
      </w:r>
      <w:r>
        <w:t>disappeared</w:t>
      </w:r>
      <w:r w:rsidRPr="008A4AE7">
        <w:t xml:space="preserve"> person</w:t>
      </w:r>
      <w:r>
        <w:t>s</w:t>
      </w:r>
      <w:r w:rsidRPr="008A4AE7">
        <w:t xml:space="preserve"> and their relatives</w:t>
      </w:r>
      <w:r w:rsidRPr="00E571C3">
        <w:rPr>
          <w:vertAlign w:val="superscript"/>
        </w:rPr>
        <w:footnoteReference w:id="8"/>
      </w:r>
      <w:r w:rsidRPr="00E571C3">
        <w:rPr>
          <w:vertAlign w:val="superscript"/>
        </w:rPr>
        <w:t xml:space="preserve"> </w:t>
      </w:r>
      <w:r>
        <w:t>(art. 24).</w:t>
      </w:r>
    </w:p>
    <w:p w14:paraId="3EB23204" w14:textId="77777777" w:rsidR="00AC31A8" w:rsidRPr="000F12EB" w:rsidRDefault="00AC31A8" w:rsidP="00AC31A8">
      <w:pPr>
        <w:pStyle w:val="SingleTxtG"/>
      </w:pPr>
      <w:r w:rsidRPr="000F12EB">
        <w:t>30.</w:t>
      </w:r>
      <w:r w:rsidRPr="000F12EB">
        <w:tab/>
        <w:t xml:space="preserve">Please describe </w:t>
      </w:r>
      <w:r w:rsidRPr="00464D4E">
        <w:t>the measures adopted</w:t>
      </w:r>
      <w:r>
        <w:t>:</w:t>
      </w:r>
      <w:r w:rsidRPr="00464D4E">
        <w:t xml:space="preserve"> </w:t>
      </w:r>
      <w:r w:rsidRPr="00E571C3">
        <w:t xml:space="preserve">(a) </w:t>
      </w:r>
      <w:r>
        <w:t xml:space="preserve">to </w:t>
      </w:r>
      <w:r w:rsidRPr="00E571C3">
        <w:t xml:space="preserve">prevent all acts of intimidation and reprisal against all victims, human rights defenders, lawyers, civil society organizations and </w:t>
      </w:r>
      <w:r w:rsidRPr="00E571C3">
        <w:lastRenderedPageBreak/>
        <w:t xml:space="preserve">other individuals actively participating in the search and investigation process; (b) </w:t>
      </w:r>
      <w:r>
        <w:t xml:space="preserve">to </w:t>
      </w:r>
      <w:r w:rsidRPr="00E571C3">
        <w:t xml:space="preserve">investigate all related allegations; and (c) </w:t>
      </w:r>
      <w:r>
        <w:t xml:space="preserve">to </w:t>
      </w:r>
      <w:r w:rsidRPr="00E571C3">
        <w:t>punish identified perpetrators</w:t>
      </w:r>
      <w:r>
        <w:rPr>
          <w:rStyle w:val="FootnoteReference"/>
        </w:rPr>
        <w:footnoteReference w:id="9"/>
      </w:r>
      <w:r>
        <w:t xml:space="preserve"> (arts. 12 and 24).</w:t>
      </w:r>
    </w:p>
    <w:p w14:paraId="55358D2E" w14:textId="77777777" w:rsidR="00AC31A8" w:rsidRPr="000F12EB" w:rsidRDefault="00AC31A8" w:rsidP="00AC31A8">
      <w:pPr>
        <w:pStyle w:val="SingleTxtG"/>
      </w:pPr>
      <w:r w:rsidRPr="000F12EB">
        <w:t>31.</w:t>
      </w:r>
      <w:r w:rsidRPr="000F12EB">
        <w:tab/>
      </w:r>
      <w:r>
        <w:t xml:space="preserve">Please specify the </w:t>
      </w:r>
      <w:r w:rsidRPr="00066490">
        <w:t>measures taken by the State Party</w:t>
      </w:r>
      <w:r>
        <w:t>,</w:t>
      </w:r>
      <w:r w:rsidRPr="00066490">
        <w:t xml:space="preserve"> since the visit of the Committee in 2022</w:t>
      </w:r>
      <w:r>
        <w:t>,</w:t>
      </w:r>
      <w:r w:rsidRPr="00066490">
        <w:t xml:space="preserve"> to </w:t>
      </w:r>
      <w:r w:rsidRPr="00E571C3">
        <w:t xml:space="preserve">implement a protection programme for individuals actively participating in the search and investigation process, </w:t>
      </w:r>
      <w:r>
        <w:t>accompanied by</w:t>
      </w:r>
      <w:r w:rsidRPr="00E571C3">
        <w:t xml:space="preserve"> a concrete and realistic action plan, adequate human and financial resources and mechanisms of international cooperation and mutual assistance. </w:t>
      </w:r>
      <w:r w:rsidRPr="00066490">
        <w:t>P</w:t>
      </w:r>
      <w:r>
        <w:t>lease p</w:t>
      </w:r>
      <w:r w:rsidRPr="00066490">
        <w:t xml:space="preserve">rovide statistics on the number of requests for protection that have been received and the types of protection measures </w:t>
      </w:r>
      <w:r>
        <w:t>provid</w:t>
      </w:r>
      <w:r w:rsidRPr="00066490">
        <w:t>ed</w:t>
      </w:r>
      <w:r>
        <w:t xml:space="preserve"> (art. 24).</w:t>
      </w:r>
    </w:p>
    <w:p w14:paraId="027613BA" w14:textId="77777777" w:rsidR="00AC31A8" w:rsidRDefault="00AC31A8" w:rsidP="00AC31A8">
      <w:pPr>
        <w:pStyle w:val="SingleTxtG"/>
      </w:pPr>
      <w:r>
        <w:t>32.</w:t>
      </w:r>
      <w:r>
        <w:tab/>
        <w:t>Please clarify what guarantees are in place to protect the personal data, information and privacy of complainants, including measures to investigate and punish any breach of such guarantees. Please also provide information on the measures taken to protect disappeared persons and their families from threats, reprisals, stigmatization and hate speech (arts. 12, 19 and 24).</w:t>
      </w:r>
    </w:p>
    <w:p w14:paraId="06DF7D46" w14:textId="77777777" w:rsidR="00AC31A8" w:rsidRPr="004B1B0A" w:rsidRDefault="00AC31A8" w:rsidP="00AC31A8">
      <w:pPr>
        <w:pStyle w:val="HChG"/>
      </w:pPr>
      <w:r>
        <w:tab/>
        <w:t>IV.</w:t>
      </w:r>
      <w:r>
        <w:tab/>
        <w:t>State Party’s cooperation with the Committee</w:t>
      </w:r>
    </w:p>
    <w:p w14:paraId="46D58A79" w14:textId="77777777" w:rsidR="00AC31A8" w:rsidRPr="00E571C3" w:rsidRDefault="00AC31A8" w:rsidP="00AC31A8">
      <w:pPr>
        <w:pStyle w:val="SingleTxtG"/>
      </w:pPr>
      <w:r w:rsidRPr="00E571C3">
        <w:t>33.</w:t>
      </w:r>
      <w:r w:rsidRPr="00E571C3">
        <w:tab/>
      </w:r>
      <w:r>
        <w:t>Please describe the existing mechanisms to follow up on the implementation of the Committee’s recommendations transmitted to the State Party since 2013 through the review of the State Party’s reports and the Committee’s report on its visit to Iraq (arts. 26 (9), 29 (1), (3) and (4) and 33).</w:t>
      </w:r>
    </w:p>
    <w:p w14:paraId="092E1C97" w14:textId="77777777" w:rsidR="00AC31A8" w:rsidRPr="00D02D64" w:rsidRDefault="00AC31A8" w:rsidP="00AC31A8">
      <w:pPr>
        <w:pStyle w:val="SingleTxtG"/>
      </w:pPr>
      <w:r w:rsidRPr="00D02D64">
        <w:t>34.</w:t>
      </w:r>
      <w:r w:rsidRPr="00D02D64">
        <w:tab/>
        <w:t xml:space="preserve">Please explain the measures taken to ensure that the State Party’s replies to all urgent action requests fulfil the requirements of article 30 of the Convention, especially </w:t>
      </w:r>
      <w:r>
        <w:t>in</w:t>
      </w:r>
      <w:r w:rsidRPr="00D02D64">
        <w:t xml:space="preserve"> relat</w:t>
      </w:r>
      <w:r>
        <w:t>ion</w:t>
      </w:r>
      <w:r w:rsidRPr="00D02D64">
        <w:t xml:space="preserve"> to</w:t>
      </w:r>
      <w:r>
        <w:t xml:space="preserve"> the</w:t>
      </w:r>
      <w:r w:rsidRPr="00D02D64">
        <w:t xml:space="preserve"> sharing</w:t>
      </w:r>
      <w:r>
        <w:t xml:space="preserve"> of</w:t>
      </w:r>
      <w:r w:rsidRPr="00D02D64">
        <w:t xml:space="preserve"> information on the measures taken to search for disappeared person</w:t>
      </w:r>
      <w:r>
        <w:t>s</w:t>
      </w:r>
      <w:r w:rsidRPr="00D02D64">
        <w:t xml:space="preserve"> and investigate alleged disappearance</w:t>
      </w:r>
      <w:r>
        <w:t>s</w:t>
      </w:r>
      <w:r w:rsidRPr="00D02D64">
        <w:t xml:space="preserve">. </w:t>
      </w:r>
      <w:r>
        <w:t>P</w:t>
      </w:r>
      <w:r w:rsidRPr="00D02D64">
        <w:t>lease</w:t>
      </w:r>
      <w:r>
        <w:t xml:space="preserve"> also</w:t>
      </w:r>
      <w:r w:rsidRPr="00D02D64">
        <w:t xml:space="preserve"> </w:t>
      </w:r>
      <w:r>
        <w:t>explain, where applicable,</w:t>
      </w:r>
      <w:r w:rsidRPr="00D02D64">
        <w:t xml:space="preserve"> the reasons for delay</w:t>
      </w:r>
      <w:r>
        <w:t>s</w:t>
      </w:r>
      <w:r w:rsidRPr="00D02D64">
        <w:t xml:space="preserve"> in replying, the failure to provide substantive information </w:t>
      </w:r>
      <w:r>
        <w:t xml:space="preserve">and, in some cases, </w:t>
      </w:r>
      <w:r w:rsidRPr="00D02D64">
        <w:t>the lack of</w:t>
      </w:r>
      <w:r>
        <w:t xml:space="preserve"> a</w:t>
      </w:r>
      <w:r w:rsidRPr="00D02D64">
        <w:t xml:space="preserve"> reply (art. 30).</w:t>
      </w:r>
    </w:p>
    <w:p w14:paraId="490B92D7" w14:textId="7FCCB42A" w:rsidR="00AC31A8" w:rsidRPr="00D02D64" w:rsidRDefault="00AC31A8" w:rsidP="00AC31A8">
      <w:pPr>
        <w:pStyle w:val="SingleTxtG"/>
      </w:pPr>
      <w:r w:rsidRPr="00D02D64">
        <w:t>35.</w:t>
      </w:r>
      <w:r w:rsidRPr="00D02D64">
        <w:tab/>
        <w:t>Please</w:t>
      </w:r>
      <w:r>
        <w:t xml:space="preserve"> describe</w:t>
      </w:r>
      <w:r w:rsidRPr="00D02D64">
        <w:t xml:space="preserve"> the measures taken to ensure that statistical and analytical data on urgent actions are made public and shared with </w:t>
      </w:r>
      <w:r>
        <w:t>p</w:t>
      </w:r>
      <w:r w:rsidRPr="00D02D64">
        <w:t>arliament and the High Commission for Human Rights, and describe how lessons learned from urgent action cases have informed broader reforms in search processes, detention safeguards, victim protection and inter</w:t>
      </w:r>
      <w:r w:rsidR="00023A68">
        <w:noBreakHyphen/>
      </w:r>
      <w:r w:rsidRPr="00D02D64">
        <w:t>institutional coordination, including between federal and Kurdistan authorities (art. 30).</w:t>
      </w:r>
    </w:p>
    <w:p w14:paraId="5C0D0E9B" w14:textId="77777777" w:rsidR="00AC31A8" w:rsidRPr="00BD025B" w:rsidRDefault="00AC31A8" w:rsidP="00AC31A8">
      <w:pPr>
        <w:spacing w:before="240"/>
        <w:jc w:val="center"/>
      </w:pPr>
      <w:r w:rsidRPr="007D050C">
        <w:rPr>
          <w:u w:val="single"/>
          <w:lang w:val="en-US"/>
        </w:rPr>
        <w:tab/>
      </w:r>
      <w:r w:rsidRPr="007D050C">
        <w:rPr>
          <w:u w:val="single"/>
          <w:lang w:val="en-US"/>
        </w:rPr>
        <w:tab/>
      </w:r>
      <w:r w:rsidRPr="007D050C">
        <w:rPr>
          <w:u w:val="single"/>
          <w:lang w:val="en-US"/>
        </w:rPr>
        <w:tab/>
      </w:r>
    </w:p>
    <w:sectPr w:rsidR="00AC31A8" w:rsidRPr="00BD025B"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8A4CC" w14:textId="77777777" w:rsidR="00B5108E" w:rsidRPr="00557A78" w:rsidRDefault="00B5108E" w:rsidP="00557A78">
      <w:pPr>
        <w:pStyle w:val="Footer"/>
      </w:pPr>
    </w:p>
  </w:endnote>
  <w:endnote w:type="continuationSeparator" w:id="0">
    <w:p w14:paraId="0F9D6F1A" w14:textId="77777777" w:rsidR="00B5108E" w:rsidRPr="00557A78" w:rsidRDefault="00B5108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716F7" w14:textId="77777777" w:rsidR="00AC31A8" w:rsidRDefault="00AC31A8" w:rsidP="00AC31A8">
    <w:pPr>
      <w:pStyle w:val="Footer"/>
      <w:tabs>
        <w:tab w:val="right" w:pos="9638"/>
      </w:tabs>
    </w:pPr>
    <w:r w:rsidRPr="00AC31A8">
      <w:rPr>
        <w:b/>
        <w:bCs/>
        <w:sz w:val="18"/>
      </w:rPr>
      <w:fldChar w:fldCharType="begin"/>
    </w:r>
    <w:r w:rsidRPr="00AC31A8">
      <w:rPr>
        <w:b/>
        <w:bCs/>
        <w:sz w:val="18"/>
      </w:rPr>
      <w:instrText xml:space="preserve"> PAGE  \* MERGEFORMAT </w:instrText>
    </w:r>
    <w:r w:rsidRPr="00AC31A8">
      <w:rPr>
        <w:b/>
        <w:bCs/>
        <w:sz w:val="18"/>
      </w:rPr>
      <w:fldChar w:fldCharType="separate"/>
    </w:r>
    <w:r w:rsidRPr="00AC31A8">
      <w:rPr>
        <w:b/>
        <w:bCs/>
        <w:noProof/>
        <w:sz w:val="18"/>
      </w:rPr>
      <w:t>2</w:t>
    </w:r>
    <w:r w:rsidRPr="00AC31A8">
      <w:rPr>
        <w:b/>
        <w:bCs/>
        <w:sz w:val="18"/>
      </w:rPr>
      <w:fldChar w:fldCharType="end"/>
    </w:r>
    <w:r>
      <w:tab/>
      <w:t>GE.25-18497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6881E" w14:textId="77777777" w:rsidR="00AC31A8" w:rsidRDefault="00AC31A8" w:rsidP="00AC31A8">
    <w:pPr>
      <w:pStyle w:val="Footer"/>
      <w:tabs>
        <w:tab w:val="right" w:pos="9638"/>
      </w:tabs>
    </w:pPr>
    <w:r>
      <w:t>GE.25-18497</w:t>
    </w:r>
    <w:r>
      <w:tab/>
    </w:r>
    <w:r w:rsidRPr="00AC31A8">
      <w:rPr>
        <w:b/>
        <w:bCs/>
        <w:sz w:val="18"/>
      </w:rPr>
      <w:fldChar w:fldCharType="begin"/>
    </w:r>
    <w:r w:rsidRPr="00AC31A8">
      <w:rPr>
        <w:b/>
        <w:bCs/>
        <w:sz w:val="18"/>
      </w:rPr>
      <w:instrText xml:space="preserve"> PAGE  \* MERGEFORMAT </w:instrText>
    </w:r>
    <w:r w:rsidRPr="00AC31A8">
      <w:rPr>
        <w:b/>
        <w:bCs/>
        <w:sz w:val="18"/>
      </w:rPr>
      <w:fldChar w:fldCharType="separate"/>
    </w:r>
    <w:r w:rsidRPr="00AC31A8">
      <w:rPr>
        <w:b/>
        <w:bCs/>
        <w:noProof/>
        <w:sz w:val="18"/>
      </w:rPr>
      <w:t>3</w:t>
    </w:r>
    <w:r w:rsidRPr="00AC31A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0893B" w14:textId="77777777" w:rsidR="00AC6152" w:rsidRDefault="00AC6152">
    <w:pPr>
      <w:pStyle w:val="Footer"/>
      <w:rPr>
        <w:sz w:val="20"/>
        <w:lang w:val="fr-CH"/>
      </w:rPr>
    </w:pPr>
    <w:r w:rsidRPr="00AC6152">
      <w:rPr>
        <w:noProof/>
        <w:lang w:val="en-US"/>
      </w:rPr>
      <w:drawing>
        <wp:anchor distT="0" distB="0" distL="114300" distR="114300" simplePos="0" relativeHeight="251659264" behindDoc="1" locked="1" layoutInCell="1" allowOverlap="1" wp14:anchorId="48BCA038" wp14:editId="075B714B">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50D724D" w14:textId="4D0C8E72" w:rsidR="00AC31A8" w:rsidRPr="00AC31A8" w:rsidRDefault="00AC31A8" w:rsidP="00AC31A8">
    <w:pPr>
      <w:pStyle w:val="Footer"/>
      <w:tabs>
        <w:tab w:val="right" w:pos="7370"/>
      </w:tabs>
      <w:rPr>
        <w:sz w:val="20"/>
        <w:lang w:val="fr-CH"/>
      </w:rPr>
    </w:pPr>
    <w:r>
      <w:rPr>
        <w:sz w:val="20"/>
        <w:lang w:val="fr-CH"/>
      </w:rPr>
      <w:t>GE.25-18497  (E)</w:t>
    </w:r>
    <w:r>
      <w:rPr>
        <w:noProof/>
        <w:sz w:val="20"/>
        <w:lang w:val="fr-CH"/>
      </w:rPr>
      <w:drawing>
        <wp:anchor distT="0" distB="0" distL="114300" distR="114300" simplePos="0" relativeHeight="251660288" behindDoc="0" locked="0" layoutInCell="1" allowOverlap="1" wp14:anchorId="5A1601C4" wp14:editId="194EACE6">
          <wp:simplePos x="0" y="0"/>
          <wp:positionH relativeFrom="margin">
            <wp:posOffset>5583555</wp:posOffset>
          </wp:positionH>
          <wp:positionV relativeFrom="margin">
            <wp:posOffset>8981440</wp:posOffset>
          </wp:positionV>
          <wp:extent cx="571500" cy="571500"/>
          <wp:effectExtent l="0" t="0" r="0" b="0"/>
          <wp:wrapNone/>
          <wp:docPr id="483519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324AE">
      <w:rPr>
        <w:sz w:val="20"/>
        <w:lang w:val="fr-CH"/>
      </w:rPr>
      <w:t xml:space="preserve">    041225    041225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F615F" w14:textId="77777777" w:rsidR="00B5108E" w:rsidRPr="00557A78" w:rsidRDefault="00B5108E" w:rsidP="00557A78">
      <w:pPr>
        <w:tabs>
          <w:tab w:val="right" w:pos="2155"/>
        </w:tabs>
        <w:spacing w:after="80" w:line="240" w:lineRule="auto"/>
        <w:ind w:left="680"/>
      </w:pPr>
      <w:r>
        <w:rPr>
          <w:u w:val="single"/>
        </w:rPr>
        <w:tab/>
      </w:r>
    </w:p>
  </w:footnote>
  <w:footnote w:type="continuationSeparator" w:id="0">
    <w:p w14:paraId="2E8DFA06" w14:textId="77777777" w:rsidR="00B5108E" w:rsidRPr="00557A78" w:rsidRDefault="00B5108E" w:rsidP="00557A78">
      <w:pPr>
        <w:tabs>
          <w:tab w:val="right" w:pos="2155"/>
        </w:tabs>
        <w:spacing w:after="80" w:line="240" w:lineRule="auto"/>
        <w:ind w:left="680"/>
      </w:pPr>
      <w:r>
        <w:rPr>
          <w:u w:val="single"/>
        </w:rPr>
        <w:tab/>
      </w:r>
    </w:p>
  </w:footnote>
  <w:footnote w:id="1">
    <w:p w14:paraId="7BF63B9A" w14:textId="256CB816" w:rsidR="00AC31A8" w:rsidRPr="00E2322B" w:rsidRDefault="00AC31A8" w:rsidP="00AC31A8">
      <w:pPr>
        <w:pStyle w:val="FootnoteText"/>
        <w:rPr>
          <w:lang w:val="en-US"/>
        </w:rPr>
      </w:pPr>
      <w:r>
        <w:tab/>
      </w:r>
      <w:r w:rsidRPr="00E2322B">
        <w:rPr>
          <w:rStyle w:val="FootnoteReference"/>
        </w:rPr>
        <w:footnoteRef/>
      </w:r>
      <w:r>
        <w:tab/>
      </w:r>
      <w:hyperlink r:id="rId1" w:history="1">
        <w:r w:rsidRPr="00AC31A8">
          <w:rPr>
            <w:rStyle w:val="Hyperlink"/>
          </w:rPr>
          <w:t>CED/C/IRQ/AI/2</w:t>
        </w:r>
      </w:hyperlink>
      <w:r w:rsidRPr="00E2322B">
        <w:t>.</w:t>
      </w:r>
    </w:p>
  </w:footnote>
  <w:footnote w:id="2">
    <w:p w14:paraId="30598758" w14:textId="47FF92F7" w:rsidR="00AC31A8" w:rsidRPr="00791A6B" w:rsidRDefault="00AC31A8" w:rsidP="00AC31A8">
      <w:pPr>
        <w:pStyle w:val="FootnoteText"/>
        <w:ind w:hanging="567"/>
        <w:rPr>
          <w:rFonts w:ascii="Segoe UI" w:hAnsi="Segoe UI" w:cs="Segoe UI"/>
          <w:color w:val="000000"/>
          <w:szCs w:val="18"/>
        </w:rPr>
      </w:pPr>
      <w:r>
        <w:tab/>
      </w:r>
      <w:r>
        <w:rPr>
          <w:rStyle w:val="FootnoteReference"/>
        </w:rPr>
        <w:footnoteRef/>
      </w:r>
      <w:r>
        <w:t xml:space="preserve"> </w:t>
      </w:r>
      <w:r>
        <w:tab/>
      </w:r>
      <w:hyperlink r:id="rId2" w:history="1">
        <w:r w:rsidRPr="00AC31A8">
          <w:rPr>
            <w:rStyle w:val="Hyperlink"/>
          </w:rPr>
          <w:t>CED/C/IRQ/OVR/1</w:t>
        </w:r>
      </w:hyperlink>
      <w:r>
        <w:t>.</w:t>
      </w:r>
    </w:p>
  </w:footnote>
  <w:footnote w:id="3">
    <w:p w14:paraId="75AA134E" w14:textId="5E1C646D" w:rsidR="00AC31A8" w:rsidRPr="00276A20" w:rsidRDefault="00AC31A8" w:rsidP="00AC31A8">
      <w:pPr>
        <w:pStyle w:val="FootnoteText"/>
        <w:ind w:left="0" w:firstLine="0"/>
      </w:pPr>
      <w:r>
        <w:tab/>
      </w:r>
      <w:r>
        <w:rPr>
          <w:rStyle w:val="FootnoteReference"/>
        </w:rPr>
        <w:footnoteRef/>
      </w:r>
      <w:r>
        <w:t xml:space="preserve"> </w:t>
      </w:r>
      <w:r>
        <w:tab/>
      </w:r>
      <w:hyperlink r:id="rId3" w:history="1">
        <w:r w:rsidRPr="00AC31A8">
          <w:rPr>
            <w:rStyle w:val="Hyperlink"/>
          </w:rPr>
          <w:t>CED/C/IRQ/CO/1</w:t>
        </w:r>
      </w:hyperlink>
      <w:r w:rsidRPr="00B63075">
        <w:t>, para.</w:t>
      </w:r>
      <w:r w:rsidRPr="00B63075">
        <w:rPr>
          <w:rFonts w:ascii="Arial" w:hAnsi="Arial" w:cs="Arial"/>
        </w:rPr>
        <w:t> </w:t>
      </w:r>
      <w:r w:rsidRPr="00B63075">
        <w:t>14</w:t>
      </w:r>
      <w:r>
        <w:t>.</w:t>
      </w:r>
    </w:p>
  </w:footnote>
  <w:footnote w:id="4">
    <w:p w14:paraId="18B39D76" w14:textId="77777777" w:rsidR="00AC31A8" w:rsidRPr="00343327" w:rsidRDefault="00AC31A8" w:rsidP="00AC31A8">
      <w:pPr>
        <w:pStyle w:val="FootnoteText"/>
      </w:pPr>
      <w:r>
        <w:tab/>
      </w:r>
      <w:r>
        <w:rPr>
          <w:rStyle w:val="FootnoteReference"/>
        </w:rPr>
        <w:footnoteRef/>
      </w:r>
      <w:r>
        <w:t xml:space="preserve"> </w:t>
      </w:r>
      <w:r>
        <w:tab/>
        <w:t>The National Committee for Missing Persons includes persons, such as members of the Popular Mobilization Forces, who might be implicated in the crime of enforced disappearance. This could seriously undermine confidence in the work of the National Committee and discourage citizens from submitting complaints for fear of threats or reprisals.</w:t>
      </w:r>
    </w:p>
  </w:footnote>
  <w:footnote w:id="5">
    <w:p w14:paraId="3DAC70BD" w14:textId="35B54483" w:rsidR="00AC31A8" w:rsidRPr="00A64F4A" w:rsidRDefault="00AC31A8" w:rsidP="00AC31A8">
      <w:pPr>
        <w:pStyle w:val="FootnoteText"/>
        <w:rPr>
          <w:lang w:val="pt-PT"/>
        </w:rPr>
      </w:pPr>
      <w:r w:rsidRPr="005455A5">
        <w:tab/>
      </w:r>
      <w:r>
        <w:rPr>
          <w:rStyle w:val="FootnoteReference"/>
        </w:rPr>
        <w:footnoteRef/>
      </w:r>
      <w:r w:rsidRPr="00A64F4A">
        <w:rPr>
          <w:lang w:val="pt-PT"/>
        </w:rPr>
        <w:t xml:space="preserve"> </w:t>
      </w:r>
      <w:r w:rsidRPr="00A64F4A">
        <w:rPr>
          <w:lang w:val="pt-PT"/>
        </w:rPr>
        <w:tab/>
      </w:r>
      <w:hyperlink r:id="rId4" w:history="1">
        <w:r w:rsidRPr="00AC31A8">
          <w:rPr>
            <w:rStyle w:val="Hyperlink"/>
            <w:lang w:val="pt-PT"/>
          </w:rPr>
          <w:t>CED/C/IRQ/AI/2</w:t>
        </w:r>
      </w:hyperlink>
      <w:r w:rsidRPr="00A64F4A">
        <w:rPr>
          <w:lang w:val="pt-PT"/>
        </w:rPr>
        <w:t>, para.</w:t>
      </w:r>
      <w:r w:rsidRPr="00A64F4A">
        <w:rPr>
          <w:rFonts w:ascii="Arial" w:hAnsi="Arial" w:cs="Arial"/>
          <w:lang w:val="pt-PT"/>
        </w:rPr>
        <w:t> </w:t>
      </w:r>
      <w:r w:rsidRPr="00A64F4A">
        <w:rPr>
          <w:lang w:val="pt-PT"/>
        </w:rPr>
        <w:t>143</w:t>
      </w:r>
      <w:r>
        <w:rPr>
          <w:lang w:val="pt-PT"/>
        </w:rPr>
        <w:t>.</w:t>
      </w:r>
    </w:p>
  </w:footnote>
  <w:footnote w:id="6">
    <w:p w14:paraId="1B6DD755" w14:textId="74D4F1BD" w:rsidR="00AC31A8" w:rsidRPr="00A64F4A" w:rsidRDefault="00AC31A8" w:rsidP="00AC31A8">
      <w:pPr>
        <w:pStyle w:val="FootnoteText"/>
        <w:rPr>
          <w:lang w:val="pt-PT"/>
        </w:rPr>
      </w:pPr>
      <w:r w:rsidRPr="00A64F4A">
        <w:rPr>
          <w:lang w:val="pt-PT"/>
        </w:rPr>
        <w:tab/>
      </w:r>
      <w:r>
        <w:rPr>
          <w:rStyle w:val="FootnoteReference"/>
        </w:rPr>
        <w:footnoteRef/>
      </w:r>
      <w:r w:rsidRPr="00A64F4A">
        <w:rPr>
          <w:lang w:val="pt-PT"/>
        </w:rPr>
        <w:t xml:space="preserve"> </w:t>
      </w:r>
      <w:r w:rsidRPr="00A64F4A">
        <w:rPr>
          <w:lang w:val="pt-PT"/>
        </w:rPr>
        <w:tab/>
      </w:r>
      <w:hyperlink r:id="rId5" w:history="1">
        <w:r w:rsidRPr="00AC31A8">
          <w:rPr>
            <w:rStyle w:val="Hyperlink"/>
            <w:lang w:val="pt-PT"/>
          </w:rPr>
          <w:t>CED/C/IRQ/CO/1</w:t>
        </w:r>
      </w:hyperlink>
      <w:r w:rsidRPr="00A64F4A">
        <w:rPr>
          <w:lang w:val="pt-PT"/>
        </w:rPr>
        <w:t xml:space="preserve">, para. 29 (d) and (e); </w:t>
      </w:r>
      <w:hyperlink r:id="rId6" w:history="1">
        <w:r w:rsidRPr="00AC31A8">
          <w:rPr>
            <w:rStyle w:val="Hyperlink"/>
            <w:lang w:val="pt-PT"/>
          </w:rPr>
          <w:t>CED/C/IRQ/OAI/1</w:t>
        </w:r>
      </w:hyperlink>
      <w:r w:rsidRPr="00A64F4A">
        <w:rPr>
          <w:lang w:val="pt-PT"/>
        </w:rPr>
        <w:t xml:space="preserve">, para. 21; and </w:t>
      </w:r>
      <w:hyperlink r:id="rId7" w:history="1">
        <w:r w:rsidRPr="00706A87">
          <w:rPr>
            <w:rStyle w:val="Hyperlink"/>
            <w:lang w:val="pt-PT"/>
          </w:rPr>
          <w:t>CED/C/IRQ/VR/1 (Recommendations)</w:t>
        </w:r>
      </w:hyperlink>
      <w:r w:rsidRPr="00A64F4A">
        <w:rPr>
          <w:lang w:val="pt-PT"/>
        </w:rPr>
        <w:t>, paras. 56–79.</w:t>
      </w:r>
    </w:p>
  </w:footnote>
  <w:footnote w:id="7">
    <w:p w14:paraId="5FEA9518" w14:textId="0F8EC0AF" w:rsidR="00AC31A8" w:rsidRPr="00A35FAD" w:rsidRDefault="00AC31A8" w:rsidP="00AC31A8">
      <w:pPr>
        <w:pStyle w:val="FootnoteText"/>
      </w:pPr>
      <w:r w:rsidRPr="00A64F4A">
        <w:rPr>
          <w:lang w:val="pt-PT"/>
        </w:rPr>
        <w:tab/>
      </w:r>
      <w:r>
        <w:rPr>
          <w:rStyle w:val="FootnoteReference"/>
        </w:rPr>
        <w:footnoteRef/>
      </w:r>
      <w:r w:rsidRPr="00A64F4A">
        <w:rPr>
          <w:lang w:val="pt-PT"/>
        </w:rPr>
        <w:t xml:space="preserve"> </w:t>
      </w:r>
      <w:r w:rsidRPr="00A64F4A">
        <w:rPr>
          <w:lang w:val="pt-PT"/>
        </w:rPr>
        <w:tab/>
      </w:r>
      <w:r w:rsidRPr="00A64F4A">
        <w:rPr>
          <w:lang w:val="pt-PT"/>
        </w:rPr>
        <w:t xml:space="preserve">See </w:t>
      </w:r>
      <w:hyperlink r:id="rId8" w:history="1">
        <w:r w:rsidRPr="00AC31A8">
          <w:rPr>
            <w:rStyle w:val="Hyperlink"/>
            <w:lang w:val="pt-PT"/>
          </w:rPr>
          <w:t>CED/C/IRQ/OAI/1</w:t>
        </w:r>
      </w:hyperlink>
      <w:r w:rsidRPr="00A64F4A">
        <w:rPr>
          <w:lang w:val="pt-PT"/>
        </w:rPr>
        <w:t xml:space="preserve">, paras. 16 and 17; and </w:t>
      </w:r>
      <w:hyperlink r:id="rId9" w:history="1">
        <w:r w:rsidRPr="00706A87">
          <w:rPr>
            <w:rStyle w:val="Hyperlink"/>
            <w:lang w:val="pt-PT"/>
          </w:rPr>
          <w:t>CED/C/IRQ/VR/1 (Recommendations)</w:t>
        </w:r>
      </w:hyperlink>
      <w:r w:rsidRPr="00A64F4A">
        <w:rPr>
          <w:lang w:val="pt-PT"/>
        </w:rPr>
        <w:t xml:space="preserve">, paras. </w:t>
      </w:r>
      <w:r>
        <w:t>64 and 80–83.</w:t>
      </w:r>
    </w:p>
  </w:footnote>
  <w:footnote w:id="8">
    <w:p w14:paraId="4566A2EB" w14:textId="62C425D2" w:rsidR="00AC31A8" w:rsidRPr="00791A6B" w:rsidRDefault="00AC31A8" w:rsidP="00AC31A8">
      <w:pPr>
        <w:pStyle w:val="FootnoteText"/>
      </w:pPr>
      <w:r>
        <w:tab/>
      </w:r>
      <w:r>
        <w:rPr>
          <w:rStyle w:val="FootnoteReference"/>
        </w:rPr>
        <w:footnoteRef/>
      </w:r>
      <w:r w:rsidRPr="00791A6B">
        <w:t xml:space="preserve"> </w:t>
      </w:r>
      <w:r>
        <w:tab/>
      </w:r>
      <w:r>
        <w:tab/>
      </w:r>
      <w:hyperlink r:id="rId10" w:history="1">
        <w:r w:rsidRPr="00AC31A8">
          <w:rPr>
            <w:rStyle w:val="Hyperlink"/>
          </w:rPr>
          <w:t>CED/C/IRQ/OAI/1</w:t>
        </w:r>
      </w:hyperlink>
      <w:r>
        <w:t xml:space="preserve"> and</w:t>
      </w:r>
      <w:r w:rsidRPr="00791A6B">
        <w:t xml:space="preserve"> </w:t>
      </w:r>
      <w:hyperlink r:id="rId11" w:history="1">
        <w:r w:rsidRPr="00706A87">
          <w:rPr>
            <w:rStyle w:val="Hyperlink"/>
          </w:rPr>
          <w:t>CED/C/IRQ/VR/1 (Recommendations)</w:t>
        </w:r>
      </w:hyperlink>
      <w:r w:rsidRPr="00791A6B">
        <w:t>, para. 118</w:t>
      </w:r>
      <w:r>
        <w:t>.</w:t>
      </w:r>
    </w:p>
  </w:footnote>
  <w:footnote w:id="9">
    <w:p w14:paraId="0D84EC1D" w14:textId="0FEC9A1E" w:rsidR="00AC31A8" w:rsidRPr="00E571C3" w:rsidRDefault="00AC31A8" w:rsidP="00AC31A8">
      <w:pPr>
        <w:pStyle w:val="FootnoteText"/>
      </w:pPr>
      <w:r>
        <w:tab/>
      </w:r>
      <w:r>
        <w:rPr>
          <w:rStyle w:val="FootnoteReference"/>
        </w:rPr>
        <w:footnoteRef/>
      </w:r>
      <w:r w:rsidRPr="00791A6B">
        <w:t xml:space="preserve"> </w:t>
      </w:r>
      <w:r>
        <w:tab/>
      </w:r>
      <w:hyperlink r:id="rId12" w:history="1">
        <w:r w:rsidRPr="00E3549B">
          <w:rPr>
            <w:rStyle w:val="Hyperlink"/>
            <w:bCs/>
          </w:rPr>
          <w:t>CED/C/IRQ/VR</w:t>
        </w:r>
        <w:r w:rsidRPr="00E3549B">
          <w:rPr>
            <w:rStyle w:val="Hyperlink"/>
            <w:bCs/>
          </w:rPr>
          <w:t>/</w:t>
        </w:r>
        <w:r w:rsidRPr="00E3549B">
          <w:rPr>
            <w:rStyle w:val="Hyperlink"/>
            <w:bCs/>
          </w:rPr>
          <w:t>1</w:t>
        </w:r>
      </w:hyperlink>
      <w:r w:rsidRPr="00791A6B">
        <w:rPr>
          <w:bCs/>
        </w:rPr>
        <w:t xml:space="preserve"> </w:t>
      </w:r>
      <w:r w:rsidRPr="00E3549B">
        <w:rPr>
          <w:rStyle w:val="Hyperlink"/>
        </w:rPr>
        <w:t>(Recommendations)</w:t>
      </w:r>
      <w:r w:rsidRPr="00791A6B">
        <w:rPr>
          <w:bCs/>
        </w:rPr>
        <w:t xml:space="preserve">, para. </w:t>
      </w:r>
      <w:r>
        <w:rPr>
          <w:bCs/>
          <w:lang w:val="fr-FR"/>
        </w:rPr>
        <w:t>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AFE5F" w14:textId="77777777" w:rsidR="00AC31A8" w:rsidRDefault="00AC31A8" w:rsidP="00AC31A8">
    <w:pPr>
      <w:pStyle w:val="Header"/>
    </w:pPr>
    <w:r>
      <w:t>CED/C/IRQ/Q/AI/2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41059" w14:textId="77777777" w:rsidR="00AC31A8" w:rsidRDefault="00AC31A8" w:rsidP="00AC31A8">
    <w:pPr>
      <w:pStyle w:val="Header"/>
      <w:jc w:val="right"/>
    </w:pPr>
    <w:r>
      <w:t>CED/C/IRQ/Q/AI/2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08E"/>
    <w:rsid w:val="00023A68"/>
    <w:rsid w:val="00030C37"/>
    <w:rsid w:val="00046E92"/>
    <w:rsid w:val="000C00CB"/>
    <w:rsid w:val="00101D40"/>
    <w:rsid w:val="00170237"/>
    <w:rsid w:val="00235203"/>
    <w:rsid w:val="00247E2C"/>
    <w:rsid w:val="002D6C53"/>
    <w:rsid w:val="002F5595"/>
    <w:rsid w:val="00334F6A"/>
    <w:rsid w:val="00342AC8"/>
    <w:rsid w:val="003B4550"/>
    <w:rsid w:val="003F5B30"/>
    <w:rsid w:val="00461253"/>
    <w:rsid w:val="005042C2"/>
    <w:rsid w:val="00557A78"/>
    <w:rsid w:val="005F2E0B"/>
    <w:rsid w:val="00671529"/>
    <w:rsid w:val="00706A87"/>
    <w:rsid w:val="007268F9"/>
    <w:rsid w:val="007A1A8A"/>
    <w:rsid w:val="007C52B0"/>
    <w:rsid w:val="008359DD"/>
    <w:rsid w:val="008C49F2"/>
    <w:rsid w:val="009411B4"/>
    <w:rsid w:val="009723F0"/>
    <w:rsid w:val="009D0139"/>
    <w:rsid w:val="009F5CDC"/>
    <w:rsid w:val="00A126AC"/>
    <w:rsid w:val="00A707A8"/>
    <w:rsid w:val="00A775CF"/>
    <w:rsid w:val="00AC31A8"/>
    <w:rsid w:val="00AC6152"/>
    <w:rsid w:val="00B06045"/>
    <w:rsid w:val="00B5108E"/>
    <w:rsid w:val="00BB53F9"/>
    <w:rsid w:val="00C04B66"/>
    <w:rsid w:val="00C35A27"/>
    <w:rsid w:val="00C920FA"/>
    <w:rsid w:val="00CF0089"/>
    <w:rsid w:val="00D324AE"/>
    <w:rsid w:val="00D65FAC"/>
    <w:rsid w:val="00D83274"/>
    <w:rsid w:val="00DF0090"/>
    <w:rsid w:val="00DF2F5D"/>
    <w:rsid w:val="00DF6D18"/>
    <w:rsid w:val="00E02C2B"/>
    <w:rsid w:val="00E3549B"/>
    <w:rsid w:val="00E94B77"/>
    <w:rsid w:val="00ED6C48"/>
    <w:rsid w:val="00EF0C90"/>
    <w:rsid w:val="00F0496E"/>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B4FCF"/>
  <w15:docId w15:val="{B0FCC196-E4C3-4FCA-9EF2-A68174433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AC31A8"/>
    <w:rPr>
      <w:color w:val="0000FF"/>
      <w:u w:val="none"/>
    </w:rPr>
  </w:style>
  <w:style w:type="character" w:styleId="FollowedHyperlink">
    <w:name w:val="FollowedHyperlink"/>
    <w:basedOn w:val="DefaultParagraphFont"/>
    <w:uiPriority w:val="99"/>
    <w:semiHidden/>
    <w:unhideWhenUsed/>
    <w:rsid w:val="00AC31A8"/>
    <w:rPr>
      <w:color w:val="0000FF"/>
      <w:u w:val="single"/>
    </w:rPr>
  </w:style>
  <w:style w:type="character" w:styleId="UnresolvedMention">
    <w:name w:val="Unresolved Mention"/>
    <w:basedOn w:val="DefaultParagraphFont"/>
    <w:uiPriority w:val="99"/>
    <w:semiHidden/>
    <w:unhideWhenUsed/>
    <w:rsid w:val="00AC31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IRQ/OAI/1" TargetMode="External"/><Relationship Id="rId3" Type="http://schemas.openxmlformats.org/officeDocument/2006/relationships/hyperlink" Target="http://undocs.org/en/CED/C/IRQ/CO/1" TargetMode="External"/><Relationship Id="rId7" Type="http://schemas.openxmlformats.org/officeDocument/2006/relationships/hyperlink" Target="http://undocs.org/en/CED/C/IRQ/VR/1(Recommendations)" TargetMode="External"/><Relationship Id="rId12" Type="http://schemas.openxmlformats.org/officeDocument/2006/relationships/hyperlink" Target="http://undocs.org/en/CED/C/IRQ/VR/1(Recommendations)" TargetMode="External"/><Relationship Id="rId2" Type="http://schemas.openxmlformats.org/officeDocument/2006/relationships/hyperlink" Target="http://undocs.org/en/CED/C/IRQ/OVR/1" TargetMode="External"/><Relationship Id="rId1" Type="http://schemas.openxmlformats.org/officeDocument/2006/relationships/hyperlink" Target="http://undocs.org/en/CED/C/IRQ/AI/2" TargetMode="External"/><Relationship Id="rId6" Type="http://schemas.openxmlformats.org/officeDocument/2006/relationships/hyperlink" Target="http://undocs.org/en/CED/C/IRQ/OAI/1" TargetMode="External"/><Relationship Id="rId11" Type="http://schemas.openxmlformats.org/officeDocument/2006/relationships/hyperlink" Target="http://undocs.org/en/CED/C/IRQ/VR/1(Recommendations)" TargetMode="External"/><Relationship Id="rId5" Type="http://schemas.openxmlformats.org/officeDocument/2006/relationships/hyperlink" Target="http://undocs.org/en/CED/C/IRQ/CO/1" TargetMode="External"/><Relationship Id="rId10" Type="http://schemas.openxmlformats.org/officeDocument/2006/relationships/hyperlink" Target="http://undocs.org/en/CED/C/IRQ/OAI/1" TargetMode="External"/><Relationship Id="rId4" Type="http://schemas.openxmlformats.org/officeDocument/2006/relationships/hyperlink" Target="http://undocs.org/en/CED/C/IRQ/AI/2" TargetMode="External"/><Relationship Id="rId9" Type="http://schemas.openxmlformats.org/officeDocument/2006/relationships/hyperlink" Target="http://undocs.org/en/CED/C/IRQ/VR/1(Recommend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5</Pages>
  <Words>2422</Words>
  <Characters>13522</Characters>
  <Application>Microsoft Office Word</Application>
  <DocSecurity>0</DocSecurity>
  <Lines>216</Lines>
  <Paragraphs>57</Paragraphs>
  <ScaleCrop>false</ScaleCrop>
  <HeadingPairs>
    <vt:vector size="2" baseType="variant">
      <vt:variant>
        <vt:lpstr>Title</vt:lpstr>
      </vt:variant>
      <vt:variant>
        <vt:i4>1</vt:i4>
      </vt:variant>
    </vt:vector>
  </HeadingPairs>
  <TitlesOfParts>
    <vt:vector size="1" baseType="lpstr">
      <vt:lpstr>CED/C/IRQ/Q/AI/2</vt:lpstr>
    </vt:vector>
  </TitlesOfParts>
  <Company>DCM</Company>
  <LinksUpToDate>false</LinksUpToDate>
  <CharactersWithSpaces>15906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CED/C/IRQ/Q/AI/2</dc:title>
  <dc:subject>2518497</dc:subject>
  <dc:creator>cg</dc:creator>
  <cp:keywords/>
  <dc:description/>
  <cp:lastModifiedBy>Anni Vi Tirol</cp:lastModifiedBy>
  <cp:revision>3</cp:revision>
  <cp:lastPrinted>2025-12-04T12:12:00Z</cp:lastPrinted>
  <dcterms:created xsi:type="dcterms:W3CDTF">2025-12-04T12:12:00Z</dcterms:created>
  <dcterms:modified xsi:type="dcterms:W3CDTF">2025-12-04T12:13:00Z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