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r>
        <w:t>2003</w:t>
      </w:r>
      <w:r>
        <w:rPr>
          <w:rFonts w:hint="eastAsia"/>
        </w:rPr>
        <w:t>年实质性会议</w:t>
      </w:r>
    </w:p>
    <w:p w:rsidR="00000000" w:rsidRDefault="00000000">
      <w:pPr>
        <w:spacing w:after="320"/>
      </w:pPr>
    </w:p>
    <w:p w:rsidR="00000000" w:rsidRDefault="00000000">
      <w:pPr>
        <w:pStyle w:val="Heading2"/>
        <w:rPr>
          <w:rFonts w:hint="eastAsia"/>
        </w:rPr>
      </w:pPr>
      <w:r>
        <w:rPr>
          <w:rFonts w:hint="eastAsia"/>
        </w:rPr>
        <w:t>《经济、社会、文化权利国际公约》的执行情况</w:t>
      </w:r>
    </w:p>
    <w:p w:rsidR="00000000" w:rsidRDefault="00000000">
      <w:pPr>
        <w:pStyle w:val="Heading3"/>
        <w:rPr>
          <w:rFonts w:hint="eastAsia"/>
        </w:rPr>
      </w:pPr>
      <w:r>
        <w:rPr>
          <w:rFonts w:hint="eastAsia"/>
        </w:rPr>
        <w:t>缔约国根据《公约》第</w:t>
      </w:r>
      <w:r>
        <w:rPr>
          <w:rFonts w:hint="eastAsia"/>
        </w:rPr>
        <w:t>16</w:t>
      </w:r>
      <w:r>
        <w:rPr>
          <w:rFonts w:hint="eastAsia"/>
        </w:rPr>
        <w:t>和第</w:t>
      </w:r>
      <w:r>
        <w:rPr>
          <w:rFonts w:hint="eastAsia"/>
        </w:rPr>
        <w:t>17</w:t>
      </w:r>
      <w:r>
        <w:rPr>
          <w:rFonts w:hint="eastAsia"/>
        </w:rPr>
        <w:t>条提交的</w:t>
      </w:r>
      <w:r>
        <w:br/>
      </w:r>
      <w:r>
        <w:rPr>
          <w:rFonts w:hint="eastAsia"/>
        </w:rPr>
        <w:t>第四次定期报告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2"/>
        <w:rPr>
          <w:bCs/>
        </w:rPr>
      </w:pPr>
      <w:r>
        <w:rPr>
          <w:rFonts w:hint="eastAsia"/>
        </w:rPr>
        <w:t>意</w:t>
      </w:r>
      <w:r>
        <w:rPr>
          <w:rFonts w:hint="eastAsia"/>
        </w:rPr>
        <w:t xml:space="preserve"> </w:t>
      </w:r>
      <w:r>
        <w:rPr>
          <w:rFonts w:hint="eastAsia"/>
        </w:rPr>
        <w:t>大</w:t>
      </w:r>
      <w:r>
        <w:rPr>
          <w:rFonts w:hint="eastAsia"/>
        </w:rPr>
        <w:t xml:space="preserve"> </w:t>
      </w:r>
      <w:r>
        <w:rPr>
          <w:rFonts w:hint="eastAsia"/>
        </w:rPr>
        <w:t>利</w:t>
      </w:r>
      <w:r>
        <w:rPr>
          <w:rStyle w:val="FootnoteReference"/>
          <w:b w:val="0"/>
          <w:bCs/>
          <w:vertAlign w:val="baseline"/>
        </w:rPr>
        <w:footnoteReference w:customMarkFollows="1" w:id="1"/>
        <w:t>*</w:t>
      </w:r>
    </w:p>
    <w:p w:rsidR="00000000" w:rsidRDefault="00000000">
      <w:pPr>
        <w:pStyle w:val="12cm"/>
        <w:rPr>
          <w:rFonts w:hint="eastAsia"/>
        </w:rPr>
      </w:pPr>
      <w:r>
        <w:t>[2003</w:t>
      </w:r>
      <w:r>
        <w:rPr>
          <w:rFonts w:hint="eastAsia"/>
        </w:rPr>
        <w:t>年</w:t>
      </w:r>
      <w:r>
        <w:rPr>
          <w:rFonts w:hint="eastAsia"/>
        </w:rPr>
        <w:t>4</w:t>
      </w:r>
      <w:r>
        <w:rPr>
          <w:rFonts w:hint="eastAsia"/>
        </w:rPr>
        <w:t>月</w:t>
      </w:r>
      <w:r>
        <w:rPr>
          <w:rFonts w:hint="eastAsia"/>
        </w:rPr>
        <w:t>23</w:t>
      </w:r>
      <w:r>
        <w:rPr>
          <w:rFonts w:hint="eastAsia"/>
        </w:rPr>
        <w:t>日</w:t>
      </w:r>
      <w:r>
        <w:rPr>
          <w:rFonts w:hint="eastAsia"/>
        </w:rPr>
        <w:t>]</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spacing w:line="312" w:lineRule="auto"/>
        <w:rPr>
          <w:rFonts w:hint="eastAsia"/>
        </w:rPr>
      </w:pPr>
      <w:r>
        <w:rPr>
          <w:rFonts w:hint="eastAsia"/>
        </w:rPr>
        <w:t>导</w:t>
      </w:r>
      <w:r>
        <w:rPr>
          <w:rFonts w:hint="eastAsia"/>
        </w:rPr>
        <w:t xml:space="preserve">  </w:t>
      </w:r>
      <w:r>
        <w:rPr>
          <w:rFonts w:hint="eastAsia"/>
        </w:rPr>
        <w:t>言</w:t>
      </w:r>
      <w:r>
        <w:rPr>
          <w:rFonts w:hint="eastAsia"/>
        </w:rPr>
        <w:t>................................</w:t>
      </w:r>
      <w:r>
        <w:rPr>
          <w:rFonts w:hint="eastAsia"/>
        </w:rPr>
        <w:tab/>
      </w:r>
      <w:r>
        <w:rPr>
          <w:rFonts w:hint="eastAsia"/>
        </w:rPr>
        <w:tab/>
        <w:t>1</w:t>
      </w:r>
      <w:r>
        <w:rPr>
          <w:rFonts w:hint="eastAsia"/>
        </w:rPr>
        <w:tab/>
        <w:t>-</w:t>
      </w:r>
      <w:r>
        <w:rPr>
          <w:rFonts w:hint="eastAsia"/>
        </w:rPr>
        <w:tab/>
        <w:t>27</w:t>
      </w:r>
      <w:r>
        <w:rPr>
          <w:rFonts w:hint="eastAsia"/>
        </w:rPr>
        <w:tab/>
        <w:t>3</w:t>
      </w:r>
    </w:p>
    <w:p w:rsidR="00000000" w:rsidRDefault="00000000">
      <w:pPr>
        <w:pStyle w:val="a9"/>
        <w:spacing w:line="312" w:lineRule="auto"/>
        <w:rPr>
          <w:rFonts w:hint="eastAsia"/>
        </w:rPr>
      </w:pPr>
      <w:r>
        <w:rPr>
          <w:rFonts w:hint="eastAsia"/>
        </w:rPr>
        <w:tab/>
        <w:t>A.</w:t>
      </w:r>
      <w:r>
        <w:tab/>
      </w:r>
      <w:r>
        <w:rPr>
          <w:rFonts w:hint="eastAsia"/>
        </w:rPr>
        <w:t>本报告的编写</w:t>
      </w:r>
      <w:r>
        <w:rPr>
          <w:rFonts w:hint="eastAsia"/>
        </w:rPr>
        <w:tab/>
      </w:r>
      <w:r>
        <w:rPr>
          <w:rFonts w:hint="eastAsia"/>
        </w:rPr>
        <w:tab/>
        <w:t>1</w:t>
      </w:r>
      <w:r>
        <w:rPr>
          <w:rFonts w:hint="eastAsia"/>
        </w:rPr>
        <w:tab/>
        <w:t>-</w:t>
      </w:r>
      <w:r>
        <w:rPr>
          <w:rFonts w:hint="eastAsia"/>
        </w:rPr>
        <w:tab/>
        <w:t>3</w:t>
      </w:r>
      <w:r>
        <w:rPr>
          <w:rFonts w:hint="eastAsia"/>
        </w:rPr>
        <w:tab/>
        <w:t>3</w:t>
      </w:r>
    </w:p>
    <w:p w:rsidR="00000000" w:rsidRDefault="00000000">
      <w:pPr>
        <w:pStyle w:val="a9"/>
        <w:spacing w:line="312" w:lineRule="auto"/>
        <w:rPr>
          <w:rFonts w:hint="eastAsia"/>
        </w:rPr>
      </w:pPr>
      <w:r>
        <w:rPr>
          <w:rFonts w:hint="eastAsia"/>
        </w:rPr>
        <w:tab/>
        <w:t>B.</w:t>
      </w:r>
      <w:r>
        <w:tab/>
      </w:r>
      <w:r>
        <w:rPr>
          <w:rFonts w:hint="eastAsia"/>
        </w:rPr>
        <w:t>政治框架</w:t>
      </w:r>
      <w:r>
        <w:rPr>
          <w:rFonts w:hint="eastAsia"/>
        </w:rPr>
        <w:t>.............</w:t>
      </w:r>
      <w:r>
        <w:rPr>
          <w:rFonts w:hint="eastAsia"/>
        </w:rPr>
        <w:tab/>
      </w:r>
      <w:r>
        <w:rPr>
          <w:rFonts w:hint="eastAsia"/>
        </w:rPr>
        <w:tab/>
        <w:t>4</w:t>
      </w:r>
      <w:r>
        <w:rPr>
          <w:rFonts w:hint="eastAsia"/>
        </w:rPr>
        <w:tab/>
        <w:t>-</w:t>
      </w:r>
      <w:r>
        <w:rPr>
          <w:rFonts w:hint="eastAsia"/>
        </w:rPr>
        <w:tab/>
        <w:t>13</w:t>
      </w:r>
      <w:r>
        <w:rPr>
          <w:rFonts w:hint="eastAsia"/>
        </w:rPr>
        <w:tab/>
        <w:t>3</w:t>
      </w:r>
    </w:p>
    <w:p w:rsidR="00000000" w:rsidRDefault="00000000">
      <w:pPr>
        <w:pStyle w:val="a9"/>
        <w:spacing w:line="312" w:lineRule="auto"/>
        <w:rPr>
          <w:rFonts w:hint="eastAsia"/>
        </w:rPr>
      </w:pPr>
      <w:r>
        <w:rPr>
          <w:rFonts w:hint="eastAsia"/>
        </w:rPr>
        <w:tab/>
        <w:t>C.</w:t>
      </w:r>
      <w:r>
        <w:tab/>
      </w:r>
      <w:r>
        <w:rPr>
          <w:rFonts w:hint="eastAsia"/>
        </w:rPr>
        <w:t>总政策方针中最重要的内容</w:t>
      </w:r>
      <w:r>
        <w:rPr>
          <w:rFonts w:hint="eastAsia"/>
        </w:rPr>
        <w:tab/>
      </w:r>
      <w:r>
        <w:rPr>
          <w:rFonts w:hint="eastAsia"/>
        </w:rPr>
        <w:tab/>
        <w:t>14</w:t>
      </w:r>
      <w:r>
        <w:rPr>
          <w:rFonts w:hint="eastAsia"/>
        </w:rPr>
        <w:tab/>
        <w:t>-</w:t>
      </w:r>
      <w:r>
        <w:rPr>
          <w:rFonts w:hint="eastAsia"/>
        </w:rPr>
        <w:tab/>
        <w:t>24</w:t>
      </w:r>
      <w:r>
        <w:rPr>
          <w:rFonts w:hint="eastAsia"/>
        </w:rPr>
        <w:tab/>
        <w:t>5</w:t>
      </w:r>
    </w:p>
    <w:p w:rsidR="00000000" w:rsidRDefault="00000000">
      <w:pPr>
        <w:pStyle w:val="a9"/>
        <w:spacing w:line="312" w:lineRule="auto"/>
        <w:rPr>
          <w:rFonts w:hint="eastAsia"/>
        </w:rPr>
      </w:pPr>
      <w:r>
        <w:rPr>
          <w:rFonts w:hint="eastAsia"/>
        </w:rPr>
        <w:tab/>
        <w:t>D.</w:t>
      </w:r>
      <w:r>
        <w:tab/>
      </w:r>
      <w:r>
        <w:rPr>
          <w:rFonts w:hint="eastAsia"/>
        </w:rPr>
        <w:t>人口变化情况</w:t>
      </w:r>
      <w:r>
        <w:rPr>
          <w:rFonts w:hint="eastAsia"/>
        </w:rPr>
        <w:tab/>
      </w:r>
      <w:r>
        <w:rPr>
          <w:rFonts w:hint="eastAsia"/>
        </w:rPr>
        <w:tab/>
      </w:r>
      <w:r>
        <w:rPr>
          <w:rFonts w:hint="eastAsia"/>
        </w:rPr>
        <w:tab/>
        <w:t>25</w:t>
      </w:r>
      <w:r>
        <w:rPr>
          <w:rFonts w:hint="eastAsia"/>
        </w:rPr>
        <w:tab/>
      </w:r>
      <w:r>
        <w:rPr>
          <w:rFonts w:hint="eastAsia"/>
        </w:rPr>
        <w:tab/>
        <w:t>9</w:t>
      </w:r>
    </w:p>
    <w:p w:rsidR="00000000" w:rsidRDefault="00000000">
      <w:pPr>
        <w:pStyle w:val="a9"/>
        <w:spacing w:line="312" w:lineRule="auto"/>
        <w:rPr>
          <w:rFonts w:hint="eastAsia"/>
        </w:rPr>
      </w:pPr>
      <w:r>
        <w:rPr>
          <w:rFonts w:hint="eastAsia"/>
        </w:rPr>
        <w:tab/>
        <w:t>E.</w:t>
      </w:r>
      <w:r>
        <w:tab/>
      </w:r>
      <w:r>
        <w:rPr>
          <w:rFonts w:hint="eastAsia"/>
        </w:rPr>
        <w:t>就</w:t>
      </w:r>
      <w:r>
        <w:rPr>
          <w:rFonts w:hint="eastAsia"/>
        </w:rPr>
        <w:t xml:space="preserve">  </w:t>
      </w:r>
      <w:r>
        <w:rPr>
          <w:rFonts w:hint="eastAsia"/>
        </w:rPr>
        <w:t>业</w:t>
      </w:r>
      <w:r>
        <w:rPr>
          <w:rFonts w:hint="eastAsia"/>
        </w:rPr>
        <w:t>......................</w:t>
      </w:r>
      <w:r>
        <w:rPr>
          <w:rFonts w:hint="eastAsia"/>
        </w:rPr>
        <w:tab/>
      </w:r>
      <w:r>
        <w:rPr>
          <w:rFonts w:hint="eastAsia"/>
        </w:rPr>
        <w:tab/>
      </w:r>
      <w:r>
        <w:rPr>
          <w:rFonts w:hint="eastAsia"/>
        </w:rPr>
        <w:tab/>
        <w:t>26</w:t>
      </w:r>
      <w:r>
        <w:rPr>
          <w:rFonts w:hint="eastAsia"/>
        </w:rPr>
        <w:tab/>
      </w:r>
      <w:r>
        <w:rPr>
          <w:rFonts w:hint="eastAsia"/>
        </w:rPr>
        <w:tab/>
        <w:t>9</w:t>
      </w:r>
    </w:p>
    <w:p w:rsidR="00000000" w:rsidRDefault="00000000">
      <w:pPr>
        <w:pStyle w:val="a9"/>
        <w:spacing w:line="312" w:lineRule="auto"/>
        <w:rPr>
          <w:rFonts w:hint="eastAsia"/>
        </w:rPr>
      </w:pPr>
      <w:r>
        <w:rPr>
          <w:rFonts w:hint="eastAsia"/>
        </w:rPr>
        <w:tab/>
        <w:t>F.</w:t>
      </w:r>
      <w:r>
        <w:tab/>
      </w:r>
      <w:r>
        <w:rPr>
          <w:rFonts w:hint="eastAsia"/>
        </w:rPr>
        <w:t>教</w:t>
      </w:r>
      <w:r>
        <w:rPr>
          <w:rFonts w:hint="eastAsia"/>
        </w:rPr>
        <w:t xml:space="preserve">  </w:t>
      </w:r>
      <w:r>
        <w:rPr>
          <w:rFonts w:hint="eastAsia"/>
        </w:rPr>
        <w:t>育</w:t>
      </w:r>
      <w:r>
        <w:rPr>
          <w:rFonts w:hint="eastAsia"/>
        </w:rPr>
        <w:t>.......................</w:t>
      </w:r>
      <w:r>
        <w:rPr>
          <w:rFonts w:hint="eastAsia"/>
        </w:rPr>
        <w:tab/>
      </w:r>
      <w:r>
        <w:rPr>
          <w:rFonts w:hint="eastAsia"/>
        </w:rPr>
        <w:tab/>
      </w:r>
      <w:r>
        <w:rPr>
          <w:rFonts w:hint="eastAsia"/>
        </w:rPr>
        <w:tab/>
        <w:t>27</w:t>
      </w:r>
      <w:r>
        <w:rPr>
          <w:rFonts w:hint="eastAsia"/>
        </w:rPr>
        <w:tab/>
      </w:r>
      <w:r>
        <w:rPr>
          <w:rFonts w:hint="eastAsia"/>
        </w:rPr>
        <w:tab/>
        <w:t>9</w:t>
      </w:r>
    </w:p>
    <w:p w:rsidR="00000000" w:rsidRDefault="00000000">
      <w:pPr>
        <w:pStyle w:val="a9"/>
        <w:spacing w:line="312" w:lineRule="auto"/>
        <w:rPr>
          <w:rFonts w:hint="eastAsia"/>
        </w:rPr>
      </w:pPr>
      <w:r>
        <w:rPr>
          <w:rFonts w:hint="eastAsia"/>
        </w:rPr>
        <w:t>一、委员会关于意大利第三次定期报告的意见</w:t>
      </w:r>
      <w:r>
        <w:rPr>
          <w:rFonts w:hint="eastAsia"/>
        </w:rPr>
        <w:tab/>
      </w:r>
      <w:r>
        <w:rPr>
          <w:rFonts w:hint="eastAsia"/>
        </w:rPr>
        <w:tab/>
        <w:t>28</w:t>
      </w:r>
      <w:r>
        <w:rPr>
          <w:rFonts w:hint="eastAsia"/>
        </w:rPr>
        <w:tab/>
        <w:t>-</w:t>
      </w:r>
      <w:r>
        <w:rPr>
          <w:rFonts w:hint="eastAsia"/>
        </w:rPr>
        <w:tab/>
        <w:t>72</w:t>
      </w:r>
      <w:r>
        <w:rPr>
          <w:rFonts w:hint="eastAsia"/>
        </w:rPr>
        <w:tab/>
        <w:t>10</w:t>
      </w:r>
    </w:p>
    <w:p w:rsidR="00000000" w:rsidRDefault="00000000">
      <w:pPr>
        <w:pStyle w:val="a9"/>
        <w:spacing w:line="312" w:lineRule="auto"/>
        <w:rPr>
          <w:rFonts w:hint="eastAsia"/>
        </w:rPr>
      </w:pPr>
      <w:r>
        <w:rPr>
          <w:rFonts w:hint="eastAsia"/>
        </w:rPr>
        <w:tab/>
        <w:t>A.</w:t>
      </w:r>
      <w:r>
        <w:tab/>
      </w:r>
      <w:r>
        <w:rPr>
          <w:rFonts w:hint="eastAsia"/>
        </w:rPr>
        <w:t>法庭裁决与《公约》</w:t>
      </w:r>
      <w:r>
        <w:rPr>
          <w:rFonts w:hint="eastAsia"/>
        </w:rPr>
        <w:tab/>
      </w:r>
      <w:r>
        <w:rPr>
          <w:rFonts w:hint="eastAsia"/>
        </w:rPr>
        <w:tab/>
      </w:r>
      <w:r>
        <w:rPr>
          <w:rFonts w:hint="eastAsia"/>
        </w:rPr>
        <w:tab/>
        <w:t>28</w:t>
      </w:r>
      <w:r>
        <w:rPr>
          <w:rFonts w:hint="eastAsia"/>
        </w:rPr>
        <w:tab/>
      </w:r>
      <w:r>
        <w:rPr>
          <w:rFonts w:hint="eastAsia"/>
        </w:rPr>
        <w:tab/>
        <w:t>10</w:t>
      </w:r>
    </w:p>
    <w:p w:rsidR="00000000" w:rsidRDefault="00000000">
      <w:pPr>
        <w:pStyle w:val="a9"/>
        <w:spacing w:line="312" w:lineRule="auto"/>
        <w:rPr>
          <w:rFonts w:hint="eastAsia"/>
        </w:rPr>
      </w:pPr>
      <w:r>
        <w:rPr>
          <w:rFonts w:hint="eastAsia"/>
        </w:rPr>
        <w:tab/>
        <w:t>B.</w:t>
      </w:r>
      <w:r>
        <w:tab/>
      </w:r>
      <w:r>
        <w:rPr>
          <w:rFonts w:hint="eastAsia"/>
        </w:rPr>
        <w:t>有关罗姆人口的问题</w:t>
      </w:r>
      <w:r>
        <w:rPr>
          <w:rFonts w:hint="eastAsia"/>
        </w:rPr>
        <w:tab/>
      </w:r>
      <w:r>
        <w:rPr>
          <w:rFonts w:hint="eastAsia"/>
        </w:rPr>
        <w:tab/>
        <w:t>29</w:t>
      </w:r>
      <w:r>
        <w:rPr>
          <w:rFonts w:hint="eastAsia"/>
        </w:rPr>
        <w:tab/>
        <w:t>-</w:t>
      </w:r>
      <w:r>
        <w:rPr>
          <w:rFonts w:hint="eastAsia"/>
        </w:rPr>
        <w:tab/>
        <w:t>35</w:t>
      </w:r>
      <w:r>
        <w:rPr>
          <w:rFonts w:hint="eastAsia"/>
        </w:rPr>
        <w:tab/>
        <w:t>10</w:t>
      </w:r>
    </w:p>
    <w:p w:rsidR="00000000" w:rsidRDefault="00000000">
      <w:pPr>
        <w:pStyle w:val="a9"/>
        <w:spacing w:line="312" w:lineRule="auto"/>
        <w:rPr>
          <w:rFonts w:hint="eastAsia"/>
        </w:rPr>
      </w:pPr>
      <w:r>
        <w:rPr>
          <w:rFonts w:hint="eastAsia"/>
        </w:rPr>
        <w:tab/>
        <w:t>C.</w:t>
      </w:r>
      <w:r>
        <w:tab/>
      </w:r>
      <w:r>
        <w:rPr>
          <w:rFonts w:hint="eastAsia"/>
        </w:rPr>
        <w:t>工作场所的事故</w:t>
      </w:r>
      <w:r>
        <w:rPr>
          <w:rFonts w:hint="eastAsia"/>
        </w:rPr>
        <w:tab/>
      </w:r>
      <w:r>
        <w:rPr>
          <w:rFonts w:hint="eastAsia"/>
        </w:rPr>
        <w:tab/>
        <w:t>36</w:t>
      </w:r>
      <w:r>
        <w:rPr>
          <w:rFonts w:hint="eastAsia"/>
        </w:rPr>
        <w:tab/>
        <w:t>-</w:t>
      </w:r>
      <w:r>
        <w:rPr>
          <w:rFonts w:hint="eastAsia"/>
        </w:rPr>
        <w:tab/>
        <w:t>48</w:t>
      </w:r>
      <w:r>
        <w:rPr>
          <w:rFonts w:hint="eastAsia"/>
        </w:rPr>
        <w:tab/>
        <w:t>12</w:t>
      </w:r>
    </w:p>
    <w:p w:rsidR="00000000" w:rsidRDefault="00000000">
      <w:pPr>
        <w:pStyle w:val="a9"/>
        <w:spacing w:line="312" w:lineRule="auto"/>
      </w:pPr>
      <w:r>
        <w:rPr>
          <w:rFonts w:hint="eastAsia"/>
        </w:rPr>
        <w:tab/>
        <w:t>D.</w:t>
      </w:r>
      <w:r>
        <w:tab/>
      </w:r>
      <w:r>
        <w:rPr>
          <w:rFonts w:hint="eastAsia"/>
        </w:rPr>
        <w:t>社会保障</w:t>
      </w:r>
      <w:r>
        <w:rPr>
          <w:rFonts w:hint="eastAsia"/>
        </w:rPr>
        <w:t>............</w:t>
      </w:r>
      <w:r>
        <w:rPr>
          <w:rFonts w:hint="eastAsia"/>
        </w:rPr>
        <w:tab/>
      </w:r>
      <w:r>
        <w:rPr>
          <w:rFonts w:hint="eastAsia"/>
        </w:rPr>
        <w:tab/>
      </w:r>
      <w:r>
        <w:rPr>
          <w:rFonts w:hint="eastAsia"/>
        </w:rPr>
        <w:tab/>
        <w:t>49</w:t>
      </w:r>
      <w:r>
        <w:rPr>
          <w:rFonts w:hint="eastAsia"/>
        </w:rPr>
        <w:tab/>
      </w:r>
      <w:r>
        <w:rPr>
          <w:rFonts w:hint="eastAsia"/>
        </w:rPr>
        <w:tab/>
      </w:r>
      <w:r>
        <w:t>15</w:t>
      </w:r>
    </w:p>
    <w:p w:rsidR="00000000" w:rsidRDefault="00000000">
      <w:pPr>
        <w:pStyle w:val="a9"/>
        <w:spacing w:line="312" w:lineRule="auto"/>
      </w:pPr>
      <w:r>
        <w:rPr>
          <w:rFonts w:hint="eastAsia"/>
        </w:rPr>
        <w:tab/>
        <w:t>E.</w:t>
      </w:r>
      <w:r>
        <w:tab/>
      </w:r>
      <w:r>
        <w:rPr>
          <w:rFonts w:hint="eastAsia"/>
        </w:rPr>
        <w:t>意大利北部和南部地区之间的不平等现象</w:t>
      </w:r>
      <w:r>
        <w:rPr>
          <w:rFonts w:hint="eastAsia"/>
        </w:rPr>
        <w:tab/>
      </w:r>
      <w:r>
        <w:rPr>
          <w:rFonts w:hint="eastAsia"/>
        </w:rPr>
        <w:tab/>
      </w:r>
      <w:r>
        <w:rPr>
          <w:rFonts w:hint="eastAsia"/>
        </w:rPr>
        <w:tab/>
        <w:t>50</w:t>
      </w:r>
      <w:r>
        <w:rPr>
          <w:rFonts w:hint="eastAsia"/>
        </w:rPr>
        <w:tab/>
      </w:r>
      <w:r>
        <w:rPr>
          <w:rFonts w:hint="eastAsia"/>
        </w:rPr>
        <w:tab/>
      </w:r>
      <w:r>
        <w:t>16</w:t>
      </w:r>
    </w:p>
    <w:p w:rsidR="00000000" w:rsidRDefault="00000000">
      <w:pPr>
        <w:pStyle w:val="a9"/>
        <w:spacing w:line="312" w:lineRule="auto"/>
      </w:pPr>
      <w:r>
        <w:rPr>
          <w:rFonts w:hint="eastAsia"/>
        </w:rPr>
        <w:tab/>
        <w:t>F.</w:t>
      </w:r>
      <w:r>
        <w:tab/>
      </w:r>
      <w:r>
        <w:rPr>
          <w:rFonts w:hint="eastAsia"/>
        </w:rPr>
        <w:t>中学辍学</w:t>
      </w:r>
      <w:r>
        <w:rPr>
          <w:rFonts w:hint="eastAsia"/>
          <w:spacing w:val="-40"/>
        </w:rPr>
        <w:t>――</w:t>
      </w:r>
      <w:r>
        <w:rPr>
          <w:rFonts w:hint="eastAsia"/>
          <w:spacing w:val="-40"/>
        </w:rPr>
        <w:t xml:space="preserve"> </w:t>
      </w:r>
      <w:r>
        <w:rPr>
          <w:rFonts w:hint="eastAsia"/>
        </w:rPr>
        <w:t>半文盲问题</w:t>
      </w:r>
      <w:r>
        <w:rPr>
          <w:rFonts w:hint="eastAsia"/>
        </w:rPr>
        <w:tab/>
      </w:r>
      <w:r>
        <w:rPr>
          <w:rFonts w:hint="eastAsia"/>
        </w:rPr>
        <w:tab/>
      </w:r>
      <w:r>
        <w:rPr>
          <w:rFonts w:hint="eastAsia"/>
        </w:rPr>
        <w:tab/>
        <w:t>51</w:t>
      </w:r>
      <w:r>
        <w:rPr>
          <w:rFonts w:hint="eastAsia"/>
        </w:rPr>
        <w:tab/>
      </w:r>
      <w:r>
        <w:rPr>
          <w:rFonts w:hint="eastAsia"/>
        </w:rPr>
        <w:tab/>
      </w:r>
      <w:r>
        <w:t>16</w:t>
      </w:r>
    </w:p>
    <w:p w:rsidR="00000000" w:rsidRDefault="00000000">
      <w:pPr>
        <w:pStyle w:val="a9"/>
        <w:spacing w:line="312" w:lineRule="auto"/>
      </w:pPr>
      <w:r>
        <w:rPr>
          <w:rFonts w:hint="eastAsia"/>
        </w:rPr>
        <w:tab/>
        <w:t>G.</w:t>
      </w:r>
      <w:r>
        <w:tab/>
      </w:r>
      <w:r>
        <w:rPr>
          <w:rFonts w:hint="eastAsia"/>
        </w:rPr>
        <w:t>权利下放和劳动监察制度</w:t>
      </w:r>
      <w:r>
        <w:rPr>
          <w:rFonts w:hint="eastAsia"/>
        </w:rPr>
        <w:tab/>
      </w:r>
      <w:r>
        <w:rPr>
          <w:rFonts w:hint="eastAsia"/>
        </w:rPr>
        <w:tab/>
        <w:t>52</w:t>
      </w:r>
      <w:r>
        <w:rPr>
          <w:rFonts w:hint="eastAsia"/>
        </w:rPr>
        <w:tab/>
        <w:t>-</w:t>
      </w:r>
      <w:r>
        <w:rPr>
          <w:rFonts w:hint="eastAsia"/>
        </w:rPr>
        <w:tab/>
        <w:t>70</w:t>
      </w:r>
      <w:r>
        <w:rPr>
          <w:rFonts w:hint="eastAsia"/>
        </w:rPr>
        <w:tab/>
      </w:r>
      <w:r>
        <w:t>17</w:t>
      </w:r>
    </w:p>
    <w:p w:rsidR="00000000" w:rsidRDefault="00000000">
      <w:pPr>
        <w:pStyle w:val="a9"/>
        <w:spacing w:line="312" w:lineRule="auto"/>
      </w:pPr>
      <w:r>
        <w:rPr>
          <w:rFonts w:hint="eastAsia"/>
        </w:rPr>
        <w:tab/>
        <w:t>H.</w:t>
      </w:r>
      <w:r>
        <w:tab/>
      </w:r>
      <w:r>
        <w:rPr>
          <w:rFonts w:hint="eastAsia"/>
        </w:rPr>
        <w:t>残疾人</w:t>
      </w:r>
      <w:r>
        <w:rPr>
          <w:rFonts w:hint="eastAsia"/>
        </w:rPr>
        <w:t>...............</w:t>
      </w:r>
      <w:r>
        <w:rPr>
          <w:rFonts w:hint="eastAsia"/>
        </w:rPr>
        <w:tab/>
      </w:r>
      <w:r>
        <w:rPr>
          <w:rFonts w:hint="eastAsia"/>
        </w:rPr>
        <w:tab/>
      </w:r>
      <w:r>
        <w:rPr>
          <w:rFonts w:hint="eastAsia"/>
        </w:rPr>
        <w:tab/>
        <w:t>71</w:t>
      </w:r>
      <w:r>
        <w:rPr>
          <w:rFonts w:hint="eastAsia"/>
        </w:rPr>
        <w:tab/>
      </w:r>
      <w:r>
        <w:rPr>
          <w:rFonts w:hint="eastAsia"/>
        </w:rPr>
        <w:tab/>
      </w:r>
      <w:r>
        <w:t>21</w:t>
      </w:r>
    </w:p>
    <w:p w:rsidR="00000000" w:rsidRDefault="00000000">
      <w:pPr>
        <w:pStyle w:val="a9"/>
        <w:spacing w:line="312" w:lineRule="auto"/>
      </w:pPr>
      <w:r>
        <w:rPr>
          <w:rFonts w:hint="eastAsia"/>
        </w:rPr>
        <w:tab/>
        <w:t>I.</w:t>
      </w:r>
      <w:r>
        <w:tab/>
      </w:r>
      <w:r>
        <w:rPr>
          <w:rFonts w:hint="eastAsia"/>
        </w:rPr>
        <w:t>贫</w:t>
      </w:r>
      <w:r>
        <w:rPr>
          <w:rFonts w:hint="eastAsia"/>
        </w:rPr>
        <w:t xml:space="preserve">  </w:t>
      </w:r>
      <w:r>
        <w:rPr>
          <w:rFonts w:hint="eastAsia"/>
        </w:rPr>
        <w:t>困</w:t>
      </w:r>
      <w:r>
        <w:rPr>
          <w:rFonts w:hint="eastAsia"/>
        </w:rPr>
        <w:t>......................</w:t>
      </w:r>
      <w:r>
        <w:rPr>
          <w:rFonts w:hint="eastAsia"/>
        </w:rPr>
        <w:tab/>
      </w:r>
      <w:r>
        <w:rPr>
          <w:rFonts w:hint="eastAsia"/>
        </w:rPr>
        <w:tab/>
      </w:r>
      <w:r>
        <w:rPr>
          <w:rFonts w:hint="eastAsia"/>
        </w:rPr>
        <w:tab/>
        <w:t>72</w:t>
      </w:r>
      <w:r>
        <w:rPr>
          <w:rFonts w:hint="eastAsia"/>
        </w:rPr>
        <w:tab/>
      </w:r>
      <w:r>
        <w:rPr>
          <w:rFonts w:hint="eastAsia"/>
        </w:rPr>
        <w:tab/>
      </w:r>
      <w:r>
        <w:t>21</w:t>
      </w:r>
    </w:p>
    <w:p w:rsidR="00000000" w:rsidRDefault="00000000">
      <w:pPr>
        <w:pStyle w:val="a9"/>
        <w:spacing w:line="312" w:lineRule="auto"/>
      </w:pPr>
      <w:r>
        <w:rPr>
          <w:rFonts w:hint="eastAsia"/>
        </w:rPr>
        <w:t>二、《公约》具体条款的执行情况</w:t>
      </w:r>
      <w:r>
        <w:rPr>
          <w:rFonts w:hint="eastAsia"/>
        </w:rPr>
        <w:tab/>
      </w:r>
      <w:r>
        <w:rPr>
          <w:rFonts w:hint="eastAsia"/>
        </w:rPr>
        <w:tab/>
        <w:t>73</w:t>
      </w:r>
      <w:r>
        <w:rPr>
          <w:rFonts w:hint="eastAsia"/>
        </w:rPr>
        <w:tab/>
        <w:t>-</w:t>
      </w:r>
      <w:r>
        <w:rPr>
          <w:rFonts w:hint="eastAsia"/>
        </w:rPr>
        <w:tab/>
        <w:t>285</w:t>
      </w:r>
      <w:r>
        <w:rPr>
          <w:rFonts w:hint="eastAsia"/>
        </w:rPr>
        <w:tab/>
      </w:r>
      <w:r>
        <w:t>21</w:t>
      </w:r>
    </w:p>
    <w:p w:rsidR="00000000" w:rsidRDefault="00000000">
      <w:pPr>
        <w:pStyle w:val="a9"/>
        <w:spacing w:line="312" w:lineRule="auto"/>
      </w:pPr>
      <w:r>
        <w:rPr>
          <w:rFonts w:hint="eastAsia"/>
        </w:rPr>
        <w:tab/>
        <w:t>A.</w:t>
      </w:r>
      <w:r>
        <w:tab/>
      </w:r>
      <w:r>
        <w:rPr>
          <w:rFonts w:hint="eastAsia"/>
        </w:rPr>
        <w:t>第</w:t>
      </w:r>
      <w:r>
        <w:rPr>
          <w:rFonts w:hint="eastAsia"/>
        </w:rPr>
        <w:t>2</w:t>
      </w:r>
      <w:r>
        <w:rPr>
          <w:rFonts w:hint="eastAsia"/>
        </w:rPr>
        <w:t>和第</w:t>
      </w:r>
      <w:r>
        <w:rPr>
          <w:rFonts w:hint="eastAsia"/>
        </w:rPr>
        <w:t>3</w:t>
      </w:r>
      <w:r>
        <w:rPr>
          <w:rFonts w:hint="eastAsia"/>
        </w:rPr>
        <w:t>条</w:t>
      </w:r>
      <w:r>
        <w:rPr>
          <w:rFonts w:hint="eastAsia"/>
        </w:rPr>
        <w:t>(</w:t>
      </w:r>
      <w:r>
        <w:rPr>
          <w:rFonts w:hint="eastAsia"/>
        </w:rPr>
        <w:t>歧视</w:t>
      </w:r>
      <w:r>
        <w:rPr>
          <w:rFonts w:hint="eastAsia"/>
        </w:rPr>
        <w:t>)</w:t>
      </w:r>
      <w:r>
        <w:rPr>
          <w:rFonts w:hint="eastAsia"/>
        </w:rPr>
        <w:tab/>
      </w:r>
      <w:r>
        <w:rPr>
          <w:rFonts w:hint="eastAsia"/>
        </w:rPr>
        <w:tab/>
        <w:t>73</w:t>
      </w:r>
      <w:r>
        <w:rPr>
          <w:rFonts w:hint="eastAsia"/>
        </w:rPr>
        <w:tab/>
        <w:t>-</w:t>
      </w:r>
      <w:r>
        <w:rPr>
          <w:rFonts w:hint="eastAsia"/>
        </w:rPr>
        <w:tab/>
        <w:t>79</w:t>
      </w:r>
      <w:r>
        <w:rPr>
          <w:rFonts w:hint="eastAsia"/>
        </w:rPr>
        <w:tab/>
      </w:r>
      <w:r>
        <w:t>21</w:t>
      </w:r>
    </w:p>
    <w:p w:rsidR="00000000" w:rsidRDefault="00000000">
      <w:pPr>
        <w:pStyle w:val="a9"/>
        <w:spacing w:line="312" w:lineRule="auto"/>
      </w:pPr>
      <w:r>
        <w:rPr>
          <w:rFonts w:hint="eastAsia"/>
        </w:rPr>
        <w:tab/>
        <w:t>B.</w:t>
      </w:r>
      <w:r>
        <w:tab/>
      </w:r>
      <w:r>
        <w:rPr>
          <w:rFonts w:hint="eastAsia"/>
        </w:rPr>
        <w:t>第</w:t>
      </w:r>
      <w:r>
        <w:rPr>
          <w:rFonts w:hint="eastAsia"/>
        </w:rPr>
        <w:t>6</w:t>
      </w:r>
      <w:r>
        <w:rPr>
          <w:rFonts w:hint="eastAsia"/>
        </w:rPr>
        <w:t>条</w:t>
      </w:r>
      <w:r>
        <w:rPr>
          <w:rFonts w:hint="eastAsia"/>
        </w:rPr>
        <w:t>(</w:t>
      </w:r>
      <w:r>
        <w:rPr>
          <w:rFonts w:hint="eastAsia"/>
        </w:rPr>
        <w:t>工作权</w:t>
      </w:r>
      <w:r>
        <w:rPr>
          <w:rFonts w:hint="eastAsia"/>
        </w:rPr>
        <w:t>)</w:t>
      </w:r>
      <w:r>
        <w:rPr>
          <w:rFonts w:hint="eastAsia"/>
        </w:rPr>
        <w:tab/>
      </w:r>
      <w:r>
        <w:rPr>
          <w:rFonts w:hint="eastAsia"/>
        </w:rPr>
        <w:tab/>
        <w:t>80</w:t>
      </w:r>
      <w:r>
        <w:rPr>
          <w:rFonts w:hint="eastAsia"/>
        </w:rPr>
        <w:tab/>
        <w:t>-</w:t>
      </w:r>
      <w:r>
        <w:rPr>
          <w:rFonts w:hint="eastAsia"/>
        </w:rPr>
        <w:tab/>
        <w:t>113</w:t>
      </w:r>
      <w:r>
        <w:rPr>
          <w:rFonts w:hint="eastAsia"/>
        </w:rPr>
        <w:tab/>
      </w:r>
      <w:r>
        <w:t>23</w:t>
      </w:r>
    </w:p>
    <w:p w:rsidR="00000000" w:rsidRDefault="00000000">
      <w:pPr>
        <w:pStyle w:val="a9"/>
        <w:spacing w:line="312" w:lineRule="auto"/>
      </w:pPr>
      <w:r>
        <w:rPr>
          <w:rFonts w:hint="eastAsia"/>
        </w:rPr>
        <w:tab/>
        <w:t>C.</w:t>
      </w:r>
      <w:r>
        <w:tab/>
      </w:r>
      <w:r>
        <w:rPr>
          <w:rFonts w:hint="eastAsia"/>
        </w:rPr>
        <w:t>第</w:t>
      </w:r>
      <w:r>
        <w:rPr>
          <w:rFonts w:hint="eastAsia"/>
        </w:rPr>
        <w:t>7</w:t>
      </w:r>
      <w:r>
        <w:rPr>
          <w:rFonts w:hint="eastAsia"/>
        </w:rPr>
        <w:t>条</w:t>
      </w:r>
      <w:r>
        <w:rPr>
          <w:rFonts w:hint="eastAsia"/>
        </w:rPr>
        <w:t>(</w:t>
      </w:r>
      <w:r>
        <w:rPr>
          <w:rFonts w:hint="eastAsia"/>
        </w:rPr>
        <w:t>享有公正和适宜工作条件的权利</w:t>
      </w:r>
      <w:r>
        <w:rPr>
          <w:rFonts w:hint="eastAsia"/>
        </w:rPr>
        <w:t>)</w:t>
      </w:r>
      <w:r>
        <w:rPr>
          <w:rFonts w:hint="eastAsia"/>
        </w:rPr>
        <w:tab/>
      </w:r>
      <w:r>
        <w:rPr>
          <w:rFonts w:hint="eastAsia"/>
        </w:rPr>
        <w:tab/>
        <w:t>114</w:t>
      </w:r>
      <w:r>
        <w:rPr>
          <w:rFonts w:hint="eastAsia"/>
        </w:rPr>
        <w:tab/>
        <w:t>-</w:t>
      </w:r>
      <w:r>
        <w:rPr>
          <w:rFonts w:hint="eastAsia"/>
        </w:rPr>
        <w:tab/>
        <w:t>121</w:t>
      </w:r>
      <w:r>
        <w:rPr>
          <w:rFonts w:hint="eastAsia"/>
        </w:rPr>
        <w:tab/>
      </w:r>
      <w:r>
        <w:t>32</w:t>
      </w:r>
    </w:p>
    <w:p w:rsidR="00000000" w:rsidRDefault="00000000">
      <w:pPr>
        <w:pStyle w:val="a9"/>
        <w:spacing w:line="312" w:lineRule="auto"/>
      </w:pPr>
      <w:r>
        <w:rPr>
          <w:rFonts w:hint="eastAsia"/>
        </w:rPr>
        <w:tab/>
        <w:t>D.</w:t>
      </w:r>
      <w:r>
        <w:tab/>
      </w:r>
      <w:r>
        <w:rPr>
          <w:rFonts w:hint="eastAsia"/>
        </w:rPr>
        <w:t>第</w:t>
      </w:r>
      <w:r>
        <w:rPr>
          <w:rFonts w:hint="eastAsia"/>
        </w:rPr>
        <w:t>8</w:t>
      </w:r>
      <w:r>
        <w:rPr>
          <w:rFonts w:hint="eastAsia"/>
        </w:rPr>
        <w:t>条</w:t>
      </w:r>
      <w:r>
        <w:rPr>
          <w:rFonts w:hint="eastAsia"/>
        </w:rPr>
        <w:t>(</w:t>
      </w:r>
      <w:r>
        <w:rPr>
          <w:rFonts w:hint="eastAsia"/>
        </w:rPr>
        <w:t>工会</w:t>
      </w:r>
      <w:r>
        <w:rPr>
          <w:rFonts w:hint="eastAsia"/>
        </w:rPr>
        <w:t>)</w:t>
      </w:r>
      <w:r>
        <w:rPr>
          <w:rFonts w:hint="eastAsia"/>
        </w:rPr>
        <w:tab/>
      </w:r>
      <w:r>
        <w:rPr>
          <w:rFonts w:hint="eastAsia"/>
        </w:rPr>
        <w:tab/>
        <w:t>122</w:t>
      </w:r>
      <w:r>
        <w:rPr>
          <w:rFonts w:hint="eastAsia"/>
        </w:rPr>
        <w:tab/>
        <w:t>-</w:t>
      </w:r>
      <w:r>
        <w:rPr>
          <w:rFonts w:hint="eastAsia"/>
        </w:rPr>
        <w:tab/>
        <w:t>125</w:t>
      </w:r>
      <w:r>
        <w:rPr>
          <w:rFonts w:hint="eastAsia"/>
        </w:rPr>
        <w:tab/>
      </w:r>
      <w:r>
        <w:t>34</w:t>
      </w:r>
    </w:p>
    <w:p w:rsidR="00000000" w:rsidRDefault="00000000">
      <w:pPr>
        <w:pStyle w:val="a9"/>
        <w:spacing w:line="312" w:lineRule="auto"/>
      </w:pPr>
      <w:r>
        <w:rPr>
          <w:rFonts w:hint="eastAsia"/>
        </w:rPr>
        <w:tab/>
        <w:t>E.</w:t>
      </w:r>
      <w:r>
        <w:tab/>
      </w:r>
      <w:r>
        <w:rPr>
          <w:rFonts w:hint="eastAsia"/>
        </w:rPr>
        <w:t>第</w:t>
      </w:r>
      <w:r>
        <w:rPr>
          <w:rFonts w:hint="eastAsia"/>
        </w:rPr>
        <w:t>9</w:t>
      </w:r>
      <w:r>
        <w:rPr>
          <w:rFonts w:hint="eastAsia"/>
        </w:rPr>
        <w:t>条</w:t>
      </w:r>
      <w:r>
        <w:rPr>
          <w:rFonts w:hint="eastAsia"/>
        </w:rPr>
        <w:t>(</w:t>
      </w:r>
      <w:r>
        <w:rPr>
          <w:rFonts w:hint="eastAsia"/>
        </w:rPr>
        <w:t>社会保障</w:t>
      </w:r>
      <w:r>
        <w:rPr>
          <w:rFonts w:hint="eastAsia"/>
        </w:rPr>
        <w:t>)</w:t>
      </w:r>
      <w:r>
        <w:rPr>
          <w:rFonts w:hint="eastAsia"/>
        </w:rPr>
        <w:tab/>
      </w:r>
      <w:r>
        <w:rPr>
          <w:rFonts w:hint="eastAsia"/>
        </w:rPr>
        <w:tab/>
        <w:t>126</w:t>
      </w:r>
      <w:r>
        <w:rPr>
          <w:rFonts w:hint="eastAsia"/>
        </w:rPr>
        <w:tab/>
        <w:t>-</w:t>
      </w:r>
      <w:r>
        <w:rPr>
          <w:rFonts w:hint="eastAsia"/>
        </w:rPr>
        <w:tab/>
        <w:t>150</w:t>
      </w:r>
      <w:r>
        <w:tab/>
        <w:t>36</w:t>
      </w:r>
    </w:p>
    <w:p w:rsidR="00000000" w:rsidRDefault="00000000">
      <w:pPr>
        <w:pStyle w:val="a9"/>
        <w:spacing w:line="312" w:lineRule="auto"/>
      </w:pPr>
      <w:r>
        <w:rPr>
          <w:rFonts w:hint="eastAsia"/>
        </w:rPr>
        <w:tab/>
        <w:t>F.</w:t>
      </w:r>
      <w:r>
        <w:tab/>
      </w:r>
      <w:r>
        <w:rPr>
          <w:rFonts w:hint="eastAsia"/>
        </w:rPr>
        <w:t>第</w:t>
      </w:r>
      <w:r>
        <w:rPr>
          <w:rFonts w:hint="eastAsia"/>
        </w:rPr>
        <w:t>10</w:t>
      </w:r>
      <w:r>
        <w:rPr>
          <w:rFonts w:hint="eastAsia"/>
        </w:rPr>
        <w:t>条</w:t>
      </w:r>
      <w:r>
        <w:rPr>
          <w:rFonts w:hint="eastAsia"/>
        </w:rPr>
        <w:t>(</w:t>
      </w:r>
      <w:r>
        <w:rPr>
          <w:rFonts w:hint="eastAsia"/>
        </w:rPr>
        <w:t>保护和援助家庭</w:t>
      </w:r>
      <w:r>
        <w:rPr>
          <w:rFonts w:hint="eastAsia"/>
        </w:rPr>
        <w:t>)</w:t>
      </w:r>
      <w:r>
        <w:rPr>
          <w:rFonts w:hint="eastAsia"/>
        </w:rPr>
        <w:tab/>
      </w:r>
      <w:r>
        <w:rPr>
          <w:rFonts w:hint="eastAsia"/>
        </w:rPr>
        <w:tab/>
        <w:t>151</w:t>
      </w:r>
      <w:r>
        <w:rPr>
          <w:rFonts w:hint="eastAsia"/>
        </w:rPr>
        <w:tab/>
        <w:t>-</w:t>
      </w:r>
      <w:r>
        <w:rPr>
          <w:rFonts w:hint="eastAsia"/>
        </w:rPr>
        <w:tab/>
        <w:t>165</w:t>
      </w:r>
      <w:r>
        <w:rPr>
          <w:rFonts w:hint="eastAsia"/>
        </w:rPr>
        <w:tab/>
      </w:r>
      <w:r>
        <w:t>45</w:t>
      </w:r>
    </w:p>
    <w:p w:rsidR="00000000" w:rsidRDefault="00000000">
      <w:pPr>
        <w:pStyle w:val="a9"/>
        <w:spacing w:line="312" w:lineRule="auto"/>
        <w:ind w:left="1020"/>
      </w:pPr>
      <w:r>
        <w:rPr>
          <w:rFonts w:hint="eastAsia"/>
        </w:rPr>
        <w:t>G.</w:t>
      </w:r>
      <w:r>
        <w:tab/>
      </w:r>
      <w:r>
        <w:rPr>
          <w:rFonts w:hint="eastAsia"/>
        </w:rPr>
        <w:t>第</w:t>
      </w:r>
      <w:r>
        <w:rPr>
          <w:rFonts w:hint="eastAsia"/>
        </w:rPr>
        <w:t>11</w:t>
      </w:r>
      <w:r>
        <w:rPr>
          <w:rFonts w:hint="eastAsia"/>
        </w:rPr>
        <w:t>条</w:t>
      </w:r>
      <w:r>
        <w:rPr>
          <w:rFonts w:hint="eastAsia"/>
        </w:rPr>
        <w:t>(</w:t>
      </w:r>
      <w:r>
        <w:rPr>
          <w:rFonts w:hint="eastAsia"/>
        </w:rPr>
        <w:t>适当的生活水平</w:t>
      </w:r>
      <w:r>
        <w:rPr>
          <w:rFonts w:hint="eastAsia"/>
        </w:rPr>
        <w:t>)....................</w:t>
      </w:r>
      <w:r>
        <w:rPr>
          <w:rFonts w:hint="eastAsia"/>
        </w:rPr>
        <w:tab/>
      </w:r>
      <w:r>
        <w:rPr>
          <w:rFonts w:hint="eastAsia"/>
        </w:rPr>
        <w:tab/>
        <w:t>166</w:t>
      </w:r>
      <w:r>
        <w:rPr>
          <w:rFonts w:hint="eastAsia"/>
        </w:rPr>
        <w:tab/>
        <w:t>-</w:t>
      </w:r>
      <w:r>
        <w:rPr>
          <w:rFonts w:hint="eastAsia"/>
        </w:rPr>
        <w:tab/>
        <w:t>250</w:t>
      </w:r>
      <w:r>
        <w:rPr>
          <w:rFonts w:hint="eastAsia"/>
        </w:rPr>
        <w:tab/>
      </w:r>
      <w:r>
        <w:t>50</w:t>
      </w:r>
    </w:p>
    <w:p w:rsidR="00000000" w:rsidRDefault="00000000">
      <w:pPr>
        <w:pStyle w:val="a9"/>
        <w:spacing w:line="312" w:lineRule="auto"/>
        <w:ind w:left="1020"/>
      </w:pPr>
      <w:r>
        <w:rPr>
          <w:rFonts w:hint="eastAsia"/>
        </w:rPr>
        <w:t>H.</w:t>
      </w:r>
      <w:r>
        <w:tab/>
      </w:r>
      <w:r>
        <w:rPr>
          <w:rFonts w:hint="eastAsia"/>
        </w:rPr>
        <w:t>第</w:t>
      </w:r>
      <w:r>
        <w:rPr>
          <w:rFonts w:hint="eastAsia"/>
        </w:rPr>
        <w:t>12</w:t>
      </w:r>
      <w:r>
        <w:rPr>
          <w:rFonts w:hint="eastAsia"/>
        </w:rPr>
        <w:t>条</w:t>
      </w:r>
      <w:r>
        <w:rPr>
          <w:rFonts w:hint="eastAsia"/>
        </w:rPr>
        <w:t>(</w:t>
      </w:r>
      <w:r>
        <w:rPr>
          <w:rFonts w:hint="eastAsia"/>
        </w:rPr>
        <w:t>身心健康</w:t>
      </w:r>
      <w:r>
        <w:rPr>
          <w:rFonts w:hint="eastAsia"/>
        </w:rPr>
        <w:t>)......................</w:t>
      </w:r>
      <w:r>
        <w:rPr>
          <w:rFonts w:hint="eastAsia"/>
        </w:rPr>
        <w:tab/>
      </w:r>
      <w:r>
        <w:rPr>
          <w:rFonts w:hint="eastAsia"/>
        </w:rPr>
        <w:tab/>
      </w:r>
      <w:r>
        <w:rPr>
          <w:rFonts w:hint="eastAsia"/>
        </w:rPr>
        <w:tab/>
        <w:t>251</w:t>
      </w:r>
      <w:r>
        <w:rPr>
          <w:rFonts w:hint="eastAsia"/>
        </w:rPr>
        <w:tab/>
      </w:r>
      <w:r>
        <w:t>70</w:t>
      </w:r>
    </w:p>
    <w:p w:rsidR="00000000" w:rsidRDefault="00000000">
      <w:pPr>
        <w:pStyle w:val="a9"/>
        <w:spacing w:line="312" w:lineRule="auto"/>
        <w:ind w:left="1020"/>
      </w:pPr>
      <w:r>
        <w:rPr>
          <w:rFonts w:hint="eastAsia"/>
        </w:rPr>
        <w:t>I.</w:t>
      </w:r>
      <w:r>
        <w:tab/>
      </w:r>
      <w:r>
        <w:rPr>
          <w:rFonts w:hint="eastAsia"/>
        </w:rPr>
        <w:t>第</w:t>
      </w:r>
      <w:r>
        <w:rPr>
          <w:rFonts w:hint="eastAsia"/>
        </w:rPr>
        <w:t>13</w:t>
      </w:r>
      <w:r>
        <w:rPr>
          <w:rFonts w:hint="eastAsia"/>
        </w:rPr>
        <w:t>条</w:t>
      </w:r>
      <w:r>
        <w:rPr>
          <w:rFonts w:hint="eastAsia"/>
        </w:rPr>
        <w:t>(</w:t>
      </w:r>
      <w:r>
        <w:rPr>
          <w:rFonts w:hint="eastAsia"/>
        </w:rPr>
        <w:t>教育</w:t>
      </w:r>
      <w:r>
        <w:rPr>
          <w:rFonts w:hint="eastAsia"/>
        </w:rPr>
        <w:t>).............................</w:t>
      </w:r>
      <w:r>
        <w:rPr>
          <w:rFonts w:hint="eastAsia"/>
        </w:rPr>
        <w:tab/>
      </w:r>
      <w:r>
        <w:rPr>
          <w:rFonts w:hint="eastAsia"/>
        </w:rPr>
        <w:tab/>
        <w:t>252</w:t>
      </w:r>
      <w:r>
        <w:rPr>
          <w:rFonts w:hint="eastAsia"/>
        </w:rPr>
        <w:tab/>
        <w:t>-</w:t>
      </w:r>
      <w:r>
        <w:rPr>
          <w:rFonts w:hint="eastAsia"/>
        </w:rPr>
        <w:tab/>
        <w:t>278</w:t>
      </w:r>
      <w:r>
        <w:rPr>
          <w:rFonts w:hint="eastAsia"/>
        </w:rPr>
        <w:tab/>
      </w:r>
      <w:r>
        <w:t>70</w:t>
      </w:r>
    </w:p>
    <w:p w:rsidR="00000000" w:rsidRDefault="00000000">
      <w:pPr>
        <w:pStyle w:val="a9"/>
        <w:spacing w:line="312" w:lineRule="auto"/>
      </w:pPr>
      <w:r>
        <w:rPr>
          <w:rFonts w:hint="eastAsia"/>
        </w:rPr>
        <w:tab/>
        <w:t>J.</w:t>
      </w:r>
      <w:r>
        <w:tab/>
      </w:r>
      <w:r>
        <w:rPr>
          <w:rFonts w:hint="eastAsia"/>
        </w:rPr>
        <w:t>第</w:t>
      </w:r>
      <w:r>
        <w:rPr>
          <w:rFonts w:hint="eastAsia"/>
        </w:rPr>
        <w:t>15</w:t>
      </w:r>
      <w:r>
        <w:rPr>
          <w:rFonts w:hint="eastAsia"/>
        </w:rPr>
        <w:t>条</w:t>
      </w:r>
      <w:r>
        <w:rPr>
          <w:rFonts w:hint="eastAsia"/>
        </w:rPr>
        <w:t>(</w:t>
      </w:r>
      <w:r>
        <w:rPr>
          <w:rFonts w:hint="eastAsia"/>
        </w:rPr>
        <w:t>文化生活</w:t>
      </w:r>
      <w:r>
        <w:rPr>
          <w:rFonts w:hint="eastAsia"/>
        </w:rPr>
        <w:t>).....................</w:t>
      </w:r>
      <w:r>
        <w:rPr>
          <w:rFonts w:hint="eastAsia"/>
        </w:rPr>
        <w:tab/>
      </w:r>
      <w:r>
        <w:rPr>
          <w:rFonts w:hint="eastAsia"/>
        </w:rPr>
        <w:tab/>
        <w:t>279</w:t>
      </w:r>
      <w:r>
        <w:rPr>
          <w:rFonts w:hint="eastAsia"/>
        </w:rPr>
        <w:tab/>
        <w:t>-</w:t>
      </w:r>
      <w:r>
        <w:rPr>
          <w:rFonts w:hint="eastAsia"/>
        </w:rPr>
        <w:tab/>
        <w:t>285</w:t>
      </w:r>
      <w:r>
        <w:rPr>
          <w:rFonts w:hint="eastAsia"/>
        </w:rPr>
        <w:tab/>
      </w:r>
      <w:r>
        <w:t>78</w:t>
      </w:r>
    </w:p>
    <w:p w:rsidR="00000000" w:rsidRDefault="00000000">
      <w:pPr>
        <w:pStyle w:val="Heading2"/>
        <w:spacing w:before="240"/>
        <w:rPr>
          <w:rFonts w:hint="eastAsia"/>
        </w:rPr>
      </w:pPr>
      <w:r>
        <w:rPr>
          <w:rFonts w:hint="eastAsia"/>
        </w:rPr>
        <w:t>导</w:t>
      </w:r>
      <w:r>
        <w:rPr>
          <w:rFonts w:hint="eastAsia"/>
        </w:rPr>
        <w:t xml:space="preserve">  </w:t>
      </w:r>
      <w:r>
        <w:rPr>
          <w:rFonts w:hint="eastAsia"/>
        </w:rPr>
        <w:t>言</w:t>
      </w:r>
    </w:p>
    <w:p w:rsidR="00000000" w:rsidRDefault="00000000">
      <w:pPr>
        <w:pStyle w:val="Heading3"/>
        <w:rPr>
          <w:rFonts w:hint="eastAsia"/>
        </w:rPr>
      </w:pPr>
      <w:r>
        <w:rPr>
          <w:rFonts w:hint="eastAsia"/>
          <w:u w:val="none"/>
        </w:rPr>
        <w:t xml:space="preserve">A.  </w:t>
      </w:r>
      <w:r>
        <w:rPr>
          <w:rFonts w:hint="eastAsia"/>
        </w:rPr>
        <w:t>本报告的编写</w:t>
      </w:r>
    </w:p>
    <w:p w:rsidR="00000000" w:rsidRDefault="00000000">
      <w:pPr>
        <w:rPr>
          <w:rFonts w:hint="eastAsia"/>
        </w:rPr>
      </w:pPr>
      <w:r>
        <w:rPr>
          <w:rFonts w:hint="eastAsia"/>
        </w:rPr>
        <w:tab/>
        <w:t xml:space="preserve">1.  </w:t>
      </w:r>
      <w:r>
        <w:rPr>
          <w:rFonts w:hint="eastAsia"/>
        </w:rPr>
        <w:t>同前几次报告一样，编写本报告属于外交部</w:t>
      </w:r>
      <w:r>
        <w:rPr>
          <w:rFonts w:hint="eastAsia"/>
        </w:rPr>
        <w:t>1978</w:t>
      </w:r>
      <w:r>
        <w:rPr>
          <w:rFonts w:hint="eastAsia"/>
        </w:rPr>
        <w:t>年设立的部际人权委员会所开展的一部分机构活动。该部际人权委员会中包括参与各不同活动领域的政府部门的代表，以及有人权领域特殊专门知识的各机构、协会和学术界人士。委员会设立了一个特别工作组，然后，秘书处编拟了一份报告草案，经委员会自己举行的全会核准。该报告已分发给各非政府组织征求意见和看法。</w:t>
      </w:r>
    </w:p>
    <w:p w:rsidR="00000000" w:rsidRDefault="00000000">
      <w:pPr>
        <w:rPr>
          <w:rFonts w:hint="eastAsia"/>
        </w:rPr>
      </w:pPr>
      <w:r>
        <w:rPr>
          <w:rFonts w:hint="eastAsia"/>
        </w:rPr>
        <w:tab/>
        <w:t xml:space="preserve">2.  </w:t>
      </w:r>
      <w:r>
        <w:rPr>
          <w:rFonts w:hint="eastAsia"/>
        </w:rPr>
        <w:t>在编写本报告时，已考虑到经济、社会和文化权利委员会在讨论上一次报告时提出的看法和建议。</w:t>
      </w:r>
    </w:p>
    <w:p w:rsidR="00000000" w:rsidRDefault="00000000">
      <w:pPr>
        <w:spacing w:after="320"/>
        <w:rPr>
          <w:rFonts w:hint="eastAsia"/>
        </w:rPr>
      </w:pPr>
      <w:r>
        <w:rPr>
          <w:rFonts w:hint="eastAsia"/>
        </w:rPr>
        <w:tab/>
        <w:t xml:space="preserve">3.  </w:t>
      </w:r>
      <w:r>
        <w:rPr>
          <w:rFonts w:hint="eastAsia"/>
        </w:rPr>
        <w:t>在编写过程中，认为应将报告分为两部分，第一部分专门涉及对以前提出的一些建议的落实问题。同时也认为，在某些情况下请读者参阅报告第二部分中每一个具体问题的讨论情况是有益的，该部分提供了一个框架向读者说明意大利在</w:t>
      </w:r>
      <w:r>
        <w:rPr>
          <w:rFonts w:hint="eastAsia"/>
        </w:rPr>
        <w:t>1998</w:t>
      </w:r>
      <w:r>
        <w:rPr>
          <w:rFonts w:hint="eastAsia"/>
        </w:rPr>
        <w:t>年至</w:t>
      </w:r>
      <w:r>
        <w:rPr>
          <w:rFonts w:hint="eastAsia"/>
        </w:rPr>
        <w:t>2001</w:t>
      </w:r>
      <w:r>
        <w:rPr>
          <w:rFonts w:hint="eastAsia"/>
        </w:rPr>
        <w:t>年期间对《公约》各项规定的执行情况。在第二部分中，尤其着重讨论了政府在《公约》各项规定涉及的每一个具体部门所采取的政策方针，其中包括</w:t>
      </w:r>
      <w:r>
        <w:rPr>
          <w:rFonts w:hint="eastAsia"/>
        </w:rPr>
        <w:t>2001</w:t>
      </w:r>
      <w:r>
        <w:rPr>
          <w:rFonts w:hint="eastAsia"/>
        </w:rPr>
        <w:t>年通过的各项国家计划的内容。同时还考虑了这一领域的新立法以及行政惯例和程序。</w:t>
      </w:r>
    </w:p>
    <w:p w:rsidR="00000000" w:rsidRDefault="00000000">
      <w:pPr>
        <w:pStyle w:val="Heading3"/>
        <w:rPr>
          <w:rFonts w:hint="eastAsia"/>
        </w:rPr>
      </w:pPr>
      <w:r>
        <w:rPr>
          <w:rFonts w:hint="eastAsia"/>
          <w:u w:val="none"/>
        </w:rPr>
        <w:t xml:space="preserve">B.  </w:t>
      </w:r>
      <w:r>
        <w:rPr>
          <w:rFonts w:hint="eastAsia"/>
        </w:rPr>
        <w:t>政</w:t>
      </w:r>
      <w:r>
        <w:rPr>
          <w:rFonts w:hint="eastAsia"/>
        </w:rPr>
        <w:t xml:space="preserve"> </w:t>
      </w:r>
      <w:r>
        <w:rPr>
          <w:rFonts w:hint="eastAsia"/>
        </w:rPr>
        <w:t>治</w:t>
      </w:r>
      <w:r>
        <w:rPr>
          <w:rFonts w:hint="eastAsia"/>
        </w:rPr>
        <w:t xml:space="preserve"> </w:t>
      </w:r>
      <w:r>
        <w:rPr>
          <w:rFonts w:hint="eastAsia"/>
        </w:rPr>
        <w:t>框</w:t>
      </w:r>
      <w:r>
        <w:rPr>
          <w:rFonts w:hint="eastAsia"/>
        </w:rPr>
        <w:t xml:space="preserve"> </w:t>
      </w:r>
      <w:r>
        <w:rPr>
          <w:rFonts w:hint="eastAsia"/>
        </w:rPr>
        <w:t>架</w:t>
      </w:r>
    </w:p>
    <w:p w:rsidR="00000000" w:rsidRDefault="00000000">
      <w:pPr>
        <w:rPr>
          <w:rFonts w:hint="eastAsia"/>
        </w:rPr>
      </w:pPr>
      <w:r>
        <w:rPr>
          <w:rFonts w:hint="eastAsia"/>
        </w:rPr>
        <w:tab/>
        <w:t xml:space="preserve">4.  </w:t>
      </w:r>
      <w:r>
        <w:rPr>
          <w:rFonts w:hint="eastAsia"/>
        </w:rPr>
        <w:t>在</w:t>
      </w:r>
      <w:r>
        <w:rPr>
          <w:rFonts w:hint="eastAsia"/>
        </w:rPr>
        <w:t>2001</w:t>
      </w:r>
      <w:r>
        <w:rPr>
          <w:rFonts w:hint="eastAsia"/>
        </w:rPr>
        <w:t>年</w:t>
      </w:r>
      <w:r>
        <w:rPr>
          <w:rFonts w:hint="eastAsia"/>
        </w:rPr>
        <w:t>5</w:t>
      </w:r>
      <w:r>
        <w:rPr>
          <w:rFonts w:hint="eastAsia"/>
        </w:rPr>
        <w:t>月</w:t>
      </w:r>
      <w:r>
        <w:rPr>
          <w:rFonts w:hint="eastAsia"/>
        </w:rPr>
        <w:t>13</w:t>
      </w:r>
      <w:r>
        <w:rPr>
          <w:rFonts w:hint="eastAsia"/>
        </w:rPr>
        <w:t>日的选举中，中左联盟</w:t>
      </w:r>
      <w:r>
        <w:rPr>
          <w:rFonts w:hint="eastAsia"/>
        </w:rPr>
        <w:t>(</w:t>
      </w:r>
      <w:r>
        <w:rPr>
          <w:rFonts w:hint="eastAsia"/>
        </w:rPr>
        <w:t>被称作“</w:t>
      </w:r>
      <w:r>
        <w:t>Ulivo</w:t>
      </w:r>
      <w:r>
        <w:rPr>
          <w:rFonts w:hint="eastAsia"/>
        </w:rPr>
        <w:t>”，及橄榄树联盟</w:t>
      </w:r>
      <w:r>
        <w:rPr>
          <w:rFonts w:hint="eastAsia"/>
        </w:rPr>
        <w:t>)</w:t>
      </w:r>
      <w:r>
        <w:rPr>
          <w:rFonts w:hint="eastAsia"/>
        </w:rPr>
        <w:t>与中右联盟之间以前的权力平衡发生逆转，中右联盟在投票中获胜，旋即产生了第二届贝鲁斯科尼政府。政府任命之后，便提出了一个一揽子行动纲领，即所谓的“百日”一揽子计划，其中包括一系列复杂多样的措施。</w:t>
      </w:r>
    </w:p>
    <w:p w:rsidR="00000000" w:rsidRDefault="00000000">
      <w:pPr>
        <w:rPr>
          <w:rFonts w:hint="eastAsia"/>
        </w:rPr>
      </w:pPr>
      <w:r>
        <w:rPr>
          <w:rFonts w:hint="eastAsia"/>
        </w:rPr>
        <w:tab/>
        <w:t xml:space="preserve">5.  </w:t>
      </w:r>
      <w:r>
        <w:rPr>
          <w:rFonts w:hint="eastAsia"/>
        </w:rPr>
        <w:t>在经济部门，</w:t>
      </w:r>
      <w:r>
        <w:rPr>
          <w:rFonts w:hint="eastAsia"/>
        </w:rPr>
        <w:t>2001</w:t>
      </w:r>
      <w:r>
        <w:rPr>
          <w:rFonts w:hint="eastAsia"/>
        </w:rPr>
        <w:t>年</w:t>
      </w:r>
      <w:r>
        <w:rPr>
          <w:rFonts w:hint="eastAsia"/>
        </w:rPr>
        <w:t>10</w:t>
      </w:r>
      <w:r>
        <w:rPr>
          <w:rFonts w:hint="eastAsia"/>
        </w:rPr>
        <w:t>月</w:t>
      </w:r>
      <w:r>
        <w:rPr>
          <w:rFonts w:hint="eastAsia"/>
        </w:rPr>
        <w:t>18</w:t>
      </w:r>
      <w:r>
        <w:rPr>
          <w:rFonts w:hint="eastAsia"/>
        </w:rPr>
        <w:t>日有关经济复苏初步措施的第</w:t>
      </w:r>
      <w:r>
        <w:rPr>
          <w:rFonts w:hint="eastAsia"/>
        </w:rPr>
        <w:t>383</w:t>
      </w:r>
      <w:r>
        <w:rPr>
          <w:rFonts w:hint="eastAsia"/>
        </w:rPr>
        <w:t>号法律</w:t>
      </w:r>
      <w:r>
        <w:rPr>
          <w:rFonts w:hint="eastAsia"/>
        </w:rPr>
        <w:t>(</w:t>
      </w:r>
      <w:r>
        <w:rPr>
          <w:rFonts w:hint="eastAsia"/>
        </w:rPr>
        <w:t>称为“</w:t>
      </w:r>
      <w:r>
        <w:t>Tremonti bis</w:t>
      </w:r>
      <w:r>
        <w:rPr>
          <w:rFonts w:hint="eastAsia"/>
        </w:rPr>
        <w:t>”法</w:t>
      </w:r>
      <w:r>
        <w:rPr>
          <w:rFonts w:hint="eastAsia"/>
        </w:rPr>
        <w:t>)</w:t>
      </w:r>
      <w:r>
        <w:t>，</w:t>
      </w:r>
      <w:r>
        <w:rPr>
          <w:rFonts w:hint="eastAsia"/>
        </w:rPr>
        <w:t>旨在通过采取促进投资的财政刺激等手段来振兴经济。促进投资与发展的刺激手段中还包括税收抵减，抵减额等于公司分配给股东的红利所缴纳的税额，以鼓励公司资本化。</w:t>
      </w:r>
    </w:p>
    <w:p w:rsidR="00000000" w:rsidRDefault="00000000">
      <w:pPr>
        <w:rPr>
          <w:rFonts w:hint="eastAsia"/>
        </w:rPr>
      </w:pPr>
      <w:r>
        <w:rPr>
          <w:rFonts w:hint="eastAsia"/>
        </w:rPr>
        <w:tab/>
        <w:t xml:space="preserve">6.  </w:t>
      </w:r>
      <w:r>
        <w:rPr>
          <w:rFonts w:hint="eastAsia"/>
        </w:rPr>
        <w:t>在公共管理这一被视为在提升意大利国际经济竞争力方面具有战略意义的领域，政府打算采用高效率、高效能、简化、开放、透明和优质服务等一系列重要原则。整个改革进程的中心内容将是，进行技术创新，重新改造行政程序及相关结构，以及培训工作人员。</w:t>
      </w:r>
    </w:p>
    <w:p w:rsidR="00000000" w:rsidRDefault="00000000">
      <w:pPr>
        <w:rPr>
          <w:rFonts w:hint="eastAsia"/>
        </w:rPr>
      </w:pPr>
      <w:r>
        <w:rPr>
          <w:rFonts w:hint="eastAsia"/>
        </w:rPr>
        <w:tab/>
        <w:t xml:space="preserve">7.  </w:t>
      </w:r>
      <w:r>
        <w:rPr>
          <w:rFonts w:hint="eastAsia"/>
        </w:rPr>
        <w:t>在就业领域，随着关于“将就业和劳动市场方面事务的权力授予政府”的法案的颁布，在社会上各合作伙伴的参与下，通过实现公共就业服务的现代化，正在努力将就业率提高到欧洲联盟</w:t>
      </w:r>
      <w:r>
        <w:rPr>
          <w:rFonts w:hint="eastAsia"/>
        </w:rPr>
        <w:t>(</w:t>
      </w:r>
      <w:r>
        <w:rPr>
          <w:rFonts w:hint="eastAsia"/>
        </w:rPr>
        <w:t>欧盟</w:t>
      </w:r>
      <w:r>
        <w:rPr>
          <w:rFonts w:hint="eastAsia"/>
        </w:rPr>
        <w:t>)</w:t>
      </w:r>
      <w:r>
        <w:rPr>
          <w:rFonts w:hint="eastAsia"/>
        </w:rPr>
        <w:t>所议定的水平，主要目标是实现与欧洲的保障、灵活和参与标准接轨。</w:t>
      </w:r>
    </w:p>
    <w:p w:rsidR="00000000" w:rsidRDefault="00000000">
      <w:pPr>
        <w:rPr>
          <w:rFonts w:hint="eastAsia"/>
        </w:rPr>
      </w:pPr>
      <w:r>
        <w:rPr>
          <w:rFonts w:hint="eastAsia"/>
        </w:rPr>
        <w:tab/>
        <w:t xml:space="preserve">8.  </w:t>
      </w:r>
      <w:r>
        <w:rPr>
          <w:rFonts w:hint="eastAsia"/>
        </w:rPr>
        <w:t>政府计划中的一项便利年轻人进入劳动市场的优先事项是，执行有关定期工作的框架协定的第</w:t>
      </w:r>
      <w:r>
        <w:rPr>
          <w:rFonts w:hint="eastAsia"/>
        </w:rPr>
        <w:t>99/70/EC</w:t>
      </w:r>
      <w:r>
        <w:rPr>
          <w:rFonts w:hint="eastAsia"/>
        </w:rPr>
        <w:t>号指令</w:t>
      </w:r>
      <w:r>
        <w:rPr>
          <w:rFonts w:hint="eastAsia"/>
        </w:rPr>
        <w:t>(</w:t>
      </w:r>
      <w:r>
        <w:rPr>
          <w:rFonts w:hint="eastAsia"/>
        </w:rPr>
        <w:t>自</w:t>
      </w:r>
      <w:r>
        <w:rPr>
          <w:rFonts w:hint="eastAsia"/>
        </w:rPr>
        <w:t>2001</w:t>
      </w:r>
      <w:r>
        <w:rPr>
          <w:rFonts w:hint="eastAsia"/>
        </w:rPr>
        <w:t>年</w:t>
      </w:r>
      <w:r>
        <w:rPr>
          <w:rFonts w:hint="eastAsia"/>
        </w:rPr>
        <w:t>10</w:t>
      </w:r>
      <w:r>
        <w:rPr>
          <w:rFonts w:hint="eastAsia"/>
        </w:rPr>
        <w:t>月</w:t>
      </w:r>
      <w:r>
        <w:rPr>
          <w:rFonts w:hint="eastAsia"/>
        </w:rPr>
        <w:t>24</w:t>
      </w:r>
      <w:r>
        <w:rPr>
          <w:rFonts w:hint="eastAsia"/>
        </w:rPr>
        <w:t>日生效</w:t>
      </w:r>
      <w:r>
        <w:rPr>
          <w:rFonts w:hint="eastAsia"/>
        </w:rPr>
        <w:t>)</w:t>
      </w:r>
      <w:r>
        <w:rPr>
          <w:rFonts w:hint="eastAsia"/>
        </w:rPr>
        <w:t>。具体实施规定是第</w:t>
      </w:r>
      <w:r>
        <w:rPr>
          <w:rFonts w:hint="eastAsia"/>
        </w:rPr>
        <w:t>368/2001</w:t>
      </w:r>
      <w:r>
        <w:rPr>
          <w:rFonts w:hint="eastAsia"/>
        </w:rPr>
        <w:t>号立法令，该法令也考虑到了</w:t>
      </w:r>
      <w:r>
        <w:rPr>
          <w:rFonts w:hint="eastAsia"/>
        </w:rPr>
        <w:t>2001</w:t>
      </w:r>
      <w:r>
        <w:rPr>
          <w:rFonts w:hint="eastAsia"/>
        </w:rPr>
        <w:t>年</w:t>
      </w:r>
      <w:r>
        <w:rPr>
          <w:rFonts w:hint="eastAsia"/>
        </w:rPr>
        <w:t>5</w:t>
      </w:r>
      <w:r>
        <w:rPr>
          <w:rFonts w:hint="eastAsia"/>
        </w:rPr>
        <w:t>月</w:t>
      </w:r>
      <w:r>
        <w:rPr>
          <w:rFonts w:hint="eastAsia"/>
        </w:rPr>
        <w:t>4</w:t>
      </w:r>
      <w:r>
        <w:rPr>
          <w:rFonts w:hint="eastAsia"/>
        </w:rPr>
        <w:t>日与社会上各合作伙伴签订的协议。</w:t>
      </w:r>
    </w:p>
    <w:p w:rsidR="00000000" w:rsidRDefault="00000000">
      <w:pPr>
        <w:rPr>
          <w:rFonts w:hint="eastAsia"/>
        </w:rPr>
      </w:pPr>
      <w:r>
        <w:rPr>
          <w:rFonts w:hint="eastAsia"/>
        </w:rPr>
        <w:tab/>
        <w:t xml:space="preserve">9.  </w:t>
      </w:r>
      <w:r>
        <w:rPr>
          <w:rFonts w:hint="eastAsia"/>
        </w:rPr>
        <w:t>将劳动市场问题的权力授予政府后，就可以通过执行关于工作时间的第</w:t>
      </w:r>
      <w:r>
        <w:rPr>
          <w:rFonts w:hint="eastAsia"/>
        </w:rPr>
        <w:t>93/104/EEC</w:t>
      </w:r>
      <w:r>
        <w:rPr>
          <w:rFonts w:hint="eastAsia"/>
        </w:rPr>
        <w:t>号指令、关于欧洲劳资协议会的第</w:t>
      </w:r>
      <w:r>
        <w:rPr>
          <w:rFonts w:hint="eastAsia"/>
        </w:rPr>
        <w:t>94/45/EC</w:t>
      </w:r>
      <w:r>
        <w:rPr>
          <w:rFonts w:hint="eastAsia"/>
        </w:rPr>
        <w:t>号指令以及关于防止与化学物剂有关的危险的第</w:t>
      </w:r>
      <w:r>
        <w:rPr>
          <w:rFonts w:hint="eastAsia"/>
        </w:rPr>
        <w:t>1998/24/EC</w:t>
      </w:r>
      <w:r>
        <w:rPr>
          <w:rFonts w:hint="eastAsia"/>
        </w:rPr>
        <w:t>号指令，完成使意大利与其欧洲同伴步调一致的工作。在此方面，旨在解决非正规或“地下”劳动市场这一敏感问题而采取的所有行动，均具有相当重要的意义。</w:t>
      </w:r>
    </w:p>
    <w:p w:rsidR="00000000" w:rsidRDefault="00000000">
      <w:pPr>
        <w:rPr>
          <w:rFonts w:hint="eastAsia"/>
        </w:rPr>
      </w:pPr>
      <w:r>
        <w:rPr>
          <w:rFonts w:hint="eastAsia"/>
        </w:rPr>
        <w:tab/>
        <w:t xml:space="preserve">10.  </w:t>
      </w:r>
      <w:r>
        <w:rPr>
          <w:rFonts w:hint="eastAsia"/>
        </w:rPr>
        <w:t>为了具体解决尤其是意大利南部的地下经济所带来的道义上令人无法接受而且有害的问题，</w:t>
      </w:r>
      <w:r>
        <w:rPr>
          <w:rFonts w:hint="eastAsia"/>
        </w:rPr>
        <w:t>2001</w:t>
      </w:r>
      <w:r>
        <w:rPr>
          <w:rFonts w:hint="eastAsia"/>
        </w:rPr>
        <w:t>年</w:t>
      </w:r>
      <w:r>
        <w:rPr>
          <w:rFonts w:hint="eastAsia"/>
        </w:rPr>
        <w:t>10</w:t>
      </w:r>
      <w:r>
        <w:rPr>
          <w:rFonts w:hint="eastAsia"/>
        </w:rPr>
        <w:t>月</w:t>
      </w:r>
      <w:r>
        <w:rPr>
          <w:rFonts w:hint="eastAsia"/>
        </w:rPr>
        <w:t>18</w:t>
      </w:r>
      <w:r>
        <w:rPr>
          <w:rFonts w:hint="eastAsia"/>
        </w:rPr>
        <w:t>日第</w:t>
      </w:r>
      <w:r>
        <w:rPr>
          <w:rFonts w:hint="eastAsia"/>
        </w:rPr>
        <w:t>383</w:t>
      </w:r>
      <w:r>
        <w:rPr>
          <w:rFonts w:hint="eastAsia"/>
        </w:rPr>
        <w:t>号法律</w:t>
      </w:r>
      <w:r>
        <w:rPr>
          <w:rFonts w:hint="eastAsia"/>
        </w:rPr>
        <w:t>(</w:t>
      </w:r>
      <w:r>
        <w:rPr>
          <w:rFonts w:hint="eastAsia"/>
        </w:rPr>
        <w:t>第一篇</w:t>
      </w:r>
      <w:r>
        <w:rPr>
          <w:rFonts w:hint="eastAsia"/>
        </w:rPr>
        <w:t>)</w:t>
      </w:r>
      <w:r>
        <w:rPr>
          <w:rFonts w:hint="eastAsia"/>
        </w:rPr>
        <w:t>中规定了财政和缴款奖励办法，奖励额按“浮出地面”的劳动量递增。为规范非正规经济活动而采取的奖励办法可以带来一系列好处，例如：阻止对合法经营的公司有害的不正当竞争行为的发生、从结构上扩大税基、确保目前被排除在社会保险系统外的众多工人能充分享受福利制度所带来的好处。</w:t>
      </w:r>
    </w:p>
    <w:p w:rsidR="00000000" w:rsidRDefault="00000000">
      <w:pPr>
        <w:rPr>
          <w:rFonts w:hint="eastAsia"/>
        </w:rPr>
      </w:pPr>
      <w:r>
        <w:rPr>
          <w:rFonts w:hint="eastAsia"/>
        </w:rPr>
        <w:tab/>
        <w:t xml:space="preserve">11.  </w:t>
      </w:r>
      <w:r>
        <w:rPr>
          <w:rFonts w:hint="eastAsia"/>
        </w:rPr>
        <w:t>环境和自然资源部门也是政府极为关注的问题。这一点从有关“将审查环境问题立法的权力授予政府”的法案即可看出，该法案列出了被认为必须采取行动的各个领域。</w:t>
      </w:r>
    </w:p>
    <w:p w:rsidR="00000000" w:rsidRDefault="00000000">
      <w:pPr>
        <w:rPr>
          <w:rFonts w:hint="eastAsia"/>
        </w:rPr>
      </w:pPr>
      <w:r>
        <w:rPr>
          <w:rFonts w:hint="eastAsia"/>
        </w:rPr>
        <w:tab/>
        <w:t xml:space="preserve">12.  </w:t>
      </w:r>
      <w:r>
        <w:rPr>
          <w:rFonts w:hint="eastAsia"/>
        </w:rPr>
        <w:t>在研究领域，政府的战略目标是使意大利与欧洲主要国家的标准接轨。</w:t>
      </w:r>
    </w:p>
    <w:p w:rsidR="00000000" w:rsidRDefault="00000000">
      <w:pPr>
        <w:spacing w:after="320"/>
        <w:rPr>
          <w:rFonts w:hint="eastAsia"/>
        </w:rPr>
      </w:pPr>
      <w:r>
        <w:rPr>
          <w:rFonts w:hint="eastAsia"/>
        </w:rPr>
        <w:tab/>
        <w:t xml:space="preserve">13.  </w:t>
      </w:r>
      <w:r>
        <w:rPr>
          <w:rFonts w:hint="eastAsia"/>
        </w:rPr>
        <w:t>最后，在卫生领域，政府已采取措施，以克服本国最贫困地区的保健服务中的缺点。</w:t>
      </w:r>
    </w:p>
    <w:p w:rsidR="00000000" w:rsidRDefault="00000000">
      <w:pPr>
        <w:pStyle w:val="Heading3"/>
        <w:rPr>
          <w:rFonts w:hint="eastAsia"/>
        </w:rPr>
      </w:pPr>
      <w:r>
        <w:rPr>
          <w:rFonts w:hint="eastAsia"/>
          <w:u w:val="none"/>
        </w:rPr>
        <w:t xml:space="preserve">C.  </w:t>
      </w:r>
      <w:r>
        <w:rPr>
          <w:rFonts w:hint="eastAsia"/>
        </w:rPr>
        <w:t>总政策方针中最重要的内容</w:t>
      </w:r>
    </w:p>
    <w:p w:rsidR="00000000" w:rsidRDefault="00000000">
      <w:pPr>
        <w:pStyle w:val="Heading3"/>
        <w:rPr>
          <w:rFonts w:hint="eastAsia"/>
        </w:rPr>
      </w:pPr>
      <w:r>
        <w:rPr>
          <w:rFonts w:hint="eastAsia"/>
          <w:u w:val="none"/>
        </w:rPr>
        <w:t xml:space="preserve">1.  </w:t>
      </w:r>
      <w:r>
        <w:rPr>
          <w:rFonts w:hint="eastAsia"/>
        </w:rPr>
        <w:t>战胜贫困和打击社会排斥现象</w:t>
      </w:r>
    </w:p>
    <w:p w:rsidR="00000000" w:rsidRDefault="00000000">
      <w:pPr>
        <w:spacing w:after="320"/>
        <w:rPr>
          <w:rFonts w:hint="eastAsia"/>
        </w:rPr>
      </w:pPr>
      <w:r>
        <w:rPr>
          <w:rFonts w:hint="eastAsia"/>
        </w:rPr>
        <w:tab/>
        <w:t xml:space="preserve">14.  </w:t>
      </w:r>
      <w:r>
        <w:rPr>
          <w:rFonts w:hint="eastAsia"/>
        </w:rPr>
        <w:t>在意大利，战胜贫困和打击社会排斥现象被认为是促进经济进步和发展就业的关键内容之一。包容政策所立足的假设是，社会排斥现象的条件包括各种形式的物质剥夺和社会脆弱，已超出物质上的经济贫困或处境极为不利的范围，还包括家庭和社会关系、住房制度、支助与社会融合服务网络、培训和就业等方面的失败，以及社会边缘化现象。由此便认识到，要有效地打击与贫困和社会排斥有关的现象，就必须采取涉及广泛的一系列政策的行动：“传统的社会援助”，减贫政策，现代社会保护及社会和文化融合政策，为最弱势的人群提供指导、培训和就业的政策，发展社会经济的政策，家庭生活的时间和需要协调，住房、卫生、体育和休闲政策，以及有关增加知识及开发新的信息和通信技术的政策。</w:t>
      </w:r>
    </w:p>
    <w:p w:rsidR="00000000" w:rsidRDefault="00000000">
      <w:pPr>
        <w:pStyle w:val="Heading3"/>
        <w:rPr>
          <w:rFonts w:hint="eastAsia"/>
        </w:rPr>
      </w:pPr>
      <w:r>
        <w:rPr>
          <w:rFonts w:hint="eastAsia"/>
          <w:u w:val="none"/>
        </w:rPr>
        <w:t xml:space="preserve">2.  </w:t>
      </w:r>
      <w:r>
        <w:rPr>
          <w:rFonts w:hint="eastAsia"/>
        </w:rPr>
        <w:t>国家计划</w:t>
      </w:r>
    </w:p>
    <w:p w:rsidR="00000000" w:rsidRDefault="00000000">
      <w:pPr>
        <w:spacing w:after="320"/>
        <w:rPr>
          <w:rFonts w:hint="eastAsia"/>
        </w:rPr>
      </w:pPr>
      <w:r>
        <w:rPr>
          <w:rFonts w:hint="eastAsia"/>
        </w:rPr>
        <w:tab/>
        <w:t xml:space="preserve">15.  </w:t>
      </w:r>
      <w:r>
        <w:rPr>
          <w:rFonts w:hint="eastAsia"/>
        </w:rPr>
        <w:t>鉴于上述情况，意大利过去几年来在规划方面提出了一系列部门计划，以分门别类地处理社会排斥的问题</w:t>
      </w:r>
      <w:r>
        <w:rPr>
          <w:rFonts w:hint="eastAsia"/>
        </w:rPr>
        <w:t>(</w:t>
      </w:r>
      <w:r>
        <w:rPr>
          <w:rFonts w:hint="eastAsia"/>
        </w:rPr>
        <w:t>残疾人政策行动纲领、儿童与青少年行动计划、吸毒问题国家基金、老年人问题干预方案、托儿所基金</w:t>
      </w:r>
      <w:r>
        <w:rPr>
          <w:rFonts w:hint="eastAsia"/>
        </w:rPr>
        <w:t>)</w:t>
      </w:r>
      <w:r>
        <w:rPr>
          <w:rFonts w:hint="eastAsia"/>
        </w:rPr>
        <w:t>。在这些“纵向”计划之外，还增加了一系列全国性计划，双管齐下：国家卫生计划、国家就业计划、国家教育计划，尤其是国家社会行动和服务计划。最后一项计划是</w:t>
      </w:r>
      <w:r>
        <w:rPr>
          <w:rFonts w:hint="eastAsia"/>
        </w:rPr>
        <w:t>2001</w:t>
      </w:r>
      <w:r>
        <w:rPr>
          <w:rFonts w:hint="eastAsia"/>
        </w:rPr>
        <w:t>年</w:t>
      </w:r>
      <w:r>
        <w:rPr>
          <w:rFonts w:hint="eastAsia"/>
        </w:rPr>
        <w:t>4</w:t>
      </w:r>
      <w:r>
        <w:rPr>
          <w:rFonts w:hint="eastAsia"/>
        </w:rPr>
        <w:t>月适用《社会福利框架法律》</w:t>
      </w:r>
      <w:r>
        <w:rPr>
          <w:rFonts w:hint="eastAsia"/>
        </w:rPr>
        <w:t>(</w:t>
      </w:r>
      <w:r>
        <w:rPr>
          <w:rFonts w:hint="eastAsia"/>
        </w:rPr>
        <w:t>第</w:t>
      </w:r>
      <w:r>
        <w:rPr>
          <w:rFonts w:hint="eastAsia"/>
        </w:rPr>
        <w:t>328/2000</w:t>
      </w:r>
      <w:r>
        <w:rPr>
          <w:rFonts w:hint="eastAsia"/>
        </w:rPr>
        <w:t>号法律</w:t>
      </w:r>
      <w:r>
        <w:rPr>
          <w:rFonts w:hint="eastAsia"/>
        </w:rPr>
        <w:t>)</w:t>
      </w:r>
      <w:r>
        <w:rPr>
          <w:rFonts w:hint="eastAsia"/>
        </w:rPr>
        <w:t>而予以核准的，其特点是网络结构非常分散，从而使这一制度可通过区域和地区计划在地方一级发展，并让地方各界人士直接参与各项政策和行动的规划、设计和执行。这一结构可以突出地区与地区之间在经历的不利境况类别方面的差异，从而根据其不同需求并在区域间基准框架内确定干预措施的优先重点。</w:t>
      </w:r>
    </w:p>
    <w:p w:rsidR="00000000" w:rsidRDefault="00000000">
      <w:pPr>
        <w:pStyle w:val="Heading3"/>
        <w:rPr>
          <w:rFonts w:hint="eastAsia"/>
        </w:rPr>
      </w:pPr>
      <w:r>
        <w:rPr>
          <w:rFonts w:hint="eastAsia"/>
          <w:u w:val="none"/>
        </w:rPr>
        <w:t xml:space="preserve">3.  </w:t>
      </w:r>
      <w:r>
        <w:rPr>
          <w:rFonts w:hint="eastAsia"/>
        </w:rPr>
        <w:t>国家社会行动和计划</w:t>
      </w:r>
    </w:p>
    <w:p w:rsidR="00000000" w:rsidRDefault="00000000">
      <w:pPr>
        <w:rPr>
          <w:rFonts w:hint="eastAsia"/>
        </w:rPr>
      </w:pPr>
      <w:r>
        <w:rPr>
          <w:rFonts w:hint="eastAsia"/>
        </w:rPr>
        <w:tab/>
        <w:t>16.  2001</w:t>
      </w:r>
      <w:r>
        <w:rPr>
          <w:rFonts w:hint="eastAsia"/>
        </w:rPr>
        <w:t>年</w:t>
      </w:r>
      <w:r>
        <w:rPr>
          <w:rFonts w:hint="eastAsia"/>
        </w:rPr>
        <w:t>4</w:t>
      </w:r>
      <w:r>
        <w:rPr>
          <w:rFonts w:hint="eastAsia"/>
        </w:rPr>
        <w:t>月适用第</w:t>
      </w:r>
      <w:r>
        <w:rPr>
          <w:rFonts w:hint="eastAsia"/>
        </w:rPr>
        <w:t>328/2000</w:t>
      </w:r>
      <w:r>
        <w:rPr>
          <w:rFonts w:hint="eastAsia"/>
        </w:rPr>
        <w:t>号法律而批准的社会计划是围绕以下关键目标安排的：</w:t>
      </w:r>
    </w:p>
    <w:p w:rsidR="00000000" w:rsidRDefault="00000000">
      <w:pPr>
        <w:pStyle w:val="a0"/>
        <w:tabs>
          <w:tab w:val="num" w:pos="510"/>
        </w:tabs>
        <w:ind w:left="1550"/>
        <w:rPr>
          <w:rFonts w:hint="eastAsia"/>
        </w:rPr>
      </w:pPr>
      <w:r>
        <w:rPr>
          <w:rFonts w:hint="eastAsia"/>
        </w:rPr>
        <w:t>为个人和家庭提供一个综合社会行动和服务系统；</w:t>
      </w:r>
    </w:p>
    <w:p w:rsidR="00000000" w:rsidRDefault="00000000">
      <w:pPr>
        <w:pStyle w:val="a0"/>
        <w:tabs>
          <w:tab w:val="num" w:pos="510"/>
        </w:tabs>
        <w:ind w:left="1550"/>
        <w:rPr>
          <w:rFonts w:hint="eastAsia"/>
        </w:rPr>
      </w:pPr>
      <w:r>
        <w:rPr>
          <w:rFonts w:hint="eastAsia"/>
        </w:rPr>
        <w:t>保证生活质量；</w:t>
      </w:r>
    </w:p>
    <w:p w:rsidR="00000000" w:rsidRDefault="00000000">
      <w:pPr>
        <w:pStyle w:val="a0"/>
        <w:tabs>
          <w:tab w:val="num" w:pos="510"/>
        </w:tabs>
        <w:ind w:left="1550"/>
        <w:rPr>
          <w:rFonts w:hint="eastAsia"/>
        </w:rPr>
      </w:pPr>
      <w:r>
        <w:rPr>
          <w:rFonts w:hint="eastAsia"/>
        </w:rPr>
        <w:t>预防、减少和消除造成残疾的条件；</w:t>
      </w:r>
    </w:p>
    <w:p w:rsidR="00000000" w:rsidRDefault="00000000">
      <w:pPr>
        <w:pStyle w:val="a0"/>
        <w:tabs>
          <w:tab w:val="num" w:pos="510"/>
        </w:tabs>
        <w:ind w:left="1550"/>
        <w:rPr>
          <w:rFonts w:hint="eastAsia"/>
        </w:rPr>
      </w:pPr>
      <w:r>
        <w:rPr>
          <w:rFonts w:hint="eastAsia"/>
        </w:rPr>
        <w:t>促进公民参与，以及工会组织与社会和消费者保护组织作贡献；</w:t>
      </w:r>
    </w:p>
    <w:p w:rsidR="00000000" w:rsidRDefault="00000000">
      <w:pPr>
        <w:pStyle w:val="a0"/>
        <w:tabs>
          <w:tab w:val="num" w:pos="510"/>
        </w:tabs>
        <w:ind w:left="1550"/>
        <w:rPr>
          <w:rFonts w:hint="eastAsia"/>
        </w:rPr>
      </w:pPr>
      <w:r>
        <w:rPr>
          <w:rFonts w:hint="eastAsia"/>
        </w:rPr>
        <w:t>增强和支持家庭责任；</w:t>
      </w:r>
    </w:p>
    <w:p w:rsidR="00000000" w:rsidRDefault="00000000">
      <w:pPr>
        <w:pStyle w:val="a0"/>
        <w:tabs>
          <w:tab w:val="num" w:pos="510"/>
        </w:tabs>
        <w:ind w:left="1550"/>
        <w:rPr>
          <w:rFonts w:hint="eastAsia"/>
        </w:rPr>
      </w:pPr>
      <w:r>
        <w:rPr>
          <w:rFonts w:hint="eastAsia"/>
        </w:rPr>
        <w:t>加强干预行动，战胜贫困；</w:t>
      </w:r>
    </w:p>
    <w:p w:rsidR="00000000" w:rsidRDefault="00000000">
      <w:pPr>
        <w:pStyle w:val="a0"/>
        <w:tabs>
          <w:tab w:val="num" w:pos="510"/>
        </w:tabs>
        <w:ind w:left="1550"/>
        <w:rPr>
          <w:rFonts w:hint="eastAsia"/>
        </w:rPr>
      </w:pPr>
      <w:r>
        <w:rPr>
          <w:rFonts w:hint="eastAsia"/>
        </w:rPr>
        <w:t>制定专门措施，鼓励将移民纳入社会，防止青少年依赖毒品或酒精，并鼓励为青少年开展工作。</w:t>
      </w:r>
    </w:p>
    <w:p w:rsidR="00000000" w:rsidRDefault="00000000">
      <w:pPr>
        <w:rPr>
          <w:rFonts w:hint="eastAsia"/>
        </w:rPr>
      </w:pPr>
      <w:r>
        <w:rPr>
          <w:rFonts w:hint="eastAsia"/>
        </w:rPr>
        <w:tab/>
        <w:t xml:space="preserve">17.  </w:t>
      </w:r>
      <w:r>
        <w:rPr>
          <w:rFonts w:hint="eastAsia"/>
        </w:rPr>
        <w:t>预期目标和措施的重点是：</w:t>
      </w:r>
    </w:p>
    <w:p w:rsidR="00000000" w:rsidRDefault="00000000">
      <w:pPr>
        <w:pStyle w:val="a0"/>
        <w:tabs>
          <w:tab w:val="num" w:pos="510"/>
        </w:tabs>
        <w:ind w:left="1550"/>
        <w:rPr>
          <w:rFonts w:hint="eastAsia"/>
        </w:rPr>
      </w:pPr>
      <w:r>
        <w:rPr>
          <w:rFonts w:hint="eastAsia"/>
        </w:rPr>
        <w:t>为社会各不同领域制定政策并提供服务；</w:t>
      </w:r>
    </w:p>
    <w:p w:rsidR="00000000" w:rsidRDefault="00000000">
      <w:pPr>
        <w:pStyle w:val="a0"/>
        <w:tabs>
          <w:tab w:val="num" w:pos="510"/>
        </w:tabs>
        <w:ind w:left="1550"/>
        <w:rPr>
          <w:rFonts w:hint="eastAsia"/>
        </w:rPr>
      </w:pPr>
      <w:r>
        <w:rPr>
          <w:rFonts w:hint="eastAsia"/>
        </w:rPr>
        <w:t>为个人和家庭提供服务，并辅以经济措施；</w:t>
      </w:r>
    </w:p>
    <w:p w:rsidR="00000000" w:rsidRDefault="00000000">
      <w:pPr>
        <w:pStyle w:val="a0"/>
        <w:tabs>
          <w:tab w:val="num" w:pos="510"/>
        </w:tabs>
        <w:ind w:left="1550"/>
        <w:rPr>
          <w:rFonts w:hint="eastAsia"/>
        </w:rPr>
      </w:pPr>
      <w:r>
        <w:rPr>
          <w:rFonts w:hint="eastAsia"/>
        </w:rPr>
        <w:t>积极为优化资源开辟渠道。</w:t>
      </w:r>
    </w:p>
    <w:p w:rsidR="00000000" w:rsidRDefault="00000000">
      <w:pPr>
        <w:rPr>
          <w:rFonts w:hint="eastAsia"/>
        </w:rPr>
      </w:pPr>
      <w:r>
        <w:rPr>
          <w:rFonts w:hint="eastAsia"/>
        </w:rPr>
        <w:tab/>
        <w:t xml:space="preserve">18.  </w:t>
      </w:r>
      <w:r>
        <w:rPr>
          <w:rFonts w:hint="eastAsia"/>
        </w:rPr>
        <w:t>计划优先采取以下行动：</w:t>
      </w:r>
    </w:p>
    <w:p w:rsidR="00000000" w:rsidRDefault="00000000">
      <w:pPr>
        <w:pStyle w:val="a0"/>
        <w:tabs>
          <w:tab w:val="num" w:pos="510"/>
        </w:tabs>
        <w:ind w:left="1550"/>
        <w:rPr>
          <w:rFonts w:hint="eastAsia"/>
        </w:rPr>
      </w:pPr>
      <w:r>
        <w:rPr>
          <w:rFonts w:hint="eastAsia"/>
        </w:rPr>
        <w:t>采取经济措施，鼓励创造生活自立的条件，以及对完全受扶养者实行家中扶养；</w:t>
      </w:r>
    </w:p>
    <w:p w:rsidR="00000000" w:rsidRDefault="00000000">
      <w:pPr>
        <w:pStyle w:val="a0"/>
        <w:tabs>
          <w:tab w:val="num" w:pos="510"/>
        </w:tabs>
        <w:ind w:left="1550"/>
        <w:rPr>
          <w:rFonts w:hint="eastAsia"/>
        </w:rPr>
      </w:pPr>
      <w:r>
        <w:rPr>
          <w:rFonts w:hint="eastAsia"/>
        </w:rPr>
        <w:t>采取行动支助未成年人；</w:t>
      </w:r>
    </w:p>
    <w:p w:rsidR="00000000" w:rsidRDefault="00000000">
      <w:pPr>
        <w:pStyle w:val="a0"/>
        <w:tabs>
          <w:tab w:val="num" w:pos="510"/>
        </w:tabs>
        <w:ind w:left="1550"/>
        <w:rPr>
          <w:rFonts w:hint="eastAsia"/>
        </w:rPr>
      </w:pPr>
      <w:r>
        <w:rPr>
          <w:rFonts w:hint="eastAsia"/>
        </w:rPr>
        <w:t>采取措施支助处境艰难的妇女；</w:t>
      </w:r>
    </w:p>
    <w:p w:rsidR="00000000" w:rsidRDefault="00000000">
      <w:pPr>
        <w:pStyle w:val="a0"/>
        <w:tabs>
          <w:tab w:val="num" w:pos="510"/>
        </w:tabs>
        <w:ind w:left="1550"/>
        <w:rPr>
          <w:rFonts w:hint="eastAsia"/>
        </w:rPr>
      </w:pPr>
      <w:r>
        <w:rPr>
          <w:rFonts w:hint="eastAsia"/>
        </w:rPr>
        <w:t>采取行动促进残疾人全面融入社会；</w:t>
      </w:r>
    </w:p>
    <w:p w:rsidR="00000000" w:rsidRDefault="00000000">
      <w:pPr>
        <w:pStyle w:val="a0"/>
        <w:tabs>
          <w:tab w:val="num" w:pos="510"/>
        </w:tabs>
        <w:ind w:left="1550"/>
        <w:rPr>
          <w:rFonts w:hint="eastAsia"/>
        </w:rPr>
      </w:pPr>
      <w:r>
        <w:rPr>
          <w:rFonts w:hint="eastAsia"/>
        </w:rPr>
        <w:t>采取行动让老年人和残疾人能继续在家中生活、与家人在一起生活、或在公寓性或半公寓性机构内生活；</w:t>
      </w:r>
    </w:p>
    <w:p w:rsidR="00000000" w:rsidRDefault="00000000">
      <w:pPr>
        <w:pStyle w:val="a0"/>
        <w:tabs>
          <w:tab w:val="num" w:pos="510"/>
        </w:tabs>
        <w:ind w:left="1550"/>
        <w:rPr>
          <w:rFonts w:hint="eastAsia"/>
        </w:rPr>
      </w:pPr>
      <w:r>
        <w:rPr>
          <w:rFonts w:hint="eastAsia"/>
        </w:rPr>
        <w:t>提供综合社会教育服务，防止吸毒、酗酒和依赖药物，并采取以康复和重新融入社会为目标的预防行动；</w:t>
      </w:r>
    </w:p>
    <w:p w:rsidR="00000000" w:rsidRDefault="00000000">
      <w:pPr>
        <w:pStyle w:val="a0"/>
        <w:tabs>
          <w:tab w:val="num" w:pos="510"/>
        </w:tabs>
        <w:ind w:left="1550"/>
        <w:rPr>
          <w:rFonts w:hint="eastAsia"/>
        </w:rPr>
      </w:pPr>
      <w:r>
        <w:rPr>
          <w:rFonts w:hint="eastAsia"/>
        </w:rPr>
        <w:t>为个人和家庭提供信息和咨询，使其受益于各项服务和自助活动；</w:t>
      </w:r>
    </w:p>
    <w:p w:rsidR="00000000" w:rsidRDefault="00000000">
      <w:pPr>
        <w:pStyle w:val="a0"/>
        <w:tabs>
          <w:tab w:val="num" w:pos="510"/>
        </w:tabs>
        <w:ind w:left="1550"/>
        <w:rPr>
          <w:rFonts w:hint="eastAsia"/>
        </w:rPr>
      </w:pPr>
      <w:r>
        <w:rPr>
          <w:rFonts w:hint="eastAsia"/>
        </w:rPr>
        <w:t>采取措施为个人和家庭提供综合社会服务与行动系统；</w:t>
      </w:r>
    </w:p>
    <w:p w:rsidR="00000000" w:rsidRDefault="00000000">
      <w:pPr>
        <w:pStyle w:val="a0"/>
        <w:tabs>
          <w:tab w:val="num" w:pos="510"/>
        </w:tabs>
        <w:ind w:left="1550"/>
        <w:rPr>
          <w:rFonts w:hint="eastAsia"/>
        </w:rPr>
      </w:pPr>
      <w:r>
        <w:rPr>
          <w:rFonts w:hint="eastAsia"/>
        </w:rPr>
        <w:t>采取更有针对性的措施，以战胜贫困；</w:t>
      </w:r>
    </w:p>
    <w:p w:rsidR="00000000" w:rsidRDefault="00000000">
      <w:pPr>
        <w:pStyle w:val="a0"/>
        <w:tabs>
          <w:tab w:val="num" w:pos="510"/>
        </w:tabs>
        <w:ind w:left="1550"/>
        <w:rPr>
          <w:rFonts w:hint="eastAsia"/>
        </w:rPr>
      </w:pPr>
      <w:r>
        <w:rPr>
          <w:rFonts w:hint="eastAsia"/>
        </w:rPr>
        <w:t>采取行动提高生活质量；</w:t>
      </w:r>
    </w:p>
    <w:p w:rsidR="00000000" w:rsidRDefault="00000000">
      <w:pPr>
        <w:pStyle w:val="a0"/>
        <w:tabs>
          <w:tab w:val="num" w:pos="510"/>
        </w:tabs>
        <w:ind w:left="1550"/>
        <w:rPr>
          <w:rFonts w:hint="eastAsia"/>
        </w:rPr>
      </w:pPr>
      <w:r>
        <w:rPr>
          <w:rFonts w:hint="eastAsia"/>
        </w:rPr>
        <w:t>采取措施预防、消除或减少造成残疾、贫困和不利处境的条件；</w:t>
      </w:r>
    </w:p>
    <w:p w:rsidR="00000000" w:rsidRDefault="00000000">
      <w:pPr>
        <w:pStyle w:val="a0"/>
        <w:tabs>
          <w:tab w:val="num" w:pos="510"/>
        </w:tabs>
        <w:ind w:left="1550"/>
        <w:rPr>
          <w:rFonts w:hint="eastAsia"/>
          <w:spacing w:val="0"/>
        </w:rPr>
      </w:pPr>
      <w:r>
        <w:rPr>
          <w:rFonts w:hint="eastAsia"/>
          <w:spacing w:val="0"/>
        </w:rPr>
        <w:t>采取行动促进公民积极参与，以及工会与社会和消费者保护组织作贡献；</w:t>
      </w:r>
    </w:p>
    <w:p w:rsidR="00000000" w:rsidRDefault="00000000">
      <w:pPr>
        <w:pStyle w:val="a0"/>
        <w:tabs>
          <w:tab w:val="num" w:pos="510"/>
        </w:tabs>
        <w:ind w:left="1550"/>
        <w:rPr>
          <w:rFonts w:hint="eastAsia"/>
        </w:rPr>
      </w:pPr>
      <w:r>
        <w:rPr>
          <w:rFonts w:hint="eastAsia"/>
        </w:rPr>
        <w:t>增强和支持家庭责任；</w:t>
      </w:r>
    </w:p>
    <w:p w:rsidR="00000000" w:rsidRDefault="00000000">
      <w:pPr>
        <w:pStyle w:val="a0"/>
        <w:tabs>
          <w:tab w:val="num" w:pos="510"/>
        </w:tabs>
        <w:ind w:left="1550"/>
        <w:rPr>
          <w:rFonts w:hint="eastAsia"/>
        </w:rPr>
      </w:pPr>
      <w:r>
        <w:rPr>
          <w:rFonts w:hint="eastAsia"/>
        </w:rPr>
        <w:t>加强未成年人的权利；</w:t>
      </w:r>
    </w:p>
    <w:p w:rsidR="00000000" w:rsidRDefault="00000000">
      <w:pPr>
        <w:pStyle w:val="a0"/>
        <w:tabs>
          <w:tab w:val="num" w:pos="510"/>
        </w:tabs>
        <w:ind w:left="1550"/>
        <w:rPr>
          <w:rFonts w:hint="eastAsia"/>
        </w:rPr>
      </w:pPr>
      <w:r>
        <w:rPr>
          <w:rFonts w:hint="eastAsia"/>
        </w:rPr>
        <w:t>采取更加强有力的行动以战胜贫困；</w:t>
      </w:r>
    </w:p>
    <w:p w:rsidR="00000000" w:rsidRDefault="00000000">
      <w:pPr>
        <w:pStyle w:val="a0"/>
        <w:tabs>
          <w:tab w:val="num" w:pos="510"/>
        </w:tabs>
        <w:ind w:left="1550"/>
        <w:rPr>
          <w:rFonts w:hint="eastAsia"/>
        </w:rPr>
      </w:pPr>
      <w:r>
        <w:rPr>
          <w:rFonts w:hint="eastAsia"/>
        </w:rPr>
        <w:t>通过在家中提供服务的形式，为不能自给自足者</w:t>
      </w:r>
      <w:r>
        <w:rPr>
          <w:rFonts w:hint="eastAsia"/>
        </w:rPr>
        <w:t>(</w:t>
      </w:r>
      <w:r>
        <w:rPr>
          <w:rFonts w:hint="eastAsia"/>
        </w:rPr>
        <w:t>尤其是严重残疾者</w:t>
      </w:r>
      <w:r>
        <w:rPr>
          <w:rFonts w:hint="eastAsia"/>
        </w:rPr>
        <w:t>)</w:t>
      </w:r>
      <w:r>
        <w:rPr>
          <w:rFonts w:hint="eastAsia"/>
        </w:rPr>
        <w:t>提供支助；</w:t>
      </w:r>
    </w:p>
    <w:p w:rsidR="00000000" w:rsidRDefault="00000000">
      <w:pPr>
        <w:pStyle w:val="a0"/>
        <w:tabs>
          <w:tab w:val="num" w:pos="510"/>
        </w:tabs>
        <w:spacing w:after="320"/>
        <w:ind w:left="1550"/>
        <w:rPr>
          <w:rFonts w:hint="eastAsia"/>
        </w:rPr>
      </w:pPr>
      <w:r>
        <w:rPr>
          <w:rFonts w:hint="eastAsia"/>
        </w:rPr>
        <w:t>制定措施，鼓励将移民纳入社会，防止青少年依赖毒品或酒精，并加大力度处理青少年面临的问题。</w:t>
      </w:r>
    </w:p>
    <w:p w:rsidR="00000000" w:rsidRDefault="00000000">
      <w:pPr>
        <w:pStyle w:val="Heading3"/>
        <w:rPr>
          <w:rFonts w:hint="eastAsia"/>
        </w:rPr>
      </w:pPr>
      <w:r>
        <w:rPr>
          <w:rFonts w:hint="eastAsia"/>
          <w:u w:val="none"/>
        </w:rPr>
        <w:t xml:space="preserve">4.  </w:t>
      </w:r>
      <w:r>
        <w:rPr>
          <w:rFonts w:hint="eastAsia"/>
        </w:rPr>
        <w:t>打击排斥现象的国家行动计划</w:t>
      </w:r>
    </w:p>
    <w:p w:rsidR="00000000" w:rsidRDefault="00000000">
      <w:pPr>
        <w:rPr>
          <w:rFonts w:hint="eastAsia"/>
        </w:rPr>
      </w:pPr>
      <w:r>
        <w:rPr>
          <w:rFonts w:hint="eastAsia"/>
        </w:rPr>
        <w:tab/>
        <w:t xml:space="preserve">19.  </w:t>
      </w:r>
      <w:r>
        <w:rPr>
          <w:rFonts w:hint="eastAsia"/>
        </w:rPr>
        <w:t>根据</w:t>
      </w:r>
      <w:r>
        <w:rPr>
          <w:rFonts w:hint="eastAsia"/>
        </w:rPr>
        <w:t>2000</w:t>
      </w:r>
      <w:r>
        <w:rPr>
          <w:rFonts w:hint="eastAsia"/>
        </w:rPr>
        <w:t>年</w:t>
      </w:r>
      <w:r>
        <w:rPr>
          <w:rFonts w:hint="eastAsia"/>
        </w:rPr>
        <w:t>12</w:t>
      </w:r>
      <w:r>
        <w:rPr>
          <w:rFonts w:hint="eastAsia"/>
        </w:rPr>
        <w:t>月在尼斯举行的欧盟首脑会议上各国家元首和政府首脑提出的请求，意大利于</w:t>
      </w:r>
      <w:r>
        <w:rPr>
          <w:rFonts w:hint="eastAsia"/>
        </w:rPr>
        <w:t>2001</w:t>
      </w:r>
      <w:r>
        <w:rPr>
          <w:rFonts w:hint="eastAsia"/>
        </w:rPr>
        <w:t>年</w:t>
      </w:r>
      <w:r>
        <w:rPr>
          <w:rFonts w:hint="eastAsia"/>
        </w:rPr>
        <w:t>6</w:t>
      </w:r>
      <w:r>
        <w:rPr>
          <w:rFonts w:hint="eastAsia"/>
        </w:rPr>
        <w:t>月提出了第一份打击排斥现象的两年期国家计划。该行动计划汇总并概括了</w:t>
      </w:r>
      <w:r>
        <w:rPr>
          <w:rFonts w:hint="eastAsia"/>
        </w:rPr>
        <w:t>2000</w:t>
      </w:r>
      <w:r>
        <w:rPr>
          <w:rFonts w:hint="eastAsia"/>
        </w:rPr>
        <w:t>年至</w:t>
      </w:r>
      <w:r>
        <w:rPr>
          <w:rFonts w:hint="eastAsia"/>
        </w:rPr>
        <w:t>2003</w:t>
      </w:r>
      <w:r>
        <w:rPr>
          <w:rFonts w:hint="eastAsia"/>
        </w:rPr>
        <w:t>年期间所执行的各项国家、部门、区域计划的优先重点、行动方针、措施和行动，并根据尼斯理事会提出的主要目标，强调了为以下行动领域所确定的优先事项，规划的具体行动，和制定的各项措施：</w:t>
      </w:r>
    </w:p>
    <w:p w:rsidR="00000000" w:rsidRDefault="00000000">
      <w:pPr>
        <w:pStyle w:val="a0"/>
        <w:tabs>
          <w:tab w:val="num" w:pos="510"/>
        </w:tabs>
        <w:ind w:left="1548"/>
        <w:rPr>
          <w:rFonts w:hint="eastAsia"/>
        </w:rPr>
      </w:pPr>
      <w:r>
        <w:rPr>
          <w:rFonts w:hint="eastAsia"/>
        </w:rPr>
        <w:t>宣传直接和横向的就业政策，具体手段是，承认创新，更新教育和培训制度，不仅以此作为促进发展、经济增长和就业的因素，而且作为打击社会排斥新表现的主要内容。主要优先事项包括：必须加强就业一体化和终身学习制度中的现有机制；采取收入支助措施，以实现社会和就业再融入；通过更好地协调工作生活和家庭生活的需求，增强并支持家庭责任；</w:t>
      </w:r>
    </w:p>
    <w:p w:rsidR="00000000" w:rsidRDefault="00000000">
      <w:pPr>
        <w:pStyle w:val="a0"/>
        <w:tabs>
          <w:tab w:val="num" w:pos="510"/>
        </w:tabs>
        <w:ind w:left="1548"/>
        <w:rPr>
          <w:rFonts w:hint="eastAsia"/>
        </w:rPr>
      </w:pPr>
      <w:r>
        <w:rPr>
          <w:rFonts w:hint="eastAsia"/>
        </w:rPr>
        <w:t>提倡人人共享资源、权利、商品和服务。该计划中所提出的优先行动是：实施新的框架法律</w:t>
      </w:r>
      <w:r>
        <w:rPr>
          <w:rFonts w:hint="eastAsia"/>
        </w:rPr>
        <w:t>(</w:t>
      </w:r>
      <w:r>
        <w:rPr>
          <w:rFonts w:hint="eastAsia"/>
        </w:rPr>
        <w:t>第</w:t>
      </w:r>
      <w:r>
        <w:rPr>
          <w:rFonts w:hint="eastAsia"/>
        </w:rPr>
        <w:t>328/2000</w:t>
      </w:r>
      <w:r>
        <w:rPr>
          <w:rFonts w:hint="eastAsia"/>
        </w:rPr>
        <w:t>号法律</w:t>
      </w:r>
      <w:r>
        <w:rPr>
          <w:rFonts w:hint="eastAsia"/>
        </w:rPr>
        <w:t>)</w:t>
      </w:r>
      <w:r>
        <w:rPr>
          <w:rFonts w:hint="eastAsia"/>
        </w:rPr>
        <w:t>，使获得社会服务的现有措施和手段得到巩固，和多样化，以落实能为个人提供终身支助和保护的各项福利政策；提高使用者在保健和社会福利等领域中的决策自主性，减少信息方面的不平衡</w:t>
      </w:r>
      <w:r>
        <w:rPr>
          <w:rFonts w:hint="eastAsia"/>
        </w:rPr>
        <w:t>(</w:t>
      </w:r>
      <w:r>
        <w:rPr>
          <w:rFonts w:hint="eastAsia"/>
        </w:rPr>
        <w:t>以实现社会</w:t>
      </w:r>
      <w:r>
        <w:rPr>
          <w:rFonts w:hint="eastAsia"/>
          <w:spacing w:val="-40"/>
        </w:rPr>
        <w:t>――</w:t>
      </w:r>
      <w:r>
        <w:rPr>
          <w:rFonts w:hint="eastAsia"/>
          <w:spacing w:val="-40"/>
        </w:rPr>
        <w:t xml:space="preserve"> </w:t>
      </w:r>
      <w:r>
        <w:rPr>
          <w:rFonts w:hint="eastAsia"/>
        </w:rPr>
        <w:t>卫生一体化</w:t>
      </w:r>
      <w:r>
        <w:rPr>
          <w:rFonts w:hint="eastAsia"/>
        </w:rPr>
        <w:t>)</w:t>
      </w:r>
      <w:r>
        <w:rPr>
          <w:rFonts w:hint="eastAsia"/>
        </w:rPr>
        <w:t>；保障</w:t>
      </w:r>
      <w:r>
        <w:rPr>
          <w:rFonts w:hint="eastAsia"/>
        </w:rPr>
        <w:t>(</w:t>
      </w:r>
      <w:r>
        <w:rPr>
          <w:rFonts w:hint="eastAsia"/>
        </w:rPr>
        <w:t>特别是最容易被排斥的各类人员</w:t>
      </w:r>
      <w:r>
        <w:rPr>
          <w:rFonts w:hint="eastAsia"/>
        </w:rPr>
        <w:t>)</w:t>
      </w:r>
      <w:r>
        <w:rPr>
          <w:rFonts w:hint="eastAsia"/>
        </w:rPr>
        <w:t>有机会获得最重要的公共和私人服务；</w:t>
      </w:r>
    </w:p>
    <w:p w:rsidR="00000000" w:rsidRDefault="00000000">
      <w:pPr>
        <w:pStyle w:val="a0"/>
        <w:tabs>
          <w:tab w:val="num" w:pos="510"/>
        </w:tabs>
        <w:ind w:left="1548"/>
        <w:rPr>
          <w:rFonts w:hint="eastAsia"/>
        </w:rPr>
      </w:pPr>
      <w:r>
        <w:rPr>
          <w:rFonts w:hint="eastAsia"/>
        </w:rPr>
        <w:t>制定政策，通过采取打击社会排斥现象、开发新技术带来的机会和保障家庭团结等措施和行动，防止出现社会排斥的危险；</w:t>
      </w:r>
    </w:p>
    <w:p w:rsidR="00000000" w:rsidRDefault="00000000">
      <w:pPr>
        <w:pStyle w:val="a0"/>
        <w:tabs>
          <w:tab w:val="num" w:pos="510"/>
        </w:tabs>
        <w:ind w:left="1548"/>
        <w:rPr>
          <w:rFonts w:hint="eastAsia"/>
        </w:rPr>
      </w:pPr>
      <w:r>
        <w:rPr>
          <w:rFonts w:hint="eastAsia"/>
        </w:rPr>
        <w:t>采取行动，战胜贫困，保障最弱势的群体</w:t>
      </w:r>
      <w:r>
        <w:rPr>
          <w:rFonts w:hint="eastAsia"/>
          <w:spacing w:val="-40"/>
        </w:rPr>
        <w:t>――</w:t>
      </w:r>
      <w:r>
        <w:rPr>
          <w:rFonts w:hint="eastAsia"/>
          <w:spacing w:val="-40"/>
        </w:rPr>
        <w:t xml:space="preserve"> </w:t>
      </w:r>
      <w:r>
        <w:rPr>
          <w:rFonts w:hint="eastAsia"/>
        </w:rPr>
        <w:t>儿童和青少年、老年人</w:t>
      </w:r>
      <w:r>
        <w:rPr>
          <w:rFonts w:hint="eastAsia"/>
        </w:rPr>
        <w:t>(</w:t>
      </w:r>
      <w:r>
        <w:rPr>
          <w:rFonts w:hint="eastAsia"/>
        </w:rPr>
        <w:t>特别是不能自给自足的老年人</w:t>
      </w:r>
      <w:r>
        <w:rPr>
          <w:rFonts w:hint="eastAsia"/>
        </w:rPr>
        <w:t>)</w:t>
      </w:r>
      <w:r>
        <w:rPr>
          <w:rFonts w:hint="eastAsia"/>
        </w:rPr>
        <w:t>、残疾人</w:t>
      </w:r>
      <w:r>
        <w:rPr>
          <w:rFonts w:hint="eastAsia"/>
          <w:spacing w:val="-40"/>
        </w:rPr>
        <w:t>――</w:t>
      </w:r>
      <w:r>
        <w:rPr>
          <w:rFonts w:hint="eastAsia"/>
          <w:spacing w:val="-40"/>
        </w:rPr>
        <w:t xml:space="preserve"> </w:t>
      </w:r>
      <w:r>
        <w:rPr>
          <w:rFonts w:hint="eastAsia"/>
        </w:rPr>
        <w:t>的利益，鼓励移民融入社会；</w:t>
      </w:r>
    </w:p>
    <w:p w:rsidR="00000000" w:rsidRDefault="00000000">
      <w:pPr>
        <w:pStyle w:val="a0"/>
        <w:tabs>
          <w:tab w:val="num" w:pos="510"/>
        </w:tabs>
        <w:ind w:left="1548"/>
        <w:rPr>
          <w:rFonts w:hint="eastAsia"/>
        </w:rPr>
      </w:pPr>
      <w:r>
        <w:rPr>
          <w:rFonts w:hint="eastAsia"/>
        </w:rPr>
        <w:t>执行权力适度集中和联邦制的总政策，这一政策是根据团结和实行以责任为本的福利制度制定的，而各项责任的基础是：公民既作为使用者又作为知情的行为者和消费者有很强的参与性；当地社区、家庭和公民成为在各项社会政策中发挥积极作用的力量；各种不同的力量</w:t>
      </w:r>
      <w:r>
        <w:rPr>
          <w:rFonts w:hint="eastAsia"/>
        </w:rPr>
        <w:t>(</w:t>
      </w:r>
      <w:r>
        <w:rPr>
          <w:rFonts w:hint="eastAsia"/>
        </w:rPr>
        <w:t>家庭、自愿者网络、社会合作伙伴、地方政府</w:t>
      </w:r>
      <w:r>
        <w:rPr>
          <w:rFonts w:hint="eastAsia"/>
        </w:rPr>
        <w:t>)</w:t>
      </w:r>
      <w:r>
        <w:rPr>
          <w:rFonts w:hint="eastAsia"/>
        </w:rPr>
        <w:t>在规划和执行综合社会服</w:t>
      </w:r>
      <w:r>
        <w:rPr>
          <w:rFonts w:hint="eastAsia"/>
          <w:spacing w:val="0"/>
        </w:rPr>
        <w:t>务与行动系统中相互配合；以及非营利性组织直接参与各项服务的管理。</w:t>
      </w:r>
    </w:p>
    <w:p w:rsidR="00000000" w:rsidRDefault="00000000">
      <w:r>
        <w:rPr>
          <w:rFonts w:hint="eastAsia"/>
        </w:rPr>
        <w:tab/>
        <w:t xml:space="preserve">20.  </w:t>
      </w:r>
      <w:r>
        <w:rPr>
          <w:rFonts w:hint="eastAsia"/>
        </w:rPr>
        <w:t>为确保各项干预行动整体上的连贯和一致性，以及各项措施的效能和规划机制的灵活性，意大利政府将目标确定为制定一套全面的社会政策监督和评估制度；建立这一制度所围绕的核心由第</w:t>
      </w:r>
      <w:r>
        <w:rPr>
          <w:rFonts w:hint="eastAsia"/>
        </w:rPr>
        <w:t>328/2000</w:t>
      </w:r>
      <w:r>
        <w:rPr>
          <w:rFonts w:hint="eastAsia"/>
        </w:rPr>
        <w:t>号框架法律中所提出的社会政策观察站和对结构性基金资助的社会行动进行监督的各种机制所组成。至于衡量手段，意大利虽然接受在斯德哥尔摩确定的对所有成员国共同适用的七项指标，但认为主要应将其作为一个起点，当然是一个重要的起点，由此可进而查明社会包容</w:t>
      </w:r>
      <w:r>
        <w:rPr>
          <w:rFonts w:hint="eastAsia"/>
        </w:rPr>
        <w:t>/</w:t>
      </w:r>
      <w:r>
        <w:rPr>
          <w:rFonts w:hint="eastAsia"/>
        </w:rPr>
        <w:t>排斥现象的各种形式、过程和背景。因此，虽然尚待确定一套供参考的基本概念以提请委员会及其他成员国注意，但在该计划中，已逐渐形成一种更为丰富多彩的局面，考虑到各种进一步的问题，例如居住的地理区域、住房条件、或贫困持续的时间。而且还提出了一些“主观”指标</w:t>
      </w:r>
      <w:r>
        <w:rPr>
          <w:rFonts w:hint="eastAsia"/>
        </w:rPr>
        <w:t>(</w:t>
      </w:r>
      <w:r>
        <w:rPr>
          <w:rFonts w:hint="eastAsia"/>
        </w:rPr>
        <w:t>例如对贫穷问题的认识方面的指标</w:t>
      </w:r>
      <w:r>
        <w:rPr>
          <w:rFonts w:hint="eastAsia"/>
        </w:rPr>
        <w:t>)</w:t>
      </w:r>
      <w:r>
        <w:rPr>
          <w:rFonts w:hint="eastAsia"/>
        </w:rPr>
        <w:t>。</w:t>
      </w:r>
    </w:p>
    <w:p w:rsidR="00000000" w:rsidRDefault="00000000">
      <w:pPr>
        <w:rPr>
          <w:rFonts w:hint="eastAsia"/>
        </w:rPr>
      </w:pPr>
      <w:r>
        <w:tab/>
        <w:t xml:space="preserve">21.  </w:t>
      </w:r>
      <w:r>
        <w:rPr>
          <w:rFonts w:hint="eastAsia"/>
        </w:rPr>
        <w:t>这一社会计划是意大利今后提供社会援助所依赖的基础；而且无论从其宗旨还是干预的领域来看，均符合尼斯欧洲首脑会议上所核准的打击社会排斥现象的各项目标。有时这种反应是直接的</w:t>
      </w:r>
      <w:r>
        <w:rPr>
          <w:rFonts w:hint="eastAsia"/>
        </w:rPr>
        <w:t>(</w:t>
      </w:r>
      <w:r>
        <w:rPr>
          <w:rFonts w:hint="eastAsia"/>
        </w:rPr>
        <w:t>尼斯第</w:t>
      </w:r>
      <w:r>
        <w:rPr>
          <w:rFonts w:hint="eastAsia"/>
        </w:rPr>
        <w:t>2</w:t>
      </w:r>
      <w:r>
        <w:rPr>
          <w:rFonts w:hint="eastAsia"/>
        </w:rPr>
        <w:t>项至第</w:t>
      </w:r>
      <w:r>
        <w:rPr>
          <w:rFonts w:hint="eastAsia"/>
        </w:rPr>
        <w:t>4</w:t>
      </w:r>
      <w:r>
        <w:rPr>
          <w:rFonts w:hint="eastAsia"/>
        </w:rPr>
        <w:t>项目标</w:t>
      </w:r>
      <w:r>
        <w:rPr>
          <w:rFonts w:hint="eastAsia"/>
        </w:rPr>
        <w:t>)</w:t>
      </w:r>
      <w:r>
        <w:rPr>
          <w:rFonts w:hint="eastAsia"/>
        </w:rPr>
        <w:t>，而有时</w:t>
      </w:r>
      <w:r>
        <w:rPr>
          <w:rFonts w:hint="eastAsia"/>
          <w:spacing w:val="-40"/>
        </w:rPr>
        <w:t>――</w:t>
      </w:r>
      <w:r>
        <w:rPr>
          <w:rFonts w:hint="eastAsia"/>
          <w:spacing w:val="-40"/>
        </w:rPr>
        <w:t xml:space="preserve"> </w:t>
      </w:r>
      <w:r>
        <w:rPr>
          <w:rFonts w:hint="eastAsia"/>
        </w:rPr>
        <w:t>尤其是对尼斯第</w:t>
      </w:r>
      <w:r>
        <w:rPr>
          <w:rFonts w:hint="eastAsia"/>
        </w:rPr>
        <w:t>1</w:t>
      </w:r>
      <w:r>
        <w:rPr>
          <w:rFonts w:hint="eastAsia"/>
        </w:rPr>
        <w:t>项目标</w:t>
      </w:r>
      <w:r>
        <w:rPr>
          <w:rFonts w:hint="eastAsia"/>
        </w:rPr>
        <w:t>(</w:t>
      </w:r>
      <w:r>
        <w:rPr>
          <w:rFonts w:hint="eastAsia"/>
        </w:rPr>
        <w:t>促进参加就业</w:t>
      </w:r>
      <w:r>
        <w:rPr>
          <w:rFonts w:hint="eastAsia"/>
        </w:rPr>
        <w:t xml:space="preserve">) </w:t>
      </w:r>
      <w:r>
        <w:rPr>
          <w:rFonts w:hint="eastAsia"/>
          <w:spacing w:val="-40"/>
        </w:rPr>
        <w:t>――</w:t>
      </w:r>
      <w:r>
        <w:rPr>
          <w:rFonts w:hint="eastAsia"/>
          <w:spacing w:val="-40"/>
        </w:rPr>
        <w:t xml:space="preserve"> </w:t>
      </w:r>
      <w:r>
        <w:rPr>
          <w:rFonts w:hint="eastAsia"/>
        </w:rPr>
        <w:t>这种反应是直接</w:t>
      </w:r>
      <w:r>
        <w:rPr>
          <w:rFonts w:hint="eastAsia"/>
        </w:rPr>
        <w:t>(</w:t>
      </w:r>
      <w:r>
        <w:rPr>
          <w:rFonts w:hint="eastAsia"/>
        </w:rPr>
        <w:t>通过新的个人服务促进就业</w:t>
      </w:r>
      <w:r>
        <w:rPr>
          <w:rFonts w:hint="eastAsia"/>
        </w:rPr>
        <w:t>)</w:t>
      </w:r>
      <w:r>
        <w:rPr>
          <w:rFonts w:hint="eastAsia"/>
        </w:rPr>
        <w:t>和间接</w:t>
      </w:r>
      <w:r>
        <w:rPr>
          <w:rFonts w:hint="eastAsia"/>
        </w:rPr>
        <w:t>(</w:t>
      </w:r>
      <w:r>
        <w:rPr>
          <w:rFonts w:hint="eastAsia"/>
        </w:rPr>
        <w:t>创造更好的条件协调家庭和工作生活</w:t>
      </w:r>
      <w:r>
        <w:rPr>
          <w:rFonts w:hint="eastAsia"/>
        </w:rPr>
        <w:t>)</w:t>
      </w:r>
      <w:r>
        <w:rPr>
          <w:rFonts w:hint="eastAsia"/>
        </w:rPr>
        <w:t>兼而有之。</w:t>
      </w:r>
    </w:p>
    <w:p w:rsidR="00000000" w:rsidRDefault="00000000">
      <w:pPr>
        <w:rPr>
          <w:rFonts w:hint="eastAsia"/>
        </w:rPr>
      </w:pPr>
      <w:r>
        <w:rPr>
          <w:rFonts w:hint="eastAsia"/>
        </w:rPr>
        <w:tab/>
        <w:t xml:space="preserve">22.  </w:t>
      </w:r>
      <w:r>
        <w:rPr>
          <w:rFonts w:hint="eastAsia"/>
        </w:rPr>
        <w:t>意大利有近千万名领取养恤金者，分布在</w:t>
      </w:r>
      <w:r>
        <w:rPr>
          <w:rFonts w:hint="eastAsia"/>
        </w:rPr>
        <w:t>40%</w:t>
      </w:r>
      <w:r>
        <w:rPr>
          <w:rFonts w:hint="eastAsia"/>
        </w:rPr>
        <w:t>的家庭中；约有</w:t>
      </w:r>
      <w:r>
        <w:rPr>
          <w:rFonts w:hint="eastAsia"/>
        </w:rPr>
        <w:t>800,000</w:t>
      </w:r>
      <w:r>
        <w:rPr>
          <w:rFonts w:hint="eastAsia"/>
        </w:rPr>
        <w:t>名</w:t>
      </w:r>
      <w:r>
        <w:rPr>
          <w:rFonts w:hint="eastAsia"/>
        </w:rPr>
        <w:t>65</w:t>
      </w:r>
      <w:r>
        <w:rPr>
          <w:rFonts w:hint="eastAsia"/>
        </w:rPr>
        <w:t>岁以上的人领取社会养恤金。</w:t>
      </w:r>
      <w:r>
        <w:rPr>
          <w:rFonts w:hint="eastAsia"/>
        </w:rPr>
        <w:t>1999</w:t>
      </w:r>
      <w:r>
        <w:rPr>
          <w:rFonts w:hint="eastAsia"/>
        </w:rPr>
        <w:t>年，意大利家庭中有</w:t>
      </w:r>
      <w:r>
        <w:rPr>
          <w:rFonts w:hint="eastAsia"/>
        </w:rPr>
        <w:t>4.8%(</w:t>
      </w:r>
      <w:r>
        <w:rPr>
          <w:rFonts w:hint="eastAsia"/>
        </w:rPr>
        <w:t>约</w:t>
      </w:r>
      <w:r>
        <w:rPr>
          <w:rFonts w:hint="eastAsia"/>
        </w:rPr>
        <w:t>1,038,000</w:t>
      </w:r>
      <w:r>
        <w:rPr>
          <w:rFonts w:hint="eastAsia"/>
        </w:rPr>
        <w:t>人</w:t>
      </w:r>
      <w:r>
        <w:t>)</w:t>
      </w:r>
      <w:r>
        <w:rPr>
          <w:rFonts w:hint="eastAsia"/>
        </w:rPr>
        <w:t>生活在绝对贫困状态；在意大利南部各地区，这一数字高达</w:t>
      </w:r>
      <w:r>
        <w:rPr>
          <w:rFonts w:hint="eastAsia"/>
        </w:rPr>
        <w:t>11%</w:t>
      </w:r>
      <w:r>
        <w:rPr>
          <w:rFonts w:hint="eastAsia"/>
        </w:rPr>
        <w:t>。</w:t>
      </w:r>
    </w:p>
    <w:p w:rsidR="00000000" w:rsidRDefault="00000000">
      <w:pPr>
        <w:rPr>
          <w:rFonts w:hint="eastAsia"/>
        </w:rPr>
      </w:pPr>
      <w:r>
        <w:rPr>
          <w:rFonts w:hint="eastAsia"/>
        </w:rPr>
        <w:tab/>
        <w:t xml:space="preserve">23.  </w:t>
      </w:r>
      <w:r>
        <w:rPr>
          <w:rFonts w:hint="eastAsia"/>
        </w:rPr>
        <w:t>除养恤金以外的社会保护制度的主要作用是向困难者分配收入。根据</w:t>
      </w:r>
      <w:r>
        <w:rPr>
          <w:rFonts w:hint="eastAsia"/>
        </w:rPr>
        <w:t>1996</w:t>
      </w:r>
      <w:r>
        <w:rPr>
          <w:rFonts w:hint="eastAsia"/>
        </w:rPr>
        <w:t>年的数据，在进行除养恤金以外的社会保护机制的干预行动之后，“穷人”的比例从</w:t>
      </w:r>
      <w:r>
        <w:rPr>
          <w:rFonts w:hint="eastAsia"/>
        </w:rPr>
        <w:t>22%</w:t>
      </w:r>
      <w:r>
        <w:rPr>
          <w:rFonts w:hint="eastAsia"/>
        </w:rPr>
        <w:t>降至</w:t>
      </w:r>
      <w:r>
        <w:rPr>
          <w:rFonts w:hint="eastAsia"/>
        </w:rPr>
        <w:t>19%</w:t>
      </w:r>
      <w:r>
        <w:rPr>
          <w:rFonts w:hint="eastAsia"/>
        </w:rPr>
        <w:t>。老年养恤金和“年资”养恤金</w:t>
      </w:r>
      <w:r>
        <w:rPr>
          <w:rFonts w:hint="eastAsia"/>
        </w:rPr>
        <w:t>(</w:t>
      </w:r>
      <w:r>
        <w:rPr>
          <w:rFonts w:hint="eastAsia"/>
        </w:rPr>
        <w:t>即：按工龄和向社会保险缴款的年头计算的养恤金</w:t>
      </w:r>
      <w:r>
        <w:rPr>
          <w:rFonts w:hint="eastAsia"/>
        </w:rPr>
        <w:t>)</w:t>
      </w:r>
      <w:r>
        <w:rPr>
          <w:rFonts w:hint="eastAsia"/>
        </w:rPr>
        <w:t>在分配收入方面发挥了十分重要的作用。</w:t>
      </w:r>
    </w:p>
    <w:p w:rsidR="00000000" w:rsidRDefault="00000000">
      <w:pPr>
        <w:spacing w:after="320"/>
      </w:pPr>
      <w:r>
        <w:rPr>
          <w:rFonts w:hint="eastAsia"/>
        </w:rPr>
        <w:tab/>
        <w:t xml:space="preserve">24.  </w:t>
      </w:r>
      <w:r>
        <w:rPr>
          <w:rFonts w:hint="eastAsia"/>
        </w:rPr>
        <w:t>绝对贫困</w:t>
      </w:r>
      <w:r>
        <w:rPr>
          <w:rFonts w:hint="eastAsia"/>
          <w:spacing w:val="-40"/>
        </w:rPr>
        <w:t>――</w:t>
      </w:r>
      <w:r>
        <w:rPr>
          <w:rFonts w:hint="eastAsia"/>
          <w:spacing w:val="-40"/>
        </w:rPr>
        <w:t xml:space="preserve"> </w:t>
      </w:r>
      <w:r>
        <w:rPr>
          <w:rFonts w:hint="eastAsia"/>
        </w:rPr>
        <w:t>即买不起一“篮子”被认为生活必需品的人</w:t>
      </w:r>
      <w:r>
        <w:rPr>
          <w:rFonts w:hint="eastAsia"/>
          <w:spacing w:val="-40"/>
        </w:rPr>
        <w:t>――</w:t>
      </w:r>
      <w:r>
        <w:rPr>
          <w:rFonts w:hint="eastAsia"/>
          <w:spacing w:val="-40"/>
        </w:rPr>
        <w:t xml:space="preserve"> </w:t>
      </w:r>
      <w:r>
        <w:rPr>
          <w:rFonts w:hint="eastAsia"/>
        </w:rPr>
        <w:t>在人口中所占比例较小，因为根据这一措施所确定的下限较低。</w:t>
      </w:r>
    </w:p>
    <w:p w:rsidR="00000000" w:rsidRDefault="00000000">
      <w:pPr>
        <w:pStyle w:val="Heading3"/>
        <w:rPr>
          <w:rFonts w:hint="eastAsia"/>
        </w:rPr>
      </w:pPr>
      <w:r>
        <w:rPr>
          <w:rFonts w:hint="eastAsia"/>
          <w:u w:val="none"/>
        </w:rPr>
        <w:t xml:space="preserve">D.  </w:t>
      </w:r>
      <w:r>
        <w:rPr>
          <w:rFonts w:hint="eastAsia"/>
        </w:rPr>
        <w:t>人口变化情况</w:t>
      </w:r>
    </w:p>
    <w:p w:rsidR="00000000" w:rsidRDefault="00000000">
      <w:pPr>
        <w:spacing w:after="320"/>
        <w:rPr>
          <w:rFonts w:hint="eastAsia"/>
        </w:rPr>
      </w:pPr>
      <w:r>
        <w:rPr>
          <w:rFonts w:hint="eastAsia"/>
        </w:rPr>
        <w:tab/>
        <w:t xml:space="preserve">25.  </w:t>
      </w:r>
      <w:r>
        <w:rPr>
          <w:rFonts w:hint="eastAsia"/>
        </w:rPr>
        <w:t>意大利是受人口老化影响最大的国家之一。</w:t>
      </w:r>
      <w:r>
        <w:rPr>
          <w:rFonts w:hint="eastAsia"/>
        </w:rPr>
        <w:t>1980</w:t>
      </w:r>
      <w:r>
        <w:rPr>
          <w:rFonts w:hint="eastAsia"/>
        </w:rPr>
        <w:t>年至</w:t>
      </w:r>
      <w:r>
        <w:rPr>
          <w:rFonts w:hint="eastAsia"/>
        </w:rPr>
        <w:t>1999</w:t>
      </w:r>
      <w:r>
        <w:rPr>
          <w:rFonts w:hint="eastAsia"/>
        </w:rPr>
        <w:t>年期间，男性和女性的预期寿命均提高了</w:t>
      </w:r>
      <w:r>
        <w:rPr>
          <w:rFonts w:hint="eastAsia"/>
        </w:rPr>
        <w:t>5</w:t>
      </w:r>
      <w:r>
        <w:rPr>
          <w:rFonts w:hint="eastAsia"/>
        </w:rPr>
        <w:t>岁左右，男性达</w:t>
      </w:r>
      <w:r>
        <w:rPr>
          <w:rFonts w:hint="eastAsia"/>
        </w:rPr>
        <w:t>75.9</w:t>
      </w:r>
      <w:r>
        <w:rPr>
          <w:rFonts w:hint="eastAsia"/>
        </w:rPr>
        <w:t>岁，女性达</w:t>
      </w:r>
      <w:r>
        <w:rPr>
          <w:rFonts w:hint="eastAsia"/>
        </w:rPr>
        <w:t>82.3</w:t>
      </w:r>
      <w:r>
        <w:rPr>
          <w:rFonts w:hint="eastAsia"/>
        </w:rPr>
        <w:t>岁。同一时期，每一名妇女的平均生育数量从</w:t>
      </w:r>
      <w:r>
        <w:rPr>
          <w:rFonts w:hint="eastAsia"/>
        </w:rPr>
        <w:t>1.68</w:t>
      </w:r>
      <w:r>
        <w:rPr>
          <w:rFonts w:hint="eastAsia"/>
        </w:rPr>
        <w:t>降至</w:t>
      </w:r>
      <w:r>
        <w:rPr>
          <w:rFonts w:hint="eastAsia"/>
        </w:rPr>
        <w:t>1.20</w:t>
      </w:r>
      <w:r>
        <w:rPr>
          <w:rFonts w:hint="eastAsia"/>
        </w:rPr>
        <w:t>。由于人的寿命延长，而生育率却大大低于换代率，致使</w:t>
      </w:r>
      <w:r>
        <w:rPr>
          <w:rFonts w:hint="eastAsia"/>
        </w:rPr>
        <w:t>2000</w:t>
      </w:r>
      <w:r>
        <w:rPr>
          <w:rFonts w:hint="eastAsia"/>
        </w:rPr>
        <w:t>年人口中老年人和超过</w:t>
      </w:r>
      <w:r>
        <w:rPr>
          <w:rFonts w:hint="eastAsia"/>
        </w:rPr>
        <w:t>80</w:t>
      </w:r>
      <w:r>
        <w:rPr>
          <w:rFonts w:hint="eastAsia"/>
        </w:rPr>
        <w:t>岁的老年人所占的比例分别达到</w:t>
      </w:r>
      <w:r>
        <w:rPr>
          <w:rFonts w:hint="eastAsia"/>
        </w:rPr>
        <w:t>18%</w:t>
      </w:r>
      <w:r>
        <w:rPr>
          <w:rFonts w:hint="eastAsia"/>
        </w:rPr>
        <w:t>和</w:t>
      </w:r>
      <w:r>
        <w:rPr>
          <w:rFonts w:hint="eastAsia"/>
        </w:rPr>
        <w:t>3.9%</w:t>
      </w:r>
      <w:r>
        <w:rPr>
          <w:rFonts w:hint="eastAsia"/>
        </w:rPr>
        <w:t>。</w:t>
      </w:r>
    </w:p>
    <w:p w:rsidR="00000000" w:rsidRDefault="00000000">
      <w:pPr>
        <w:pStyle w:val="Heading3"/>
        <w:rPr>
          <w:rFonts w:hint="eastAsia"/>
        </w:rPr>
      </w:pPr>
      <w:r>
        <w:rPr>
          <w:rFonts w:hint="eastAsia"/>
          <w:u w:val="none"/>
        </w:rPr>
        <w:t xml:space="preserve">E.  </w:t>
      </w:r>
      <w:r>
        <w:rPr>
          <w:rFonts w:hint="eastAsia"/>
        </w:rPr>
        <w:t>就</w:t>
      </w:r>
      <w:r>
        <w:rPr>
          <w:rFonts w:hint="eastAsia"/>
        </w:rPr>
        <w:t xml:space="preserve">  </w:t>
      </w:r>
      <w:r>
        <w:rPr>
          <w:rFonts w:hint="eastAsia"/>
        </w:rPr>
        <w:t>业</w:t>
      </w:r>
    </w:p>
    <w:p w:rsidR="00000000" w:rsidRDefault="00000000">
      <w:pPr>
        <w:spacing w:after="320"/>
        <w:rPr>
          <w:rFonts w:hint="eastAsia"/>
        </w:rPr>
      </w:pPr>
      <w:r>
        <w:rPr>
          <w:rFonts w:hint="eastAsia"/>
        </w:rPr>
        <w:tab/>
        <w:t xml:space="preserve">26.  </w:t>
      </w:r>
      <w:r>
        <w:rPr>
          <w:rFonts w:hint="eastAsia"/>
        </w:rPr>
        <w:t>就业水平有所提高：</w:t>
      </w:r>
      <w:r>
        <w:rPr>
          <w:rFonts w:hint="eastAsia"/>
        </w:rPr>
        <w:t>2001</w:t>
      </w:r>
      <w:r>
        <w:rPr>
          <w:rFonts w:hint="eastAsia"/>
        </w:rPr>
        <w:t>年</w:t>
      </w:r>
      <w:r>
        <w:rPr>
          <w:rFonts w:hint="eastAsia"/>
        </w:rPr>
        <w:t>1</w:t>
      </w:r>
      <w:r>
        <w:rPr>
          <w:rFonts w:hint="eastAsia"/>
        </w:rPr>
        <w:t>月就业人数为</w:t>
      </w:r>
      <w:r>
        <w:rPr>
          <w:rFonts w:hint="eastAsia"/>
        </w:rPr>
        <w:t>21,272,000</w:t>
      </w:r>
      <w:r>
        <w:rPr>
          <w:rFonts w:hint="eastAsia"/>
        </w:rPr>
        <w:t>人，比</w:t>
      </w:r>
      <w:r>
        <w:rPr>
          <w:rFonts w:hint="eastAsia"/>
        </w:rPr>
        <w:t>2000</w:t>
      </w:r>
      <w:r>
        <w:rPr>
          <w:rFonts w:hint="eastAsia"/>
        </w:rPr>
        <w:t>年</w:t>
      </w:r>
      <w:r>
        <w:rPr>
          <w:rFonts w:hint="eastAsia"/>
        </w:rPr>
        <w:t>1</w:t>
      </w:r>
      <w:r>
        <w:rPr>
          <w:rFonts w:hint="eastAsia"/>
        </w:rPr>
        <w:t>月增加了</w:t>
      </w:r>
      <w:r>
        <w:rPr>
          <w:rFonts w:hint="eastAsia"/>
        </w:rPr>
        <w:t>656,000</w:t>
      </w:r>
      <w:r>
        <w:rPr>
          <w:rFonts w:hint="eastAsia"/>
        </w:rPr>
        <w:t>人</w:t>
      </w:r>
      <w:r>
        <w:rPr>
          <w:rFonts w:hint="eastAsia"/>
        </w:rPr>
        <w:t>(</w:t>
      </w:r>
      <w:r>
        <w:rPr>
          <w:rFonts w:hint="eastAsia"/>
        </w:rPr>
        <w:t>提高了</w:t>
      </w:r>
      <w:r>
        <w:rPr>
          <w:rFonts w:hint="eastAsia"/>
        </w:rPr>
        <w:t>3.2%)</w:t>
      </w:r>
      <w:r>
        <w:rPr>
          <w:rFonts w:hint="eastAsia"/>
        </w:rPr>
        <w:t>。年龄为</w:t>
      </w:r>
      <w:r>
        <w:rPr>
          <w:rFonts w:hint="eastAsia"/>
        </w:rPr>
        <w:t>15-64</w:t>
      </w:r>
      <w:r>
        <w:rPr>
          <w:rFonts w:hint="eastAsia"/>
        </w:rPr>
        <w:t>岁的人就业率为</w:t>
      </w:r>
      <w:r>
        <w:rPr>
          <w:rFonts w:hint="eastAsia"/>
        </w:rPr>
        <w:t>54%</w:t>
      </w:r>
      <w:r>
        <w:rPr>
          <w:rFonts w:hint="eastAsia"/>
        </w:rPr>
        <w:t>，</w:t>
      </w:r>
      <w:r>
        <w:rPr>
          <w:rFonts w:hint="eastAsia"/>
        </w:rPr>
        <w:t xml:space="preserve"> </w:t>
      </w:r>
      <w:r>
        <w:rPr>
          <w:rFonts w:hint="eastAsia"/>
        </w:rPr>
        <w:t>比</w:t>
      </w:r>
      <w:r>
        <w:rPr>
          <w:rFonts w:hint="eastAsia"/>
        </w:rPr>
        <w:t>2000</w:t>
      </w:r>
      <w:r>
        <w:rPr>
          <w:rFonts w:hint="eastAsia"/>
        </w:rPr>
        <w:t>年</w:t>
      </w:r>
      <w:r>
        <w:rPr>
          <w:rFonts w:hint="eastAsia"/>
        </w:rPr>
        <w:t>1</w:t>
      </w:r>
      <w:r>
        <w:rPr>
          <w:rFonts w:hint="eastAsia"/>
        </w:rPr>
        <w:t>月上升了</w:t>
      </w:r>
      <w:r>
        <w:rPr>
          <w:rFonts w:hint="eastAsia"/>
        </w:rPr>
        <w:t>1.7</w:t>
      </w:r>
      <w:r>
        <w:rPr>
          <w:rFonts w:hint="eastAsia"/>
        </w:rPr>
        <w:t>个百分点。这一结果综合了男性</w:t>
      </w:r>
      <w:r>
        <w:rPr>
          <w:rFonts w:hint="eastAsia"/>
        </w:rPr>
        <w:t>(</w:t>
      </w:r>
      <w:r>
        <w:rPr>
          <w:rFonts w:hint="eastAsia"/>
        </w:rPr>
        <w:t>从</w:t>
      </w:r>
      <w:r>
        <w:rPr>
          <w:rFonts w:hint="eastAsia"/>
        </w:rPr>
        <w:t>66.4%</w:t>
      </w:r>
      <w:r>
        <w:rPr>
          <w:rFonts w:hint="eastAsia"/>
        </w:rPr>
        <w:t>上升为</w:t>
      </w:r>
      <w:r>
        <w:rPr>
          <w:rFonts w:hint="eastAsia"/>
        </w:rPr>
        <w:t>67.7%)</w:t>
      </w:r>
      <w:r>
        <w:rPr>
          <w:rFonts w:hint="eastAsia"/>
        </w:rPr>
        <w:t>以及特别是女性</w:t>
      </w:r>
      <w:r>
        <w:rPr>
          <w:rFonts w:hint="eastAsia"/>
        </w:rPr>
        <w:t>(</w:t>
      </w:r>
      <w:r>
        <w:rPr>
          <w:rFonts w:hint="eastAsia"/>
        </w:rPr>
        <w:t>从</w:t>
      </w:r>
      <w:r>
        <w:rPr>
          <w:rFonts w:hint="eastAsia"/>
        </w:rPr>
        <w:t>38.3%</w:t>
      </w:r>
      <w:r>
        <w:rPr>
          <w:rFonts w:hint="eastAsia"/>
        </w:rPr>
        <w:t>上升为</w:t>
      </w:r>
      <w:r>
        <w:rPr>
          <w:rFonts w:hint="eastAsia"/>
        </w:rPr>
        <w:t>40.3%)</w:t>
      </w:r>
      <w:r>
        <w:rPr>
          <w:rFonts w:hint="eastAsia"/>
        </w:rPr>
        <w:t>就业人口的增长情况。同样，</w:t>
      </w:r>
      <w:r>
        <w:rPr>
          <w:rFonts w:hint="eastAsia"/>
        </w:rPr>
        <w:t>2001</w:t>
      </w:r>
      <w:r>
        <w:rPr>
          <w:rFonts w:hint="eastAsia"/>
        </w:rPr>
        <w:t>年</w:t>
      </w:r>
      <w:r>
        <w:rPr>
          <w:rFonts w:hint="eastAsia"/>
        </w:rPr>
        <w:t>1</w:t>
      </w:r>
      <w:r>
        <w:rPr>
          <w:rFonts w:hint="eastAsia"/>
        </w:rPr>
        <w:t>月男性和女性的失业率都有所下降，为</w:t>
      </w:r>
      <w:r>
        <w:rPr>
          <w:rFonts w:hint="eastAsia"/>
        </w:rPr>
        <w:t>10.1%</w:t>
      </w:r>
      <w:r>
        <w:rPr>
          <w:rFonts w:hint="eastAsia"/>
        </w:rPr>
        <w:t>，年轻人的待业率为</w:t>
      </w:r>
      <w:r>
        <w:rPr>
          <w:rFonts w:hint="eastAsia"/>
        </w:rPr>
        <w:t>29.2%</w:t>
      </w:r>
      <w:r>
        <w:rPr>
          <w:rFonts w:hint="eastAsia"/>
        </w:rPr>
        <w:t>，</w:t>
      </w:r>
      <w:r>
        <w:rPr>
          <w:rFonts w:hint="eastAsia"/>
        </w:rPr>
        <w:t xml:space="preserve"> </w:t>
      </w:r>
      <w:r>
        <w:rPr>
          <w:rFonts w:hint="eastAsia"/>
        </w:rPr>
        <w:t>而</w:t>
      </w:r>
      <w:r>
        <w:rPr>
          <w:rFonts w:hint="eastAsia"/>
        </w:rPr>
        <w:t>2001</w:t>
      </w:r>
      <w:r>
        <w:rPr>
          <w:rFonts w:hint="eastAsia"/>
        </w:rPr>
        <w:t>年</w:t>
      </w:r>
      <w:r>
        <w:rPr>
          <w:rFonts w:hint="eastAsia"/>
        </w:rPr>
        <w:t>1</w:t>
      </w:r>
      <w:r>
        <w:rPr>
          <w:rFonts w:hint="eastAsia"/>
        </w:rPr>
        <w:t>月为</w:t>
      </w:r>
      <w:r>
        <w:rPr>
          <w:rFonts w:hint="eastAsia"/>
        </w:rPr>
        <w:t>32.3%</w:t>
      </w:r>
      <w:r>
        <w:rPr>
          <w:rFonts w:hint="eastAsia"/>
        </w:rPr>
        <w:t>。</w:t>
      </w:r>
    </w:p>
    <w:p w:rsidR="00000000" w:rsidRDefault="00000000">
      <w:pPr>
        <w:pStyle w:val="Heading3"/>
        <w:rPr>
          <w:rFonts w:hint="eastAsia"/>
        </w:rPr>
      </w:pPr>
      <w:r>
        <w:rPr>
          <w:rFonts w:hint="eastAsia"/>
          <w:u w:val="none"/>
        </w:rPr>
        <w:t xml:space="preserve">F.  </w:t>
      </w:r>
      <w:r>
        <w:rPr>
          <w:rFonts w:hint="eastAsia"/>
        </w:rPr>
        <w:t>教</w:t>
      </w:r>
      <w:r>
        <w:rPr>
          <w:rFonts w:hint="eastAsia"/>
        </w:rPr>
        <w:t xml:space="preserve">  </w:t>
      </w:r>
      <w:r>
        <w:rPr>
          <w:rFonts w:hint="eastAsia"/>
        </w:rPr>
        <w:t>育</w:t>
      </w:r>
    </w:p>
    <w:p w:rsidR="00000000" w:rsidRDefault="00000000">
      <w:pPr>
        <w:rPr>
          <w:rFonts w:hint="eastAsia"/>
        </w:rPr>
      </w:pPr>
      <w:r>
        <w:rPr>
          <w:rFonts w:hint="eastAsia"/>
        </w:rPr>
        <w:tab/>
        <w:t xml:space="preserve">27.  </w:t>
      </w:r>
      <w:r>
        <w:rPr>
          <w:rFonts w:hint="eastAsia"/>
        </w:rPr>
        <w:t>教育程度的高低极大地左右了获得知识的机会以及知识的质量，而知识又是决定社会包容的一个很强的因素。中学在学率近年来有所上升，从</w:t>
      </w:r>
      <w:r>
        <w:rPr>
          <w:rFonts w:hint="eastAsia"/>
        </w:rPr>
        <w:t>1990/1991</w:t>
      </w:r>
      <w:r>
        <w:rPr>
          <w:rFonts w:hint="eastAsia"/>
        </w:rPr>
        <w:t>年的</w:t>
      </w:r>
      <w:r>
        <w:rPr>
          <w:rFonts w:hint="eastAsia"/>
        </w:rPr>
        <w:t>68.3%</w:t>
      </w:r>
      <w:r>
        <w:rPr>
          <w:rFonts w:hint="eastAsia"/>
        </w:rPr>
        <w:t>升至</w:t>
      </w:r>
      <w:r>
        <w:rPr>
          <w:rFonts w:hint="eastAsia"/>
        </w:rPr>
        <w:t>1998/1999</w:t>
      </w:r>
      <w:r>
        <w:rPr>
          <w:rFonts w:hint="eastAsia"/>
        </w:rPr>
        <w:t>年的</w:t>
      </w:r>
      <w:r>
        <w:rPr>
          <w:rFonts w:hint="eastAsia"/>
        </w:rPr>
        <w:t>82.3%</w:t>
      </w:r>
      <w:r>
        <w:rPr>
          <w:rFonts w:hint="eastAsia"/>
        </w:rPr>
        <w:t>，这一增长尤其涉及女孩。然而，意大利的教育和培训制度存在很大的差异。每年大约有</w:t>
      </w:r>
      <w:r>
        <w:rPr>
          <w:rFonts w:hint="eastAsia"/>
        </w:rPr>
        <w:t>5%</w:t>
      </w:r>
      <w:r>
        <w:rPr>
          <w:rFonts w:hint="eastAsia"/>
        </w:rPr>
        <w:t>的年轻人完成不了中学</w:t>
      </w:r>
      <w:r>
        <w:rPr>
          <w:rFonts w:hint="eastAsia"/>
        </w:rPr>
        <w:t>(</w:t>
      </w:r>
      <w:r>
        <w:rPr>
          <w:rFonts w:hint="eastAsia"/>
        </w:rPr>
        <w:t>初中</w:t>
      </w:r>
      <w:r>
        <w:rPr>
          <w:rFonts w:hint="eastAsia"/>
        </w:rPr>
        <w:t>)</w:t>
      </w:r>
      <w:r>
        <w:rPr>
          <w:rFonts w:hint="eastAsia"/>
        </w:rPr>
        <w:t>教育；</w:t>
      </w:r>
      <w:r>
        <w:rPr>
          <w:rFonts w:hint="eastAsia"/>
        </w:rPr>
        <w:t>3.3%</w:t>
      </w:r>
      <w:r>
        <w:rPr>
          <w:rFonts w:hint="eastAsia"/>
        </w:rPr>
        <w:t>的</w:t>
      </w:r>
      <w:r>
        <w:rPr>
          <w:rFonts w:hint="eastAsia"/>
        </w:rPr>
        <w:t>18-24</w:t>
      </w:r>
      <w:r>
        <w:rPr>
          <w:rFonts w:hint="eastAsia"/>
        </w:rPr>
        <w:t>岁的年轻人只拿到小学毕业证；登记入学的中学生有</w:t>
      </w:r>
      <w:r>
        <w:rPr>
          <w:rFonts w:hint="eastAsia"/>
        </w:rPr>
        <w:t>11.8%</w:t>
      </w:r>
      <w:r>
        <w:rPr>
          <w:rFonts w:hint="eastAsia"/>
        </w:rPr>
        <w:t>第一年之后就退学；登记入学的大学生只有</w:t>
      </w:r>
      <w:r>
        <w:rPr>
          <w:rFonts w:hint="eastAsia"/>
        </w:rPr>
        <w:t>38%</w:t>
      </w:r>
      <w:r>
        <w:rPr>
          <w:rFonts w:hint="eastAsia"/>
        </w:rPr>
        <w:t>能完成学位课程并毕业。</w:t>
      </w:r>
    </w:p>
    <w:p w:rsidR="00000000" w:rsidRDefault="00000000">
      <w:pPr>
        <w:pStyle w:val="Heading2"/>
        <w:rPr>
          <w:rFonts w:hint="eastAsia"/>
        </w:rPr>
      </w:pPr>
      <w:r>
        <w:rPr>
          <w:rFonts w:hint="eastAsia"/>
        </w:rPr>
        <w:t>一、委员会关于意大利第三次定期报告的意见</w:t>
      </w:r>
    </w:p>
    <w:p w:rsidR="00000000" w:rsidRDefault="00000000">
      <w:pPr>
        <w:pStyle w:val="Heading3"/>
        <w:rPr>
          <w:rFonts w:hint="eastAsia"/>
        </w:rPr>
      </w:pPr>
      <w:r>
        <w:rPr>
          <w:rFonts w:hint="eastAsia"/>
          <w:u w:val="none"/>
        </w:rPr>
        <w:t xml:space="preserve">A.  </w:t>
      </w:r>
      <w:r>
        <w:rPr>
          <w:rFonts w:hint="eastAsia"/>
        </w:rPr>
        <w:t>法庭裁决与《公约》</w:t>
      </w:r>
    </w:p>
    <w:p w:rsidR="00000000" w:rsidRDefault="00000000">
      <w:pPr>
        <w:ind w:left="1040"/>
        <w:rPr>
          <w:rFonts w:ascii="Time New Roman" w:eastAsia="SimHei" w:hAnsi="Time New Roman" w:hint="eastAsia"/>
          <w:sz w:val="26"/>
        </w:rPr>
      </w:pPr>
      <w:r>
        <w:rPr>
          <w:rFonts w:ascii="Time New Roman" w:eastAsia="SimHei" w:hAnsi="Time New Roman" w:hint="eastAsia"/>
        </w:rPr>
        <w:tab/>
      </w:r>
      <w:r>
        <w:rPr>
          <w:rFonts w:ascii="Time New Roman" w:eastAsia="SimHei" w:hAnsi="Time New Roman" w:hint="eastAsia"/>
        </w:rPr>
        <w:t>委员会关切地注意到缔约国在其就问题清单作出的书面答复中提出并由该国代表团在与委员会进行的对话中所确认的陈述，即只有屈指可数的几项法庭裁决明确提及《公约</w:t>
      </w:r>
      <w:r>
        <w:rPr>
          <w:rFonts w:ascii="Time New Roman" w:eastAsia="SimHei" w:hAnsi="Time New Roman" w:hint="eastAsia"/>
          <w:sz w:val="26"/>
        </w:rPr>
        <w:t>》</w:t>
      </w:r>
    </w:p>
    <w:p w:rsidR="00000000" w:rsidRDefault="00000000">
      <w:pPr>
        <w:spacing w:after="320"/>
        <w:rPr>
          <w:rFonts w:hint="eastAsia"/>
        </w:rPr>
      </w:pPr>
      <w:r>
        <w:rPr>
          <w:rFonts w:hint="eastAsia"/>
        </w:rPr>
        <w:tab/>
        <w:t xml:space="preserve">28.  </w:t>
      </w:r>
      <w:r>
        <w:rPr>
          <w:rFonts w:hint="eastAsia"/>
        </w:rPr>
        <w:t>虽然从事司法工作的所有部门均很了解《经济、社会、文化权利国际公约》，但意大利法庭作出的裁决中只有很少一部分明确提及《公约》的各项规定。造成这一现象的原因主要有两方面：第一，实施《公约》并使《公约》可在法庭上适用的法律，与实施《公民权利和政治权利国际公约》的法律相同。所以，从法庭判决中很难抽出那些明确提及本文正在审议的《公约》条款的裁决。第二，法庭裁决所提及的主要是由意大利立法者颁布的国内法规定这些规定应用或扩展了《公约》所包含的原则和规定。由于意大利批准该国际文书已有很长时间，据估计今天有数百部法律都是受《公约》的启发制定的。因此，可以这样认为</w:t>
      </w:r>
      <w:r>
        <w:rPr>
          <w:rFonts w:hint="eastAsia"/>
          <w:spacing w:val="-40"/>
        </w:rPr>
        <w:t>――</w:t>
      </w:r>
      <w:r>
        <w:rPr>
          <w:rFonts w:hint="eastAsia"/>
          <w:spacing w:val="-40"/>
        </w:rPr>
        <w:t xml:space="preserve"> </w:t>
      </w:r>
      <w:r>
        <w:rPr>
          <w:rFonts w:hint="eastAsia"/>
        </w:rPr>
        <w:t>而且也有意大利所开展的大量调查和研究工作为依据：《公约》所规定的各项义务已被广泛深入地移植于立法体系中。《公约》对意大利法庭的重要价值只具有指示性质，十分抽象，只在援引《公约》的某一规定来抗辩与《公约》规定相悖的某一国内规定的不合法性的情况下才有所体现。</w:t>
      </w:r>
    </w:p>
    <w:p w:rsidR="00000000" w:rsidRDefault="00000000">
      <w:pPr>
        <w:pStyle w:val="Heading3"/>
        <w:rPr>
          <w:rFonts w:hint="eastAsia"/>
        </w:rPr>
      </w:pPr>
      <w:r>
        <w:rPr>
          <w:rFonts w:hint="eastAsia"/>
          <w:u w:val="none"/>
        </w:rPr>
        <w:t xml:space="preserve">B.  </w:t>
      </w:r>
      <w:r>
        <w:rPr>
          <w:rFonts w:hint="eastAsia"/>
        </w:rPr>
        <w:t>有关；罗姆人口的问题</w:t>
      </w:r>
    </w:p>
    <w:p w:rsidR="00000000" w:rsidRDefault="00000000">
      <w:pPr>
        <w:pStyle w:val="Heading4"/>
        <w:rPr>
          <w:rFonts w:hint="eastAsia"/>
        </w:rPr>
      </w:pPr>
      <w:r>
        <w:rPr>
          <w:rFonts w:hint="eastAsia"/>
        </w:rPr>
        <w:t>有关一些主要城市的数据</w:t>
      </w:r>
    </w:p>
    <w:p w:rsidR="00000000" w:rsidRDefault="00000000">
      <w:pPr>
        <w:spacing w:after="240"/>
        <w:rPr>
          <w:rFonts w:hint="eastAsia"/>
        </w:rPr>
      </w:pPr>
      <w:r>
        <w:rPr>
          <w:rFonts w:hint="eastAsia"/>
        </w:rPr>
        <w:tab/>
        <w:t xml:space="preserve">29.  </w:t>
      </w:r>
      <w:r>
        <w:rPr>
          <w:rFonts w:hint="eastAsia"/>
        </w:rPr>
        <w:t>早在</w:t>
      </w:r>
      <w:r>
        <w:rPr>
          <w:rFonts w:hint="eastAsia"/>
        </w:rPr>
        <w:t>1993</w:t>
      </w:r>
      <w:r>
        <w:rPr>
          <w:rFonts w:hint="eastAsia"/>
        </w:rPr>
        <w:t>年，对居住在罗马的罗姆人和辛特人进行了首次小规模的人口调查，当时其人数约为</w:t>
      </w:r>
      <w:r>
        <w:rPr>
          <w:rFonts w:hint="eastAsia"/>
        </w:rPr>
        <w:t>6,000</w:t>
      </w:r>
      <w:r>
        <w:rPr>
          <w:rFonts w:hint="eastAsia"/>
        </w:rPr>
        <w:t>人。</w:t>
      </w:r>
      <w:r>
        <w:rPr>
          <w:rFonts w:hint="eastAsia"/>
        </w:rPr>
        <w:t>1995</w:t>
      </w:r>
      <w:r>
        <w:rPr>
          <w:rFonts w:hint="eastAsia"/>
        </w:rPr>
        <w:t>年</w:t>
      </w:r>
      <w:r>
        <w:rPr>
          <w:rFonts w:hint="eastAsia"/>
        </w:rPr>
        <w:t>11</w:t>
      </w:r>
      <w:r>
        <w:rPr>
          <w:rFonts w:hint="eastAsia"/>
        </w:rPr>
        <w:t>月进行了首次人口普查：这些社区的登记人口为</w:t>
      </w:r>
      <w:r>
        <w:rPr>
          <w:rFonts w:hint="eastAsia"/>
        </w:rPr>
        <w:t>5,467</w:t>
      </w:r>
      <w:r>
        <w:rPr>
          <w:rFonts w:hint="eastAsia"/>
        </w:rPr>
        <w:t>人</w:t>
      </w:r>
      <w:r>
        <w:rPr>
          <w:rFonts w:hint="eastAsia"/>
        </w:rPr>
        <w:t>(</w:t>
      </w:r>
      <w:r>
        <w:rPr>
          <w:rFonts w:hint="eastAsia"/>
        </w:rPr>
        <w:t>其中</w:t>
      </w:r>
      <w:r>
        <w:rPr>
          <w:rFonts w:hint="eastAsia"/>
        </w:rPr>
        <w:t>50%</w:t>
      </w:r>
      <w:r>
        <w:rPr>
          <w:rFonts w:hint="eastAsia"/>
        </w:rPr>
        <w:t>以上为未成年人</w:t>
      </w:r>
      <w:r>
        <w:rPr>
          <w:rFonts w:hint="eastAsia"/>
        </w:rPr>
        <w:t>)</w:t>
      </w:r>
      <w:r>
        <w:rPr>
          <w:rFonts w:hint="eastAsia"/>
        </w:rPr>
        <w:t>；共有</w:t>
      </w:r>
      <w:r>
        <w:rPr>
          <w:rFonts w:hint="eastAsia"/>
        </w:rPr>
        <w:t>50</w:t>
      </w:r>
      <w:r>
        <w:rPr>
          <w:rFonts w:hint="eastAsia"/>
        </w:rPr>
        <w:t>个临时营地和一个有装备的营地</w:t>
      </w:r>
      <w:r>
        <w:rPr>
          <w:rFonts w:hint="eastAsia"/>
        </w:rPr>
        <w:t>(</w:t>
      </w:r>
      <w:r>
        <w:rPr>
          <w:rFonts w:hint="eastAsia"/>
        </w:rPr>
        <w:t>于</w:t>
      </w:r>
      <w:r>
        <w:rPr>
          <w:rFonts w:hint="eastAsia"/>
        </w:rPr>
        <w:t>1994</w:t>
      </w:r>
      <w:r>
        <w:rPr>
          <w:rFonts w:hint="eastAsia"/>
        </w:rPr>
        <w:t>年启用</w:t>
      </w:r>
      <w:r>
        <w:rPr>
          <w:rFonts w:hint="eastAsia"/>
        </w:rPr>
        <w:t>)</w:t>
      </w:r>
      <w:r>
        <w:rPr>
          <w:rFonts w:hint="eastAsia"/>
        </w:rPr>
        <w:t>。由于采取对这些地区进行了重新组织，现已有</w:t>
      </w:r>
      <w:r>
        <w:rPr>
          <w:rFonts w:hint="eastAsia"/>
        </w:rPr>
        <w:t>26</w:t>
      </w:r>
      <w:r>
        <w:rPr>
          <w:rFonts w:hint="eastAsia"/>
        </w:rPr>
        <w:t>个居民点，其中的</w:t>
      </w:r>
      <w:r>
        <w:rPr>
          <w:rFonts w:hint="eastAsia"/>
        </w:rPr>
        <w:t>5</w:t>
      </w:r>
      <w:r>
        <w:rPr>
          <w:rFonts w:hint="eastAsia"/>
        </w:rPr>
        <w:t>个为新开发的村落，建有住房单元，并有一些基本设施及公共服务机构。并有</w:t>
      </w:r>
      <w:r>
        <w:rPr>
          <w:rFonts w:hint="eastAsia"/>
        </w:rPr>
        <w:t>6</w:t>
      </w:r>
      <w:r>
        <w:rPr>
          <w:rFonts w:hint="eastAsia"/>
        </w:rPr>
        <w:t>个居民点装备了大篷车、自来水和化学抽水马桶。</w:t>
      </w:r>
      <w:r>
        <w:rPr>
          <w:rFonts w:hint="eastAsia"/>
        </w:rPr>
        <w:t>1993</w:t>
      </w:r>
      <w:r>
        <w:rPr>
          <w:rFonts w:hint="eastAsia"/>
        </w:rPr>
        <w:t>年以来，共拆除了</w:t>
      </w:r>
      <w:r>
        <w:rPr>
          <w:rFonts w:hint="eastAsia"/>
        </w:rPr>
        <w:t>25</w:t>
      </w:r>
      <w:r>
        <w:rPr>
          <w:rFonts w:hint="eastAsia"/>
        </w:rPr>
        <w:t>处未经批准的居民点。社会融合和保护措施得到了高度重视：制定了未成年人入学方案，使近年来儿童上学人数不断增加；采取了保健措施</w:t>
      </w:r>
      <w:r>
        <w:rPr>
          <w:rFonts w:hint="eastAsia"/>
        </w:rPr>
        <w:t>(</w:t>
      </w:r>
      <w:r>
        <w:rPr>
          <w:rFonts w:hint="eastAsia"/>
        </w:rPr>
        <w:t>野营保健车、接种疫苗活动、获得保健服务的机会</w:t>
      </w:r>
      <w:r>
        <w:rPr>
          <w:rFonts w:hint="eastAsia"/>
        </w:rPr>
        <w:t>)</w:t>
      </w:r>
      <w:r>
        <w:rPr>
          <w:rFonts w:hint="eastAsia"/>
        </w:rPr>
        <w:t>，并推出了一些社会融合服务</w:t>
      </w:r>
      <w:r>
        <w:rPr>
          <w:rFonts w:hint="eastAsia"/>
        </w:rPr>
        <w:t>(</w:t>
      </w:r>
      <w:r>
        <w:rPr>
          <w:rFonts w:hint="eastAsia"/>
        </w:rPr>
        <w:t>成年人的意大利语课程、就业培训倡议</w:t>
      </w:r>
      <w:r>
        <w:rPr>
          <w:rFonts w:hint="eastAsia"/>
        </w:rPr>
        <w:t>)</w:t>
      </w:r>
      <w:r>
        <w:rPr>
          <w:rFonts w:hint="eastAsia"/>
        </w:rPr>
        <w:t>。</w:t>
      </w:r>
    </w:p>
    <w:p w:rsidR="00000000" w:rsidRDefault="00000000">
      <w:pPr>
        <w:pStyle w:val="Heading4"/>
        <w:rPr>
          <w:rFonts w:hint="eastAsia"/>
        </w:rPr>
      </w:pPr>
      <w:r>
        <w:rPr>
          <w:rFonts w:hint="eastAsia"/>
        </w:rPr>
        <w:t>米</w:t>
      </w:r>
      <w:r>
        <w:rPr>
          <w:rFonts w:hint="eastAsia"/>
        </w:rPr>
        <w:t xml:space="preserve">  </w:t>
      </w:r>
      <w:r>
        <w:rPr>
          <w:rFonts w:hint="eastAsia"/>
        </w:rPr>
        <w:t>兰</w:t>
      </w:r>
    </w:p>
    <w:p w:rsidR="00000000" w:rsidRDefault="00000000">
      <w:pPr>
        <w:rPr>
          <w:rFonts w:hint="eastAsia"/>
        </w:rPr>
      </w:pPr>
      <w:r>
        <w:rPr>
          <w:rFonts w:hint="eastAsia"/>
        </w:rPr>
        <w:tab/>
        <w:t xml:space="preserve">30.  </w:t>
      </w:r>
      <w:r>
        <w:rPr>
          <w:rFonts w:hint="eastAsia"/>
        </w:rPr>
        <w:t>在米兰市，每一千名居民中有一名是的罗姆人，而在米兰省，这一比例为千分之</w:t>
      </w:r>
      <w:r>
        <w:rPr>
          <w:rFonts w:hint="eastAsia"/>
        </w:rPr>
        <w:t xml:space="preserve">0.5, </w:t>
      </w:r>
      <w:r>
        <w:rPr>
          <w:rFonts w:hint="eastAsia"/>
        </w:rPr>
        <w:t>最多共有</w:t>
      </w:r>
      <w:r>
        <w:rPr>
          <w:rFonts w:hint="eastAsia"/>
        </w:rPr>
        <w:t>1,600</w:t>
      </w:r>
      <w:r>
        <w:rPr>
          <w:rFonts w:hint="eastAsia"/>
        </w:rPr>
        <w:t>名</w:t>
      </w:r>
      <w:r>
        <w:rPr>
          <w:rFonts w:hint="eastAsia"/>
          <w:iCs/>
          <w:lang w:val="en-GB" w:bidi="ar-EG"/>
        </w:rPr>
        <w:t>吉普赛</w:t>
      </w:r>
      <w:r>
        <w:rPr>
          <w:rFonts w:hint="eastAsia"/>
        </w:rPr>
        <w:t>人。罗姆人口存在很大差异，是一个由血统、生活方式和宗教不同的各个社区组成的“马赛克”，但这些社区都共有一种强烈的文化、语言认同感</w:t>
      </w:r>
      <w:r>
        <w:rPr>
          <w:rFonts w:hint="eastAsia"/>
        </w:rPr>
        <w:t>(</w:t>
      </w:r>
      <w:r>
        <w:rPr>
          <w:rFonts w:hint="eastAsia"/>
        </w:rPr>
        <w:t>这些部落包括</w:t>
      </w:r>
      <w:r>
        <w:rPr>
          <w:lang w:val="en-GB" w:bidi="ar-EG"/>
        </w:rPr>
        <w:t>Khanjarja</w:t>
      </w:r>
      <w:r>
        <w:rPr>
          <w:rFonts w:hint="eastAsia"/>
          <w:lang w:val="en-GB" w:bidi="ar-EG"/>
        </w:rPr>
        <w:t>、</w:t>
      </w:r>
      <w:r>
        <w:rPr>
          <w:lang w:val="en-GB" w:bidi="ar-EG"/>
        </w:rPr>
        <w:t>Khorakhanè</w:t>
      </w:r>
      <w:r>
        <w:rPr>
          <w:rFonts w:hint="eastAsia"/>
          <w:lang w:val="en-GB" w:bidi="ar-EG"/>
        </w:rPr>
        <w:t>、</w:t>
      </w:r>
      <w:r>
        <w:rPr>
          <w:lang w:val="en-GB" w:bidi="ar-EG"/>
        </w:rPr>
        <w:t>Ariija</w:t>
      </w:r>
      <w:r>
        <w:rPr>
          <w:rFonts w:hint="eastAsia"/>
          <w:lang w:val="en-GB" w:bidi="ar-EG"/>
        </w:rPr>
        <w:t>、</w:t>
      </w:r>
      <w:r>
        <w:rPr>
          <w:lang w:val="en-GB" w:bidi="ar-EG"/>
        </w:rPr>
        <w:t xml:space="preserve">Rudara </w:t>
      </w:r>
      <w:r>
        <w:rPr>
          <w:rFonts w:hint="eastAsia"/>
          <w:lang w:val="en-GB" w:bidi="ar-EG"/>
        </w:rPr>
        <w:t>及</w:t>
      </w:r>
      <w:r>
        <w:rPr>
          <w:lang w:val="en-GB" w:bidi="ar-EG"/>
        </w:rPr>
        <w:t xml:space="preserve"> Rumuni)</w:t>
      </w:r>
      <w:r>
        <w:rPr>
          <w:rFonts w:hint="eastAsia"/>
        </w:rPr>
        <w:t>。这些社区中</w:t>
      </w:r>
      <w:r>
        <w:rPr>
          <w:rFonts w:hint="eastAsia"/>
        </w:rPr>
        <w:t>50%</w:t>
      </w:r>
      <w:r>
        <w:rPr>
          <w:rFonts w:hint="eastAsia"/>
        </w:rPr>
        <w:t>以上的人是未满</w:t>
      </w:r>
      <w:r>
        <w:rPr>
          <w:rFonts w:hint="eastAsia"/>
        </w:rPr>
        <w:t>14</w:t>
      </w:r>
      <w:r>
        <w:rPr>
          <w:rFonts w:hint="eastAsia"/>
        </w:rPr>
        <w:t>岁的未成年人，</w:t>
      </w:r>
      <w:r>
        <w:rPr>
          <w:rFonts w:hint="eastAsia"/>
        </w:rPr>
        <w:t>60</w:t>
      </w:r>
      <w:r>
        <w:rPr>
          <w:rFonts w:hint="eastAsia"/>
        </w:rPr>
        <w:t>岁以上的人只占</w:t>
      </w:r>
      <w:r>
        <w:rPr>
          <w:rFonts w:hint="eastAsia"/>
        </w:rPr>
        <w:t>2-3%</w:t>
      </w:r>
      <w:r>
        <w:rPr>
          <w:rFonts w:hint="eastAsia"/>
        </w:rPr>
        <w:t>。</w:t>
      </w:r>
    </w:p>
    <w:p w:rsidR="00000000" w:rsidRDefault="00000000">
      <w:pPr>
        <w:spacing w:after="240"/>
        <w:rPr>
          <w:rFonts w:hint="eastAsia"/>
        </w:rPr>
      </w:pPr>
      <w:r>
        <w:rPr>
          <w:rFonts w:hint="eastAsia"/>
        </w:rPr>
        <w:tab/>
        <w:t xml:space="preserve">31.  </w:t>
      </w:r>
      <w:r>
        <w:rPr>
          <w:rFonts w:hint="eastAsia"/>
        </w:rPr>
        <w:t>意大利的罗姆人从</w:t>
      </w:r>
      <w:r>
        <w:rPr>
          <w:rFonts w:hint="eastAsia"/>
        </w:rPr>
        <w:t>1960</w:t>
      </w:r>
      <w:r>
        <w:rPr>
          <w:rFonts w:hint="eastAsia"/>
        </w:rPr>
        <w:t>年代以来一直住在城市里，住在那些由市政管理部门提供部分设施的区域或“村落”中，生活在租用土地或自己拥有的土地上、大篷车中、流动房屋或预制房中，艰难地寻求与城市环境及其社会和文化环境保持一种较为稳定和安全的关系。</w:t>
      </w:r>
    </w:p>
    <w:p w:rsidR="00000000" w:rsidRDefault="00000000">
      <w:pPr>
        <w:pStyle w:val="Heading4"/>
        <w:rPr>
          <w:rFonts w:hint="eastAsia"/>
        </w:rPr>
      </w:pPr>
      <w:r>
        <w:rPr>
          <w:rFonts w:hint="eastAsia"/>
        </w:rPr>
        <w:t>都灵和皮得蒙</w:t>
      </w:r>
    </w:p>
    <w:p w:rsidR="00000000" w:rsidRDefault="00000000">
      <w:pPr>
        <w:spacing w:after="240"/>
        <w:rPr>
          <w:rFonts w:hint="eastAsia"/>
          <w:iCs/>
          <w:lang w:val="en-GB" w:bidi="ar-EG"/>
        </w:rPr>
      </w:pPr>
      <w:r>
        <w:rPr>
          <w:rFonts w:hint="eastAsia"/>
        </w:rPr>
        <w:tab/>
        <w:t xml:space="preserve">32.  </w:t>
      </w:r>
      <w:r>
        <w:rPr>
          <w:rFonts w:hint="eastAsia"/>
        </w:rPr>
        <w:t>在皮得蒙，尤其在都灵，罗姆人可分为四种：</w:t>
      </w:r>
      <w:r>
        <w:rPr>
          <w:rFonts w:hint="eastAsia"/>
          <w:iCs/>
          <w:lang w:val="en-GB" w:bidi="ar-EG"/>
        </w:rPr>
        <w:t>皮特蒙辛特人、“弗拉克”</w:t>
      </w:r>
      <w:r>
        <w:rPr>
          <w:iCs/>
          <w:lang w:val="en-GB" w:bidi="ar-EG"/>
        </w:rPr>
        <w:t xml:space="preserve"> </w:t>
      </w:r>
      <w:r>
        <w:rPr>
          <w:rFonts w:hint="eastAsia"/>
          <w:iCs/>
          <w:lang w:val="en-GB" w:bidi="ar-EG"/>
        </w:rPr>
        <w:t>罗姆人、“巴尔干”</w:t>
      </w:r>
      <w:r>
        <w:rPr>
          <w:rFonts w:hint="eastAsia"/>
          <w:iCs/>
          <w:lang w:val="en-GB" w:bidi="ar-EG"/>
        </w:rPr>
        <w:t xml:space="preserve"> </w:t>
      </w:r>
      <w:r>
        <w:rPr>
          <w:rFonts w:hint="eastAsia"/>
          <w:iCs/>
          <w:lang w:val="en-GB" w:bidi="ar-EG"/>
        </w:rPr>
        <w:t>罗姆人、“难民”罗姆人及“罗马尼亚</w:t>
      </w:r>
      <w:r>
        <w:rPr>
          <w:rFonts w:hint="eastAsia"/>
          <w:iCs/>
          <w:lang w:bidi="ar-EG"/>
        </w:rPr>
        <w:t>”</w:t>
      </w:r>
      <w:r>
        <w:rPr>
          <w:rFonts w:hint="eastAsia"/>
          <w:iCs/>
          <w:lang w:val="en-GB" w:bidi="ar-EG"/>
        </w:rPr>
        <w:t xml:space="preserve"> </w:t>
      </w:r>
      <w:r>
        <w:rPr>
          <w:rFonts w:hint="eastAsia"/>
          <w:iCs/>
          <w:lang w:val="en-GB" w:bidi="ar-EG"/>
        </w:rPr>
        <w:t>吉普赛人。正当人们感觉到涌入意大利的移民潮已基本平息下来的时候，中欧和东欧各国发生的政治变革和事件又引发了新一轮的移民潮。前南斯拉夫联盟共和国爆发的战争再一次造成了罗姆人大规模地从巴尔干向外移民的热潮。在从前南斯拉夫联盟共和国逃来的“难民”之后，流入意大利人数最多的罗姆人是罗马尼亚吉普赛人</w:t>
      </w:r>
      <w:r>
        <w:rPr>
          <w:rFonts w:hint="eastAsia"/>
          <w:iCs/>
          <w:lang w:val="en-GB" w:bidi="ar-EG"/>
        </w:rPr>
        <w:t>(1998</w:t>
      </w:r>
      <w:r>
        <w:rPr>
          <w:rFonts w:hint="eastAsia"/>
          <w:iCs/>
          <w:lang w:val="en-GB" w:bidi="ar-EG"/>
        </w:rPr>
        <w:t>年</w:t>
      </w:r>
      <w:r>
        <w:rPr>
          <w:rFonts w:hint="eastAsia"/>
          <w:iCs/>
          <w:lang w:val="en-GB" w:bidi="ar-EG"/>
        </w:rPr>
        <w:t>)</w:t>
      </w:r>
      <w:r>
        <w:rPr>
          <w:rFonts w:hint="eastAsia"/>
          <w:iCs/>
          <w:lang w:val="en-GB" w:bidi="ar-EG"/>
        </w:rPr>
        <w:t>。从东部逃来的人还在增加，不断有阿尔巴尼亚和科索沃公民逃到意大利，其中包括人数不可小看的属于罗姆民族的人。</w:t>
      </w:r>
    </w:p>
    <w:p w:rsidR="00000000" w:rsidRDefault="00000000">
      <w:pPr>
        <w:pStyle w:val="Heading4"/>
        <w:rPr>
          <w:rFonts w:hint="eastAsia"/>
        </w:rPr>
      </w:pPr>
      <w:r>
        <w:rPr>
          <w:rFonts w:hint="eastAsia"/>
        </w:rPr>
        <w:t>有关</w:t>
      </w:r>
      <w:r>
        <w:rPr>
          <w:rFonts w:hint="eastAsia"/>
          <w:iCs/>
          <w:lang w:val="en-GB" w:bidi="ar-EG"/>
        </w:rPr>
        <w:t>罗姆</w:t>
      </w:r>
      <w:r>
        <w:rPr>
          <w:rFonts w:hint="eastAsia"/>
        </w:rPr>
        <w:t>儿童教育的问题</w:t>
      </w:r>
    </w:p>
    <w:p w:rsidR="00000000" w:rsidRDefault="00000000">
      <w:pPr>
        <w:spacing w:after="240"/>
        <w:rPr>
          <w:rFonts w:hint="eastAsia"/>
        </w:rPr>
      </w:pPr>
      <w:r>
        <w:rPr>
          <w:rFonts w:hint="eastAsia"/>
        </w:rPr>
        <w:tab/>
        <w:t xml:space="preserve">33.  </w:t>
      </w:r>
      <w:r>
        <w:rPr>
          <w:rFonts w:hint="eastAsia"/>
        </w:rPr>
        <w:t>作为教育部提出的倡议的一部分，编拟了一份题为“多文化社会中的教育改革”的文件。这一倡议突出了将属于“游牧”社区的学生融入意大利社会的难处。这些群体所引起的问题不同于一般外国人的特殊问题，需要更深入地加以研究。为此，从</w:t>
      </w:r>
      <w:r>
        <w:rPr>
          <w:rFonts w:hint="eastAsia"/>
        </w:rPr>
        <w:t>1999/2000</w:t>
      </w:r>
      <w:r>
        <w:rPr>
          <w:rFonts w:hint="eastAsia"/>
        </w:rPr>
        <w:t>学年起，试图通过“补充调查”的方式获得关于吉普赛儿童在各级公立和私立学校就读人数的数据。通过这种方式获得的资料交由一个为教育部决策提供支助服务的部门进行独立处理，本文件特对其加以十分扼要的介绍和解释。这是一项抛砖引玉的工作，有吉普赛儿童和青年人就读的学校可以此为起点开展进一步的研究。</w:t>
      </w:r>
    </w:p>
    <w:p w:rsidR="00000000" w:rsidRDefault="00000000">
      <w:pPr>
        <w:pStyle w:val="Heading4"/>
        <w:rPr>
          <w:rFonts w:hint="eastAsia"/>
        </w:rPr>
      </w:pPr>
      <w:r>
        <w:rPr>
          <w:rFonts w:hint="eastAsia"/>
        </w:rPr>
        <w:t>按年级和教育类型对吉普赛儿童就读情况进行的分析</w:t>
      </w:r>
    </w:p>
    <w:p w:rsidR="00000000" w:rsidRDefault="00000000">
      <w:pPr>
        <w:rPr>
          <w:rFonts w:hint="eastAsia"/>
        </w:rPr>
      </w:pPr>
      <w:r>
        <w:rPr>
          <w:rFonts w:hint="eastAsia"/>
        </w:rPr>
        <w:tab/>
        <w:t xml:space="preserve">34.  </w:t>
      </w:r>
      <w:r>
        <w:rPr>
          <w:rFonts w:hint="eastAsia"/>
        </w:rPr>
        <w:t>我们看到，在非国立小学、初中和高中就读的吉普赛儿童只有</w:t>
      </w:r>
      <w:r>
        <w:rPr>
          <w:rFonts w:hint="eastAsia"/>
        </w:rPr>
        <w:t>78</w:t>
      </w:r>
      <w:r>
        <w:rPr>
          <w:rFonts w:hint="eastAsia"/>
        </w:rPr>
        <w:t>人，而且私立学校中报告吉普赛学生数量多</w:t>
      </w:r>
      <w:r>
        <w:rPr>
          <w:rFonts w:hint="eastAsia"/>
        </w:rPr>
        <w:t>(523</w:t>
      </w:r>
      <w:r>
        <w:rPr>
          <w:rFonts w:hint="eastAsia"/>
        </w:rPr>
        <w:t>人</w:t>
      </w:r>
      <w:r>
        <w:rPr>
          <w:rFonts w:hint="eastAsia"/>
        </w:rPr>
        <w:t>)</w:t>
      </w:r>
      <w:r>
        <w:rPr>
          <w:rFonts w:hint="eastAsia"/>
        </w:rPr>
        <w:t>的只有幼儿园，因此，我们仅侧重于国立学校的数据。国立学校中共招收了约</w:t>
      </w:r>
      <w:r>
        <w:rPr>
          <w:rFonts w:hint="eastAsia"/>
        </w:rPr>
        <w:t>9,000</w:t>
      </w:r>
      <w:r>
        <w:rPr>
          <w:rFonts w:hint="eastAsia"/>
        </w:rPr>
        <w:t>名吉普赛社区的学生。</w:t>
      </w:r>
    </w:p>
    <w:p w:rsidR="00000000" w:rsidRDefault="00000000">
      <w:pPr>
        <w:spacing w:after="320"/>
        <w:rPr>
          <w:rFonts w:hint="eastAsia"/>
        </w:rPr>
      </w:pPr>
      <w:r>
        <w:rPr>
          <w:rFonts w:hint="eastAsia"/>
        </w:rPr>
        <w:tab/>
        <w:t xml:space="preserve">35.  </w:t>
      </w:r>
      <w:r>
        <w:rPr>
          <w:rFonts w:hint="eastAsia"/>
        </w:rPr>
        <w:t>如表中所示，在</w:t>
      </w:r>
      <w:r>
        <w:rPr>
          <w:rFonts w:hint="eastAsia"/>
        </w:rPr>
        <w:t>1999/2000</w:t>
      </w:r>
      <w:r>
        <w:rPr>
          <w:rFonts w:hint="eastAsia"/>
        </w:rPr>
        <w:t>学年，有</w:t>
      </w:r>
      <w:r>
        <w:rPr>
          <w:rFonts w:hint="eastAsia"/>
        </w:rPr>
        <w:t>8,982</w:t>
      </w:r>
      <w:r>
        <w:rPr>
          <w:rFonts w:hint="eastAsia"/>
        </w:rPr>
        <w:t>名吉普赛人在公共教育系统中就读。就在校学生总数而言，平均每招收</w:t>
      </w:r>
      <w:r>
        <w:rPr>
          <w:rFonts w:hint="eastAsia"/>
        </w:rPr>
        <w:t>805</w:t>
      </w:r>
      <w:r>
        <w:rPr>
          <w:rFonts w:hint="eastAsia"/>
        </w:rPr>
        <w:t>名学生，有</w:t>
      </w:r>
      <w:r>
        <w:rPr>
          <w:rFonts w:hint="eastAsia"/>
        </w:rPr>
        <w:t>1</w:t>
      </w:r>
      <w:r>
        <w:rPr>
          <w:rFonts w:hint="eastAsia"/>
        </w:rPr>
        <w:t>名是吉普赛人。罗姆儿童人数最多的是小学，共有</w:t>
      </w:r>
      <w:r>
        <w:rPr>
          <w:rFonts w:hint="eastAsia"/>
        </w:rPr>
        <w:t>5,100</w:t>
      </w:r>
      <w:r>
        <w:rPr>
          <w:rFonts w:hint="eastAsia"/>
        </w:rPr>
        <w:t>名学生，相当于平均每</w:t>
      </w:r>
      <w:r>
        <w:rPr>
          <w:rFonts w:hint="eastAsia"/>
        </w:rPr>
        <w:t>483</w:t>
      </w:r>
      <w:r>
        <w:rPr>
          <w:rFonts w:hint="eastAsia"/>
        </w:rPr>
        <w:t>名学生中有</w:t>
      </w:r>
      <w:r>
        <w:rPr>
          <w:rFonts w:hint="eastAsia"/>
        </w:rPr>
        <w:t>1</w:t>
      </w:r>
      <w:r>
        <w:rPr>
          <w:rFonts w:hint="eastAsia"/>
        </w:rPr>
        <w:t>名是吉普赛儿童。初中虽然实行义务教育，但初中生中</w:t>
      </w:r>
      <w:r>
        <w:rPr>
          <w:rFonts w:hint="eastAsia"/>
          <w:iCs/>
          <w:lang w:val="en-GB" w:bidi="ar-EG"/>
        </w:rPr>
        <w:t>吉普赛</w:t>
      </w:r>
      <w:r>
        <w:rPr>
          <w:rFonts w:hint="eastAsia"/>
        </w:rPr>
        <w:t>人的比例是</w:t>
      </w:r>
      <w:r>
        <w:rPr>
          <w:rFonts w:hint="eastAsia"/>
        </w:rPr>
        <w:t xml:space="preserve">943:1, </w:t>
      </w:r>
      <w:r>
        <w:rPr>
          <w:rFonts w:hint="eastAsia"/>
        </w:rPr>
        <w:t>而高中的这一比例是，每</w:t>
      </w:r>
      <w:r>
        <w:rPr>
          <w:rFonts w:hint="eastAsia"/>
        </w:rPr>
        <w:t>5,567</w:t>
      </w:r>
      <w:r>
        <w:rPr>
          <w:rFonts w:hint="eastAsia"/>
        </w:rPr>
        <w:t>名学生中有</w:t>
      </w:r>
      <w:r>
        <w:rPr>
          <w:rFonts w:hint="eastAsia"/>
        </w:rPr>
        <w:t>1</w:t>
      </w:r>
      <w:r>
        <w:rPr>
          <w:rFonts w:hint="eastAsia"/>
        </w:rPr>
        <w:t>名吉普赛学生。在幼儿园，虽然意大利几乎所有儿童现在都上幼儿园，但每</w:t>
      </w:r>
      <w:r>
        <w:rPr>
          <w:rFonts w:hint="eastAsia"/>
        </w:rPr>
        <w:t>506</w:t>
      </w:r>
      <w:r>
        <w:rPr>
          <w:rFonts w:hint="eastAsia"/>
        </w:rPr>
        <w:t>名儿童中只有一名是</w:t>
      </w:r>
      <w:r>
        <w:rPr>
          <w:rFonts w:hint="eastAsia"/>
          <w:iCs/>
          <w:lang w:val="en-GB" w:bidi="ar-EG"/>
        </w:rPr>
        <w:t>吉普赛</w:t>
      </w:r>
      <w:r>
        <w:rPr>
          <w:rFonts w:hint="eastAsia"/>
        </w:rPr>
        <w:t>人。</w:t>
      </w:r>
    </w:p>
    <w:p w:rsidR="00000000" w:rsidRDefault="00000000">
      <w:pPr>
        <w:pStyle w:val="Heading3"/>
        <w:rPr>
          <w:rFonts w:hint="eastAsia"/>
        </w:rPr>
      </w:pPr>
      <w:r>
        <w:rPr>
          <w:rFonts w:hint="eastAsia"/>
          <w:u w:val="none"/>
        </w:rPr>
        <w:t xml:space="preserve">C.  </w:t>
      </w:r>
      <w:r>
        <w:rPr>
          <w:rFonts w:hint="eastAsia"/>
        </w:rPr>
        <w:t>工作场所事故</w:t>
      </w:r>
    </w:p>
    <w:p w:rsidR="00000000" w:rsidRDefault="00000000">
      <w:pPr>
        <w:ind w:left="1040"/>
        <w:rPr>
          <w:rFonts w:eastAsia="SimHei" w:hint="eastAsia"/>
        </w:rPr>
      </w:pPr>
      <w:r>
        <w:rPr>
          <w:rFonts w:ascii="Time New Roman" w:eastAsia="SimHei" w:hAnsi="Time New Roman" w:hint="eastAsia"/>
        </w:rPr>
        <w:tab/>
      </w:r>
      <w:r>
        <w:rPr>
          <w:rFonts w:ascii="Time New Roman" w:eastAsia="SimHei" w:hAnsi="Time New Roman" w:hint="eastAsia"/>
          <w:b/>
        </w:rPr>
        <w:t>1.</w:t>
      </w:r>
      <w:r>
        <w:rPr>
          <w:rFonts w:ascii="Time New Roman" w:eastAsia="SimHei" w:hAnsi="Time New Roman" w:hint="eastAsia"/>
        </w:rPr>
        <w:t xml:space="preserve">  </w:t>
      </w:r>
      <w:r>
        <w:rPr>
          <w:rFonts w:ascii="Time New Roman" w:eastAsia="SimHei" w:hAnsi="Time New Roman" w:hint="eastAsia"/>
        </w:rPr>
        <w:t>委员会对缔约国工作</w:t>
      </w:r>
      <w:r>
        <w:rPr>
          <w:rFonts w:eastAsia="SimHei" w:hint="eastAsia"/>
        </w:rPr>
        <w:t>场所事故发生率之高感到震惊，并提请缔约国注意劳工组织专家委员会表示的关注，该委员会一再促请缔约国政府注意必须通过有关法律规章和政策，以预防在工作场所尤其是港口发生事故。</w:t>
      </w:r>
    </w:p>
    <w:p w:rsidR="00000000" w:rsidRDefault="00000000">
      <w:pPr>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bCs/>
        </w:rPr>
        <w:t>2.</w:t>
      </w:r>
      <w:r>
        <w:rPr>
          <w:rFonts w:ascii="Time New Roman" w:eastAsia="SimHei" w:hAnsi="Time New Roman" w:hint="eastAsia"/>
        </w:rPr>
        <w:t xml:space="preserve">  </w:t>
      </w:r>
      <w:r>
        <w:rPr>
          <w:rFonts w:ascii="Time New Roman" w:eastAsia="SimHei" w:hAnsi="Time New Roman" w:hint="eastAsia"/>
        </w:rPr>
        <w:t>委员会呼吁缔约国采取有效措施，以确保工人享有安全的劳动条件。委员会尤其建议缔约国采取立法等他措施以预防尤其在港口发生的事故，并且批准《</w:t>
      </w:r>
      <w:r>
        <w:rPr>
          <w:rFonts w:ascii="Time New Roman" w:eastAsia="SimHei" w:hAnsi="Time New Roman" w:hint="eastAsia"/>
          <w:b/>
        </w:rPr>
        <w:t>1979</w:t>
      </w:r>
      <w:r>
        <w:rPr>
          <w:rFonts w:ascii="Time New Roman" w:eastAsia="SimHei" w:hAnsi="Time New Roman" w:hint="eastAsia"/>
        </w:rPr>
        <w:t>年劳工组织</w:t>
      </w:r>
      <w:r>
        <w:rPr>
          <w:rFonts w:ascii="Time New Roman" w:eastAsia="SimHei" w:hAnsi="Time New Roman" w:hint="eastAsia"/>
        </w:rPr>
        <w:t>(</w:t>
      </w:r>
      <w:r>
        <w:rPr>
          <w:rFonts w:ascii="Time New Roman" w:eastAsia="SimHei" w:hAnsi="Time New Roman" w:hint="eastAsia"/>
        </w:rPr>
        <w:t>码头作业</w:t>
      </w:r>
      <w:r>
        <w:rPr>
          <w:rFonts w:ascii="Time New Roman" w:eastAsia="SimHei" w:hAnsi="Time New Roman" w:hint="eastAsia"/>
        </w:rPr>
        <w:t>)</w:t>
      </w:r>
      <w:r>
        <w:rPr>
          <w:rFonts w:ascii="Time New Roman" w:eastAsia="SimHei" w:hAnsi="Time New Roman" w:hint="eastAsia"/>
        </w:rPr>
        <w:t>职业安全和卫生</w:t>
      </w:r>
      <w:r>
        <w:rPr>
          <w:rFonts w:ascii="Time New Roman" w:eastAsia="SimHei" w:hAnsi="Time New Roman" w:hint="eastAsia"/>
        </w:rPr>
        <w:t>(</w:t>
      </w:r>
      <w:r>
        <w:rPr>
          <w:rFonts w:ascii="Time New Roman" w:eastAsia="SimHei" w:hAnsi="Time New Roman" w:hint="eastAsia"/>
        </w:rPr>
        <w:t>第</w:t>
      </w:r>
      <w:r>
        <w:rPr>
          <w:rFonts w:ascii="Time New Roman" w:eastAsia="SimHei" w:hAnsi="Time New Roman" w:hint="eastAsia"/>
          <w:b/>
        </w:rPr>
        <w:t>152</w:t>
      </w:r>
      <w:r>
        <w:rPr>
          <w:rFonts w:ascii="Time New Roman" w:eastAsia="SimHei" w:hAnsi="Time New Roman" w:hint="eastAsia"/>
        </w:rPr>
        <w:t>号</w:t>
      </w:r>
      <w:r>
        <w:rPr>
          <w:rFonts w:ascii="Time New Roman" w:eastAsia="SimHei" w:hAnsi="Time New Roman" w:hint="eastAsia"/>
        </w:rPr>
        <w:t>)</w:t>
      </w:r>
      <w:r>
        <w:rPr>
          <w:rFonts w:ascii="Time New Roman" w:eastAsia="SimHei" w:hAnsi="Time New Roman" w:hint="eastAsia"/>
        </w:rPr>
        <w:t>公约》。委员会也建议缔约国批准《</w:t>
      </w:r>
      <w:r>
        <w:rPr>
          <w:rFonts w:ascii="Time New Roman" w:eastAsia="SimHei" w:hAnsi="Time New Roman" w:hint="eastAsia"/>
          <w:b/>
        </w:rPr>
        <w:t>1993</w:t>
      </w:r>
      <w:r>
        <w:rPr>
          <w:rFonts w:ascii="Time New Roman" w:eastAsia="SimHei" w:hAnsi="Time New Roman" w:hint="eastAsia"/>
        </w:rPr>
        <w:t>年预防重大工业事故</w:t>
      </w:r>
      <w:r>
        <w:rPr>
          <w:rFonts w:ascii="Time New Roman" w:eastAsia="SimHei" w:hAnsi="Time New Roman" w:hint="eastAsia"/>
        </w:rPr>
        <w:t>(</w:t>
      </w:r>
      <w:r>
        <w:rPr>
          <w:rFonts w:ascii="Time New Roman" w:eastAsia="SimHei" w:hAnsi="Time New Roman" w:hint="eastAsia"/>
        </w:rPr>
        <w:t>第</w:t>
      </w:r>
      <w:r>
        <w:rPr>
          <w:rFonts w:ascii="Time New Roman" w:eastAsia="SimHei" w:hAnsi="Time New Roman" w:hint="eastAsia"/>
          <w:b/>
        </w:rPr>
        <w:t>174</w:t>
      </w:r>
      <w:r>
        <w:rPr>
          <w:rFonts w:ascii="Time New Roman" w:eastAsia="SimHei" w:hAnsi="Time New Roman" w:hint="eastAsia"/>
        </w:rPr>
        <w:t>号</w:t>
      </w:r>
      <w:r>
        <w:rPr>
          <w:rFonts w:ascii="Time New Roman" w:eastAsia="SimHei" w:hAnsi="Time New Roman" w:hint="eastAsia"/>
        </w:rPr>
        <w:t>)</w:t>
      </w:r>
      <w:r>
        <w:rPr>
          <w:rFonts w:ascii="Time New Roman" w:eastAsia="SimHei" w:hAnsi="Time New Roman" w:hint="eastAsia"/>
        </w:rPr>
        <w:t>公约》和《</w:t>
      </w:r>
      <w:r>
        <w:rPr>
          <w:rFonts w:ascii="Time New Roman" w:eastAsia="SimHei" w:hAnsi="Time New Roman" w:hint="eastAsia"/>
          <w:b/>
        </w:rPr>
        <w:t>1994</w:t>
      </w:r>
      <w:r>
        <w:rPr>
          <w:rFonts w:ascii="Time New Roman" w:eastAsia="SimHei" w:hAnsi="Time New Roman" w:hint="eastAsia"/>
        </w:rPr>
        <w:t>年非全日制工作</w:t>
      </w:r>
      <w:r>
        <w:rPr>
          <w:rFonts w:ascii="Time New Roman" w:eastAsia="SimHei" w:hAnsi="Time New Roman" w:hint="eastAsia"/>
        </w:rPr>
        <w:t>(</w:t>
      </w:r>
      <w:r>
        <w:rPr>
          <w:rFonts w:ascii="Time New Roman" w:eastAsia="SimHei" w:hAnsi="Time New Roman" w:hint="eastAsia"/>
        </w:rPr>
        <w:t>第</w:t>
      </w:r>
      <w:r>
        <w:rPr>
          <w:rFonts w:ascii="Time New Roman" w:eastAsia="SimHei" w:hAnsi="Time New Roman" w:hint="eastAsia"/>
          <w:b/>
        </w:rPr>
        <w:t>175</w:t>
      </w:r>
      <w:r>
        <w:rPr>
          <w:rFonts w:ascii="Time New Roman" w:eastAsia="SimHei" w:hAnsi="Time New Roman" w:hint="eastAsia"/>
        </w:rPr>
        <w:t>号</w:t>
      </w:r>
      <w:r>
        <w:rPr>
          <w:rFonts w:ascii="Time New Roman" w:eastAsia="SimHei" w:hAnsi="Time New Roman" w:hint="eastAsia"/>
        </w:rPr>
        <w:t>)</w:t>
      </w:r>
      <w:r>
        <w:rPr>
          <w:rFonts w:ascii="Time New Roman" w:eastAsia="SimHei" w:hAnsi="Time New Roman" w:hint="eastAsia"/>
        </w:rPr>
        <w:t>公约》。</w:t>
      </w:r>
    </w:p>
    <w:p w:rsidR="00000000" w:rsidRDefault="00000000">
      <w:pPr>
        <w:rPr>
          <w:rFonts w:hint="eastAsia"/>
        </w:rPr>
      </w:pPr>
      <w:r>
        <w:rPr>
          <w:rFonts w:hint="eastAsia"/>
        </w:rPr>
        <w:tab/>
        <w:t xml:space="preserve">36.  </w:t>
      </w:r>
      <w:r>
        <w:rPr>
          <w:rFonts w:hint="eastAsia"/>
        </w:rPr>
        <w:t>在预防工作场所发生事故方面，意大利法律制度中的主要立法文书是第</w:t>
      </w:r>
      <w:r>
        <w:rPr>
          <w:rFonts w:hint="eastAsia"/>
        </w:rPr>
        <w:t>626/1994</w:t>
      </w:r>
      <w:r>
        <w:rPr>
          <w:rFonts w:hint="eastAsia"/>
        </w:rPr>
        <w:t>号《立法令》，该《立法令》经第</w:t>
      </w:r>
      <w:r>
        <w:rPr>
          <w:rFonts w:hint="eastAsia"/>
        </w:rPr>
        <w:t>242/1996</w:t>
      </w:r>
      <w:r>
        <w:rPr>
          <w:rFonts w:hint="eastAsia"/>
        </w:rPr>
        <w:t>号《立法令》修正和补充，以执行欧盟的第</w:t>
      </w:r>
      <w:r>
        <w:rPr>
          <w:rFonts w:hint="eastAsia"/>
        </w:rPr>
        <w:t>89/391/EEC</w:t>
      </w:r>
      <w:r>
        <w:rPr>
          <w:rFonts w:hint="eastAsia"/>
        </w:rPr>
        <w:t>号、第</w:t>
      </w:r>
      <w:r>
        <w:rPr>
          <w:rFonts w:hint="eastAsia"/>
        </w:rPr>
        <w:t>90/654/EEC</w:t>
      </w:r>
      <w:r>
        <w:rPr>
          <w:rFonts w:hint="eastAsia"/>
        </w:rPr>
        <w:t>号、第</w:t>
      </w:r>
      <w:r>
        <w:rPr>
          <w:rFonts w:hint="eastAsia"/>
        </w:rPr>
        <w:t>89/656/EEC</w:t>
      </w:r>
      <w:r>
        <w:rPr>
          <w:rFonts w:hint="eastAsia"/>
        </w:rPr>
        <w:t>号、第</w:t>
      </w:r>
      <w:r>
        <w:rPr>
          <w:rFonts w:hint="eastAsia"/>
        </w:rPr>
        <w:t>90/270/EEC</w:t>
      </w:r>
      <w:r>
        <w:rPr>
          <w:rFonts w:hint="eastAsia"/>
        </w:rPr>
        <w:t>号、第</w:t>
      </w:r>
      <w:r>
        <w:rPr>
          <w:rFonts w:hint="eastAsia"/>
        </w:rPr>
        <w:t>90/394/EEC</w:t>
      </w:r>
      <w:r>
        <w:rPr>
          <w:rFonts w:hint="eastAsia"/>
        </w:rPr>
        <w:t>号、第</w:t>
      </w:r>
      <w:r>
        <w:rPr>
          <w:rFonts w:hint="eastAsia"/>
        </w:rPr>
        <w:t>90/679/CEE</w:t>
      </w:r>
      <w:r>
        <w:rPr>
          <w:rFonts w:hint="eastAsia"/>
        </w:rPr>
        <w:t>号以及第</w:t>
      </w:r>
      <w:r>
        <w:rPr>
          <w:rFonts w:hint="eastAsia"/>
        </w:rPr>
        <w:t>97/42/EC</w:t>
      </w:r>
      <w:r>
        <w:rPr>
          <w:rFonts w:hint="eastAsia"/>
        </w:rPr>
        <w:t>号指令。这些法令涉及的是改善工人在工作场所的卫生和安全的问题。与前几年所出现的趋势基本一样，</w:t>
      </w:r>
      <w:r>
        <w:rPr>
          <w:rFonts w:hint="eastAsia"/>
        </w:rPr>
        <w:t>2001</w:t>
      </w:r>
      <w:r>
        <w:rPr>
          <w:rFonts w:hint="eastAsia"/>
        </w:rPr>
        <w:t>年年底，与上一年相比，工作场所事故的数量无论在报告的事故总数</w:t>
      </w:r>
      <w:r>
        <w:rPr>
          <w:rFonts w:hint="eastAsia"/>
        </w:rPr>
        <w:t>(</w:t>
      </w:r>
      <w:r>
        <w:rPr>
          <w:rFonts w:hint="eastAsia"/>
        </w:rPr>
        <w:t>几乎近</w:t>
      </w:r>
      <w:r>
        <w:rPr>
          <w:rFonts w:hint="eastAsia"/>
        </w:rPr>
        <w:t>6,000</w:t>
      </w:r>
      <w:r>
        <w:rPr>
          <w:rFonts w:hint="eastAsia"/>
        </w:rPr>
        <w:t>起事故，比</w:t>
      </w:r>
      <w:r>
        <w:rPr>
          <w:rFonts w:hint="eastAsia"/>
        </w:rPr>
        <w:t>2000</w:t>
      </w:r>
      <w:r>
        <w:rPr>
          <w:rFonts w:hint="eastAsia"/>
        </w:rPr>
        <w:t>年增加</w:t>
      </w:r>
      <w:r>
        <w:rPr>
          <w:rFonts w:hint="eastAsia"/>
        </w:rPr>
        <w:t>0.6%)</w:t>
      </w:r>
      <w:r>
        <w:rPr>
          <w:rFonts w:hint="eastAsia"/>
        </w:rPr>
        <w:t>方面，还是在造成死亡的事故</w:t>
      </w:r>
      <w:r>
        <w:rPr>
          <w:rFonts w:hint="eastAsia"/>
        </w:rPr>
        <w:t>(</w:t>
      </w:r>
      <w:r>
        <w:rPr>
          <w:rFonts w:hint="eastAsia"/>
        </w:rPr>
        <w:t>比</w:t>
      </w:r>
      <w:r>
        <w:rPr>
          <w:rFonts w:hint="eastAsia"/>
        </w:rPr>
        <w:t>2000</w:t>
      </w:r>
      <w:r>
        <w:rPr>
          <w:rFonts w:hint="eastAsia"/>
        </w:rPr>
        <w:t>年多</w:t>
      </w:r>
      <w:r>
        <w:rPr>
          <w:rFonts w:hint="eastAsia"/>
        </w:rPr>
        <w:t>30</w:t>
      </w:r>
      <w:r>
        <w:rPr>
          <w:rFonts w:hint="eastAsia"/>
        </w:rPr>
        <w:t>起，即增加</w:t>
      </w:r>
      <w:r>
        <w:rPr>
          <w:rFonts w:hint="eastAsia"/>
        </w:rPr>
        <w:t>2.1%)</w:t>
      </w:r>
      <w:r>
        <w:rPr>
          <w:rFonts w:hint="eastAsia"/>
        </w:rPr>
        <w:t>方面，均略有增加。各经济部门的情况大不相同，这些数字是综合各不同情况之后的结果。工业和服务业部门有所增加</w:t>
      </w:r>
      <w:r>
        <w:rPr>
          <w:rFonts w:hint="eastAsia"/>
        </w:rPr>
        <w:t>(</w:t>
      </w:r>
      <w:r>
        <w:rPr>
          <w:rFonts w:hint="eastAsia"/>
        </w:rPr>
        <w:t>总数增加</w:t>
      </w:r>
      <w:r>
        <w:rPr>
          <w:rFonts w:hint="eastAsia"/>
        </w:rPr>
        <w:t>1.2%</w:t>
      </w:r>
      <w:r>
        <w:rPr>
          <w:rFonts w:hint="eastAsia"/>
        </w:rPr>
        <w:t>，</w:t>
      </w:r>
      <w:r>
        <w:rPr>
          <w:rFonts w:hint="eastAsia"/>
        </w:rPr>
        <w:t xml:space="preserve"> </w:t>
      </w:r>
      <w:r>
        <w:rPr>
          <w:rFonts w:hint="eastAsia"/>
        </w:rPr>
        <w:t>造成死亡的起数增加</w:t>
      </w:r>
      <w:r>
        <w:rPr>
          <w:rFonts w:hint="eastAsia"/>
        </w:rPr>
        <w:t>3.1%)</w:t>
      </w:r>
      <w:r>
        <w:rPr>
          <w:rFonts w:hint="eastAsia"/>
        </w:rPr>
        <w:t>，而与此形成对照的是农业部门，事故明显减少</w:t>
      </w:r>
      <w:r>
        <w:rPr>
          <w:rFonts w:hint="eastAsia"/>
        </w:rPr>
        <w:t>(</w:t>
      </w:r>
      <w:r>
        <w:rPr>
          <w:rFonts w:hint="eastAsia"/>
        </w:rPr>
        <w:t>总数减少</w:t>
      </w:r>
      <w:r>
        <w:rPr>
          <w:rFonts w:hint="eastAsia"/>
        </w:rPr>
        <w:t>6.5%</w:t>
      </w:r>
      <w:r>
        <w:rPr>
          <w:rFonts w:hint="eastAsia"/>
        </w:rPr>
        <w:t>，造成死亡的起数减少</w:t>
      </w:r>
      <w:r>
        <w:rPr>
          <w:rFonts w:hint="eastAsia"/>
        </w:rPr>
        <w:t>4.7%)</w:t>
      </w:r>
      <w:r>
        <w:rPr>
          <w:rFonts w:hint="eastAsia"/>
        </w:rPr>
        <w:t>。在工业和服务业部门，女性事故的增加</w:t>
      </w:r>
      <w:r>
        <w:rPr>
          <w:rFonts w:hint="eastAsia"/>
        </w:rPr>
        <w:t>(+5.4%)</w:t>
      </w:r>
      <w:r>
        <w:rPr>
          <w:rFonts w:hint="eastAsia"/>
        </w:rPr>
        <w:t>明显高于男性</w:t>
      </w:r>
      <w:r>
        <w:rPr>
          <w:rFonts w:hint="eastAsia"/>
        </w:rPr>
        <w:t>(+0.1%)</w:t>
      </w:r>
      <w:r>
        <w:rPr>
          <w:rFonts w:hint="eastAsia"/>
        </w:rPr>
        <w:t>，而在农业部门，事故减少的幅度男女大致相当。就地理位置而言，工业和服务业部门的事故各地区普遍增多，增幅最多的是意大利南部</w:t>
      </w:r>
      <w:r>
        <w:rPr>
          <w:rFonts w:hint="eastAsia"/>
        </w:rPr>
        <w:t>(+2.7%)</w:t>
      </w:r>
      <w:r>
        <w:rPr>
          <w:rFonts w:hint="eastAsia"/>
        </w:rPr>
        <w:t>和岛屿</w:t>
      </w:r>
      <w:r>
        <w:rPr>
          <w:rFonts w:hint="eastAsia"/>
        </w:rPr>
        <w:t>(+3.3%)</w:t>
      </w:r>
      <w:r>
        <w:rPr>
          <w:rFonts w:hint="eastAsia"/>
        </w:rPr>
        <w:t>；农业部门事故减少的幅度在全国较为平均。</w:t>
      </w:r>
    </w:p>
    <w:p w:rsidR="00000000" w:rsidRDefault="00000000">
      <w:pPr>
        <w:rPr>
          <w:rFonts w:hint="eastAsia"/>
        </w:rPr>
      </w:pPr>
      <w:r>
        <w:rPr>
          <w:rFonts w:hint="eastAsia"/>
        </w:rPr>
        <w:tab/>
        <w:t xml:space="preserve">37.  </w:t>
      </w:r>
      <w:r>
        <w:rPr>
          <w:rFonts w:hint="eastAsia"/>
        </w:rPr>
        <w:t>尤其在造成死亡的事故方面，工业和服务业部门的情况大不相同，意大利东北部和岛屿有所减少，南部没有变化，中部及其他地区有所增加，而西北部增幅较大。在该地区，应当指出的是，伦巴第增幅相当大：这至少部分反映了</w:t>
      </w:r>
      <w:r>
        <w:rPr>
          <w:rFonts w:hint="eastAsia"/>
        </w:rPr>
        <w:t>2001</w:t>
      </w:r>
      <w:r>
        <w:rPr>
          <w:rFonts w:hint="eastAsia"/>
        </w:rPr>
        <w:t>年</w:t>
      </w:r>
      <w:r>
        <w:rPr>
          <w:rFonts w:hint="eastAsia"/>
        </w:rPr>
        <w:t>10</w:t>
      </w:r>
      <w:r>
        <w:rPr>
          <w:rFonts w:hint="eastAsia"/>
        </w:rPr>
        <w:t>月</w:t>
      </w:r>
      <w:r>
        <w:rPr>
          <w:rFonts w:hint="eastAsia"/>
        </w:rPr>
        <w:t>8</w:t>
      </w:r>
      <w:r>
        <w:rPr>
          <w:rFonts w:hint="eastAsia"/>
        </w:rPr>
        <w:t>日在</w:t>
      </w:r>
      <w:r>
        <w:t>Linate</w:t>
      </w:r>
      <w:r>
        <w:rPr>
          <w:rFonts w:hint="eastAsia"/>
        </w:rPr>
        <w:t>机场发生大灾难的情况，共有</w:t>
      </w:r>
      <w:r>
        <w:rPr>
          <w:rFonts w:hint="eastAsia"/>
        </w:rPr>
        <w:t>118</w:t>
      </w:r>
      <w:r>
        <w:rPr>
          <w:rFonts w:hint="eastAsia"/>
        </w:rPr>
        <w:t>人丧生；之后，伦巴第地区又报告发生了</w:t>
      </w:r>
      <w:r>
        <w:rPr>
          <w:rFonts w:hint="eastAsia"/>
        </w:rPr>
        <w:t>36</w:t>
      </w:r>
      <w:r>
        <w:rPr>
          <w:rFonts w:hint="eastAsia"/>
        </w:rPr>
        <w:t>起造成死亡的事故。阿普利亚发生造成死亡的事故增幅也很大，这再一次证实，对于这些数据有时所反映的情况，需要在中央和地方各级再作进一步审查和分析。</w:t>
      </w:r>
    </w:p>
    <w:p w:rsidR="00000000" w:rsidRDefault="00000000">
      <w:pPr>
        <w:rPr>
          <w:rFonts w:hint="eastAsia"/>
        </w:rPr>
      </w:pPr>
      <w:r>
        <w:rPr>
          <w:rFonts w:hint="eastAsia"/>
        </w:rPr>
        <w:tab/>
        <w:t xml:space="preserve">38.  </w:t>
      </w:r>
      <w:r>
        <w:rPr>
          <w:rFonts w:hint="eastAsia"/>
        </w:rPr>
        <w:t>还必须指出的是，现有关于</w:t>
      </w:r>
      <w:r>
        <w:rPr>
          <w:rFonts w:hint="eastAsia"/>
        </w:rPr>
        <w:t>2002</w:t>
      </w:r>
      <w:r>
        <w:rPr>
          <w:rFonts w:hint="eastAsia"/>
        </w:rPr>
        <w:t>年头几个月的数据似乎表明情况总的发生了反转。当然这些数据仍属临时性质，只能在进行更长时间的观察之后，而且更重要的是，要有更加稳定和完全证实的信息作基础，才能予以确认。在此方面，应当强调的是，对工作场所事故的当前趋势进行的重要而可靠的统计分析，应以更长的时间为尺度，而不是过去的两年。有一个中长期的历史数列，还可以结合与这一现象密切相关的一系列社会、经济、文化和立法因素来，来评估工作场所事故的演化情况。在此方面，</w:t>
      </w:r>
      <w:r>
        <w:rPr>
          <w:rFonts w:hint="eastAsia"/>
        </w:rPr>
        <w:t xml:space="preserve"> </w:t>
      </w:r>
      <w:r>
        <w:rPr>
          <w:rFonts w:hint="eastAsia"/>
        </w:rPr>
        <w:t>“显微镜观察半个世纪来的事故”报告中通过对</w:t>
      </w:r>
      <w:r>
        <w:rPr>
          <w:rFonts w:hint="eastAsia"/>
        </w:rPr>
        <w:t>50</w:t>
      </w:r>
      <w:r>
        <w:rPr>
          <w:rFonts w:hint="eastAsia"/>
        </w:rPr>
        <w:t>年历史数列进行分析所揭示的趋势表明，以事故发生频率指标所表示的事故，连续不断地显下降趋势</w:t>
      </w:r>
      <w:r>
        <w:rPr>
          <w:rFonts w:hint="eastAsia"/>
        </w:rPr>
        <w:t>(</w:t>
      </w:r>
      <w:r>
        <w:rPr>
          <w:rFonts w:hint="eastAsia"/>
        </w:rPr>
        <w:t>第</w:t>
      </w:r>
      <w:r>
        <w:rPr>
          <w:rFonts w:hint="eastAsia"/>
        </w:rPr>
        <w:t>2.1.3</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39.  </w:t>
      </w:r>
      <w:r>
        <w:rPr>
          <w:rFonts w:hint="eastAsia"/>
        </w:rPr>
        <w:t>尽管有这方面的考虑，但进行短期分析，将一年中报告的事故次数与上一年的次数进行对比，对于解释这一现象仍有其用处。然而，如果在进行这种分析时将绝对值与一个表示产生这一现象的工作场所规模大小的基准数联系起来，分析便会更准确。在此方面，如果我们观察工作场所目前的发展情况，不难看出，</w:t>
      </w:r>
      <w:r>
        <w:rPr>
          <w:rFonts w:hint="eastAsia"/>
        </w:rPr>
        <w:t>2001</w:t>
      </w:r>
      <w:r>
        <w:rPr>
          <w:rFonts w:hint="eastAsia"/>
        </w:rPr>
        <w:t>年职业事故的趋势基本上真实地反映了同一时期所出现的就业趋势。根据意大利国家统计局</w:t>
      </w:r>
      <w:r>
        <w:rPr>
          <w:rFonts w:hint="eastAsia"/>
        </w:rPr>
        <w:t>(</w:t>
      </w:r>
      <w:r>
        <w:rPr>
          <w:rFonts w:hint="eastAsia"/>
        </w:rPr>
        <w:t>国家统计局</w:t>
      </w:r>
      <w:r>
        <w:rPr>
          <w:rFonts w:hint="eastAsia"/>
        </w:rPr>
        <w:t>)</w:t>
      </w:r>
      <w:r>
        <w:rPr>
          <w:rFonts w:hint="eastAsia"/>
        </w:rPr>
        <w:t>的最新数据，</w:t>
      </w:r>
      <w:r>
        <w:rPr>
          <w:rFonts w:hint="eastAsia"/>
        </w:rPr>
        <w:t>2001</w:t>
      </w:r>
      <w:r>
        <w:rPr>
          <w:rFonts w:hint="eastAsia"/>
        </w:rPr>
        <w:t>年的就业人数比上一年增加了</w:t>
      </w:r>
      <w:r>
        <w:rPr>
          <w:rFonts w:hint="eastAsia"/>
        </w:rPr>
        <w:t>2.1%</w:t>
      </w:r>
      <w:r>
        <w:rPr>
          <w:rFonts w:hint="eastAsia"/>
        </w:rPr>
        <w:t>，总共增加了约</w:t>
      </w:r>
      <w:r>
        <w:rPr>
          <w:rFonts w:hint="eastAsia"/>
        </w:rPr>
        <w:t>434,000</w:t>
      </w:r>
      <w:r>
        <w:rPr>
          <w:rFonts w:hint="eastAsia"/>
        </w:rPr>
        <w:t>个工作岗位。增幅又是女性</w:t>
      </w:r>
      <w:r>
        <w:rPr>
          <w:rFonts w:hint="eastAsia"/>
        </w:rPr>
        <w:t>(</w:t>
      </w:r>
      <w:r>
        <w:rPr>
          <w:rFonts w:hint="eastAsia"/>
        </w:rPr>
        <w:t>增加</w:t>
      </w:r>
      <w:r>
        <w:rPr>
          <w:rFonts w:hint="eastAsia"/>
        </w:rPr>
        <w:t>296,000</w:t>
      </w:r>
      <w:r>
        <w:rPr>
          <w:rFonts w:hint="eastAsia"/>
        </w:rPr>
        <w:t>个单位，即增加</w:t>
      </w:r>
      <w:r>
        <w:rPr>
          <w:rFonts w:hint="eastAsia"/>
        </w:rPr>
        <w:t>3.8%)</w:t>
      </w:r>
      <w:r>
        <w:rPr>
          <w:rFonts w:hint="eastAsia"/>
        </w:rPr>
        <w:t>高于男性</w:t>
      </w:r>
      <w:r>
        <w:rPr>
          <w:rFonts w:hint="eastAsia"/>
        </w:rPr>
        <w:t>(</w:t>
      </w:r>
      <w:r>
        <w:rPr>
          <w:rFonts w:hint="eastAsia"/>
        </w:rPr>
        <w:t>增加</w:t>
      </w:r>
      <w:r>
        <w:rPr>
          <w:rFonts w:hint="eastAsia"/>
        </w:rPr>
        <w:t>138,000</w:t>
      </w:r>
      <w:r>
        <w:rPr>
          <w:rFonts w:hint="eastAsia"/>
        </w:rPr>
        <w:t>个单位，即增加</w:t>
      </w:r>
      <w:r>
        <w:rPr>
          <w:rFonts w:hint="eastAsia"/>
        </w:rPr>
        <w:t>1.0%)</w:t>
      </w:r>
      <w:r>
        <w:rPr>
          <w:rFonts w:hint="eastAsia"/>
        </w:rPr>
        <w:t>。</w:t>
      </w:r>
    </w:p>
    <w:p w:rsidR="00000000" w:rsidRDefault="00000000">
      <w:pPr>
        <w:rPr>
          <w:rFonts w:hint="eastAsia"/>
        </w:rPr>
      </w:pPr>
      <w:r>
        <w:rPr>
          <w:rFonts w:hint="eastAsia"/>
        </w:rPr>
        <w:tab/>
        <w:t xml:space="preserve">40.  </w:t>
      </w:r>
      <w:r>
        <w:rPr>
          <w:rFonts w:hint="eastAsia"/>
        </w:rPr>
        <w:t>增幅最大的部门为建筑部门</w:t>
      </w:r>
      <w:r>
        <w:rPr>
          <w:rFonts w:hint="eastAsia"/>
        </w:rPr>
        <w:t>(+5.5%)</w:t>
      </w:r>
      <w:r>
        <w:rPr>
          <w:rFonts w:hint="eastAsia"/>
        </w:rPr>
        <w:t>、第三产业部门</w:t>
      </w:r>
      <w:r>
        <w:rPr>
          <w:rFonts w:hint="eastAsia"/>
        </w:rPr>
        <w:t>(+2.7%</w:t>
      </w:r>
      <w:r>
        <w:rPr>
          <w:rFonts w:hint="eastAsia"/>
        </w:rPr>
        <w:t>，巩固了</w:t>
      </w:r>
      <w:r>
        <w:rPr>
          <w:rFonts w:hint="eastAsia"/>
        </w:rPr>
        <w:t>1995</w:t>
      </w:r>
      <w:r>
        <w:rPr>
          <w:rFonts w:hint="eastAsia"/>
        </w:rPr>
        <w:t>年以来一直存在的上升趋势</w:t>
      </w:r>
      <w:r>
        <w:rPr>
          <w:rFonts w:hint="eastAsia"/>
        </w:rPr>
        <w:t>)</w:t>
      </w:r>
      <w:r>
        <w:rPr>
          <w:rFonts w:hint="eastAsia"/>
        </w:rPr>
        <w:t>以及农业部门，农业部门在</w:t>
      </w:r>
      <w:r>
        <w:rPr>
          <w:rFonts w:hint="eastAsia"/>
        </w:rPr>
        <w:t>50</w:t>
      </w:r>
      <w:r>
        <w:rPr>
          <w:rFonts w:hint="eastAsia"/>
        </w:rPr>
        <w:t>年来一直大量减少工作机会后，出现了虽然不大</w:t>
      </w:r>
      <w:r>
        <w:rPr>
          <w:rFonts w:hint="eastAsia"/>
        </w:rPr>
        <w:t>(+0.6%)</w:t>
      </w:r>
      <w:r>
        <w:rPr>
          <w:rFonts w:hint="eastAsia"/>
        </w:rPr>
        <w:t>，却意义深远的增加。</w:t>
      </w:r>
    </w:p>
    <w:p w:rsidR="00000000" w:rsidRDefault="00000000">
      <w:pPr>
        <w:rPr>
          <w:rFonts w:hint="eastAsia"/>
        </w:rPr>
      </w:pPr>
      <w:r>
        <w:rPr>
          <w:rFonts w:hint="eastAsia"/>
        </w:rPr>
        <w:tab/>
        <w:t xml:space="preserve">41.  </w:t>
      </w:r>
      <w:r>
        <w:rPr>
          <w:rFonts w:hint="eastAsia"/>
        </w:rPr>
        <w:t>同过去一样，国家统计局关于就业方面的数据明显为统一的原因而进行过适当合理化处理，可以作为初步表明</w:t>
      </w:r>
      <w:r>
        <w:rPr>
          <w:rFonts w:hint="eastAsia"/>
        </w:rPr>
        <w:t>2001</w:t>
      </w:r>
      <w:r>
        <w:rPr>
          <w:rFonts w:hint="eastAsia"/>
        </w:rPr>
        <w:t>年与上一年相比，工作场所事故数字总体上的相对变化情况的依据。这些指数显示，建筑和服务业部门工作场所的事故发生频率略有下降，约下降了</w:t>
      </w:r>
      <w:r>
        <w:rPr>
          <w:rFonts w:hint="eastAsia"/>
        </w:rPr>
        <w:t>1</w:t>
      </w:r>
      <w:r>
        <w:rPr>
          <w:rFonts w:hint="eastAsia"/>
        </w:rPr>
        <w:t>个百分点，而农业部门的下降幅度较大，约下降了</w:t>
      </w:r>
      <w:r>
        <w:rPr>
          <w:rFonts w:hint="eastAsia"/>
        </w:rPr>
        <w:t>9.0%</w:t>
      </w:r>
      <w:r>
        <w:rPr>
          <w:rFonts w:hint="eastAsia"/>
        </w:rPr>
        <w:t>，男性和女性均有所下降。农业部门造成死亡的事故数目大幅度下降</w:t>
      </w:r>
      <w:r>
        <w:rPr>
          <w:rFonts w:hint="eastAsia"/>
        </w:rPr>
        <w:t>(-7.69%)</w:t>
      </w:r>
      <w:r>
        <w:rPr>
          <w:rFonts w:hint="eastAsia"/>
        </w:rPr>
        <w:t>，但工业和服务业却略有上升</w:t>
      </w:r>
      <w:r>
        <w:rPr>
          <w:rFonts w:hint="eastAsia"/>
        </w:rPr>
        <w:t>(+1.64%)</w:t>
      </w:r>
      <w:r>
        <w:rPr>
          <w:rFonts w:hint="eastAsia"/>
        </w:rPr>
        <w:t>。</w:t>
      </w:r>
    </w:p>
    <w:p w:rsidR="00000000" w:rsidRDefault="00000000">
      <w:pPr>
        <w:rPr>
          <w:rFonts w:hint="eastAsia"/>
        </w:rPr>
      </w:pPr>
      <w:r>
        <w:rPr>
          <w:rFonts w:hint="eastAsia"/>
        </w:rPr>
        <w:tab/>
        <w:t xml:space="preserve">42.  </w:t>
      </w:r>
      <w:r>
        <w:rPr>
          <w:rFonts w:hint="eastAsia"/>
        </w:rPr>
        <w:t>对于造成死亡的事故，在常规指标以外，还辅之以将就业人数与减去“</w:t>
      </w:r>
      <w:r>
        <w:t>in itinere</w:t>
      </w:r>
      <w:r>
        <w:rPr>
          <w:rFonts w:hint="eastAsia"/>
        </w:rPr>
        <w:t>”事故的事故数字挂钩的其他指标，这些事故从严格的意义上讲一般是与所从事的工作本身所具有的风险无关。</w:t>
      </w:r>
    </w:p>
    <w:p w:rsidR="00000000" w:rsidRDefault="00000000">
      <w:pPr>
        <w:rPr>
          <w:rFonts w:hint="eastAsia"/>
        </w:rPr>
      </w:pPr>
      <w:r>
        <w:rPr>
          <w:rFonts w:hint="eastAsia"/>
        </w:rPr>
        <w:tab/>
        <w:t xml:space="preserve">43.  </w:t>
      </w:r>
      <w:r>
        <w:rPr>
          <w:rFonts w:hint="eastAsia"/>
        </w:rPr>
        <w:t>在此方面，应当指出的是，</w:t>
      </w:r>
      <w:r>
        <w:rPr>
          <w:rFonts w:hint="eastAsia"/>
        </w:rPr>
        <w:t>2001</w:t>
      </w:r>
      <w:r>
        <w:rPr>
          <w:rFonts w:hint="eastAsia"/>
        </w:rPr>
        <w:t>年，</w:t>
      </w:r>
      <w:r>
        <w:rPr>
          <w:rFonts w:hint="eastAsia"/>
        </w:rPr>
        <w:t xml:space="preserve"> </w:t>
      </w:r>
      <w:r>
        <w:rPr>
          <w:rFonts w:hint="eastAsia"/>
        </w:rPr>
        <w:t>“</w:t>
      </w:r>
      <w:r>
        <w:t>in itinere</w:t>
      </w:r>
      <w:r>
        <w:rPr>
          <w:rFonts w:hint="eastAsia"/>
        </w:rPr>
        <w:t>”造成死亡的事故大量增加：在工业和服务业部门，这种事故的数字增加了</w:t>
      </w:r>
      <w:r>
        <w:rPr>
          <w:rFonts w:hint="eastAsia"/>
        </w:rPr>
        <w:t>43</w:t>
      </w:r>
      <w:r>
        <w:rPr>
          <w:rFonts w:hint="eastAsia"/>
        </w:rPr>
        <w:t>起，从</w:t>
      </w:r>
      <w:r>
        <w:rPr>
          <w:rFonts w:hint="eastAsia"/>
        </w:rPr>
        <w:t>2000</w:t>
      </w:r>
      <w:r>
        <w:rPr>
          <w:rFonts w:hint="eastAsia"/>
        </w:rPr>
        <w:t>年报告的</w:t>
      </w:r>
      <w:r>
        <w:rPr>
          <w:rFonts w:hint="eastAsia"/>
        </w:rPr>
        <w:t>127</w:t>
      </w:r>
      <w:r>
        <w:rPr>
          <w:rFonts w:hint="eastAsia"/>
        </w:rPr>
        <w:t>起增至</w:t>
      </w:r>
      <w:r>
        <w:rPr>
          <w:rFonts w:hint="eastAsia"/>
        </w:rPr>
        <w:t>2001</w:t>
      </w:r>
      <w:r>
        <w:rPr>
          <w:rFonts w:hint="eastAsia"/>
        </w:rPr>
        <w:t>年的</w:t>
      </w:r>
      <w:r>
        <w:rPr>
          <w:rFonts w:hint="eastAsia"/>
        </w:rPr>
        <w:t>170</w:t>
      </w:r>
      <w:r>
        <w:rPr>
          <w:rFonts w:hint="eastAsia"/>
        </w:rPr>
        <w:t>起；农业部门从</w:t>
      </w:r>
      <w:r>
        <w:rPr>
          <w:rFonts w:hint="eastAsia"/>
        </w:rPr>
        <w:t>2</w:t>
      </w:r>
      <w:r>
        <w:rPr>
          <w:rFonts w:hint="eastAsia"/>
        </w:rPr>
        <w:t>起增至</w:t>
      </w:r>
      <w:r>
        <w:rPr>
          <w:rFonts w:hint="eastAsia"/>
        </w:rPr>
        <w:t>5</w:t>
      </w:r>
      <w:r>
        <w:rPr>
          <w:rFonts w:hint="eastAsia"/>
        </w:rPr>
        <w:t>起。采取这些新的指标的话，减去“</w:t>
      </w:r>
      <w:r>
        <w:t>in itinere</w:t>
      </w:r>
      <w:r>
        <w:rPr>
          <w:rFonts w:hint="eastAsia"/>
        </w:rPr>
        <w:t>”发生的事故后，造成死亡的事故数字明显呈下降趋势。</w:t>
      </w:r>
    </w:p>
    <w:p w:rsidR="00000000" w:rsidRDefault="00000000">
      <w:pPr>
        <w:rPr>
          <w:rFonts w:hint="eastAsia"/>
        </w:rPr>
      </w:pPr>
      <w:r>
        <w:rPr>
          <w:rFonts w:hint="eastAsia"/>
        </w:rPr>
        <w:tab/>
        <w:t xml:space="preserve">44.  </w:t>
      </w:r>
      <w:r>
        <w:rPr>
          <w:rFonts w:hint="eastAsia"/>
        </w:rPr>
        <w:t>最后，应当强调指出的是，采用这种形式进行评估时，必须不仅要考虑就业水平提高方面的一般因素，而且还要考虑一些“内生”因素，例如</w:t>
      </w:r>
      <w:r>
        <w:rPr>
          <w:rFonts w:hint="eastAsia"/>
        </w:rPr>
        <w:t>INAIL(</w:t>
      </w:r>
      <w:r>
        <w:rPr>
          <w:rFonts w:hint="eastAsia"/>
        </w:rPr>
        <w:t>职业事故</w:t>
      </w:r>
      <w:r>
        <w:rPr>
          <w:rFonts w:hint="eastAsia"/>
        </w:rPr>
        <w:t>/</w:t>
      </w:r>
      <w:r>
        <w:rPr>
          <w:rFonts w:hint="eastAsia"/>
        </w:rPr>
        <w:t>疾病保险机构</w:t>
      </w:r>
      <w:r>
        <w:rPr>
          <w:rFonts w:hint="eastAsia"/>
        </w:rPr>
        <w:t>)</w:t>
      </w:r>
      <w:r>
        <w:rPr>
          <w:rFonts w:hint="eastAsia"/>
        </w:rPr>
        <w:t>承保的人员数量的增加。这些因素必然与“雇员人数”有关系。“就业人数”这一参数通常被用作表示这种事故发生率的比率中的分母。</w:t>
      </w:r>
      <w:r>
        <w:rPr>
          <w:rFonts w:hint="eastAsia"/>
        </w:rPr>
        <w:t>2001</w:t>
      </w:r>
      <w:r>
        <w:rPr>
          <w:rFonts w:hint="eastAsia"/>
        </w:rPr>
        <w:t>年，由于第</w:t>
      </w:r>
      <w:r>
        <w:rPr>
          <w:rFonts w:hint="eastAsia"/>
        </w:rPr>
        <w:t>38/2000</w:t>
      </w:r>
      <w:r>
        <w:rPr>
          <w:rFonts w:hint="eastAsia"/>
        </w:rPr>
        <w:t>号《立法令》的规定，必须参加强制保险的类别数大大增多；这些“新”类别包括有管理人员、职业运动员以及持非连续性雇用合同的工人</w:t>
      </w:r>
      <w:r>
        <w:rPr>
          <w:rFonts w:hint="eastAsia"/>
        </w:rPr>
        <w:t>(</w:t>
      </w:r>
      <w:r>
        <w:rPr>
          <w:rFonts w:hint="eastAsia"/>
        </w:rPr>
        <w:t>后者在</w:t>
      </w:r>
      <w:r>
        <w:rPr>
          <w:rFonts w:hint="eastAsia"/>
        </w:rPr>
        <w:t>2001</w:t>
      </w:r>
      <w:r>
        <w:rPr>
          <w:rFonts w:hint="eastAsia"/>
        </w:rPr>
        <w:t>年投保的人数为</w:t>
      </w:r>
      <w:r>
        <w:rPr>
          <w:rFonts w:hint="eastAsia"/>
        </w:rPr>
        <w:t>485,463</w:t>
      </w:r>
      <w:r>
        <w:rPr>
          <w:rFonts w:hint="eastAsia"/>
        </w:rPr>
        <w:t>人，一年中共投保了约</w:t>
      </w:r>
      <w:r>
        <w:rPr>
          <w:rFonts w:hint="eastAsia"/>
        </w:rPr>
        <w:t>1.3</w:t>
      </w:r>
      <w:r>
        <w:rPr>
          <w:rFonts w:hint="eastAsia"/>
        </w:rPr>
        <w:t>亿个工作日</w:t>
      </w:r>
      <w:r>
        <w:rPr>
          <w:rFonts w:hint="eastAsia"/>
        </w:rPr>
        <w:t>)</w:t>
      </w:r>
      <w:r>
        <w:rPr>
          <w:rFonts w:hint="eastAsia"/>
        </w:rPr>
        <w:t>。</w:t>
      </w:r>
    </w:p>
    <w:p w:rsidR="00000000" w:rsidRDefault="00000000">
      <w:r>
        <w:rPr>
          <w:rFonts w:hint="eastAsia"/>
        </w:rPr>
        <w:tab/>
        <w:t xml:space="preserve">45.  </w:t>
      </w:r>
      <w:r>
        <w:rPr>
          <w:rFonts w:hint="eastAsia"/>
        </w:rPr>
        <w:t>据我们所知，根据职业事故</w:t>
      </w:r>
      <w:r>
        <w:rPr>
          <w:rFonts w:hint="eastAsia"/>
        </w:rPr>
        <w:t>/</w:t>
      </w:r>
      <w:r>
        <w:rPr>
          <w:rFonts w:hint="eastAsia"/>
        </w:rPr>
        <w:t>疾病保险机构的方法、使用雇主申报的薪水统计数字计算出的“</w:t>
      </w:r>
      <w:r>
        <w:rPr>
          <w:rFonts w:hint="eastAsia"/>
        </w:rPr>
        <w:t>2001</w:t>
      </w:r>
      <w:r>
        <w:rPr>
          <w:rFonts w:hint="eastAsia"/>
        </w:rPr>
        <w:t>年雇员人数”</w:t>
      </w:r>
      <w:r>
        <w:rPr>
          <w:rFonts w:hint="eastAsia"/>
        </w:rPr>
        <w:t xml:space="preserve"> </w:t>
      </w:r>
      <w:r>
        <w:rPr>
          <w:rFonts w:hint="eastAsia"/>
        </w:rPr>
        <w:t>的数据，目前尚无法得到，但这种数据很可能会表明会比使用国家统计局的劳动力统计数字所计算出的事故发生频率指数更好。这意味着，可以说形势是令人满意的，因为即使果真有所减少，减幅也不会太大，而且肯定不会让我们丝毫放松自己的警惕。</w:t>
      </w:r>
    </w:p>
    <w:p w:rsidR="00000000" w:rsidRDefault="00000000">
      <w:pPr>
        <w:rPr>
          <w:rFonts w:hint="eastAsia"/>
        </w:rPr>
      </w:pPr>
      <w:r>
        <w:rPr>
          <w:rFonts w:hint="eastAsia"/>
        </w:rPr>
        <w:tab/>
        <w:t xml:space="preserve">46.  </w:t>
      </w:r>
      <w:r>
        <w:rPr>
          <w:rFonts w:hint="eastAsia"/>
        </w:rPr>
        <w:t>意大利正集中力量认真切实地规划和执行工作场所健康与安全方面的针对性越来越强的行动；在此方面，预防事故研究所提出的新的激励措施可能会实现质量上必要的飞跃，以大大降低危险性。</w:t>
      </w:r>
    </w:p>
    <w:p w:rsidR="00000000" w:rsidRDefault="00000000">
      <w:pPr>
        <w:rPr>
          <w:rFonts w:hint="eastAsia"/>
        </w:rPr>
      </w:pPr>
      <w:r>
        <w:rPr>
          <w:rFonts w:hint="eastAsia"/>
        </w:rPr>
        <w:tab/>
        <w:t xml:space="preserve">47.  </w:t>
      </w:r>
      <w:r>
        <w:rPr>
          <w:rFonts w:hint="eastAsia"/>
        </w:rPr>
        <w:t>在预防工作场所尤其是港口的事故方面，值得注意的有如下法令：</w:t>
      </w:r>
    </w:p>
    <w:p w:rsidR="00000000" w:rsidRDefault="00000000">
      <w:pPr>
        <w:pStyle w:val="a0"/>
        <w:tabs>
          <w:tab w:val="num" w:pos="1530"/>
        </w:tabs>
        <w:ind w:left="1530"/>
        <w:rPr>
          <w:rFonts w:hint="eastAsia"/>
        </w:rPr>
      </w:pPr>
      <w:r>
        <w:rPr>
          <w:rFonts w:hint="eastAsia"/>
        </w:rPr>
        <w:t>第</w:t>
      </w:r>
      <w:r>
        <w:rPr>
          <w:rFonts w:hint="eastAsia"/>
        </w:rPr>
        <w:t>271/1999</w:t>
      </w:r>
      <w:r>
        <w:rPr>
          <w:rFonts w:hint="eastAsia"/>
        </w:rPr>
        <w:t>号立法令，其中载有关于国家商业渔船上的海员的健康与安全的进一步规定，该法令依据的是关于将港口健康与安全事务的权力授予政府的第</w:t>
      </w:r>
      <w:r>
        <w:rPr>
          <w:rFonts w:hint="eastAsia"/>
        </w:rPr>
        <w:t>485/1998</w:t>
      </w:r>
      <w:r>
        <w:rPr>
          <w:rFonts w:hint="eastAsia"/>
        </w:rPr>
        <w:t>号法律，以及有关批准和实施劳工组织第</w:t>
      </w:r>
      <w:r>
        <w:rPr>
          <w:rFonts w:hint="eastAsia"/>
        </w:rPr>
        <w:t>152</w:t>
      </w:r>
      <w:r>
        <w:rPr>
          <w:rFonts w:hint="eastAsia"/>
        </w:rPr>
        <w:t>号公约的第</w:t>
      </w:r>
      <w:r>
        <w:rPr>
          <w:rFonts w:hint="eastAsia"/>
        </w:rPr>
        <w:t>862/1984</w:t>
      </w:r>
      <w:r>
        <w:rPr>
          <w:rFonts w:hint="eastAsia"/>
        </w:rPr>
        <w:t>号法律，关于劳工组织的第</w:t>
      </w:r>
      <w:r>
        <w:rPr>
          <w:rFonts w:hint="eastAsia"/>
        </w:rPr>
        <w:t>152</w:t>
      </w:r>
      <w:r>
        <w:rPr>
          <w:rFonts w:hint="eastAsia"/>
        </w:rPr>
        <w:t>号公约的批准书已于</w:t>
      </w:r>
      <w:r>
        <w:rPr>
          <w:rFonts w:hint="eastAsia"/>
        </w:rPr>
        <w:t>2000</w:t>
      </w:r>
      <w:r>
        <w:rPr>
          <w:rFonts w:hint="eastAsia"/>
        </w:rPr>
        <w:t>年</w:t>
      </w:r>
      <w:r>
        <w:rPr>
          <w:rFonts w:hint="eastAsia"/>
        </w:rPr>
        <w:t>6</w:t>
      </w:r>
      <w:r>
        <w:rPr>
          <w:rFonts w:hint="eastAsia"/>
        </w:rPr>
        <w:t>月</w:t>
      </w:r>
      <w:r>
        <w:rPr>
          <w:rFonts w:hint="eastAsia"/>
        </w:rPr>
        <w:t>7</w:t>
      </w:r>
      <w:r>
        <w:rPr>
          <w:rFonts w:hint="eastAsia"/>
        </w:rPr>
        <w:t>日提交；</w:t>
      </w:r>
    </w:p>
    <w:p w:rsidR="00000000" w:rsidRDefault="00000000">
      <w:pPr>
        <w:pStyle w:val="a0"/>
        <w:tabs>
          <w:tab w:val="num" w:pos="1530"/>
        </w:tabs>
        <w:ind w:left="1530"/>
        <w:rPr>
          <w:rFonts w:hint="eastAsia"/>
        </w:rPr>
      </w:pPr>
      <w:r>
        <w:rPr>
          <w:rFonts w:hint="eastAsia"/>
        </w:rPr>
        <w:t>第</w:t>
      </w:r>
      <w:r>
        <w:rPr>
          <w:rFonts w:hint="eastAsia"/>
        </w:rPr>
        <w:t>272/1999</w:t>
      </w:r>
      <w:r>
        <w:rPr>
          <w:rFonts w:hint="eastAsia"/>
        </w:rPr>
        <w:t>号立法令，其中载有关于从事港口作业和服务以及从事维护、修理和改造港口船只作业的工人的健康与安全的进一步规定，该法令依据的是第</w:t>
      </w:r>
      <w:r>
        <w:rPr>
          <w:rFonts w:hint="eastAsia"/>
        </w:rPr>
        <w:t>485/1998</w:t>
      </w:r>
      <w:r>
        <w:rPr>
          <w:rFonts w:hint="eastAsia"/>
        </w:rPr>
        <w:t>号法律和第</w:t>
      </w:r>
      <w:r>
        <w:rPr>
          <w:rFonts w:hint="eastAsia"/>
        </w:rPr>
        <w:t>862/1984</w:t>
      </w:r>
      <w:r>
        <w:rPr>
          <w:rFonts w:hint="eastAsia"/>
        </w:rPr>
        <w:t>号法律。</w:t>
      </w:r>
    </w:p>
    <w:p w:rsidR="00000000" w:rsidRDefault="00000000">
      <w:pPr>
        <w:spacing w:after="320"/>
        <w:rPr>
          <w:rFonts w:hint="eastAsia"/>
        </w:rPr>
      </w:pPr>
      <w:r>
        <w:rPr>
          <w:rFonts w:hint="eastAsia"/>
        </w:rPr>
        <w:tab/>
        <w:t xml:space="preserve">48.  </w:t>
      </w:r>
      <w:r>
        <w:rPr>
          <w:rFonts w:hint="eastAsia"/>
        </w:rPr>
        <w:t>最后，意大利政府不久前已启动批准关于预防重大工业事故的第</w:t>
      </w:r>
      <w:r>
        <w:rPr>
          <w:rFonts w:hint="eastAsia"/>
        </w:rPr>
        <w:t>174/1993</w:t>
      </w:r>
      <w:r>
        <w:rPr>
          <w:rFonts w:hint="eastAsia"/>
        </w:rPr>
        <w:t>号公约的程序。</w:t>
      </w:r>
    </w:p>
    <w:p w:rsidR="00000000" w:rsidRDefault="00000000">
      <w:pPr>
        <w:pStyle w:val="Heading3"/>
        <w:rPr>
          <w:rFonts w:hint="eastAsia"/>
        </w:rPr>
      </w:pPr>
      <w:r>
        <w:rPr>
          <w:rFonts w:hint="eastAsia"/>
          <w:u w:val="none"/>
        </w:rPr>
        <w:t xml:space="preserve">D.  </w:t>
      </w:r>
      <w:r>
        <w:rPr>
          <w:rFonts w:hint="eastAsia"/>
        </w:rPr>
        <w:t>社会保障</w:t>
      </w:r>
    </w:p>
    <w:p w:rsidR="00000000" w:rsidRDefault="00000000">
      <w:pPr>
        <w:ind w:left="1020" w:firstLine="555"/>
        <w:rPr>
          <w:rFonts w:ascii="Time New Roman" w:eastAsia="SimHei" w:hAnsi="Time New Roman" w:hint="eastAsia"/>
        </w:rPr>
      </w:pPr>
      <w:r>
        <w:rPr>
          <w:rFonts w:ascii="Time New Roman" w:eastAsia="SimHei" w:hAnsi="Time New Roman" w:hint="eastAsia"/>
          <w:b/>
        </w:rPr>
        <w:t>3.</w:t>
      </w:r>
      <w:r>
        <w:rPr>
          <w:rFonts w:ascii="Time New Roman" w:eastAsia="SimHei" w:hAnsi="Time New Roman" w:hint="eastAsia"/>
        </w:rPr>
        <w:t xml:space="preserve">  </w:t>
      </w:r>
      <w:r>
        <w:rPr>
          <w:rFonts w:ascii="Time New Roman" w:eastAsia="SimHei" w:hAnsi="Time New Roman" w:hint="eastAsia"/>
        </w:rPr>
        <w:t>委员会对缔约国提交的有关社会保障制度的资料不够充分感到遗憾，特别是考虑到委员会关于意大利的上一次结论性意见已指出缔约国第二次定期报告</w:t>
      </w:r>
      <w:r>
        <w:rPr>
          <w:rFonts w:ascii="Time New Roman" w:eastAsia="SimHei" w:hAnsi="Time New Roman" w:hint="eastAsia"/>
        </w:rPr>
        <w:t>(</w:t>
      </w:r>
      <w:r>
        <w:rPr>
          <w:rFonts w:ascii="Time New Roman" w:eastAsia="SimHei" w:hAnsi="Time New Roman" w:hint="eastAsia"/>
          <w:b/>
        </w:rPr>
        <w:t>E</w:t>
      </w:r>
      <w:r>
        <w:rPr>
          <w:rFonts w:ascii="Time New Roman" w:eastAsia="SimHei" w:hAnsi="Time New Roman" w:hint="eastAsia"/>
        </w:rPr>
        <w:t>/</w:t>
      </w:r>
      <w:r>
        <w:rPr>
          <w:rFonts w:ascii="Time New Roman" w:eastAsia="SimHei" w:hAnsi="Time New Roman" w:hint="eastAsia"/>
          <w:b/>
        </w:rPr>
        <w:t>1993</w:t>
      </w:r>
      <w:r>
        <w:rPr>
          <w:rFonts w:ascii="Time New Roman" w:eastAsia="SimHei" w:hAnsi="Time New Roman" w:hint="eastAsia"/>
        </w:rPr>
        <w:t>/</w:t>
      </w:r>
      <w:r>
        <w:rPr>
          <w:rFonts w:ascii="Time New Roman" w:eastAsia="SimHei" w:hAnsi="Time New Roman" w:hint="eastAsia"/>
          <w:b/>
        </w:rPr>
        <w:t>22,</w:t>
      </w:r>
      <w:r>
        <w:rPr>
          <w:rFonts w:ascii="Time New Roman" w:eastAsia="SimHei" w:hAnsi="Time New Roman" w:hint="eastAsia"/>
        </w:rPr>
        <w:t>第</w:t>
      </w:r>
      <w:r>
        <w:rPr>
          <w:rFonts w:ascii="Time New Roman" w:eastAsia="SimHei" w:hAnsi="Time New Roman" w:hint="eastAsia"/>
          <w:b/>
        </w:rPr>
        <w:t>188</w:t>
      </w:r>
      <w:r>
        <w:rPr>
          <w:rFonts w:ascii="Time New Roman" w:eastAsia="SimHei" w:hAnsi="Time New Roman" w:hint="eastAsia"/>
        </w:rPr>
        <w:t>段</w:t>
      </w:r>
      <w:r>
        <w:rPr>
          <w:rFonts w:ascii="Time New Roman" w:eastAsia="SimHei" w:hAnsi="Time New Roman" w:hint="eastAsia"/>
        </w:rPr>
        <w:t>)</w:t>
      </w:r>
      <w:r>
        <w:rPr>
          <w:rFonts w:ascii="Time New Roman" w:eastAsia="SimHei" w:hAnsi="Time New Roman" w:hint="eastAsia"/>
        </w:rPr>
        <w:t>中缺乏关于第</w:t>
      </w:r>
      <w:r>
        <w:rPr>
          <w:rFonts w:ascii="Time New Roman" w:eastAsia="SimHei" w:hAnsi="Time New Roman" w:hint="eastAsia"/>
          <w:b/>
        </w:rPr>
        <w:t>9</w:t>
      </w:r>
      <w:r>
        <w:rPr>
          <w:rFonts w:ascii="Time New Roman" w:eastAsia="SimHei" w:hAnsi="Time New Roman" w:hint="eastAsia"/>
        </w:rPr>
        <w:t>条的资料。</w:t>
      </w:r>
    </w:p>
    <w:p w:rsidR="00000000" w:rsidRDefault="00000000">
      <w:pPr>
        <w:ind w:left="1020" w:firstLine="555"/>
        <w:rPr>
          <w:rFonts w:ascii="Time New Roman" w:eastAsia="SimHei" w:hAnsi="Time New Roman" w:hint="eastAsia"/>
        </w:rPr>
      </w:pPr>
      <w:r>
        <w:rPr>
          <w:rFonts w:ascii="Time New Roman" w:eastAsia="SimHei" w:hAnsi="Time New Roman" w:hint="eastAsia"/>
          <w:b/>
        </w:rPr>
        <w:t>4.</w:t>
      </w:r>
      <w:r>
        <w:rPr>
          <w:rFonts w:ascii="Time New Roman" w:eastAsia="SimHei" w:hAnsi="Time New Roman" w:hint="eastAsia"/>
        </w:rPr>
        <w:t xml:space="preserve">  </w:t>
      </w:r>
      <w:r>
        <w:rPr>
          <w:rFonts w:ascii="Time New Roman" w:eastAsia="SimHei" w:hAnsi="Time New Roman" w:hint="eastAsia"/>
        </w:rPr>
        <w:t>委员会赞扬缔约国为打击暴力侵害妇女行为所做出的努力，但仍感到关注的是，缔约国政府尚未拟订一项全面、协调和一致的战略以解决这个严重的问题。</w:t>
      </w:r>
    </w:p>
    <w:p w:rsidR="00000000" w:rsidRDefault="00000000">
      <w:pPr>
        <w:spacing w:after="320"/>
        <w:rPr>
          <w:rFonts w:hint="eastAsia"/>
        </w:rPr>
      </w:pPr>
      <w:r>
        <w:rPr>
          <w:rFonts w:hint="eastAsia"/>
        </w:rPr>
        <w:tab/>
        <w:t xml:space="preserve">49.  </w:t>
      </w:r>
      <w:r>
        <w:rPr>
          <w:rFonts w:hint="eastAsia"/>
        </w:rPr>
        <w:t>关于意大利社会保障制度的详细说明，请参阅本报告中有关《公约》第九条的意见。</w:t>
      </w:r>
    </w:p>
    <w:p w:rsidR="00000000" w:rsidRDefault="00000000">
      <w:pPr>
        <w:pStyle w:val="Heading3"/>
        <w:rPr>
          <w:rFonts w:hint="eastAsia"/>
        </w:rPr>
      </w:pPr>
      <w:r>
        <w:rPr>
          <w:rFonts w:hint="eastAsia"/>
          <w:u w:val="none"/>
        </w:rPr>
        <w:t xml:space="preserve">E.  </w:t>
      </w:r>
      <w:r>
        <w:rPr>
          <w:rFonts w:hint="eastAsia"/>
        </w:rPr>
        <w:t>意大利北部和南部地区之间的不平等现象</w:t>
      </w:r>
    </w:p>
    <w:p w:rsidR="00000000" w:rsidRDefault="00000000">
      <w:pPr>
        <w:ind w:left="1020" w:firstLine="555"/>
        <w:rPr>
          <w:rFonts w:ascii="Time New Roman" w:eastAsia="SimHei" w:hAnsi="Time New Roman" w:hint="eastAsia"/>
        </w:rPr>
      </w:pPr>
      <w:r>
        <w:rPr>
          <w:rFonts w:ascii="Time New Roman" w:eastAsia="SimHei" w:hAnsi="Time New Roman" w:hint="eastAsia"/>
          <w:b/>
        </w:rPr>
        <w:t>5.</w:t>
      </w:r>
      <w:r>
        <w:rPr>
          <w:rFonts w:ascii="Time New Roman" w:eastAsia="SimHei" w:hAnsi="Time New Roman" w:hint="eastAsia"/>
        </w:rPr>
        <w:t xml:space="preserve">  </w:t>
      </w:r>
      <w:r>
        <w:rPr>
          <w:rFonts w:ascii="Time New Roman" w:eastAsia="SimHei" w:hAnsi="Time New Roman" w:hint="eastAsia"/>
        </w:rPr>
        <w:t>委员会关切地注意到，在该国北部和南部地区之间还有许多经济和社会不平等现象，对妇女、青年、儿童和处境不利及边缘化群体的境况造成不利的影响。</w:t>
      </w:r>
    </w:p>
    <w:p w:rsidR="00000000" w:rsidRDefault="00000000">
      <w:pPr>
        <w:ind w:left="1020" w:firstLine="555"/>
        <w:rPr>
          <w:rFonts w:ascii="Time New Roman" w:eastAsia="SimHei" w:hAnsi="Time New Roman" w:hint="eastAsia"/>
        </w:rPr>
      </w:pPr>
      <w:r>
        <w:rPr>
          <w:rFonts w:ascii="Time New Roman" w:eastAsia="SimHei" w:hAnsi="Time New Roman" w:hint="eastAsia"/>
          <w:b/>
        </w:rPr>
        <w:t>6.</w:t>
      </w:r>
      <w:r>
        <w:rPr>
          <w:rFonts w:ascii="Time New Roman" w:eastAsia="SimHei" w:hAnsi="Time New Roman" w:hint="eastAsia"/>
        </w:rPr>
        <w:t xml:space="preserve">  </w:t>
      </w:r>
      <w:r>
        <w:rPr>
          <w:rFonts w:ascii="Time New Roman" w:eastAsia="SimHei" w:hAnsi="Time New Roman" w:hint="eastAsia"/>
        </w:rPr>
        <w:t>委员会建议，缔约国认真处理意大利北部和南部地区之间长期存在的经济和社会不平等的问题，因为这种问题对妇女、青年、儿童和处境不利及边缘化群体的境况造成不利的影响。</w:t>
      </w:r>
    </w:p>
    <w:p w:rsidR="00000000" w:rsidRDefault="00000000">
      <w:pPr>
        <w:spacing w:after="320"/>
        <w:ind w:left="1020" w:firstLine="450"/>
        <w:rPr>
          <w:rFonts w:ascii="Time New Roman" w:eastAsia="SimHei" w:hAnsi="Time New Roman" w:hint="eastAsia"/>
        </w:rPr>
      </w:pPr>
      <w:r>
        <w:rPr>
          <w:rFonts w:ascii="Time New Roman" w:eastAsia="SimHei" w:hAnsi="Time New Roman" w:hint="eastAsia"/>
        </w:rPr>
        <w:t>政府正制订一项重点满足意大利南部失业青年需求的计划。该计划预计为期</w:t>
      </w:r>
      <w:r>
        <w:rPr>
          <w:rFonts w:ascii="Time New Roman" w:eastAsia="SimHei" w:hAnsi="Time New Roman" w:hint="eastAsia"/>
          <w:b/>
        </w:rPr>
        <w:t>3</w:t>
      </w:r>
      <w:r>
        <w:rPr>
          <w:rFonts w:ascii="Time New Roman" w:eastAsia="SimHei" w:hAnsi="Time New Roman" w:hint="eastAsia"/>
        </w:rPr>
        <w:t>年，将着重向失业者教授信息技术和英语，旨在增加其就业机会。</w:t>
      </w:r>
    </w:p>
    <w:p w:rsidR="00000000" w:rsidRDefault="00000000">
      <w:pPr>
        <w:pStyle w:val="Heading4"/>
        <w:rPr>
          <w:rFonts w:hint="eastAsia"/>
        </w:rPr>
      </w:pPr>
      <w:r>
        <w:rPr>
          <w:rFonts w:hint="eastAsia"/>
        </w:rPr>
        <w:t>地区差异</w:t>
      </w:r>
    </w:p>
    <w:p w:rsidR="00000000" w:rsidRDefault="00000000">
      <w:pPr>
        <w:rPr>
          <w:rFonts w:hint="eastAsia"/>
        </w:rPr>
      </w:pPr>
      <w:r>
        <w:rPr>
          <w:rFonts w:hint="eastAsia"/>
        </w:rPr>
        <w:tab/>
        <w:t xml:space="preserve">50.  </w:t>
      </w:r>
      <w:r>
        <w:rPr>
          <w:rFonts w:hint="eastAsia"/>
        </w:rPr>
        <w:t>意大利的经济发展进程，明显存在地区差异；这一差异主要反映在就业水平上，也反映在个人和社区服务的发展上。主要差异有：</w:t>
      </w:r>
    </w:p>
    <w:p w:rsidR="00000000" w:rsidRDefault="00000000">
      <w:pPr>
        <w:pStyle w:val="a0"/>
        <w:tabs>
          <w:tab w:val="num" w:pos="1530"/>
        </w:tabs>
        <w:ind w:left="1530"/>
        <w:rPr>
          <w:rFonts w:hint="eastAsia"/>
        </w:rPr>
      </w:pPr>
      <w:r>
        <w:rPr>
          <w:rFonts w:hint="eastAsia"/>
        </w:rPr>
        <w:t>就业机会集中在意大利的某些地区；</w:t>
      </w:r>
    </w:p>
    <w:p w:rsidR="00000000" w:rsidRDefault="00000000">
      <w:pPr>
        <w:pStyle w:val="a0"/>
        <w:tabs>
          <w:tab w:val="num" w:pos="1530"/>
        </w:tabs>
        <w:ind w:left="1530"/>
        <w:rPr>
          <w:rFonts w:hint="eastAsia"/>
        </w:rPr>
      </w:pPr>
      <w:r>
        <w:rPr>
          <w:rFonts w:hint="eastAsia"/>
        </w:rPr>
        <w:t>人口中的不同群体之间存在不平等现象，首先是进入和留在劳动市场的机会方面存在很大差距，然后是开发和获得个人服务方面；</w:t>
      </w:r>
    </w:p>
    <w:p w:rsidR="00000000" w:rsidRDefault="00000000">
      <w:pPr>
        <w:pStyle w:val="a0"/>
        <w:tabs>
          <w:tab w:val="num" w:pos="1530"/>
        </w:tabs>
        <w:spacing w:after="320"/>
        <w:ind w:left="1530"/>
        <w:rPr>
          <w:rFonts w:hint="eastAsia"/>
        </w:rPr>
      </w:pPr>
      <w:r>
        <w:rPr>
          <w:rFonts w:hint="eastAsia"/>
        </w:rPr>
        <w:t>贫困现象的集中程度</w:t>
      </w:r>
      <w:r>
        <w:rPr>
          <w:rFonts w:hint="eastAsia"/>
        </w:rPr>
        <w:t>(</w:t>
      </w:r>
      <w:r>
        <w:rPr>
          <w:rFonts w:hint="eastAsia"/>
        </w:rPr>
        <w:t>约</w:t>
      </w:r>
      <w:r>
        <w:rPr>
          <w:rFonts w:hint="eastAsia"/>
        </w:rPr>
        <w:t>65%</w:t>
      </w:r>
      <w:r>
        <w:rPr>
          <w:rFonts w:hint="eastAsia"/>
        </w:rPr>
        <w:t>的穷人家庭都在意大利南部</w:t>
      </w:r>
      <w:r>
        <w:rPr>
          <w:rFonts w:hint="eastAsia"/>
        </w:rPr>
        <w:t>)</w:t>
      </w:r>
      <w:r>
        <w:rPr>
          <w:rFonts w:hint="eastAsia"/>
        </w:rPr>
        <w:t>有差异。</w:t>
      </w:r>
    </w:p>
    <w:p w:rsidR="00000000" w:rsidRDefault="00000000">
      <w:pPr>
        <w:pStyle w:val="Heading3"/>
        <w:rPr>
          <w:rFonts w:hint="eastAsia"/>
        </w:rPr>
      </w:pPr>
      <w:r>
        <w:rPr>
          <w:rFonts w:hint="eastAsia"/>
          <w:u w:val="none"/>
        </w:rPr>
        <w:t xml:space="preserve">F.  </w:t>
      </w:r>
      <w:r>
        <w:rPr>
          <w:rFonts w:hint="eastAsia"/>
        </w:rPr>
        <w:t>中学辍学</w:t>
      </w:r>
      <w:r>
        <w:rPr>
          <w:rFonts w:hint="eastAsia"/>
          <w:spacing w:val="-50"/>
        </w:rPr>
        <w:t>―</w:t>
      </w:r>
      <w:r>
        <w:rPr>
          <w:rFonts w:hint="eastAsia"/>
        </w:rPr>
        <w:t>―半文盲问题</w:t>
      </w:r>
    </w:p>
    <w:p w:rsidR="00000000" w:rsidRDefault="00000000">
      <w:pPr>
        <w:ind w:left="1020" w:firstLine="555"/>
        <w:rPr>
          <w:rFonts w:ascii="Time New Roman" w:eastAsia="SimHei" w:hAnsi="Time New Roman" w:hint="eastAsia"/>
        </w:rPr>
      </w:pPr>
      <w:r>
        <w:rPr>
          <w:rFonts w:ascii="Time New Roman" w:eastAsia="SimHei" w:hAnsi="Time New Roman" w:hint="eastAsia"/>
          <w:b/>
        </w:rPr>
        <w:t>7.</w:t>
      </w:r>
      <w:r>
        <w:rPr>
          <w:rFonts w:ascii="Time New Roman" w:eastAsia="SimHei" w:hAnsi="Time New Roman" w:hint="eastAsia"/>
        </w:rPr>
        <w:t xml:space="preserve">  </w:t>
      </w:r>
      <w:r>
        <w:rPr>
          <w:rFonts w:ascii="Time New Roman" w:eastAsia="SimHei" w:hAnsi="Time New Roman" w:hint="eastAsia"/>
        </w:rPr>
        <w:t>在教育方面，委员会关切地注意到中学生辍学率很高。此外，委员会对半文盲现象感到关注。委员会对没有在对话期间就其对这一事项提出的问题得到明确的答复感到遗憾。</w:t>
      </w:r>
    </w:p>
    <w:p w:rsidR="00000000" w:rsidRDefault="00000000">
      <w:pPr>
        <w:ind w:left="1020" w:firstLine="555"/>
        <w:rPr>
          <w:rFonts w:hint="eastAsia"/>
        </w:rPr>
      </w:pPr>
      <w:r>
        <w:rPr>
          <w:rFonts w:ascii="Time New Roman" w:eastAsia="SimHei" w:hAnsi="Time New Roman" w:hint="eastAsia"/>
          <w:b/>
        </w:rPr>
        <w:t>8.</w:t>
      </w:r>
      <w:r>
        <w:rPr>
          <w:rFonts w:ascii="Time New Roman" w:eastAsia="SimHei" w:hAnsi="Time New Roman" w:hint="eastAsia"/>
        </w:rPr>
        <w:t xml:space="preserve">  </w:t>
      </w:r>
      <w:r>
        <w:rPr>
          <w:rFonts w:ascii="Time New Roman" w:eastAsia="SimHei" w:hAnsi="Time New Roman" w:hint="eastAsia"/>
        </w:rPr>
        <w:t>委员会建议缔约国拟订一项国家战略和行动计划，以处理学生辍学和青年失业的严重问题。</w:t>
      </w:r>
    </w:p>
    <w:p w:rsidR="00000000" w:rsidRDefault="00000000">
      <w:pPr>
        <w:spacing w:after="320"/>
        <w:rPr>
          <w:rFonts w:hint="eastAsia"/>
          <w:spacing w:val="0"/>
        </w:rPr>
      </w:pPr>
      <w:r>
        <w:rPr>
          <w:rFonts w:hint="eastAsia"/>
        </w:rPr>
        <w:tab/>
        <w:t xml:space="preserve">51.  </w:t>
      </w:r>
      <w:r>
        <w:rPr>
          <w:rFonts w:hint="eastAsia"/>
          <w:spacing w:val="0"/>
        </w:rPr>
        <w:t>关于委员会所关注的问题，请参阅下文有关《公约》第六条和第十三条的意见。</w:t>
      </w:r>
    </w:p>
    <w:p w:rsidR="00000000" w:rsidRDefault="00000000">
      <w:pPr>
        <w:pStyle w:val="Heading3"/>
        <w:rPr>
          <w:rFonts w:hint="eastAsia"/>
        </w:rPr>
      </w:pPr>
      <w:r>
        <w:rPr>
          <w:rFonts w:hint="eastAsia"/>
          <w:u w:val="none"/>
        </w:rPr>
        <w:t xml:space="preserve">G.  </w:t>
      </w:r>
      <w:r>
        <w:rPr>
          <w:rFonts w:hint="eastAsia"/>
        </w:rPr>
        <w:t>权利下放和劳动监察制度</w:t>
      </w:r>
    </w:p>
    <w:p w:rsidR="00000000" w:rsidRDefault="00000000">
      <w:pPr>
        <w:spacing w:after="320"/>
        <w:ind w:left="1020" w:firstLine="555"/>
        <w:rPr>
          <w:rFonts w:ascii="Time New Roman" w:eastAsia="SimHei" w:hAnsi="Time New Roman" w:hint="eastAsia"/>
        </w:rPr>
      </w:pPr>
      <w:r>
        <w:rPr>
          <w:rFonts w:ascii="Time New Roman" w:eastAsia="SimHei" w:hAnsi="Time New Roman" w:hint="eastAsia"/>
          <w:b/>
        </w:rPr>
        <w:t>9.</w:t>
      </w:r>
      <w:r>
        <w:rPr>
          <w:rFonts w:ascii="Time New Roman" w:eastAsia="SimHei" w:hAnsi="Time New Roman" w:hint="eastAsia"/>
        </w:rPr>
        <w:t xml:space="preserve">  </w:t>
      </w:r>
      <w:r>
        <w:rPr>
          <w:rFonts w:ascii="Time New Roman" w:eastAsia="SimHei" w:hAnsi="Time New Roman" w:hint="eastAsia"/>
        </w:rPr>
        <w:t>委员会呼吁缔约国执行劳工组织专家委员会关于下放劳动监察职责的建议。委员会希望缔约国在下一次定期报告中对劳动监察制度作详细介绍。</w:t>
      </w:r>
    </w:p>
    <w:p w:rsidR="00000000" w:rsidRDefault="00000000">
      <w:pPr>
        <w:pStyle w:val="Heading4"/>
        <w:rPr>
          <w:rFonts w:hint="eastAsia"/>
        </w:rPr>
      </w:pPr>
      <w:r>
        <w:rPr>
          <w:rFonts w:hint="eastAsia"/>
        </w:rPr>
        <w:t>绪论性意见</w:t>
      </w:r>
    </w:p>
    <w:p w:rsidR="00000000" w:rsidRDefault="00000000">
      <w:pPr>
        <w:rPr>
          <w:rFonts w:hint="eastAsia"/>
        </w:rPr>
      </w:pPr>
      <w:r>
        <w:rPr>
          <w:rFonts w:hint="eastAsia"/>
        </w:rPr>
        <w:tab/>
        <w:t xml:space="preserve">52.  </w:t>
      </w:r>
      <w:r>
        <w:rPr>
          <w:rFonts w:hint="eastAsia"/>
        </w:rPr>
        <w:t>根据意大利立法，劳动监察是立法者手中落实劳动保护和社会保障方面的宪法原则，和确保在开展经济活动时必须适当尊重自由、安全和人的尊严的一个工具。我国立法对劳动监察的宗旨</w:t>
      </w:r>
      <w:r>
        <w:rPr>
          <w:rFonts w:hint="eastAsia"/>
          <w:spacing w:val="-50"/>
        </w:rPr>
        <w:t>―</w:t>
      </w:r>
      <w:r>
        <w:rPr>
          <w:rFonts w:hint="eastAsia"/>
        </w:rPr>
        <w:t>―即：落实有关就业、社会保险及职业健康与安全的立法</w:t>
      </w:r>
      <w:r>
        <w:rPr>
          <w:rFonts w:hint="eastAsia"/>
          <w:spacing w:val="-50"/>
        </w:rPr>
        <w:t>―</w:t>
      </w:r>
      <w:r>
        <w:rPr>
          <w:rFonts w:hint="eastAsia"/>
        </w:rPr>
        <w:t>―十分重视，这体现在将劳动监察承认为限制根据第</w:t>
      </w:r>
      <w:r>
        <w:rPr>
          <w:rFonts w:hint="eastAsia"/>
        </w:rPr>
        <w:t>14</w:t>
      </w:r>
      <w:r>
        <w:rPr>
          <w:rFonts w:hint="eastAsia"/>
        </w:rPr>
        <w:t>条和第</w:t>
      </w:r>
      <w:r>
        <w:rPr>
          <w:rFonts w:hint="eastAsia"/>
        </w:rPr>
        <w:t>41</w:t>
      </w:r>
      <w:r>
        <w:rPr>
          <w:rFonts w:hint="eastAsia"/>
        </w:rPr>
        <w:t>条第</w:t>
      </w:r>
      <w:r>
        <w:rPr>
          <w:rFonts w:hint="eastAsia"/>
        </w:rPr>
        <w:t>3</w:t>
      </w:r>
      <w:r>
        <w:rPr>
          <w:rFonts w:hint="eastAsia"/>
        </w:rPr>
        <w:t>款规定的原则所享有的个人住所不可侵犯权利的合法理由。</w:t>
      </w:r>
    </w:p>
    <w:p w:rsidR="00000000" w:rsidRDefault="00000000">
      <w:pPr>
        <w:spacing w:after="320"/>
        <w:rPr>
          <w:rFonts w:hint="eastAsia"/>
        </w:rPr>
      </w:pPr>
      <w:r>
        <w:rPr>
          <w:rFonts w:hint="eastAsia"/>
        </w:rPr>
        <w:tab/>
        <w:t xml:space="preserve">53.  </w:t>
      </w:r>
      <w:r>
        <w:rPr>
          <w:rFonts w:hint="eastAsia"/>
        </w:rPr>
        <w:t>在此方面，宪法法院承认凡授权让负责对劳动和社会保险事务进行行政监督的公共官员进入他方住所的所有法律均在宪法上具有合法性，并放弃为保护人身自由和辩护权而必需提供的保障。</w:t>
      </w:r>
    </w:p>
    <w:p w:rsidR="00000000" w:rsidRDefault="00000000">
      <w:pPr>
        <w:pStyle w:val="Heading4"/>
        <w:rPr>
          <w:rFonts w:hint="eastAsia"/>
        </w:rPr>
      </w:pPr>
      <w:r>
        <w:rPr>
          <w:rFonts w:hint="eastAsia"/>
        </w:rPr>
        <w:t>劳动部的监察职能</w:t>
      </w:r>
    </w:p>
    <w:p w:rsidR="00000000" w:rsidRDefault="00000000">
      <w:pPr>
        <w:rPr>
          <w:rFonts w:hint="eastAsia"/>
        </w:rPr>
      </w:pPr>
      <w:r>
        <w:rPr>
          <w:rFonts w:hint="eastAsia"/>
        </w:rPr>
        <w:tab/>
        <w:t xml:space="preserve">54.  </w:t>
      </w:r>
      <w:r>
        <w:rPr>
          <w:rFonts w:hint="eastAsia"/>
        </w:rPr>
        <w:t>第</w:t>
      </w:r>
      <w:r>
        <w:rPr>
          <w:rFonts w:hint="eastAsia"/>
        </w:rPr>
        <w:t>628/1961</w:t>
      </w:r>
      <w:r>
        <w:rPr>
          <w:rFonts w:hint="eastAsia"/>
        </w:rPr>
        <w:t>号法律规定，劳动监察的协调工作由劳动部负责。劳动部通过委托劳动监察局</w:t>
      </w:r>
      <w:r>
        <w:rPr>
          <w:rFonts w:hint="eastAsia"/>
        </w:rPr>
        <w:t>(</w:t>
      </w:r>
      <w:r>
        <w:rPr>
          <w:rFonts w:hint="eastAsia"/>
        </w:rPr>
        <w:t>现为省劳动总局</w:t>
      </w:r>
      <w:r>
        <w:rPr>
          <w:rFonts w:hint="eastAsia"/>
        </w:rPr>
        <w:t>)</w:t>
      </w:r>
      <w:r>
        <w:rPr>
          <w:rFonts w:hint="eastAsia"/>
        </w:rPr>
        <w:t>的监察员行使监察权力，对“涉及劳动事务的一切法律的执法工作”进行一审行政监督。这原先包括对有关工作场所的健康与安全、社会保险、集体劳动合同的履行等法律的执法工作以及就适用这些法律开展咨询活动的任务进行监督。该项法律还规定，劳动监察员具有对社会保险机构进行监察的职能。</w:t>
      </w:r>
    </w:p>
    <w:p w:rsidR="00000000" w:rsidRDefault="00000000">
      <w:pPr>
        <w:rPr>
          <w:rFonts w:hint="eastAsia"/>
          <w:spacing w:val="0"/>
        </w:rPr>
      </w:pPr>
      <w:r>
        <w:rPr>
          <w:rFonts w:hint="eastAsia"/>
        </w:rPr>
        <w:tab/>
        <w:t xml:space="preserve">55.  </w:t>
      </w:r>
      <w:r>
        <w:rPr>
          <w:rFonts w:hint="eastAsia"/>
        </w:rPr>
        <w:t>对涉及劳动和社会保险事务</w:t>
      </w:r>
      <w:r>
        <w:rPr>
          <w:rFonts w:hint="eastAsia"/>
        </w:rPr>
        <w:t>(</w:t>
      </w:r>
      <w:r>
        <w:rPr>
          <w:rFonts w:hint="eastAsia"/>
        </w:rPr>
        <w:t>第</w:t>
      </w:r>
      <w:r>
        <w:rPr>
          <w:rFonts w:hint="eastAsia"/>
        </w:rPr>
        <w:t>628/1961</w:t>
      </w:r>
      <w:r>
        <w:rPr>
          <w:rFonts w:hint="eastAsia"/>
        </w:rPr>
        <w:t>号法律第</w:t>
      </w:r>
      <w:r>
        <w:rPr>
          <w:rFonts w:hint="eastAsia"/>
        </w:rPr>
        <w:t>4</w:t>
      </w:r>
      <w:r>
        <w:rPr>
          <w:rFonts w:hint="eastAsia"/>
        </w:rPr>
        <w:t>条</w:t>
      </w:r>
      <w:r>
        <w:rPr>
          <w:rFonts w:hint="eastAsia"/>
        </w:rPr>
        <w:t>)</w:t>
      </w:r>
      <w:r>
        <w:rPr>
          <w:rFonts w:hint="eastAsia"/>
        </w:rPr>
        <w:t>的所有法律的执法工作进行监督所采用的一般形式是，确保以下方面的法律得到遵守：建立雇用关系</w:t>
      </w:r>
      <w:r>
        <w:rPr>
          <w:rFonts w:hint="eastAsia"/>
        </w:rPr>
        <w:t>(</w:t>
      </w:r>
      <w:r>
        <w:rPr>
          <w:rFonts w:hint="eastAsia"/>
        </w:rPr>
        <w:t>第</w:t>
      </w:r>
      <w:r>
        <w:rPr>
          <w:rFonts w:hint="eastAsia"/>
        </w:rPr>
        <w:t>608/1996</w:t>
      </w:r>
      <w:r>
        <w:rPr>
          <w:rFonts w:hint="eastAsia"/>
        </w:rPr>
        <w:t>号法律第</w:t>
      </w:r>
      <w:r>
        <w:rPr>
          <w:rFonts w:hint="eastAsia"/>
        </w:rPr>
        <w:t>9</w:t>
      </w:r>
      <w:r>
        <w:rPr>
          <w:rFonts w:hint="eastAsia"/>
        </w:rPr>
        <w:t>条之二</w:t>
      </w:r>
      <w:r>
        <w:rPr>
          <w:rFonts w:hint="eastAsia"/>
        </w:rPr>
        <w:t>)</w:t>
      </w:r>
      <w:r>
        <w:rPr>
          <w:rFonts w:hint="eastAsia"/>
        </w:rPr>
        <w:t>、工作时间</w:t>
      </w:r>
      <w:r>
        <w:rPr>
          <w:rFonts w:hint="eastAsia"/>
        </w:rPr>
        <w:t>(RDL 692/1923,</w:t>
      </w:r>
      <w:r>
        <w:rPr>
          <w:rFonts w:hint="eastAsia"/>
        </w:rPr>
        <w:t>并经第</w:t>
      </w:r>
      <w:r>
        <w:rPr>
          <w:rFonts w:hint="eastAsia"/>
        </w:rPr>
        <w:t>196/1997</w:t>
      </w:r>
      <w:r>
        <w:rPr>
          <w:rFonts w:hint="eastAsia"/>
        </w:rPr>
        <w:t>号法律第</w:t>
      </w:r>
      <w:r>
        <w:rPr>
          <w:rFonts w:hint="eastAsia"/>
        </w:rPr>
        <w:t>13</w:t>
      </w:r>
      <w:r>
        <w:rPr>
          <w:rFonts w:hint="eastAsia"/>
        </w:rPr>
        <w:t>条修正</w:t>
      </w:r>
      <w:r>
        <w:rPr>
          <w:rFonts w:hint="eastAsia"/>
        </w:rPr>
        <w:t>)</w:t>
      </w:r>
      <w:r>
        <w:rPr>
          <w:rFonts w:hint="eastAsia"/>
        </w:rPr>
        <w:t>、每周休息时间</w:t>
      </w:r>
      <w:r>
        <w:rPr>
          <w:rFonts w:hint="eastAsia"/>
        </w:rPr>
        <w:t>(</w:t>
      </w:r>
      <w:r>
        <w:rPr>
          <w:rFonts w:hint="eastAsia"/>
        </w:rPr>
        <w:t>第</w:t>
      </w:r>
      <w:r>
        <w:rPr>
          <w:rFonts w:hint="eastAsia"/>
        </w:rPr>
        <w:t>370/1934</w:t>
      </w:r>
      <w:r>
        <w:rPr>
          <w:rFonts w:hint="eastAsia"/>
        </w:rPr>
        <w:t>号法律</w:t>
      </w:r>
      <w:r>
        <w:rPr>
          <w:rFonts w:hint="eastAsia"/>
        </w:rPr>
        <w:t>)</w:t>
      </w:r>
      <w:r>
        <w:rPr>
          <w:rFonts w:hint="eastAsia"/>
        </w:rPr>
        <w:t>、年假</w:t>
      </w:r>
      <w:r>
        <w:rPr>
          <w:rFonts w:hint="eastAsia"/>
        </w:rPr>
        <w:t>(</w:t>
      </w:r>
      <w:r>
        <w:rPr>
          <w:rFonts w:hint="eastAsia"/>
        </w:rPr>
        <w:t>劳工组织第</w:t>
      </w:r>
      <w:r>
        <w:rPr>
          <w:rFonts w:hint="eastAsia"/>
        </w:rPr>
        <w:t>132</w:t>
      </w:r>
      <w:r>
        <w:rPr>
          <w:rFonts w:hint="eastAsia"/>
        </w:rPr>
        <w:t>号公约</w:t>
      </w:r>
      <w:r>
        <w:rPr>
          <w:rFonts w:hint="eastAsia"/>
        </w:rPr>
        <w:t>(1970</w:t>
      </w:r>
      <w:r>
        <w:rPr>
          <w:rFonts w:hint="eastAsia"/>
        </w:rPr>
        <w:t>年</w:t>
      </w:r>
      <w:r>
        <w:rPr>
          <w:rFonts w:hint="eastAsia"/>
        </w:rPr>
        <w:t>)</w:t>
      </w:r>
      <w:r>
        <w:rPr>
          <w:rFonts w:hint="eastAsia"/>
        </w:rPr>
        <w:t>，经第</w:t>
      </w:r>
      <w:r>
        <w:rPr>
          <w:rFonts w:hint="eastAsia"/>
        </w:rPr>
        <w:t>157/1981</w:t>
      </w:r>
      <w:r>
        <w:rPr>
          <w:rFonts w:hint="eastAsia"/>
        </w:rPr>
        <w:t>号法律批准</w:t>
      </w:r>
      <w:r>
        <w:rPr>
          <w:rFonts w:hint="eastAsia"/>
        </w:rPr>
        <w:t>)</w:t>
      </w:r>
      <w:r>
        <w:rPr>
          <w:rFonts w:hint="eastAsia"/>
        </w:rPr>
        <w:t>、集体合同的履行</w:t>
      </w:r>
      <w:r>
        <w:rPr>
          <w:rFonts w:hint="eastAsia"/>
        </w:rPr>
        <w:t>(</w:t>
      </w:r>
      <w:r>
        <w:rPr>
          <w:rFonts w:hint="eastAsia"/>
        </w:rPr>
        <w:t>第</w:t>
      </w:r>
      <w:r>
        <w:rPr>
          <w:rFonts w:hint="eastAsia"/>
        </w:rPr>
        <w:t>741/1959</w:t>
      </w:r>
      <w:r>
        <w:rPr>
          <w:rFonts w:hint="eastAsia"/>
        </w:rPr>
        <w:t>号法律</w:t>
      </w:r>
      <w:r>
        <w:rPr>
          <w:rFonts w:hint="eastAsia"/>
        </w:rPr>
        <w:t>)</w:t>
      </w:r>
      <w:r>
        <w:rPr>
          <w:rFonts w:hint="eastAsia"/>
        </w:rPr>
        <w:t>、对未成年人做工的保护</w:t>
      </w:r>
      <w:r>
        <w:rPr>
          <w:rFonts w:hint="eastAsia"/>
        </w:rPr>
        <w:t>(</w:t>
      </w:r>
      <w:r>
        <w:rPr>
          <w:rFonts w:hint="eastAsia"/>
        </w:rPr>
        <w:t>第</w:t>
      </w:r>
      <w:r>
        <w:rPr>
          <w:rFonts w:hint="eastAsia"/>
        </w:rPr>
        <w:t>977/1967</w:t>
      </w:r>
      <w:r>
        <w:rPr>
          <w:rFonts w:hint="eastAsia"/>
        </w:rPr>
        <w:t>号法律，并经第</w:t>
      </w:r>
      <w:r>
        <w:rPr>
          <w:rFonts w:hint="eastAsia"/>
        </w:rPr>
        <w:t>262/2000</w:t>
      </w:r>
      <w:r>
        <w:rPr>
          <w:rFonts w:hint="eastAsia"/>
        </w:rPr>
        <w:t>号立法令修正</w:t>
      </w:r>
      <w:r>
        <w:rPr>
          <w:rFonts w:hint="eastAsia"/>
        </w:rPr>
        <w:t>)</w:t>
      </w:r>
      <w:r>
        <w:rPr>
          <w:rFonts w:hint="eastAsia"/>
        </w:rPr>
        <w:t>、对有职业的母亲的保护</w:t>
      </w:r>
      <w:r>
        <w:rPr>
          <w:rFonts w:hint="eastAsia"/>
        </w:rPr>
        <w:t>(</w:t>
      </w:r>
      <w:r>
        <w:rPr>
          <w:rFonts w:hint="eastAsia"/>
        </w:rPr>
        <w:t>第</w:t>
      </w:r>
      <w:r>
        <w:rPr>
          <w:rFonts w:hint="eastAsia"/>
        </w:rPr>
        <w:t>151/2001</w:t>
      </w:r>
      <w:r>
        <w:rPr>
          <w:rFonts w:hint="eastAsia"/>
        </w:rPr>
        <w:t>号法律</w:t>
      </w:r>
      <w:r>
        <w:rPr>
          <w:rFonts w:hint="eastAsia"/>
        </w:rPr>
        <w:t>)</w:t>
      </w:r>
      <w:r>
        <w:rPr>
          <w:rFonts w:hint="eastAsia"/>
        </w:rPr>
        <w:t>、男女平等</w:t>
      </w:r>
      <w:r>
        <w:rPr>
          <w:rFonts w:hint="eastAsia"/>
        </w:rPr>
        <w:t>(</w:t>
      </w:r>
      <w:r>
        <w:rPr>
          <w:rFonts w:hint="eastAsia"/>
        </w:rPr>
        <w:t>第</w:t>
      </w:r>
      <w:r>
        <w:rPr>
          <w:rFonts w:hint="eastAsia"/>
        </w:rPr>
        <w:t>903/1977</w:t>
      </w:r>
      <w:r>
        <w:rPr>
          <w:rFonts w:hint="eastAsia"/>
        </w:rPr>
        <w:t>号法律；第</w:t>
      </w:r>
      <w:r>
        <w:rPr>
          <w:rFonts w:hint="eastAsia"/>
        </w:rPr>
        <w:t>125/1991</w:t>
      </w:r>
      <w:r>
        <w:rPr>
          <w:rFonts w:hint="eastAsia"/>
        </w:rPr>
        <w:t>号法律；第</w:t>
      </w:r>
      <w:r>
        <w:rPr>
          <w:rFonts w:hint="eastAsia"/>
        </w:rPr>
        <w:t>196/2000</w:t>
      </w:r>
      <w:r>
        <w:rPr>
          <w:rFonts w:hint="eastAsia"/>
        </w:rPr>
        <w:t>号立法令</w:t>
      </w:r>
      <w:r>
        <w:rPr>
          <w:rFonts w:hint="eastAsia"/>
        </w:rPr>
        <w:t>)</w:t>
      </w:r>
      <w:r>
        <w:rPr>
          <w:rFonts w:hint="eastAsia"/>
        </w:rPr>
        <w:t>，以及有关以下特定合同的立法的正确适用：定期合同</w:t>
      </w:r>
      <w:r>
        <w:rPr>
          <w:rFonts w:hint="eastAsia"/>
        </w:rPr>
        <w:t xml:space="preserve"> (</w:t>
      </w:r>
      <w:r>
        <w:rPr>
          <w:rFonts w:hint="eastAsia"/>
        </w:rPr>
        <w:t>第</w:t>
      </w:r>
      <w:r>
        <w:rPr>
          <w:rFonts w:hint="eastAsia"/>
        </w:rPr>
        <w:t>368/2001</w:t>
      </w:r>
      <w:r>
        <w:rPr>
          <w:rFonts w:hint="eastAsia"/>
        </w:rPr>
        <w:t>号立法令</w:t>
      </w:r>
      <w:r>
        <w:rPr>
          <w:rFonts w:hint="eastAsia"/>
        </w:rPr>
        <w:t>)</w:t>
      </w:r>
      <w:r>
        <w:rPr>
          <w:rFonts w:hint="eastAsia"/>
        </w:rPr>
        <w:t>、非全时合同</w:t>
      </w:r>
      <w:r>
        <w:rPr>
          <w:rFonts w:hint="eastAsia"/>
        </w:rPr>
        <w:t>(</w:t>
      </w:r>
      <w:r>
        <w:rPr>
          <w:rFonts w:hint="eastAsia"/>
        </w:rPr>
        <w:t>第</w:t>
      </w:r>
      <w:r>
        <w:rPr>
          <w:rFonts w:hint="eastAsia"/>
        </w:rPr>
        <w:t>61/2000</w:t>
      </w:r>
      <w:r>
        <w:rPr>
          <w:rFonts w:hint="eastAsia"/>
        </w:rPr>
        <w:t>号立法令第</w:t>
      </w:r>
      <w:r>
        <w:rPr>
          <w:rFonts w:hint="eastAsia"/>
        </w:rPr>
        <w:t>1</w:t>
      </w:r>
      <w:r>
        <w:rPr>
          <w:rFonts w:hint="eastAsia"/>
        </w:rPr>
        <w:t>条；第</w:t>
      </w:r>
      <w:r>
        <w:rPr>
          <w:rFonts w:hint="eastAsia"/>
        </w:rPr>
        <w:t>100/2001</w:t>
      </w:r>
      <w:r>
        <w:rPr>
          <w:rFonts w:hint="eastAsia"/>
        </w:rPr>
        <w:t>号立法令</w:t>
      </w:r>
      <w:r>
        <w:rPr>
          <w:rFonts w:hint="eastAsia"/>
        </w:rPr>
        <w:t>)</w:t>
      </w:r>
      <w:r>
        <w:rPr>
          <w:rFonts w:hint="eastAsia"/>
        </w:rPr>
        <w:t>、学徒合同</w:t>
      </w:r>
      <w:r>
        <w:rPr>
          <w:rFonts w:hint="eastAsia"/>
        </w:rPr>
        <w:t>(</w:t>
      </w:r>
      <w:r>
        <w:rPr>
          <w:rFonts w:hint="eastAsia"/>
        </w:rPr>
        <w:t>第</w:t>
      </w:r>
      <w:r>
        <w:rPr>
          <w:rFonts w:hint="eastAsia"/>
        </w:rPr>
        <w:t>25/1955</w:t>
      </w:r>
      <w:r>
        <w:rPr>
          <w:rFonts w:hint="eastAsia"/>
        </w:rPr>
        <w:t>号法律；第</w:t>
      </w:r>
      <w:r>
        <w:rPr>
          <w:rFonts w:hint="eastAsia"/>
        </w:rPr>
        <w:t>56/1987</w:t>
      </w:r>
      <w:r>
        <w:rPr>
          <w:rFonts w:hint="eastAsia"/>
        </w:rPr>
        <w:t>号法律第</w:t>
      </w:r>
      <w:r>
        <w:rPr>
          <w:rFonts w:hint="eastAsia"/>
        </w:rPr>
        <w:t>21</w:t>
      </w:r>
      <w:r>
        <w:rPr>
          <w:rFonts w:hint="eastAsia"/>
        </w:rPr>
        <w:t>条；第</w:t>
      </w:r>
      <w:r>
        <w:rPr>
          <w:rFonts w:hint="eastAsia"/>
        </w:rPr>
        <w:t>196/1997</w:t>
      </w:r>
      <w:r>
        <w:rPr>
          <w:rFonts w:hint="eastAsia"/>
        </w:rPr>
        <w:t>号法律第</w:t>
      </w:r>
      <w:r>
        <w:rPr>
          <w:rFonts w:hint="eastAsia"/>
        </w:rPr>
        <w:t>16</w:t>
      </w:r>
      <w:r>
        <w:rPr>
          <w:rFonts w:hint="eastAsia"/>
        </w:rPr>
        <w:t>条</w:t>
      </w:r>
      <w:r>
        <w:rPr>
          <w:rFonts w:hint="eastAsia"/>
        </w:rPr>
        <w:t>)</w:t>
      </w:r>
      <w:r>
        <w:rPr>
          <w:rFonts w:hint="eastAsia"/>
        </w:rPr>
        <w:t>、培训与工作合同</w:t>
      </w:r>
      <w:r>
        <w:rPr>
          <w:rFonts w:hint="eastAsia"/>
        </w:rPr>
        <w:t>(</w:t>
      </w:r>
      <w:r>
        <w:rPr>
          <w:rFonts w:hint="eastAsia"/>
        </w:rPr>
        <w:t>第</w:t>
      </w:r>
      <w:r>
        <w:rPr>
          <w:rFonts w:hint="eastAsia"/>
        </w:rPr>
        <w:t>863/1984</w:t>
      </w:r>
      <w:r>
        <w:rPr>
          <w:rFonts w:hint="eastAsia"/>
        </w:rPr>
        <w:t>号法律；第</w:t>
      </w:r>
      <w:r>
        <w:rPr>
          <w:rFonts w:hint="eastAsia"/>
        </w:rPr>
        <w:t>451/1994</w:t>
      </w:r>
      <w:r>
        <w:rPr>
          <w:rFonts w:hint="eastAsia"/>
        </w:rPr>
        <w:t>号法律第</w:t>
      </w:r>
      <w:r>
        <w:rPr>
          <w:rFonts w:hint="eastAsia"/>
        </w:rPr>
        <w:t>16</w:t>
      </w:r>
      <w:r>
        <w:rPr>
          <w:rFonts w:hint="eastAsia"/>
        </w:rPr>
        <w:t>条；第</w:t>
      </w:r>
      <w:r>
        <w:rPr>
          <w:rFonts w:hint="eastAsia"/>
          <w:spacing w:val="0"/>
        </w:rPr>
        <w:t>196/1997</w:t>
      </w:r>
      <w:r>
        <w:rPr>
          <w:rFonts w:hint="eastAsia"/>
          <w:spacing w:val="0"/>
        </w:rPr>
        <w:t>号法律</w:t>
      </w:r>
      <w:r>
        <w:rPr>
          <w:rFonts w:hint="eastAsia"/>
          <w:spacing w:val="0"/>
        </w:rPr>
        <w:t>)</w:t>
      </w:r>
      <w:r>
        <w:rPr>
          <w:rFonts w:hint="eastAsia"/>
          <w:spacing w:val="0"/>
        </w:rPr>
        <w:t>、在家或外发工作</w:t>
      </w:r>
      <w:r>
        <w:rPr>
          <w:rFonts w:hint="eastAsia"/>
          <w:spacing w:val="0"/>
        </w:rPr>
        <w:t>(</w:t>
      </w:r>
      <w:r>
        <w:rPr>
          <w:rFonts w:hint="eastAsia"/>
          <w:spacing w:val="0"/>
        </w:rPr>
        <w:t>第</w:t>
      </w:r>
      <w:r>
        <w:rPr>
          <w:rFonts w:hint="eastAsia"/>
          <w:spacing w:val="0"/>
        </w:rPr>
        <w:t>877/1973</w:t>
      </w:r>
      <w:r>
        <w:rPr>
          <w:rFonts w:hint="eastAsia"/>
          <w:spacing w:val="0"/>
        </w:rPr>
        <w:t>号法律</w:t>
      </w:r>
      <w:r>
        <w:rPr>
          <w:rFonts w:hint="eastAsia"/>
          <w:spacing w:val="0"/>
        </w:rPr>
        <w:t>)</w:t>
      </w:r>
      <w:r>
        <w:rPr>
          <w:rFonts w:hint="eastAsia"/>
          <w:spacing w:val="0"/>
        </w:rPr>
        <w:t>、临时工作</w:t>
      </w:r>
      <w:r>
        <w:rPr>
          <w:rFonts w:hint="eastAsia"/>
          <w:spacing w:val="0"/>
        </w:rPr>
        <w:t>(</w:t>
      </w:r>
      <w:r>
        <w:rPr>
          <w:rFonts w:hint="eastAsia"/>
          <w:spacing w:val="0"/>
        </w:rPr>
        <w:t>第</w:t>
      </w:r>
      <w:r>
        <w:rPr>
          <w:rFonts w:hint="eastAsia"/>
          <w:spacing w:val="0"/>
        </w:rPr>
        <w:t>196/1997</w:t>
      </w:r>
      <w:r>
        <w:rPr>
          <w:rFonts w:hint="eastAsia"/>
          <w:spacing w:val="0"/>
        </w:rPr>
        <w:t>号法律</w:t>
      </w:r>
      <w:r>
        <w:rPr>
          <w:rFonts w:hint="eastAsia"/>
          <w:spacing w:val="0"/>
        </w:rPr>
        <w:t>)</w:t>
      </w:r>
      <w:r>
        <w:rPr>
          <w:rFonts w:hint="eastAsia"/>
          <w:spacing w:val="0"/>
        </w:rPr>
        <w:t>。</w:t>
      </w:r>
    </w:p>
    <w:p w:rsidR="00000000" w:rsidRDefault="00000000">
      <w:pPr>
        <w:rPr>
          <w:rFonts w:hint="eastAsia"/>
        </w:rPr>
      </w:pPr>
      <w:r>
        <w:rPr>
          <w:rFonts w:hint="eastAsia"/>
        </w:rPr>
        <w:tab/>
        <w:t xml:space="preserve">56.  </w:t>
      </w:r>
      <w:r>
        <w:rPr>
          <w:rFonts w:hint="eastAsia"/>
        </w:rPr>
        <w:t>另外，劳动监察员还对涉及强制社会保险和职业健康与安全的法律是否得到正确适用进行监督，他们对此仍负有剩余监督职责</w:t>
      </w:r>
      <w:r>
        <w:rPr>
          <w:rFonts w:hint="eastAsia"/>
        </w:rPr>
        <w:t>(</w:t>
      </w:r>
      <w:r>
        <w:rPr>
          <w:rFonts w:hint="eastAsia"/>
        </w:rPr>
        <w:t>如</w:t>
      </w:r>
      <w:r>
        <w:rPr>
          <w:rFonts w:hint="eastAsia"/>
        </w:rPr>
        <w:t>1997</w:t>
      </w:r>
      <w:r>
        <w:rPr>
          <w:rFonts w:hint="eastAsia"/>
        </w:rPr>
        <w:t>年第</w:t>
      </w:r>
      <w:r>
        <w:rPr>
          <w:rFonts w:hint="eastAsia"/>
        </w:rPr>
        <w:t>412</w:t>
      </w:r>
      <w:r>
        <w:rPr>
          <w:rFonts w:hint="eastAsia"/>
        </w:rPr>
        <w:t>号总理令所规定的，在建筑部门；涉及公路、铁路和水利建筑的建设、养护、维修和拆毁的工程；地下和隧道工程，其中包括涉及使用爆炸物的作业和使用压缩空气箱进行的作业；以及水下作业</w:t>
      </w:r>
      <w:r>
        <w:rPr>
          <w:rFonts w:hint="eastAsia"/>
        </w:rPr>
        <w:t>)</w:t>
      </w:r>
      <w:r>
        <w:rPr>
          <w:rFonts w:hint="eastAsia"/>
        </w:rPr>
        <w:t>。</w:t>
      </w:r>
    </w:p>
    <w:p w:rsidR="00000000" w:rsidRDefault="00000000">
      <w:pPr>
        <w:rPr>
          <w:rFonts w:hint="eastAsia"/>
        </w:rPr>
      </w:pPr>
      <w:r>
        <w:rPr>
          <w:rFonts w:hint="eastAsia"/>
        </w:rPr>
        <w:tab/>
        <w:t xml:space="preserve">57.  </w:t>
      </w:r>
      <w:r>
        <w:rPr>
          <w:rFonts w:hint="eastAsia"/>
        </w:rPr>
        <w:t>第</w:t>
      </w:r>
      <w:r>
        <w:rPr>
          <w:rFonts w:hint="eastAsia"/>
        </w:rPr>
        <w:t>520/1955</w:t>
      </w:r>
      <w:r>
        <w:rPr>
          <w:rFonts w:hint="eastAsia"/>
        </w:rPr>
        <w:t>号总统令第</w:t>
      </w:r>
      <w:r>
        <w:rPr>
          <w:rFonts w:hint="eastAsia"/>
        </w:rPr>
        <w:t>8</w:t>
      </w:r>
      <w:r>
        <w:rPr>
          <w:rFonts w:hint="eastAsia"/>
        </w:rPr>
        <w:t>条规定，劳动监察员在其被指派的工作范围内，并根据具体法律和规章对其分配的任务和职责，享有执法官员的地位。这意味着，如果在监督员履行其正常行政监督职责的过程中，有证据表明发生了与劳动监察局的行政职责有关的犯罪行为，监察员可进行调查，以确定该证据是否可靠，而不需要中断监察程序。在此情况下，监察员仍有义务将这一犯罪行为通知司法机关。</w:t>
      </w:r>
    </w:p>
    <w:p w:rsidR="00000000" w:rsidRDefault="00000000">
      <w:pPr>
        <w:rPr>
          <w:rFonts w:hint="eastAsia"/>
        </w:rPr>
      </w:pPr>
      <w:r>
        <w:rPr>
          <w:rFonts w:hint="eastAsia"/>
        </w:rPr>
        <w:tab/>
        <w:t xml:space="preserve">58.  </w:t>
      </w:r>
      <w:r>
        <w:rPr>
          <w:rFonts w:hint="eastAsia"/>
        </w:rPr>
        <w:t>监察员是在发生违反职业健康与安全规则的行为时，按第</w:t>
      </w:r>
      <w:r>
        <w:rPr>
          <w:rFonts w:hint="eastAsia"/>
        </w:rPr>
        <w:t>626/1994</w:t>
      </w:r>
      <w:r>
        <w:rPr>
          <w:rFonts w:hint="eastAsia"/>
        </w:rPr>
        <w:t>号立法令第</w:t>
      </w:r>
      <w:r>
        <w:rPr>
          <w:rFonts w:hint="eastAsia"/>
        </w:rPr>
        <w:t>23</w:t>
      </w:r>
      <w:r>
        <w:rPr>
          <w:rFonts w:hint="eastAsia"/>
        </w:rPr>
        <w:t>条规定的剩余权限的规定，行使这些执法职能的。</w:t>
      </w:r>
    </w:p>
    <w:p w:rsidR="00000000" w:rsidRDefault="00000000">
      <w:pPr>
        <w:rPr>
          <w:rFonts w:hint="eastAsia"/>
        </w:rPr>
      </w:pPr>
      <w:r>
        <w:rPr>
          <w:rFonts w:hint="eastAsia"/>
        </w:rPr>
        <w:tab/>
        <w:t xml:space="preserve">59.  </w:t>
      </w:r>
      <w:r>
        <w:rPr>
          <w:rFonts w:hint="eastAsia"/>
        </w:rPr>
        <w:t>劳动监察员有如下权力：</w:t>
      </w:r>
    </w:p>
    <w:p w:rsidR="00000000" w:rsidRDefault="00000000">
      <w:pPr>
        <w:pStyle w:val="a0"/>
        <w:tabs>
          <w:tab w:val="num" w:pos="1530"/>
        </w:tabs>
        <w:ind w:left="1530"/>
        <w:rPr>
          <w:rFonts w:hint="eastAsia"/>
        </w:rPr>
      </w:pPr>
      <w:r>
        <w:rPr>
          <w:rFonts w:hint="eastAsia"/>
        </w:rPr>
        <w:t>有权访问公司的房产</w:t>
      </w:r>
      <w:r>
        <w:rPr>
          <w:rFonts w:hint="eastAsia"/>
        </w:rPr>
        <w:t>(</w:t>
      </w:r>
      <w:r>
        <w:rPr>
          <w:rFonts w:hint="eastAsia"/>
        </w:rPr>
        <w:t>进入权</w:t>
      </w:r>
      <w:r>
        <w:rPr>
          <w:rFonts w:hint="eastAsia"/>
          <w:spacing w:val="-50"/>
        </w:rPr>
        <w:t>―</w:t>
      </w:r>
      <w:r>
        <w:rPr>
          <w:rFonts w:hint="eastAsia"/>
        </w:rPr>
        <w:t>―第</w:t>
      </w:r>
      <w:r>
        <w:rPr>
          <w:rFonts w:hint="eastAsia"/>
        </w:rPr>
        <w:t>520/1955</w:t>
      </w:r>
      <w:r>
        <w:rPr>
          <w:rFonts w:hint="eastAsia"/>
        </w:rPr>
        <w:t>号总统令第</w:t>
      </w:r>
      <w:r>
        <w:rPr>
          <w:rFonts w:hint="eastAsia"/>
        </w:rPr>
        <w:t>8</w:t>
      </w:r>
      <w:r>
        <w:rPr>
          <w:rFonts w:hint="eastAsia"/>
        </w:rPr>
        <w:t>条</w:t>
      </w:r>
      <w:r>
        <w:rPr>
          <w:rFonts w:hint="eastAsia"/>
        </w:rPr>
        <w:t>)</w:t>
      </w:r>
      <w:r>
        <w:rPr>
          <w:rFonts w:hint="eastAsia"/>
        </w:rPr>
        <w:t>；</w:t>
      </w:r>
    </w:p>
    <w:p w:rsidR="00000000" w:rsidRDefault="00000000">
      <w:pPr>
        <w:pStyle w:val="a0"/>
        <w:tabs>
          <w:tab w:val="num" w:pos="1530"/>
        </w:tabs>
        <w:ind w:left="1530"/>
        <w:rPr>
          <w:rFonts w:hint="eastAsia"/>
        </w:rPr>
      </w:pPr>
      <w:r>
        <w:rPr>
          <w:rFonts w:hint="eastAsia"/>
        </w:rPr>
        <w:t>有权要求提供并获得信息和发表意见</w:t>
      </w:r>
      <w:r>
        <w:rPr>
          <w:rFonts w:hint="eastAsia"/>
        </w:rPr>
        <w:t>(</w:t>
      </w:r>
      <w:r>
        <w:rPr>
          <w:rFonts w:hint="eastAsia"/>
        </w:rPr>
        <w:t>第</w:t>
      </w:r>
      <w:r>
        <w:rPr>
          <w:rFonts w:hint="eastAsia"/>
        </w:rPr>
        <w:t>628/1961</w:t>
      </w:r>
      <w:r>
        <w:rPr>
          <w:rFonts w:hint="eastAsia"/>
        </w:rPr>
        <w:t>号法律第</w:t>
      </w:r>
      <w:r>
        <w:rPr>
          <w:rFonts w:hint="eastAsia"/>
        </w:rPr>
        <w:t>4</w:t>
      </w:r>
      <w:r>
        <w:rPr>
          <w:rFonts w:hint="eastAsia"/>
        </w:rPr>
        <w:t>条</w:t>
      </w:r>
      <w:r>
        <w:rPr>
          <w:rFonts w:hint="eastAsia"/>
        </w:rPr>
        <w:t>)</w:t>
      </w:r>
      <w:r>
        <w:rPr>
          <w:rFonts w:hint="eastAsia"/>
        </w:rPr>
        <w:t>；</w:t>
      </w:r>
    </w:p>
    <w:p w:rsidR="00000000" w:rsidRDefault="00000000">
      <w:pPr>
        <w:pStyle w:val="a0"/>
        <w:tabs>
          <w:tab w:val="num" w:pos="1530"/>
        </w:tabs>
        <w:ind w:left="1530"/>
        <w:rPr>
          <w:rFonts w:hint="eastAsia"/>
        </w:rPr>
      </w:pPr>
      <w:r>
        <w:rPr>
          <w:rFonts w:hint="eastAsia"/>
        </w:rPr>
        <w:t>有权发出警告</w:t>
      </w:r>
      <w:r>
        <w:rPr>
          <w:rFonts w:hint="eastAsia"/>
        </w:rPr>
        <w:t>(</w:t>
      </w:r>
      <w:r>
        <w:rPr>
          <w:rFonts w:hint="eastAsia"/>
        </w:rPr>
        <w:t>第</w:t>
      </w:r>
      <w:r>
        <w:rPr>
          <w:rFonts w:hint="eastAsia"/>
        </w:rPr>
        <w:t>520/1955</w:t>
      </w:r>
      <w:r>
        <w:rPr>
          <w:rFonts w:hint="eastAsia"/>
        </w:rPr>
        <w:t>号总统令第</w:t>
      </w:r>
      <w:r>
        <w:rPr>
          <w:rFonts w:hint="eastAsia"/>
        </w:rPr>
        <w:t>9</w:t>
      </w:r>
      <w:r>
        <w:rPr>
          <w:rFonts w:hint="eastAsia"/>
        </w:rPr>
        <w:t>条</w:t>
      </w:r>
      <w:r>
        <w:rPr>
          <w:rFonts w:hint="eastAsia"/>
        </w:rPr>
        <w:t>)</w:t>
      </w:r>
      <w:r>
        <w:rPr>
          <w:rFonts w:hint="eastAsia"/>
        </w:rPr>
        <w:t>；</w:t>
      </w:r>
    </w:p>
    <w:p w:rsidR="00000000" w:rsidRDefault="00000000">
      <w:pPr>
        <w:pStyle w:val="a0"/>
        <w:tabs>
          <w:tab w:val="num" w:pos="1530"/>
        </w:tabs>
        <w:ind w:left="1530"/>
        <w:rPr>
          <w:rFonts w:hint="eastAsia"/>
        </w:rPr>
      </w:pPr>
      <w:r>
        <w:rPr>
          <w:rFonts w:hint="eastAsia"/>
        </w:rPr>
        <w:t>有权作出规定</w:t>
      </w:r>
      <w:r>
        <w:rPr>
          <w:rFonts w:hint="eastAsia"/>
        </w:rPr>
        <w:t>(</w:t>
      </w:r>
      <w:r>
        <w:rPr>
          <w:rFonts w:hint="eastAsia"/>
        </w:rPr>
        <w:t>第</w:t>
      </w:r>
      <w:r>
        <w:rPr>
          <w:rFonts w:hint="eastAsia"/>
        </w:rPr>
        <w:t>520/1955</w:t>
      </w:r>
      <w:r>
        <w:rPr>
          <w:rFonts w:hint="eastAsia"/>
        </w:rPr>
        <w:t>号总统令第</w:t>
      </w:r>
      <w:r>
        <w:rPr>
          <w:rFonts w:hint="eastAsia"/>
        </w:rPr>
        <w:t>10</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60.  </w:t>
      </w:r>
      <w:r>
        <w:rPr>
          <w:rFonts w:hint="eastAsia"/>
        </w:rPr>
        <w:t>进入权所采取的形式是，授权昼夜随时访问车间、工厂、建筑工地和工程的任何部分</w:t>
      </w:r>
      <w:r>
        <w:rPr>
          <w:rFonts w:hint="eastAsia"/>
        </w:rPr>
        <w:t>(</w:t>
      </w:r>
      <w:r>
        <w:rPr>
          <w:rFonts w:hint="eastAsia"/>
        </w:rPr>
        <w:t>因为这些都属于监察员监督的范围</w:t>
      </w:r>
      <w:r>
        <w:rPr>
          <w:rFonts w:hint="eastAsia"/>
        </w:rPr>
        <w:t>)</w:t>
      </w:r>
      <w:r>
        <w:rPr>
          <w:rFonts w:hint="eastAsia"/>
        </w:rPr>
        <w:t>，以及访问附属于工厂的宿舍和餐厅。警告权让监察员能在出现不遵守立法规定的情况下决定是否应对不遵守规定者确定纠正所涉行政违章行为或刑事犯罪的期限。</w:t>
      </w:r>
    </w:p>
    <w:p w:rsidR="00000000" w:rsidRDefault="00000000">
      <w:pPr>
        <w:ind w:firstLine="539"/>
        <w:rPr>
          <w:rFonts w:hint="eastAsia"/>
        </w:rPr>
      </w:pPr>
      <w:r>
        <w:t xml:space="preserve">61.  </w:t>
      </w:r>
      <w:r>
        <w:rPr>
          <w:rFonts w:hint="eastAsia"/>
        </w:rPr>
        <w:t>这些规定属于行政程序，对于其采用是否及时以及内容方面，具有自由裁量的性质，其作用是在立法已作出规定之外再提出一些新的强制性义务。第</w:t>
      </w:r>
      <w:r>
        <w:rPr>
          <w:rFonts w:hint="eastAsia"/>
        </w:rPr>
        <w:t>520/1955</w:t>
      </w:r>
      <w:r>
        <w:rPr>
          <w:rFonts w:hint="eastAsia"/>
        </w:rPr>
        <w:t>号总统令第</w:t>
      </w:r>
      <w:r>
        <w:rPr>
          <w:rFonts w:hint="eastAsia"/>
        </w:rPr>
        <w:t>10</w:t>
      </w:r>
      <w:r>
        <w:rPr>
          <w:rFonts w:hint="eastAsia"/>
        </w:rPr>
        <w:t>条规定，这些程序仅限于在职业健康与安全领域采用。</w:t>
      </w:r>
    </w:p>
    <w:p w:rsidR="00000000" w:rsidRDefault="00000000">
      <w:pPr>
        <w:ind w:firstLine="539"/>
        <w:rPr>
          <w:rFonts w:hint="eastAsia"/>
        </w:rPr>
      </w:pPr>
      <w:r>
        <w:rPr>
          <w:rFonts w:hint="eastAsia"/>
        </w:rPr>
        <w:t xml:space="preserve">62.  </w:t>
      </w:r>
      <w:r>
        <w:rPr>
          <w:rFonts w:hint="eastAsia"/>
        </w:rPr>
        <w:t>有关职业健康与安全事务的行政监督工作几乎全部划归地方卫生单位</w:t>
      </w:r>
      <w:r>
        <w:rPr>
          <w:rFonts w:hint="eastAsia"/>
        </w:rPr>
        <w:t>/</w:t>
      </w:r>
      <w:r>
        <w:rPr>
          <w:rFonts w:hint="eastAsia"/>
        </w:rPr>
        <w:t>机关负责，并按第</w:t>
      </w:r>
      <w:r>
        <w:rPr>
          <w:rFonts w:hint="eastAsia"/>
        </w:rPr>
        <w:t>758/1994</w:t>
      </w:r>
      <w:r>
        <w:rPr>
          <w:rFonts w:hint="eastAsia"/>
        </w:rPr>
        <w:t>号立法令第</w:t>
      </w:r>
      <w:r>
        <w:rPr>
          <w:rFonts w:hint="eastAsia"/>
        </w:rPr>
        <w:t>20</w:t>
      </w:r>
      <w:r>
        <w:rPr>
          <w:rFonts w:hint="eastAsia"/>
        </w:rPr>
        <w:t>条出台强制性规定之后，发出警告的权力和作出规定的权力的重要性已经降低。</w:t>
      </w:r>
    </w:p>
    <w:p w:rsidR="00000000" w:rsidRDefault="00000000">
      <w:pPr>
        <w:spacing w:after="320"/>
        <w:ind w:firstLine="539"/>
        <w:rPr>
          <w:rFonts w:hint="eastAsia"/>
        </w:rPr>
      </w:pPr>
      <w:r>
        <w:rPr>
          <w:rFonts w:hint="eastAsia"/>
        </w:rPr>
        <w:t xml:space="preserve">63.  </w:t>
      </w:r>
      <w:r>
        <w:rPr>
          <w:rFonts w:hint="eastAsia"/>
        </w:rPr>
        <w:t>劳动监督员行使这些权力时，仅限于监督第</w:t>
      </w:r>
      <w:r>
        <w:rPr>
          <w:rFonts w:hint="eastAsia"/>
        </w:rPr>
        <w:t>412/1997</w:t>
      </w:r>
      <w:r>
        <w:rPr>
          <w:rFonts w:hint="eastAsia"/>
        </w:rPr>
        <w:t>号总理令中所规定的涉及危险性特别高的职业</w:t>
      </w:r>
      <w:r>
        <w:rPr>
          <w:rFonts w:hint="eastAsia"/>
        </w:rPr>
        <w:t>(</w:t>
      </w:r>
      <w:r>
        <w:rPr>
          <w:rFonts w:hint="eastAsia"/>
        </w:rPr>
        <w:t>建筑、涉及压缩空气箱的作业、水下作业等</w:t>
      </w:r>
      <w:r>
        <w:rPr>
          <w:rFonts w:hint="eastAsia"/>
        </w:rPr>
        <w:t>)</w:t>
      </w:r>
      <w:r>
        <w:rPr>
          <w:rFonts w:hint="eastAsia"/>
        </w:rPr>
        <w:t>，该总理令是为执行</w:t>
      </w:r>
      <w:r>
        <w:rPr>
          <w:rFonts w:hint="eastAsia"/>
        </w:rPr>
        <w:t>626/1994</w:t>
      </w:r>
      <w:r>
        <w:rPr>
          <w:rFonts w:hint="eastAsia"/>
        </w:rPr>
        <w:t>号立法令第</w:t>
      </w:r>
      <w:r>
        <w:rPr>
          <w:rFonts w:hint="eastAsia"/>
        </w:rPr>
        <w:t>23</w:t>
      </w:r>
      <w:r>
        <w:rPr>
          <w:rFonts w:hint="eastAsia"/>
        </w:rPr>
        <w:t>条而颁布的，该条对劳动监督员在职业健康与安全事务方面的剩余权限作了规定。</w:t>
      </w:r>
    </w:p>
    <w:p w:rsidR="00000000" w:rsidRDefault="00000000">
      <w:pPr>
        <w:pStyle w:val="Heading4"/>
        <w:rPr>
          <w:rFonts w:hint="eastAsia"/>
          <w:spacing w:val="6"/>
        </w:rPr>
      </w:pPr>
      <w:r>
        <w:rPr>
          <w:rFonts w:hint="eastAsia"/>
          <w:spacing w:val="6"/>
        </w:rPr>
        <w:t>职业健康与安全事务中的预防、工作场所卫生和监督责任由地方卫生单位</w:t>
      </w:r>
      <w:r>
        <w:rPr>
          <w:rFonts w:hint="eastAsia"/>
          <w:spacing w:val="6"/>
        </w:rPr>
        <w:t>/</w:t>
      </w:r>
      <w:r>
        <w:rPr>
          <w:rFonts w:hint="eastAsia"/>
          <w:spacing w:val="6"/>
        </w:rPr>
        <w:t>机构承担</w:t>
      </w:r>
    </w:p>
    <w:p w:rsidR="00000000" w:rsidRDefault="00000000">
      <w:pPr>
        <w:ind w:firstLine="539"/>
        <w:rPr>
          <w:rFonts w:hint="eastAsia"/>
        </w:rPr>
      </w:pPr>
      <w:r>
        <w:rPr>
          <w:rFonts w:hint="eastAsia"/>
        </w:rPr>
        <w:t xml:space="preserve">64.  </w:t>
      </w:r>
      <w:r>
        <w:rPr>
          <w:rFonts w:hint="eastAsia"/>
        </w:rPr>
        <w:t>政府通过第</w:t>
      </w:r>
      <w:r>
        <w:rPr>
          <w:rFonts w:hint="eastAsia"/>
        </w:rPr>
        <w:t>616/1977</w:t>
      </w:r>
      <w:r>
        <w:rPr>
          <w:rFonts w:hint="eastAsia"/>
        </w:rPr>
        <w:t>号总统令将卫生和医院援助的职能</w:t>
      </w:r>
      <w:r>
        <w:rPr>
          <w:rFonts w:hint="eastAsia"/>
        </w:rPr>
        <w:t>(</w:t>
      </w:r>
      <w:r>
        <w:rPr>
          <w:rFonts w:hint="eastAsia"/>
        </w:rPr>
        <w:t>《宪法》第</w:t>
      </w:r>
      <w:r>
        <w:rPr>
          <w:rFonts w:hint="eastAsia"/>
        </w:rPr>
        <w:t>117</w:t>
      </w:r>
      <w:r>
        <w:rPr>
          <w:rFonts w:hint="eastAsia"/>
        </w:rPr>
        <w:t>条</w:t>
      </w:r>
      <w:r>
        <w:rPr>
          <w:rFonts w:hint="eastAsia"/>
        </w:rPr>
        <w:t>)</w:t>
      </w:r>
      <w:r>
        <w:rPr>
          <w:rFonts w:hint="eastAsia"/>
        </w:rPr>
        <w:t>转给各地区，这也是对职业健康与安全事务的权力下放。通过第</w:t>
      </w:r>
      <w:r>
        <w:rPr>
          <w:rFonts w:hint="eastAsia"/>
        </w:rPr>
        <w:t>833/1978</w:t>
      </w:r>
      <w:r>
        <w:rPr>
          <w:rFonts w:hint="eastAsia"/>
        </w:rPr>
        <w:t>号法律设立国家卫生服务局时，有关预防职业病以及保障生活和工作环境的健康、卫生和安全方面的行政职能即被转给各地区，中央政府不再具有这一职能，劳动部亦不再具有这一职能。</w:t>
      </w:r>
    </w:p>
    <w:p w:rsidR="00000000" w:rsidRDefault="00000000">
      <w:pPr>
        <w:ind w:firstLine="539"/>
        <w:rPr>
          <w:rFonts w:hint="eastAsia"/>
        </w:rPr>
      </w:pPr>
      <w:r>
        <w:rPr>
          <w:rFonts w:hint="eastAsia"/>
        </w:rPr>
        <w:t xml:space="preserve">65.  </w:t>
      </w:r>
      <w:r>
        <w:rPr>
          <w:rFonts w:hint="eastAsia"/>
        </w:rPr>
        <w:t>结果，各地成立了地方卫生单位</w:t>
      </w:r>
      <w:r>
        <w:rPr>
          <w:rFonts w:hint="eastAsia"/>
        </w:rPr>
        <w:t>/</w:t>
      </w:r>
      <w:r>
        <w:rPr>
          <w:rFonts w:hint="eastAsia"/>
        </w:rPr>
        <w:t>机构这一新的机构，负责执行过去分配由劳动监察总局执行的监督工人的健康状况这一任务。过去分配给劳动监察员的进入私人住所的权力和发出警告的权力，也被分配给地方卫生单位</w:t>
      </w:r>
      <w:r>
        <w:rPr>
          <w:rFonts w:hint="eastAsia"/>
        </w:rPr>
        <w:t>/</w:t>
      </w:r>
      <w:r>
        <w:rPr>
          <w:rFonts w:hint="eastAsia"/>
        </w:rPr>
        <w:t>机构，“行使这些权力完全符合法律明确规定由地方卫生单位</w:t>
      </w:r>
      <w:r>
        <w:rPr>
          <w:rFonts w:hint="eastAsia"/>
        </w:rPr>
        <w:t>/</w:t>
      </w:r>
      <w:r>
        <w:rPr>
          <w:rFonts w:hint="eastAsia"/>
        </w:rPr>
        <w:t>机构官员开展的活动，即：适用现行法律</w:t>
      </w:r>
      <w:r>
        <w:rPr>
          <w:rFonts w:hint="eastAsia"/>
        </w:rPr>
        <w:t>(</w:t>
      </w:r>
      <w:r>
        <w:rPr>
          <w:rFonts w:hint="eastAsia"/>
        </w:rPr>
        <w:t>第</w:t>
      </w:r>
      <w:r>
        <w:rPr>
          <w:rFonts w:hint="eastAsia"/>
        </w:rPr>
        <w:t>833/1978</w:t>
      </w:r>
      <w:r>
        <w:rPr>
          <w:rFonts w:hint="eastAsia"/>
        </w:rPr>
        <w:t>号法律第</w:t>
      </w:r>
      <w:r>
        <w:rPr>
          <w:rFonts w:hint="eastAsia"/>
        </w:rPr>
        <w:t>20</w:t>
      </w:r>
      <w:r>
        <w:rPr>
          <w:rFonts w:hint="eastAsia"/>
        </w:rPr>
        <w:t>条</w:t>
      </w:r>
      <w:r>
        <w:rPr>
          <w:rFonts w:hint="eastAsia"/>
        </w:rPr>
        <w:t>)</w:t>
      </w:r>
      <w:r>
        <w:rPr>
          <w:rFonts w:hint="eastAsia"/>
        </w:rPr>
        <w:t>，为消除危险因素以及改善工作和生活环境，提出采取适当措施的建议。如上文所述，这一领域的预防和监督工作现主要通过根据第</w:t>
      </w:r>
      <w:r>
        <w:rPr>
          <w:rFonts w:hint="eastAsia"/>
        </w:rPr>
        <w:t>758/1994</w:t>
      </w:r>
      <w:r>
        <w:rPr>
          <w:rFonts w:hint="eastAsia"/>
        </w:rPr>
        <w:t>号法令推出的强制规定的做法来执行，这一做法是：监督机构</w:t>
      </w:r>
      <w:r>
        <w:rPr>
          <w:rFonts w:hint="eastAsia"/>
        </w:rPr>
        <w:t>(</w:t>
      </w:r>
      <w:r>
        <w:rPr>
          <w:rFonts w:hint="eastAsia"/>
        </w:rPr>
        <w:t>地方卫生单位</w:t>
      </w:r>
      <w:r>
        <w:rPr>
          <w:rFonts w:hint="eastAsia"/>
        </w:rPr>
        <w:t>/</w:t>
      </w:r>
      <w:r>
        <w:rPr>
          <w:rFonts w:hint="eastAsia"/>
        </w:rPr>
        <w:t>机构的监察员和劳动监察员</w:t>
      </w:r>
      <w:r>
        <w:rPr>
          <w:rFonts w:hint="eastAsia"/>
        </w:rPr>
        <w:t>)</w:t>
      </w:r>
      <w:r>
        <w:rPr>
          <w:rFonts w:hint="eastAsia"/>
        </w:rPr>
        <w:t>有权力</w:t>
      </w:r>
      <w:r>
        <w:rPr>
          <w:rFonts w:hint="eastAsia"/>
        </w:rPr>
        <w:t>/</w:t>
      </w:r>
      <w:r>
        <w:rPr>
          <w:rFonts w:hint="eastAsia"/>
        </w:rPr>
        <w:t>义务向该立法令附件一中所列的各项职业健康与安全规则的违规者提出具体措施，纠正其违规行为。</w:t>
      </w:r>
    </w:p>
    <w:p w:rsidR="00000000" w:rsidRDefault="00000000">
      <w:pPr>
        <w:ind w:firstLine="539"/>
        <w:rPr>
          <w:rFonts w:hint="eastAsia"/>
        </w:rPr>
      </w:pPr>
      <w:r>
        <w:rPr>
          <w:rFonts w:hint="eastAsia"/>
        </w:rPr>
        <w:t xml:space="preserve">66.  </w:t>
      </w:r>
      <w:r>
        <w:rPr>
          <w:rFonts w:hint="eastAsia"/>
        </w:rPr>
        <w:t>这一特别程序取代了在发生违规行为时行使警告权力和作出规定权力的做法，并规定了在行使执法职能时可作出具体规定，要求限时纠正违规行为这一权力</w:t>
      </w:r>
      <w:r>
        <w:rPr>
          <w:rFonts w:hint="eastAsia"/>
        </w:rPr>
        <w:t>/</w:t>
      </w:r>
      <w:r>
        <w:rPr>
          <w:rFonts w:hint="eastAsia"/>
        </w:rPr>
        <w:t>义务。如未遵守这一具体规定，违规者必需交纳达最高规定罚金四分之一的罚金。监督机构只有在职业健康与安全事务中出现可判处逮捕以替代罚款的违法行为时才可作出这一规定。将工作场所健康与安全事务中已授予劳动监督员的权力又分配给地方卫生单位</w:t>
      </w:r>
      <w:r>
        <w:rPr>
          <w:rFonts w:hint="eastAsia"/>
        </w:rPr>
        <w:t>/</w:t>
      </w:r>
      <w:r>
        <w:rPr>
          <w:rFonts w:hint="eastAsia"/>
        </w:rPr>
        <w:t>机关的官员，造成了中央政府所行使的职能与各地区和市政府行使的职能之间协调上的问题。第</w:t>
      </w:r>
      <w:r>
        <w:rPr>
          <w:rFonts w:hint="eastAsia"/>
        </w:rPr>
        <w:t>412/1997</w:t>
      </w:r>
      <w:r>
        <w:rPr>
          <w:rFonts w:hint="eastAsia"/>
        </w:rPr>
        <w:t>号总理令对劳动监察员与卫生当局监察员在此方面的协调问题作出了规定，即：地方卫生机构的预防部门应按定期商定的时间表，了解有关部级机构所开展活动的信息，以避免工作重复。</w:t>
      </w:r>
    </w:p>
    <w:p w:rsidR="00000000" w:rsidRDefault="00000000">
      <w:pPr>
        <w:spacing w:after="320"/>
        <w:ind w:firstLine="539"/>
        <w:rPr>
          <w:rFonts w:hint="eastAsia"/>
        </w:rPr>
      </w:pPr>
      <w:r>
        <w:rPr>
          <w:rFonts w:hint="eastAsia"/>
        </w:rPr>
        <w:t xml:space="preserve">67.  </w:t>
      </w:r>
      <w:r>
        <w:rPr>
          <w:rFonts w:hint="eastAsia"/>
        </w:rPr>
        <w:t>第</w:t>
      </w:r>
      <w:r>
        <w:rPr>
          <w:rFonts w:hint="eastAsia"/>
        </w:rPr>
        <w:t>626/1994</w:t>
      </w:r>
      <w:r>
        <w:rPr>
          <w:rFonts w:hint="eastAsia"/>
        </w:rPr>
        <w:t>号立法令第</w:t>
      </w:r>
      <w:r>
        <w:rPr>
          <w:rFonts w:hint="eastAsia"/>
        </w:rPr>
        <w:t>27</w:t>
      </w:r>
      <w:r>
        <w:rPr>
          <w:rFonts w:hint="eastAsia"/>
        </w:rPr>
        <w:t>条规定，设立一个地区协调委员会，负责与卫生部和劳动部的监督机构进行联络，以确定适当标准，确保其在职业健康与安全事务方面所开展的监督行动是按统一的原则与标准开展的。</w:t>
      </w:r>
    </w:p>
    <w:p w:rsidR="00000000" w:rsidRDefault="00000000">
      <w:pPr>
        <w:pStyle w:val="Heading4"/>
        <w:rPr>
          <w:rFonts w:hint="eastAsia"/>
        </w:rPr>
      </w:pPr>
      <w:r>
        <w:rPr>
          <w:rFonts w:hint="eastAsia"/>
        </w:rPr>
        <w:t>将监察权力分配给社会保险机构</w:t>
      </w:r>
    </w:p>
    <w:p w:rsidR="00000000" w:rsidRDefault="00000000">
      <w:pPr>
        <w:ind w:firstLine="539"/>
        <w:rPr>
          <w:rFonts w:hint="eastAsia"/>
        </w:rPr>
      </w:pPr>
      <w:r>
        <w:rPr>
          <w:rFonts w:hint="eastAsia"/>
        </w:rPr>
        <w:t xml:space="preserve">68.  </w:t>
      </w:r>
      <w:r>
        <w:rPr>
          <w:rFonts w:hint="eastAsia"/>
        </w:rPr>
        <w:t>将劳动监察员在监督工作条件方面的集中、独揽的作用转移，不仅发生在职业健康与安全领域，而且也发生在社会保险领域：第</w:t>
      </w:r>
      <w:r>
        <w:rPr>
          <w:rFonts w:hint="eastAsia"/>
        </w:rPr>
        <w:t>638/1983</w:t>
      </w:r>
      <w:r>
        <w:rPr>
          <w:rFonts w:hint="eastAsia"/>
        </w:rPr>
        <w:t>号法律给予强制社会保险</w:t>
      </w:r>
      <w:r>
        <w:rPr>
          <w:rFonts w:hint="eastAsia"/>
          <w:color w:val="000000"/>
        </w:rPr>
        <w:t>缴款</w:t>
      </w:r>
      <w:r>
        <w:rPr>
          <w:rFonts w:hint="eastAsia"/>
        </w:rPr>
        <w:t>管理机构的监察员以更大的调查权。第</w:t>
      </w:r>
      <w:r>
        <w:rPr>
          <w:rFonts w:hint="eastAsia"/>
        </w:rPr>
        <w:t>638/1983</w:t>
      </w:r>
      <w:r>
        <w:rPr>
          <w:rFonts w:hint="eastAsia"/>
        </w:rPr>
        <w:t>号法律第</w:t>
      </w:r>
      <w:r>
        <w:rPr>
          <w:rFonts w:hint="eastAsia"/>
        </w:rPr>
        <w:t>3</w:t>
      </w:r>
      <w:r>
        <w:rPr>
          <w:rFonts w:hint="eastAsia"/>
        </w:rPr>
        <w:t>条授予这些保险机构</w:t>
      </w:r>
      <w:r>
        <w:rPr>
          <w:rFonts w:hint="eastAsia"/>
        </w:rPr>
        <w:t>(</w:t>
      </w:r>
      <w:r>
        <w:rPr>
          <w:rFonts w:hint="eastAsia"/>
        </w:rPr>
        <w:t>国家社会保险研究所、职业事故</w:t>
      </w:r>
      <w:r>
        <w:rPr>
          <w:rFonts w:hint="eastAsia"/>
        </w:rPr>
        <w:t>/</w:t>
      </w:r>
      <w:r>
        <w:rPr>
          <w:rFonts w:hint="eastAsia"/>
        </w:rPr>
        <w:t>疾病保险机构、</w:t>
      </w:r>
      <w:r>
        <w:rPr>
          <w:rFonts w:hint="eastAsia"/>
        </w:rPr>
        <w:t>ENPALS</w:t>
      </w:r>
      <w:r>
        <w:rPr>
          <w:rFonts w:hint="eastAsia"/>
        </w:rPr>
        <w:t>等</w:t>
      </w:r>
      <w:r>
        <w:rPr>
          <w:rFonts w:hint="eastAsia"/>
        </w:rPr>
        <w:t>)</w:t>
      </w:r>
      <w:r>
        <w:rPr>
          <w:rFonts w:hint="eastAsia"/>
        </w:rPr>
        <w:t>中负责对</w:t>
      </w:r>
      <w:r>
        <w:rPr>
          <w:rFonts w:hint="eastAsia"/>
          <w:color w:val="000000"/>
        </w:rPr>
        <w:t>缴款</w:t>
      </w:r>
      <w:r>
        <w:rPr>
          <w:rFonts w:hint="eastAsia"/>
        </w:rPr>
        <w:t>事项进行监督的官员以如下权力：可进入公司房舍的任何部分、……审查工作人员和工资单……以及与</w:t>
      </w:r>
      <w:r>
        <w:rPr>
          <w:rFonts w:hint="eastAsia"/>
          <w:color w:val="000000"/>
        </w:rPr>
        <w:t>缴款</w:t>
      </w:r>
      <w:r>
        <w:rPr>
          <w:rFonts w:hint="eastAsia"/>
        </w:rPr>
        <w:t>义务和发放津贴有直接或间接关系的任何其它文件；由雇主、工人和工会代表就是否存在雇用关系、工资、</w:t>
      </w:r>
      <w:r>
        <w:rPr>
          <w:rFonts w:hint="eastAsia"/>
          <w:color w:val="000000"/>
        </w:rPr>
        <w:t>缴款</w:t>
      </w:r>
      <w:r>
        <w:rPr>
          <w:rFonts w:hint="eastAsia"/>
        </w:rPr>
        <w:t>、保险程序和发放津贴作出声明。第</w:t>
      </w:r>
      <w:r>
        <w:rPr>
          <w:rFonts w:hint="eastAsia"/>
        </w:rPr>
        <w:t>3</w:t>
      </w:r>
      <w:r>
        <w:rPr>
          <w:rFonts w:hint="eastAsia"/>
        </w:rPr>
        <w:t>条还规定，除罚款权以外，这些官员具有与劳动监察员相同的权力。该款还规定，省劳动总局经与相关社会保险机构协商，应行使协调权，例如，制定年度方案，以打击逃避缴纳强制性社会保险费和社会援助费的现象。</w:t>
      </w:r>
    </w:p>
    <w:p w:rsidR="00000000" w:rsidRDefault="00000000">
      <w:pPr>
        <w:ind w:firstLine="539"/>
        <w:rPr>
          <w:rFonts w:hint="eastAsia"/>
        </w:rPr>
      </w:pPr>
      <w:r>
        <w:rPr>
          <w:rFonts w:hint="eastAsia"/>
        </w:rPr>
        <w:t xml:space="preserve">69.  </w:t>
      </w:r>
      <w:r>
        <w:rPr>
          <w:rFonts w:hint="eastAsia"/>
        </w:rPr>
        <w:t>为此目的，每年都制订出开展联合监督行动的计划，由劳动监察总局的监察员和社会保险机构的监察员组成的监察组联合开展，以打击逃避缴纳上述保险费的现象。对于这一规定，应结合与第</w:t>
      </w:r>
      <w:r>
        <w:rPr>
          <w:rFonts w:hint="eastAsia"/>
        </w:rPr>
        <w:t>628/1961</w:t>
      </w:r>
      <w:r>
        <w:rPr>
          <w:rFonts w:hint="eastAsia"/>
        </w:rPr>
        <w:t>号法律第</w:t>
      </w:r>
      <w:r>
        <w:rPr>
          <w:rFonts w:hint="eastAsia"/>
        </w:rPr>
        <w:t>5</w:t>
      </w:r>
      <w:r>
        <w:rPr>
          <w:rFonts w:hint="eastAsia"/>
        </w:rPr>
        <w:t>条的相同背景来解释，根据该条规定，由省劳动总局负责执行规范由职业事故</w:t>
      </w:r>
      <w:r>
        <w:rPr>
          <w:rFonts w:hint="eastAsia"/>
        </w:rPr>
        <w:t>/</w:t>
      </w:r>
      <w:r>
        <w:rPr>
          <w:rFonts w:hint="eastAsia"/>
        </w:rPr>
        <w:t>疾病保险机构进行的援助和监督活动的任务，以避免多重检查和在案件处理方面出现差异。</w:t>
      </w:r>
    </w:p>
    <w:p w:rsidR="00000000" w:rsidRDefault="00000000">
      <w:pPr>
        <w:spacing w:after="240"/>
        <w:ind w:firstLine="539"/>
        <w:rPr>
          <w:rFonts w:hint="eastAsia"/>
        </w:rPr>
      </w:pPr>
      <w:r>
        <w:rPr>
          <w:rFonts w:hint="eastAsia"/>
        </w:rPr>
        <w:t xml:space="preserve">70.  </w:t>
      </w:r>
      <w:r>
        <w:rPr>
          <w:rFonts w:hint="eastAsia"/>
        </w:rPr>
        <w:t>最近的立法规定</w:t>
      </w:r>
      <w:r>
        <w:rPr>
          <w:rFonts w:hint="eastAsia"/>
        </w:rPr>
        <w:t>(</w:t>
      </w:r>
      <w:r>
        <w:rPr>
          <w:rFonts w:hint="eastAsia"/>
        </w:rPr>
        <w:t>例如第</w:t>
      </w:r>
      <w:r>
        <w:rPr>
          <w:rFonts w:hint="eastAsia"/>
        </w:rPr>
        <w:t>448/1998</w:t>
      </w:r>
      <w:r>
        <w:rPr>
          <w:rFonts w:hint="eastAsia"/>
        </w:rPr>
        <w:t>号法律第</w:t>
      </w:r>
      <w:r>
        <w:rPr>
          <w:rFonts w:hint="eastAsia"/>
        </w:rPr>
        <w:t>79</w:t>
      </w:r>
      <w:r>
        <w:rPr>
          <w:rFonts w:hint="eastAsia"/>
        </w:rPr>
        <w:t>条</w:t>
      </w:r>
      <w:r>
        <w:rPr>
          <w:rFonts w:hint="eastAsia"/>
        </w:rPr>
        <w:t>)</w:t>
      </w:r>
      <w:r>
        <w:rPr>
          <w:rFonts w:hint="eastAsia"/>
        </w:rPr>
        <w:t>中也用很大篇幅对监察活动的协调问题加以规定，通过这些规定采取旨在打击“非正规”或“地下”劳动市场的措施。这一规定要求劳动部、财政部、社会保险机构和地方卫生单位</w:t>
      </w:r>
      <w:r>
        <w:rPr>
          <w:rFonts w:hint="eastAsia"/>
        </w:rPr>
        <w:t>/</w:t>
      </w:r>
      <w:r>
        <w:rPr>
          <w:rFonts w:hint="eastAsia"/>
        </w:rPr>
        <w:t>机构通过制定综合项目，执行协调其进行监察和监督财政和</w:t>
      </w:r>
      <w:r>
        <w:rPr>
          <w:rFonts w:hint="eastAsia"/>
          <w:color w:val="000000"/>
          <w:lang w:val="fr-CH"/>
        </w:rPr>
        <w:t>缴款</w:t>
      </w:r>
      <w:r>
        <w:rPr>
          <w:rFonts w:hint="eastAsia"/>
        </w:rPr>
        <w:t>要求方面活动的任务。该条款还规定由劳动部牵头开展这些活动。为此，该部成立了一个中央一级的委员会，以确定标准，规划如何进行上述综合检查，包括如何通过交流有关各参与单位的监督倡议的数据与资料来进行综合检查。</w:t>
      </w:r>
    </w:p>
    <w:p w:rsidR="00000000" w:rsidRDefault="00000000">
      <w:pPr>
        <w:pStyle w:val="Heading3"/>
        <w:spacing w:after="240"/>
        <w:rPr>
          <w:rFonts w:hint="eastAsia"/>
        </w:rPr>
      </w:pPr>
      <w:r>
        <w:rPr>
          <w:rFonts w:hint="eastAsia"/>
          <w:u w:val="none"/>
        </w:rPr>
        <w:t>H</w:t>
      </w:r>
      <w:r>
        <w:rPr>
          <w:rFonts w:hint="eastAsia"/>
          <w:u w:val="none"/>
        </w:rPr>
        <w:t>．</w:t>
      </w:r>
      <w:r>
        <w:rPr>
          <w:rFonts w:hint="eastAsia"/>
          <w:u w:val="none"/>
        </w:rPr>
        <w:t xml:space="preserve">  </w:t>
      </w:r>
      <w:r>
        <w:rPr>
          <w:rFonts w:hint="eastAsia"/>
        </w:rPr>
        <w:t>残</w:t>
      </w:r>
      <w:r>
        <w:rPr>
          <w:rFonts w:hint="eastAsia"/>
        </w:rPr>
        <w:t xml:space="preserve"> </w:t>
      </w:r>
      <w:r>
        <w:rPr>
          <w:rFonts w:hint="eastAsia"/>
        </w:rPr>
        <w:t>疾</w:t>
      </w:r>
      <w:r>
        <w:rPr>
          <w:rFonts w:hint="eastAsia"/>
        </w:rPr>
        <w:t xml:space="preserve"> </w:t>
      </w:r>
      <w:r>
        <w:rPr>
          <w:rFonts w:hint="eastAsia"/>
        </w:rPr>
        <w:t>人</w:t>
      </w:r>
    </w:p>
    <w:p w:rsidR="00000000" w:rsidRDefault="00000000">
      <w:pPr>
        <w:ind w:left="1020" w:firstLine="539"/>
        <w:rPr>
          <w:rFonts w:ascii="Time New Roman" w:eastAsia="SimHei" w:hAnsi="Time New Roman" w:hint="eastAsia"/>
        </w:rPr>
      </w:pPr>
      <w:r>
        <w:rPr>
          <w:rFonts w:hint="eastAsia"/>
        </w:rPr>
        <w:t xml:space="preserve">10.  </w:t>
      </w:r>
      <w:r>
        <w:rPr>
          <w:rFonts w:ascii="Time New Roman" w:eastAsia="SimHei" w:hAnsi="Time New Roman" w:hint="eastAsia"/>
        </w:rPr>
        <w:t>委员会鼓励缔约国按照计划批准《</w:t>
      </w:r>
      <w:r>
        <w:rPr>
          <w:rFonts w:ascii="Time New Roman" w:eastAsia="SimHei" w:hAnsi="Time New Roman" w:hint="eastAsia"/>
          <w:b/>
        </w:rPr>
        <w:t>1983</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残疾人</w:t>
      </w:r>
      <w:r>
        <w:rPr>
          <w:rFonts w:ascii="Time New Roman" w:eastAsia="SimHei" w:hAnsi="Time New Roman" w:hint="eastAsia"/>
        </w:rPr>
        <w:t>)</w:t>
      </w:r>
      <w:r>
        <w:rPr>
          <w:rFonts w:ascii="Time New Roman" w:eastAsia="SimHei" w:hAnsi="Time New Roman" w:hint="eastAsia"/>
        </w:rPr>
        <w:t>职业康复和就业</w:t>
      </w:r>
      <w:r>
        <w:rPr>
          <w:rFonts w:ascii="Time New Roman" w:eastAsia="SimHei" w:hAnsi="Time New Roman" w:hint="eastAsia"/>
        </w:rPr>
        <w:t>(</w:t>
      </w:r>
      <w:r>
        <w:rPr>
          <w:rFonts w:ascii="Time New Roman" w:eastAsia="SimHei" w:hAnsi="Time New Roman" w:hint="eastAsia"/>
        </w:rPr>
        <w:t>第</w:t>
      </w:r>
      <w:r>
        <w:rPr>
          <w:rFonts w:ascii="Time New Roman" w:eastAsia="SimHei" w:hAnsi="Time New Roman" w:hint="eastAsia"/>
          <w:b/>
          <w:bCs/>
        </w:rPr>
        <w:t>159</w:t>
      </w:r>
      <w:r>
        <w:rPr>
          <w:rFonts w:ascii="Time New Roman" w:eastAsia="SimHei" w:hAnsi="Time New Roman" w:hint="eastAsia"/>
        </w:rPr>
        <w:t>号</w:t>
      </w:r>
      <w:r>
        <w:rPr>
          <w:rFonts w:ascii="Time New Roman" w:eastAsia="SimHei" w:hAnsi="Time New Roman" w:hint="eastAsia"/>
        </w:rPr>
        <w:t>)</w:t>
      </w:r>
      <w:r>
        <w:rPr>
          <w:rFonts w:ascii="Time New Roman" w:eastAsia="SimHei" w:hAnsi="Time New Roman" w:hint="eastAsia"/>
        </w:rPr>
        <w:t>公约》。委员会希望劳动部在下一份定期报告中说明法院按照残疾人立法审理的案件数目。</w:t>
      </w:r>
    </w:p>
    <w:p w:rsidR="00000000" w:rsidRDefault="00000000">
      <w:pPr>
        <w:spacing w:after="240"/>
        <w:ind w:firstLine="539"/>
        <w:rPr>
          <w:rFonts w:hint="eastAsia"/>
        </w:rPr>
      </w:pPr>
      <w:r>
        <w:rPr>
          <w:rFonts w:hint="eastAsia"/>
        </w:rPr>
        <w:t xml:space="preserve">71.  </w:t>
      </w:r>
      <w:r>
        <w:rPr>
          <w:rFonts w:hint="eastAsia"/>
        </w:rPr>
        <w:t>关于意大利残疾人问题的全面介绍，请参见有关《公约》第</w:t>
      </w:r>
      <w:r>
        <w:rPr>
          <w:rFonts w:hint="eastAsia"/>
        </w:rPr>
        <w:t>11</w:t>
      </w:r>
      <w:r>
        <w:rPr>
          <w:rFonts w:hint="eastAsia"/>
        </w:rPr>
        <w:t>条的意见。</w:t>
      </w:r>
    </w:p>
    <w:p w:rsidR="00000000" w:rsidRDefault="00000000">
      <w:pPr>
        <w:pStyle w:val="Heading3"/>
        <w:spacing w:after="240"/>
        <w:rPr>
          <w:rFonts w:hint="eastAsia"/>
        </w:rPr>
      </w:pPr>
      <w:r>
        <w:rPr>
          <w:rFonts w:hint="eastAsia"/>
          <w:u w:val="none"/>
        </w:rPr>
        <w:t>I</w:t>
      </w:r>
      <w:r>
        <w:rPr>
          <w:rFonts w:hint="eastAsia"/>
          <w:u w:val="none"/>
        </w:rPr>
        <w:t>．</w:t>
      </w:r>
      <w:r>
        <w:rPr>
          <w:rFonts w:hint="eastAsia"/>
          <w:u w:val="none"/>
        </w:rPr>
        <w:t xml:space="preserve">  </w:t>
      </w:r>
      <w:r>
        <w:rPr>
          <w:rFonts w:hint="eastAsia"/>
        </w:rPr>
        <w:t>贫</w:t>
      </w:r>
      <w:r>
        <w:rPr>
          <w:rFonts w:hint="eastAsia"/>
        </w:rPr>
        <w:t xml:space="preserve">  </w:t>
      </w:r>
      <w:r>
        <w:rPr>
          <w:rFonts w:hint="eastAsia"/>
        </w:rPr>
        <w:t>困</w:t>
      </w:r>
    </w:p>
    <w:p w:rsidR="00000000" w:rsidRDefault="00000000">
      <w:pPr>
        <w:ind w:left="1050" w:firstLine="525"/>
        <w:rPr>
          <w:rFonts w:ascii="Time New Roman" w:eastAsia="SimHei" w:hAnsi="Time New Roman" w:hint="eastAsia"/>
        </w:rPr>
      </w:pPr>
      <w:r>
        <w:rPr>
          <w:rFonts w:hint="eastAsia"/>
        </w:rPr>
        <w:t xml:space="preserve">11.  </w:t>
      </w:r>
      <w:r>
        <w:rPr>
          <w:rFonts w:ascii="Time New Roman" w:eastAsia="SimHei" w:hAnsi="Time New Roman" w:hint="eastAsia"/>
        </w:rPr>
        <w:t>委员会建议缔约国加紧协助生活在贫困线下的人民，其中大部分是妇女。</w:t>
      </w:r>
    </w:p>
    <w:p w:rsidR="00000000" w:rsidRDefault="00000000">
      <w:pPr>
        <w:spacing w:after="160"/>
        <w:ind w:firstLine="539"/>
        <w:rPr>
          <w:rFonts w:hint="eastAsia"/>
        </w:rPr>
      </w:pPr>
      <w:r>
        <w:rPr>
          <w:rFonts w:hint="eastAsia"/>
        </w:rPr>
        <w:t xml:space="preserve">72.  </w:t>
      </w:r>
      <w:r>
        <w:rPr>
          <w:rFonts w:hint="eastAsia"/>
        </w:rPr>
        <w:t>新的“国家社会融入计划”特别重视贫困问题。关于该计划的进一步资料列于本报告的后面部分。</w:t>
      </w:r>
    </w:p>
    <w:p w:rsidR="00000000" w:rsidRDefault="00000000">
      <w:pPr>
        <w:pStyle w:val="Heading2"/>
        <w:spacing w:after="240"/>
        <w:rPr>
          <w:rFonts w:hint="eastAsia"/>
        </w:rPr>
      </w:pPr>
      <w:r>
        <w:rPr>
          <w:rFonts w:hint="eastAsia"/>
        </w:rPr>
        <w:t>二、《公约》具体条款的执行情况</w:t>
      </w:r>
    </w:p>
    <w:p w:rsidR="00000000" w:rsidRDefault="00000000">
      <w:pPr>
        <w:pStyle w:val="Heading3"/>
        <w:spacing w:after="240"/>
        <w:rPr>
          <w:rFonts w:hint="eastAsia"/>
        </w:rPr>
      </w:pPr>
      <w:r>
        <w:rPr>
          <w:rFonts w:hint="eastAsia"/>
          <w:u w:val="none"/>
        </w:rPr>
        <w:t xml:space="preserve">A.  </w:t>
      </w:r>
      <w:r>
        <w:rPr>
          <w:rFonts w:hint="eastAsia"/>
        </w:rPr>
        <w:t>第</w:t>
      </w:r>
      <w:r>
        <w:t>2</w:t>
      </w:r>
      <w:r>
        <w:rPr>
          <w:rFonts w:hint="eastAsia"/>
        </w:rPr>
        <w:t>和第</w:t>
      </w:r>
      <w:r>
        <w:t>3</w:t>
      </w:r>
      <w:r>
        <w:rPr>
          <w:rFonts w:hint="eastAsia"/>
        </w:rPr>
        <w:t>条</w:t>
      </w:r>
    </w:p>
    <w:p w:rsidR="00000000" w:rsidRDefault="00000000">
      <w:pPr>
        <w:pStyle w:val="Heading3"/>
        <w:spacing w:after="240"/>
        <w:rPr>
          <w:rFonts w:hint="eastAsia"/>
        </w:rPr>
      </w:pPr>
      <w:r>
        <w:rPr>
          <w:rFonts w:hint="eastAsia"/>
        </w:rPr>
        <w:t>歧</w:t>
      </w:r>
      <w:r>
        <w:rPr>
          <w:rFonts w:hint="eastAsia"/>
        </w:rPr>
        <w:t xml:space="preserve">  </w:t>
      </w:r>
      <w:r>
        <w:rPr>
          <w:rFonts w:hint="eastAsia"/>
        </w:rPr>
        <w:t>视</w:t>
      </w:r>
    </w:p>
    <w:p w:rsidR="00000000" w:rsidRDefault="00000000">
      <w:pPr>
        <w:pStyle w:val="Heading4"/>
        <w:rPr>
          <w:rFonts w:hint="eastAsia"/>
        </w:rPr>
      </w:pPr>
      <w:r>
        <w:rPr>
          <w:rFonts w:hint="eastAsia"/>
        </w:rPr>
        <w:t>妇女</w:t>
      </w:r>
      <w:r>
        <w:rPr>
          <w:rFonts w:hint="eastAsia"/>
          <w:spacing w:val="-50"/>
        </w:rPr>
        <w:t>―</w:t>
      </w:r>
      <w:r>
        <w:rPr>
          <w:rFonts w:hint="eastAsia"/>
        </w:rPr>
        <w:t>―阴影中的经济力量</w:t>
      </w:r>
    </w:p>
    <w:p w:rsidR="00000000" w:rsidRDefault="00000000">
      <w:pPr>
        <w:rPr>
          <w:rFonts w:hint="eastAsia"/>
        </w:rPr>
      </w:pPr>
      <w:r>
        <w:rPr>
          <w:rFonts w:hint="eastAsia"/>
        </w:rPr>
        <w:tab/>
        <w:t xml:space="preserve">73.  </w:t>
      </w:r>
      <w:r>
        <w:rPr>
          <w:rFonts w:hint="eastAsia"/>
        </w:rPr>
        <w:t>意大利《宪法》</w:t>
      </w:r>
      <w:r>
        <w:rPr>
          <w:rFonts w:hint="eastAsia"/>
        </w:rPr>
        <w:t>(</w:t>
      </w:r>
      <w:r>
        <w:rPr>
          <w:rFonts w:hint="eastAsia"/>
        </w:rPr>
        <w:t>第</w:t>
      </w:r>
      <w:r>
        <w:rPr>
          <w:rFonts w:hint="eastAsia"/>
        </w:rPr>
        <w:t>3</w:t>
      </w:r>
      <w:r>
        <w:rPr>
          <w:rFonts w:hint="eastAsia"/>
        </w:rPr>
        <w:t>、第</w:t>
      </w:r>
      <w:r>
        <w:rPr>
          <w:rFonts w:hint="eastAsia"/>
        </w:rPr>
        <w:t>35</w:t>
      </w:r>
      <w:r>
        <w:rPr>
          <w:rFonts w:hint="eastAsia"/>
        </w:rPr>
        <w:t>和第</w:t>
      </w:r>
      <w:r>
        <w:rPr>
          <w:rFonts w:hint="eastAsia"/>
        </w:rPr>
        <w:t>37</w:t>
      </w:r>
      <w:r>
        <w:rPr>
          <w:rFonts w:hint="eastAsia"/>
        </w:rPr>
        <w:t>条</w:t>
      </w:r>
      <w:r>
        <w:rPr>
          <w:rFonts w:hint="eastAsia"/>
        </w:rPr>
        <w:t>)</w:t>
      </w:r>
      <w:r>
        <w:rPr>
          <w:rFonts w:hint="eastAsia"/>
        </w:rPr>
        <w:t>中规定男女在工作领域中享有平等待遇，这项原则在意大利法律</w:t>
      </w:r>
      <w:r>
        <w:rPr>
          <w:rFonts w:hint="eastAsia"/>
        </w:rPr>
        <w:t>(</w:t>
      </w:r>
      <w:r>
        <w:rPr>
          <w:rFonts w:hint="eastAsia"/>
        </w:rPr>
        <w:t>第</w:t>
      </w:r>
      <w:r>
        <w:rPr>
          <w:rFonts w:hint="eastAsia"/>
        </w:rPr>
        <w:t>903/77</w:t>
      </w:r>
      <w:r>
        <w:rPr>
          <w:rFonts w:hint="eastAsia"/>
        </w:rPr>
        <w:t>号法及随后采取的措施</w:t>
      </w:r>
      <w:r>
        <w:rPr>
          <w:rFonts w:hint="eastAsia"/>
        </w:rPr>
        <w:t>)</w:t>
      </w:r>
      <w:r>
        <w:rPr>
          <w:rFonts w:hint="eastAsia"/>
        </w:rPr>
        <w:t>中得到充分贯彻。然而，在现实中，男女在劳力市场中的地位仍有差别。与男性不同，女性培训与就业之间的比例成反比，这证明劳力市场是能够真正体现男女平等的地方</w:t>
      </w:r>
      <w:r>
        <w:rPr>
          <w:rFonts w:hint="eastAsia"/>
        </w:rPr>
        <w:t>(</w:t>
      </w:r>
      <w:r>
        <w:rPr>
          <w:rFonts w:hint="eastAsia"/>
        </w:rPr>
        <w:t>女性的培训程度通常更好，但她们的就业率往往低于男性</w:t>
      </w:r>
      <w:r>
        <w:rPr>
          <w:rFonts w:hint="eastAsia"/>
        </w:rPr>
        <w:t>)</w:t>
      </w:r>
      <w:r>
        <w:rPr>
          <w:rFonts w:hint="eastAsia"/>
        </w:rPr>
        <w:t>。</w:t>
      </w:r>
    </w:p>
    <w:p w:rsidR="00000000" w:rsidRDefault="00000000">
      <w:pPr>
        <w:rPr>
          <w:rFonts w:hint="eastAsia"/>
        </w:rPr>
      </w:pPr>
      <w:r>
        <w:rPr>
          <w:rFonts w:hint="eastAsia"/>
        </w:rPr>
        <w:tab/>
        <w:t>74.  1995</w:t>
      </w:r>
      <w:r>
        <w:rPr>
          <w:rFonts w:hint="eastAsia"/>
        </w:rPr>
        <w:t>年北京世界会议将</w:t>
      </w:r>
      <w:r>
        <w:rPr>
          <w:rFonts w:hint="eastAsia"/>
        </w:rPr>
        <w:t xml:space="preserve"> </w:t>
      </w:r>
      <w:r>
        <w:rPr>
          <w:rFonts w:hint="eastAsia"/>
        </w:rPr>
        <w:t>“纳入主流”确定为最首要的政策。意大利于</w:t>
      </w:r>
      <w:r>
        <w:rPr>
          <w:rFonts w:hint="eastAsia"/>
        </w:rPr>
        <w:t>1997</w:t>
      </w:r>
      <w:r>
        <w:rPr>
          <w:rFonts w:hint="eastAsia"/>
        </w:rPr>
        <w:t>年通过</w:t>
      </w:r>
      <w:r>
        <w:rPr>
          <w:rFonts w:hint="eastAsia"/>
        </w:rPr>
        <w:t>Prodi/Finocchiaro</w:t>
      </w:r>
      <w:r>
        <w:rPr>
          <w:rFonts w:hint="eastAsia"/>
        </w:rPr>
        <w:t>指令将这项政策引入，并为贯彻它而对所有经济和工作方面的措施给女性造成的影响进行了一次评估。这次评估是努力改善男女的社会及经济生活状况的一个重要步骤。目前尽管男女在就业条件方面仍然存在不平衡状态，但记录表明女性的就业水平已有所提高。整个劳力市场得到了加强，其中女性尽管仍然脆弱，但却最具有活力。</w:t>
      </w:r>
    </w:p>
    <w:p w:rsidR="00000000" w:rsidRDefault="00000000">
      <w:pPr>
        <w:rPr>
          <w:rFonts w:hint="eastAsia"/>
        </w:rPr>
      </w:pPr>
      <w:r>
        <w:rPr>
          <w:rFonts w:hint="eastAsia"/>
        </w:rPr>
        <w:tab/>
        <w:t>75</w:t>
      </w:r>
      <w:r>
        <w:rPr>
          <w:rFonts w:hint="eastAsia"/>
        </w:rPr>
        <w:t>．</w:t>
      </w:r>
      <w:r>
        <w:rPr>
          <w:rFonts w:hint="eastAsia"/>
        </w:rPr>
        <w:t xml:space="preserve">  </w:t>
      </w:r>
      <w:r>
        <w:rPr>
          <w:rFonts w:hint="eastAsia"/>
        </w:rPr>
        <w:t>根据意大利国家统计局提供的数据，</w:t>
      </w:r>
      <w:r>
        <w:rPr>
          <w:rFonts w:hint="eastAsia"/>
        </w:rPr>
        <w:t>1997</w:t>
      </w:r>
      <w:r>
        <w:rPr>
          <w:rFonts w:hint="eastAsia"/>
        </w:rPr>
        <w:t>年至</w:t>
      </w:r>
      <w:r>
        <w:rPr>
          <w:rFonts w:hint="eastAsia"/>
        </w:rPr>
        <w:t>2000</w:t>
      </w:r>
      <w:r>
        <w:rPr>
          <w:rFonts w:hint="eastAsia"/>
        </w:rPr>
        <w:t>年间工作人口总数增加了</w:t>
      </w:r>
      <w:r>
        <w:rPr>
          <w:rFonts w:hint="eastAsia"/>
        </w:rPr>
        <w:t>1,168,000</w:t>
      </w:r>
      <w:r>
        <w:rPr>
          <w:rFonts w:hint="eastAsia"/>
        </w:rPr>
        <w:t>人，而其中女性人数超过</w:t>
      </w:r>
      <w:r>
        <w:rPr>
          <w:rFonts w:hint="eastAsia"/>
        </w:rPr>
        <w:t>700,000(</w:t>
      </w:r>
      <w:r>
        <w:rPr>
          <w:rFonts w:hint="eastAsia"/>
        </w:rPr>
        <w:t>即占</w:t>
      </w:r>
      <w:r>
        <w:rPr>
          <w:rFonts w:hint="eastAsia"/>
        </w:rPr>
        <w:t>61%)</w:t>
      </w:r>
      <w:r>
        <w:rPr>
          <w:rFonts w:hint="eastAsia"/>
        </w:rPr>
        <w:t>。对这些数字进行局部分析后可以得出结论，女性就业比例已达到可接受的水平，并已经与欧盟其他国家看齐。但是尽管已经开始逐步重新平衡男女之间的就业比率，意大利总理府于北京会议五周年后发表的《</w:t>
      </w:r>
      <w:r>
        <w:rPr>
          <w:rFonts w:hint="eastAsia"/>
        </w:rPr>
        <w:t>2000</w:t>
      </w:r>
      <w:r>
        <w:rPr>
          <w:rFonts w:hint="eastAsia"/>
        </w:rPr>
        <w:t>年妇女问题报告》却表明，意大利的就业率仍未达到欧洲的平均水平，主要是因为女性就业率较低。事实上，与女性就业率升高相应出现的情况是女性失业率升高了，这便表明在劳力市场求职的女性人数也增多了。</w:t>
      </w:r>
    </w:p>
    <w:p w:rsidR="00000000" w:rsidRDefault="00000000">
      <w:pPr>
        <w:rPr>
          <w:rFonts w:hint="eastAsia"/>
        </w:rPr>
      </w:pPr>
      <w:r>
        <w:rPr>
          <w:rFonts w:hint="eastAsia"/>
        </w:rPr>
        <w:tab/>
        <w:t xml:space="preserve">76.  </w:t>
      </w:r>
      <w:r>
        <w:rPr>
          <w:rFonts w:hint="eastAsia"/>
        </w:rPr>
        <w:t>还应指出，在女性就业率升高的同时，所谓的非正式工作的数量增加了。这种非正式工作包括非全日制工作和定期工作，以及依赖协调和持续外部贡献的工作关系。这些工作形式更加灵活，使女性真正有机会进入工作领域，尽管附带的条件是工作不稳定和得不到应有的权利、保障和职业前途。</w:t>
      </w:r>
    </w:p>
    <w:p w:rsidR="00000000" w:rsidRDefault="00000000">
      <w:pPr>
        <w:spacing w:after="320"/>
        <w:rPr>
          <w:rFonts w:hint="eastAsia"/>
        </w:rPr>
      </w:pPr>
      <w:r>
        <w:rPr>
          <w:rFonts w:hint="eastAsia"/>
        </w:rPr>
        <w:tab/>
        <w:t xml:space="preserve">77.  </w:t>
      </w:r>
      <w:r>
        <w:rPr>
          <w:rFonts w:hint="eastAsia"/>
        </w:rPr>
        <w:t>最后，应当说明，如果不审查</w:t>
      </w:r>
      <w:r>
        <w:rPr>
          <w:rFonts w:hint="eastAsia"/>
        </w:rPr>
        <w:t>1993</w:t>
      </w:r>
      <w:r>
        <w:rPr>
          <w:rFonts w:hint="eastAsia"/>
        </w:rPr>
        <w:t>年和</w:t>
      </w:r>
      <w:r>
        <w:rPr>
          <w:rFonts w:hint="eastAsia"/>
        </w:rPr>
        <w:t>1996</w:t>
      </w:r>
      <w:r>
        <w:rPr>
          <w:rFonts w:hint="eastAsia"/>
        </w:rPr>
        <w:t>年的协议对女性劳工的供应产生了哪些较重要的影响，就无法对男女在就业机会，专业发展和企业创建方面是否机会均等进行任何评估。</w:t>
      </w:r>
    </w:p>
    <w:p w:rsidR="00000000" w:rsidRDefault="00000000">
      <w:pPr>
        <w:pStyle w:val="Heading4"/>
        <w:rPr>
          <w:rFonts w:hint="eastAsia"/>
        </w:rPr>
      </w:pPr>
      <w:r>
        <w:rPr>
          <w:rFonts w:hint="eastAsia"/>
        </w:rPr>
        <w:t>教育方面两性平等</w:t>
      </w:r>
    </w:p>
    <w:p w:rsidR="00000000" w:rsidRDefault="00000000">
      <w:pPr>
        <w:rPr>
          <w:rFonts w:hint="eastAsia"/>
        </w:rPr>
      </w:pPr>
      <w:r>
        <w:rPr>
          <w:rFonts w:hint="eastAsia"/>
        </w:rPr>
        <w:tab/>
        <w:t>78.  1997</w:t>
      </w:r>
      <w:r>
        <w:rPr>
          <w:rFonts w:hint="eastAsia"/>
        </w:rPr>
        <w:t>年至</w:t>
      </w:r>
      <w:r>
        <w:rPr>
          <w:rFonts w:hint="eastAsia"/>
        </w:rPr>
        <w:t>2000</w:t>
      </w:r>
      <w:r>
        <w:rPr>
          <w:rFonts w:hint="eastAsia"/>
        </w:rPr>
        <w:t>年期间，教育部</w:t>
      </w:r>
      <w:r>
        <w:rPr>
          <w:rFonts w:hint="eastAsia"/>
        </w:rPr>
        <w:t>(Ministero dell</w:t>
      </w:r>
      <w:r>
        <w:t>’</w:t>
      </w:r>
      <w:r>
        <w:rPr>
          <w:rFonts w:hint="eastAsia"/>
        </w:rPr>
        <w:t>Istruzione,de</w:t>
      </w:r>
      <w:r>
        <w:t>ll’</w:t>
      </w:r>
      <w:r>
        <w:rPr>
          <w:rFonts w:hint="eastAsia"/>
        </w:rPr>
        <w:t>Universita e della Ricerca-MIUR)</w:t>
      </w:r>
      <w:r>
        <w:rPr>
          <w:rFonts w:hint="eastAsia"/>
        </w:rPr>
        <w:t>开展了一系列活动，支持并促进两性平等。</w:t>
      </w:r>
    </w:p>
    <w:p w:rsidR="00000000" w:rsidRDefault="00000000">
      <w:pPr>
        <w:rPr>
          <w:rFonts w:hint="eastAsia"/>
        </w:rPr>
      </w:pPr>
      <w:r>
        <w:rPr>
          <w:rFonts w:hint="eastAsia"/>
        </w:rPr>
        <w:tab/>
        <w:t xml:space="preserve">79.  </w:t>
      </w:r>
      <w:r>
        <w:rPr>
          <w:rFonts w:hint="eastAsia"/>
        </w:rPr>
        <w:t>这些活动的主要特征体现于下述几个核心问题</w:t>
      </w:r>
      <w:r>
        <w:rPr>
          <w:rFonts w:hint="eastAsia"/>
        </w:rPr>
        <w:t>/</w:t>
      </w:r>
      <w:r>
        <w:rPr>
          <w:rFonts w:hint="eastAsia"/>
        </w:rPr>
        <w:t>方面：</w:t>
      </w:r>
    </w:p>
    <w:p w:rsidR="00000000" w:rsidRDefault="00000000">
      <w:pPr>
        <w:ind w:left="510"/>
        <w:rPr>
          <w:rFonts w:eastAsia="KaiTi_GB2312" w:hint="eastAsia"/>
          <w:snapToGrid/>
          <w:spacing w:val="0"/>
        </w:rPr>
      </w:pPr>
      <w:r>
        <w:rPr>
          <w:rFonts w:eastAsia="KaiTi_GB2312" w:hint="eastAsia"/>
          <w:snapToGrid/>
          <w:spacing w:val="0"/>
        </w:rPr>
        <w:t>组织结构：</w:t>
      </w:r>
    </w:p>
    <w:p w:rsidR="00000000" w:rsidRDefault="00000000">
      <w:pPr>
        <w:pStyle w:val="a0"/>
        <w:ind w:left="1530"/>
        <w:rPr>
          <w:rFonts w:hint="eastAsia"/>
        </w:rPr>
      </w:pPr>
      <w:r>
        <w:rPr>
          <w:rFonts w:hint="eastAsia"/>
        </w:rPr>
        <w:t>关闭女子技术学院</w:t>
      </w:r>
      <w:r>
        <w:rPr>
          <w:rFonts w:hint="eastAsia"/>
        </w:rPr>
        <w:t>(Istituti Tecnici Femminili)</w:t>
      </w:r>
      <w:r>
        <w:rPr>
          <w:rFonts w:hint="eastAsia"/>
        </w:rPr>
        <w:t>，取而代之以社会活动技术学院</w:t>
      </w:r>
      <w:r>
        <w:rPr>
          <w:rFonts w:hint="eastAsia"/>
        </w:rPr>
        <w:t>(Istituti Tecnici per le Attivita Sociali)</w:t>
      </w:r>
      <w:r>
        <w:rPr>
          <w:rFonts w:hint="eastAsia"/>
        </w:rPr>
        <w:t>，招收男女学生</w:t>
      </w:r>
      <w:r>
        <w:rPr>
          <w:rFonts w:hint="eastAsia"/>
        </w:rPr>
        <w:t>(1998</w:t>
      </w:r>
      <w:r>
        <w:rPr>
          <w:rFonts w:hint="eastAsia"/>
        </w:rPr>
        <w:t>年</w:t>
      </w:r>
      <w:r>
        <w:rPr>
          <w:rFonts w:hint="eastAsia"/>
        </w:rPr>
        <w:t>10</w:t>
      </w:r>
      <w:r>
        <w:rPr>
          <w:rFonts w:hint="eastAsia"/>
        </w:rPr>
        <w:t>月</w:t>
      </w:r>
      <w:r>
        <w:rPr>
          <w:rFonts w:hint="eastAsia"/>
        </w:rPr>
        <w:t>7</w:t>
      </w:r>
      <w:r>
        <w:rPr>
          <w:rFonts w:hint="eastAsia"/>
        </w:rPr>
        <w:t>日第</w:t>
      </w:r>
      <w:r>
        <w:rPr>
          <w:rFonts w:hint="eastAsia"/>
        </w:rPr>
        <w:t>383</w:t>
      </w:r>
      <w:r>
        <w:rPr>
          <w:rFonts w:hint="eastAsia"/>
        </w:rPr>
        <w:t>号部长法</w:t>
      </w:r>
      <w:r>
        <w:rPr>
          <w:rFonts w:hint="eastAsia"/>
        </w:rPr>
        <w:t>/Decreto Ministeriale )</w:t>
      </w:r>
      <w:r>
        <w:rPr>
          <w:rFonts w:hint="eastAsia"/>
        </w:rPr>
        <w:t>；</w:t>
      </w:r>
    </w:p>
    <w:p w:rsidR="00000000" w:rsidRDefault="00000000">
      <w:pPr>
        <w:pStyle w:val="a0"/>
        <w:ind w:left="1530"/>
        <w:rPr>
          <w:rFonts w:hint="eastAsia"/>
        </w:rPr>
      </w:pPr>
      <w:r>
        <w:rPr>
          <w:rFonts w:hint="eastAsia"/>
        </w:rPr>
        <w:t>在教育部内建立两个委员会，处理办事人员和教师工作条件方面的两性平等问题。</w:t>
      </w:r>
    </w:p>
    <w:p w:rsidR="00000000" w:rsidRDefault="00000000">
      <w:pPr>
        <w:ind w:left="510"/>
        <w:rPr>
          <w:rFonts w:eastAsia="KaiTi_GB2312" w:hint="eastAsia"/>
          <w:snapToGrid/>
          <w:spacing w:val="0"/>
        </w:rPr>
      </w:pPr>
      <w:r>
        <w:rPr>
          <w:rFonts w:eastAsia="KaiTi_GB2312" w:hint="eastAsia"/>
          <w:snapToGrid/>
          <w:spacing w:val="0"/>
        </w:rPr>
        <w:t>教育指导方针：</w:t>
      </w:r>
    </w:p>
    <w:p w:rsidR="00000000" w:rsidRDefault="00000000">
      <w:pPr>
        <w:pStyle w:val="a0"/>
        <w:ind w:left="1530"/>
        <w:rPr>
          <w:rFonts w:hint="eastAsia"/>
        </w:rPr>
      </w:pPr>
      <w:r>
        <w:rPr>
          <w:rFonts w:hint="eastAsia"/>
        </w:rPr>
        <w:t>颁布《男女中学生规章》，制定了管理学校环境的标准，并明确强调男女权利平等的重要性</w:t>
      </w:r>
      <w:r>
        <w:rPr>
          <w:rFonts w:hint="eastAsia"/>
        </w:rPr>
        <w:t>(1998</w:t>
      </w:r>
      <w:r>
        <w:rPr>
          <w:rFonts w:hint="eastAsia"/>
        </w:rPr>
        <w:t>年</w:t>
      </w:r>
      <w:r>
        <w:rPr>
          <w:rFonts w:hint="eastAsia"/>
        </w:rPr>
        <w:t>6</w:t>
      </w:r>
      <w:r>
        <w:rPr>
          <w:rFonts w:hint="eastAsia"/>
        </w:rPr>
        <w:t>月</w:t>
      </w:r>
      <w:r>
        <w:rPr>
          <w:rFonts w:hint="eastAsia"/>
        </w:rPr>
        <w:t>24</w:t>
      </w:r>
      <w:r>
        <w:rPr>
          <w:rFonts w:hint="eastAsia"/>
        </w:rPr>
        <w:t>日第</w:t>
      </w:r>
      <w:r>
        <w:rPr>
          <w:rFonts w:hint="eastAsia"/>
        </w:rPr>
        <w:t>249</w:t>
      </w:r>
      <w:r>
        <w:rPr>
          <w:rFonts w:hint="eastAsia"/>
        </w:rPr>
        <w:t>号法</w:t>
      </w:r>
      <w:r>
        <w:rPr>
          <w:rFonts w:hint="eastAsia"/>
        </w:rPr>
        <w:t>)</w:t>
      </w:r>
      <w:r>
        <w:rPr>
          <w:rFonts w:hint="eastAsia"/>
        </w:rPr>
        <w:t>；</w:t>
      </w:r>
    </w:p>
    <w:p w:rsidR="00000000" w:rsidRDefault="00000000">
      <w:pPr>
        <w:pStyle w:val="a0"/>
        <w:ind w:left="1530"/>
        <w:rPr>
          <w:rFonts w:hint="eastAsia"/>
        </w:rPr>
      </w:pPr>
      <w:r>
        <w:rPr>
          <w:rFonts w:hint="eastAsia"/>
        </w:rPr>
        <w:t>为研究和干预方案</w:t>
      </w:r>
      <w:r>
        <w:rPr>
          <w:rFonts w:hint="eastAsia"/>
        </w:rPr>
        <w:t>POLITE(</w:t>
      </w:r>
      <w:r>
        <w:rPr>
          <w:rFonts w:hint="eastAsia"/>
        </w:rPr>
        <w:t>学校中两性平等</w:t>
      </w:r>
      <w:r>
        <w:rPr>
          <w:rFonts w:hint="eastAsia"/>
        </w:rPr>
        <w:t>)</w:t>
      </w:r>
      <w:r>
        <w:rPr>
          <w:rFonts w:hint="eastAsia"/>
        </w:rPr>
        <w:t>提供资金，该方案旨在为编写教科书建议一些指导方针，从而使教科书符合两性平等原则。</w:t>
      </w:r>
    </w:p>
    <w:p w:rsidR="00000000" w:rsidRDefault="00000000">
      <w:pPr>
        <w:ind w:left="760" w:hanging="240"/>
        <w:rPr>
          <w:rFonts w:eastAsia="KaiTi_GB2312" w:hint="eastAsia"/>
          <w:snapToGrid/>
          <w:spacing w:val="0"/>
        </w:rPr>
      </w:pPr>
      <w:r>
        <w:rPr>
          <w:rFonts w:eastAsia="KaiTi_GB2312" w:hint="eastAsia"/>
          <w:snapToGrid/>
          <w:spacing w:val="0"/>
        </w:rPr>
        <w:t>业务或实践方面：</w:t>
      </w:r>
    </w:p>
    <w:p w:rsidR="00000000" w:rsidRDefault="00000000">
      <w:pPr>
        <w:pStyle w:val="a0"/>
        <w:spacing w:after="320"/>
        <w:ind w:left="1530"/>
        <w:rPr>
          <w:rFonts w:hint="eastAsia"/>
        </w:rPr>
      </w:pPr>
      <w:r>
        <w:rPr>
          <w:rFonts w:hint="eastAsia"/>
        </w:rPr>
        <w:t>在</w:t>
      </w:r>
      <w:r>
        <w:rPr>
          <w:rFonts w:hint="eastAsia"/>
        </w:rPr>
        <w:t>2000-2006</w:t>
      </w:r>
      <w:r>
        <w:rPr>
          <w:rFonts w:hint="eastAsia"/>
        </w:rPr>
        <w:t>“学校推动发展”国家方案范围内落实支持教育领域中两性平等原则的项目。这项国家方案的部分资金由欧洲社会基金提供</w:t>
      </w:r>
      <w:r>
        <w:rPr>
          <w:rFonts w:hint="eastAsia"/>
          <w:spacing w:val="-50"/>
        </w:rPr>
        <w:t>―</w:t>
      </w:r>
      <w:r>
        <w:rPr>
          <w:rFonts w:hint="eastAsia"/>
        </w:rPr>
        <w:t>―承诺的资金总额超过</w:t>
      </w:r>
      <w:r>
        <w:rPr>
          <w:rFonts w:hint="eastAsia"/>
        </w:rPr>
        <w:t>5</w:t>
      </w:r>
      <w:r>
        <w:rPr>
          <w:rFonts w:hint="eastAsia"/>
        </w:rPr>
        <w:t>千万欧元</w:t>
      </w:r>
      <w:r>
        <w:rPr>
          <w:rFonts w:hint="eastAsia"/>
          <w:spacing w:val="-50"/>
        </w:rPr>
        <w:t>―</w:t>
      </w:r>
      <w:r>
        <w:rPr>
          <w:rFonts w:hint="eastAsia"/>
        </w:rPr>
        <w:t>―明确目的是，主要通过建立托儿设施或提供奖金来支持希望边工作边学习的女性。</w:t>
      </w:r>
    </w:p>
    <w:p w:rsidR="00000000" w:rsidRDefault="00000000">
      <w:pPr>
        <w:pStyle w:val="Heading3"/>
        <w:rPr>
          <w:rFonts w:hint="eastAsia"/>
        </w:rPr>
      </w:pPr>
      <w:r>
        <w:rPr>
          <w:rFonts w:hint="eastAsia"/>
          <w:u w:val="none"/>
        </w:rPr>
        <w:t xml:space="preserve">B.  </w:t>
      </w:r>
      <w:r>
        <w:rPr>
          <w:rFonts w:hint="eastAsia"/>
        </w:rPr>
        <w:t>第</w:t>
      </w:r>
      <w:r>
        <w:rPr>
          <w:rFonts w:hint="eastAsia"/>
        </w:rPr>
        <w:t xml:space="preserve"> 6 </w:t>
      </w:r>
      <w:r>
        <w:rPr>
          <w:rFonts w:hint="eastAsia"/>
        </w:rPr>
        <w:t>条</w:t>
      </w:r>
    </w:p>
    <w:p w:rsidR="00000000" w:rsidRDefault="00000000">
      <w:pPr>
        <w:pStyle w:val="Heading3"/>
        <w:rPr>
          <w:rFonts w:hint="eastAsia"/>
        </w:rPr>
      </w:pPr>
      <w:r>
        <w:rPr>
          <w:rFonts w:hint="eastAsia"/>
        </w:rPr>
        <w:t>工</w:t>
      </w:r>
      <w:r>
        <w:rPr>
          <w:rFonts w:hint="eastAsia"/>
        </w:rPr>
        <w:t xml:space="preserve"> </w:t>
      </w:r>
      <w:r>
        <w:rPr>
          <w:rFonts w:hint="eastAsia"/>
        </w:rPr>
        <w:t>作</w:t>
      </w:r>
      <w:r>
        <w:rPr>
          <w:rFonts w:hint="eastAsia"/>
        </w:rPr>
        <w:t xml:space="preserve"> </w:t>
      </w:r>
      <w:r>
        <w:rPr>
          <w:rFonts w:hint="eastAsia"/>
        </w:rPr>
        <w:t>权</w:t>
      </w:r>
    </w:p>
    <w:p w:rsidR="00000000" w:rsidRDefault="00000000">
      <w:pPr>
        <w:pStyle w:val="Heading4"/>
        <w:rPr>
          <w:rFonts w:hint="eastAsia"/>
        </w:rPr>
      </w:pPr>
      <w:r>
        <w:rPr>
          <w:rFonts w:hint="eastAsia"/>
        </w:rPr>
        <w:t>失业者状况</w:t>
      </w:r>
    </w:p>
    <w:p w:rsidR="00000000" w:rsidRDefault="00000000">
      <w:pPr>
        <w:rPr>
          <w:rFonts w:hint="eastAsia"/>
        </w:rPr>
      </w:pPr>
      <w:r>
        <w:rPr>
          <w:rFonts w:hint="eastAsia"/>
        </w:rPr>
        <w:tab/>
        <w:t xml:space="preserve">80.  </w:t>
      </w:r>
      <w:r>
        <w:rPr>
          <w:rFonts w:hint="eastAsia"/>
        </w:rPr>
        <w:t>第</w:t>
      </w:r>
      <w:r>
        <w:rPr>
          <w:rFonts w:hint="eastAsia"/>
        </w:rPr>
        <w:t>181/2000</w:t>
      </w:r>
      <w:r>
        <w:rPr>
          <w:rFonts w:hint="eastAsia"/>
        </w:rPr>
        <w:t>号立法令</w:t>
      </w:r>
      <w:r>
        <w:rPr>
          <w:rFonts w:hint="eastAsia"/>
        </w:rPr>
        <w:t>(</w:t>
      </w:r>
      <w:r>
        <w:rPr>
          <w:rFonts w:hint="eastAsia"/>
        </w:rPr>
        <w:t>在执行第</w:t>
      </w:r>
      <w:r>
        <w:rPr>
          <w:rFonts w:hint="eastAsia"/>
        </w:rPr>
        <w:t>144/1999</w:t>
      </w:r>
      <w:r>
        <w:rPr>
          <w:rFonts w:hint="eastAsia"/>
        </w:rPr>
        <w:t>号法，即</w:t>
      </w:r>
      <w:r>
        <w:rPr>
          <w:rFonts w:hint="eastAsia"/>
        </w:rPr>
        <w:t>2000</w:t>
      </w:r>
      <w:r>
        <w:rPr>
          <w:rFonts w:hint="eastAsia"/>
        </w:rPr>
        <w:t>年财政法的《就业附件》中所载明的授权时予以颁布</w:t>
      </w:r>
      <w:r>
        <w:rPr>
          <w:rFonts w:hint="eastAsia"/>
        </w:rPr>
        <w:t>)</w:t>
      </w:r>
      <w:r>
        <w:rPr>
          <w:rFonts w:hint="eastAsia"/>
        </w:rPr>
        <w:t>审查了用以确定获得预防措施之资格条件的标准，规定了准予失业者身份的条件，还规定失业者必须做好立即就业准备，如果他拒绝所提议的一份适当工作，则会失去其作为失业者的“资历”。</w:t>
      </w:r>
    </w:p>
    <w:p w:rsidR="00000000" w:rsidRDefault="00000000">
      <w:pPr>
        <w:rPr>
          <w:rFonts w:hint="eastAsia"/>
        </w:rPr>
      </w:pPr>
      <w:r>
        <w:rPr>
          <w:rFonts w:hint="eastAsia"/>
        </w:rPr>
        <w:tab/>
        <w:t xml:space="preserve">81.  </w:t>
      </w:r>
      <w:r>
        <w:rPr>
          <w:rFonts w:hint="eastAsia"/>
        </w:rPr>
        <w:t>公共就业服务机构在这方面发挥有重要作用。该机构不仅要履行传统任务，查明并监督失业情况，而且还要提供富有创新性的服务，如在青少年失业后六个月内为他们提供“就业指导面谈”服务，并提议下述几类人参加劳力市场中的工作安排活动或参加培训或再培训活动：</w:t>
      </w:r>
      <w:r>
        <w:rPr>
          <w:rFonts w:hint="eastAsia"/>
        </w:rPr>
        <w:t xml:space="preserve">(a) </w:t>
      </w:r>
      <w:r>
        <w:rPr>
          <w:rFonts w:hint="eastAsia"/>
        </w:rPr>
        <w:t>失业期限不超过六个月并希望重新就业的女性；</w:t>
      </w:r>
      <w:r>
        <w:rPr>
          <w:rFonts w:hint="eastAsia"/>
        </w:rPr>
        <w:t xml:space="preserve">(b) </w:t>
      </w:r>
      <w:r>
        <w:rPr>
          <w:rFonts w:hint="eastAsia"/>
        </w:rPr>
        <w:t>长期</w:t>
      </w:r>
      <w:r>
        <w:rPr>
          <w:rFonts w:hint="eastAsia"/>
        </w:rPr>
        <w:t>(</w:t>
      </w:r>
      <w:r>
        <w:rPr>
          <w:rFonts w:hint="eastAsia"/>
        </w:rPr>
        <w:t>不超过十二个月</w:t>
      </w:r>
      <w:r>
        <w:rPr>
          <w:rFonts w:hint="eastAsia"/>
        </w:rPr>
        <w:t>)</w:t>
      </w:r>
      <w:r>
        <w:rPr>
          <w:rFonts w:hint="eastAsia"/>
        </w:rPr>
        <w:t>失业或无业者；和</w:t>
      </w:r>
      <w:r>
        <w:rPr>
          <w:rFonts w:hint="eastAsia"/>
        </w:rPr>
        <w:t xml:space="preserve">(c) </w:t>
      </w:r>
      <w:r>
        <w:rPr>
          <w:rFonts w:hint="eastAsia"/>
        </w:rPr>
        <w:t>失业期限不超过六个月并领取社会福利津贴的失业者。</w:t>
      </w:r>
    </w:p>
    <w:p w:rsidR="00000000" w:rsidRDefault="00000000">
      <w:pPr>
        <w:spacing w:after="320"/>
        <w:rPr>
          <w:rFonts w:hint="eastAsia"/>
        </w:rPr>
      </w:pPr>
      <w:r>
        <w:rPr>
          <w:rFonts w:hint="eastAsia"/>
        </w:rPr>
        <w:tab/>
        <w:t xml:space="preserve">82.  </w:t>
      </w:r>
      <w:r>
        <w:rPr>
          <w:rFonts w:hint="eastAsia"/>
        </w:rPr>
        <w:t>应当指出，如果有关方面不参加“就业指导面谈”，将失去其失业者身份。</w:t>
      </w:r>
    </w:p>
    <w:p w:rsidR="00000000" w:rsidRDefault="00000000">
      <w:pPr>
        <w:pStyle w:val="Heading4"/>
        <w:rPr>
          <w:rFonts w:hint="eastAsia"/>
        </w:rPr>
      </w:pPr>
      <w:r>
        <w:rPr>
          <w:rFonts w:hint="eastAsia"/>
        </w:rPr>
        <w:t>工作经验</w:t>
      </w:r>
      <w:r>
        <w:rPr>
          <w:rFonts w:hint="eastAsia"/>
          <w:spacing w:val="-50"/>
        </w:rPr>
        <w:t>―</w:t>
      </w:r>
      <w:r>
        <w:rPr>
          <w:rFonts w:hint="eastAsia"/>
        </w:rPr>
        <w:t>―年轻人</w:t>
      </w:r>
    </w:p>
    <w:p w:rsidR="00000000" w:rsidRDefault="00000000">
      <w:pPr>
        <w:rPr>
          <w:rFonts w:hint="eastAsia"/>
        </w:rPr>
      </w:pPr>
      <w:r>
        <w:rPr>
          <w:rFonts w:hint="eastAsia"/>
        </w:rPr>
        <w:tab/>
        <w:t xml:space="preserve">83.  </w:t>
      </w:r>
      <w:r>
        <w:rPr>
          <w:rFonts w:hint="eastAsia"/>
        </w:rPr>
        <w:t>意大利遵照其他国家已经获得确认的一些行动例子，落实了一系列措施，以便在工作合同之外提供技术与实践方面的工作经验。这些措施包括：第</w:t>
      </w:r>
      <w:r>
        <w:rPr>
          <w:rFonts w:hint="eastAsia"/>
        </w:rPr>
        <w:t>196/1997</w:t>
      </w:r>
      <w:r>
        <w:rPr>
          <w:rFonts w:hint="eastAsia"/>
        </w:rPr>
        <w:t>号法</w:t>
      </w:r>
      <w:r>
        <w:rPr>
          <w:rFonts w:hint="eastAsia"/>
        </w:rPr>
        <w:t>(</w:t>
      </w:r>
      <w:r>
        <w:rPr>
          <w:rFonts w:hint="eastAsia"/>
        </w:rPr>
        <w:t>即以当时的劳动部长名字命名的</w:t>
      </w:r>
      <w:r>
        <w:rPr>
          <w:rFonts w:hint="eastAsia"/>
        </w:rPr>
        <w:t>Treu</w:t>
      </w:r>
      <w:r>
        <w:rPr>
          <w:rFonts w:hint="eastAsia"/>
        </w:rPr>
        <w:t>一揽子措施</w:t>
      </w:r>
      <w:r>
        <w:rPr>
          <w:rFonts w:hint="eastAsia"/>
        </w:rPr>
        <w:t>)</w:t>
      </w:r>
      <w:r>
        <w:rPr>
          <w:rFonts w:hint="eastAsia"/>
        </w:rPr>
        <w:t>规定的工作补助金；和自</w:t>
      </w:r>
      <w:r>
        <w:rPr>
          <w:rFonts w:hint="eastAsia"/>
        </w:rPr>
        <w:t>1994</w:t>
      </w:r>
      <w:r>
        <w:rPr>
          <w:rFonts w:hint="eastAsia"/>
        </w:rPr>
        <w:t>年起便开始酝酿，直到</w:t>
      </w:r>
      <w:r>
        <w:rPr>
          <w:rFonts w:hint="eastAsia"/>
        </w:rPr>
        <w:t>1998</w:t>
      </w:r>
      <w:r>
        <w:rPr>
          <w:rFonts w:hint="eastAsia"/>
        </w:rPr>
        <w:t>年才启动的专业接轨计划。该计划的目标是鼓励具有专业资格的人接受培训和积累工作经验。根据与雇主协会和专业协会之间的特别协议和</w:t>
      </w:r>
      <w:r>
        <w:rPr>
          <w:rFonts w:hint="eastAsia"/>
        </w:rPr>
        <w:t>/</w:t>
      </w:r>
      <w:r>
        <w:rPr>
          <w:rFonts w:hint="eastAsia"/>
        </w:rPr>
        <w:t>或根据名单，年龄在</w:t>
      </w:r>
      <w:r>
        <w:rPr>
          <w:rFonts w:hint="eastAsia"/>
        </w:rPr>
        <w:t>19-32</w:t>
      </w:r>
      <w:r>
        <w:rPr>
          <w:rFonts w:hint="eastAsia"/>
        </w:rPr>
        <w:t>岁</w:t>
      </w:r>
      <w:r>
        <w:rPr>
          <w:rFonts w:hint="eastAsia"/>
        </w:rPr>
        <w:t>(</w:t>
      </w:r>
      <w:r>
        <w:rPr>
          <w:rFonts w:hint="eastAsia"/>
        </w:rPr>
        <w:t>对于在失业登记簿第一类中已登记至少两年的失业者可以放宽至</w:t>
      </w:r>
      <w:r>
        <w:rPr>
          <w:rFonts w:hint="eastAsia"/>
        </w:rPr>
        <w:t>35</w:t>
      </w:r>
      <w:r>
        <w:rPr>
          <w:rFonts w:hint="eastAsia"/>
        </w:rPr>
        <w:t>岁</w:t>
      </w:r>
      <w:r>
        <w:rPr>
          <w:rFonts w:hint="eastAsia"/>
        </w:rPr>
        <w:t>)</w:t>
      </w:r>
      <w:r>
        <w:rPr>
          <w:rFonts w:hint="eastAsia"/>
        </w:rPr>
        <w:t>，并持有专业证书、文凭或学位的年轻人能够在参与该计划的公司或与该计划有关的专业实践中获得真正的工作经验。安排工作的期限每年最多六个月或</w:t>
      </w:r>
      <w:r>
        <w:rPr>
          <w:rFonts w:hint="eastAsia"/>
        </w:rPr>
        <w:t>960</w:t>
      </w:r>
      <w:r>
        <w:rPr>
          <w:rFonts w:hint="eastAsia"/>
        </w:rPr>
        <w:t>小时，参加者每月可从国家社会保障局获得</w:t>
      </w:r>
      <w:r>
        <w:rPr>
          <w:rFonts w:hint="eastAsia"/>
        </w:rPr>
        <w:t>600,000</w:t>
      </w:r>
      <w:r>
        <w:rPr>
          <w:rFonts w:hint="eastAsia"/>
        </w:rPr>
        <w:t>里拉。此外，设有一项特殊的奖励措施，即如果雇主在专业接轨计划结束时，能够与参加者订立一份合同允许他在同一专业领域中进行在职培训，则可被减免缴款额。</w:t>
      </w:r>
    </w:p>
    <w:p w:rsidR="00000000" w:rsidRDefault="00000000">
      <w:pPr>
        <w:rPr>
          <w:rFonts w:hint="eastAsia"/>
        </w:rPr>
      </w:pPr>
      <w:r>
        <w:rPr>
          <w:rFonts w:hint="eastAsia"/>
        </w:rPr>
        <w:tab/>
        <w:t xml:space="preserve">84.  </w:t>
      </w:r>
      <w:r>
        <w:rPr>
          <w:rFonts w:hint="eastAsia"/>
        </w:rPr>
        <w:t>在这方面，最近刚根据</w:t>
      </w:r>
      <w:r>
        <w:rPr>
          <w:rFonts w:hint="eastAsia"/>
        </w:rPr>
        <w:t>Treu</w:t>
      </w:r>
      <w:r>
        <w:rPr>
          <w:rFonts w:hint="eastAsia"/>
        </w:rPr>
        <w:t>一揽子措施</w:t>
      </w:r>
      <w:r>
        <w:rPr>
          <w:rFonts w:hint="eastAsia"/>
        </w:rPr>
        <w:t>(</w:t>
      </w:r>
      <w:r>
        <w:rPr>
          <w:rFonts w:hint="eastAsia"/>
        </w:rPr>
        <w:t>第</w:t>
      </w:r>
      <w:r>
        <w:rPr>
          <w:rFonts w:hint="eastAsia"/>
        </w:rPr>
        <w:t>18</w:t>
      </w:r>
      <w:r>
        <w:rPr>
          <w:rFonts w:hint="eastAsia"/>
        </w:rPr>
        <w:t>条</w:t>
      </w:r>
      <w:r>
        <w:rPr>
          <w:rFonts w:hint="eastAsia"/>
        </w:rPr>
        <w:t>)</w:t>
      </w:r>
      <w:r>
        <w:rPr>
          <w:rFonts w:hint="eastAsia"/>
        </w:rPr>
        <w:t>得到革新的就业指导和培训方案也发挥有重要作用。通过这个方案，公共就业服务机构</w:t>
      </w:r>
      <w:r>
        <w:rPr>
          <w:rFonts w:hint="eastAsia"/>
        </w:rPr>
        <w:t>(</w:t>
      </w:r>
      <w:r>
        <w:rPr>
          <w:rFonts w:hint="eastAsia"/>
        </w:rPr>
        <w:t>地区和省的分支机构</w:t>
      </w:r>
      <w:r>
        <w:rPr>
          <w:rFonts w:hint="eastAsia"/>
        </w:rPr>
        <w:t>)</w:t>
      </w:r>
      <w:r>
        <w:rPr>
          <w:rFonts w:hint="eastAsia"/>
        </w:rPr>
        <w:t>、各大学、公共机关、私人非营利机构和为处境特别困难者安排工作的组织能够采取行动，使具有从初中到研究生教育水平的个人可以通过在公共或私营部门的雇主那里工作而直接获得更好的工作经验。培训期</w:t>
      </w:r>
      <w:r>
        <w:rPr>
          <w:rFonts w:hint="eastAsia"/>
        </w:rPr>
        <w:t>4</w:t>
      </w:r>
      <w:r>
        <w:rPr>
          <w:rFonts w:hint="eastAsia"/>
        </w:rPr>
        <w:t>到</w:t>
      </w:r>
      <w:r>
        <w:rPr>
          <w:rFonts w:hint="eastAsia"/>
        </w:rPr>
        <w:t>24</w:t>
      </w:r>
      <w:r>
        <w:rPr>
          <w:rFonts w:hint="eastAsia"/>
        </w:rPr>
        <w:t>个月不等，根据参加者的教育水平和劳力市场为其安排工作的困难程度来决定。对参与者无需支付任何形式的报酬，除非雇主主动提供某种报酬。对于为参加者提供工作的雇主，也不准备给予任何奖励</w:t>
      </w:r>
      <w:r>
        <w:rPr>
          <w:rFonts w:hint="eastAsia"/>
        </w:rPr>
        <w:t>(</w:t>
      </w:r>
      <w:r>
        <w:rPr>
          <w:rFonts w:hint="eastAsia"/>
        </w:rPr>
        <w:t>例如减免缴款额</w:t>
      </w:r>
      <w:r>
        <w:rPr>
          <w:rFonts w:hint="eastAsia"/>
        </w:rPr>
        <w:t>)</w:t>
      </w:r>
      <w:r>
        <w:rPr>
          <w:rFonts w:hint="eastAsia"/>
        </w:rPr>
        <w:t>或从公共基金中拨款。</w:t>
      </w:r>
    </w:p>
    <w:p w:rsidR="00000000" w:rsidRDefault="00000000">
      <w:pPr>
        <w:rPr>
          <w:rFonts w:hint="eastAsia"/>
        </w:rPr>
      </w:pPr>
      <w:r>
        <w:rPr>
          <w:rFonts w:hint="eastAsia"/>
        </w:rPr>
        <w:tab/>
        <w:t xml:space="preserve">85.  </w:t>
      </w:r>
      <w:r>
        <w:rPr>
          <w:rFonts w:hint="eastAsia"/>
        </w:rPr>
        <w:t>旨在创造有利条件从而切实防止年轻人失业的立法措施还包括一些最近刚得到更新和修正的较传统的“混合式”合同，如下：</w:t>
      </w:r>
    </w:p>
    <w:p w:rsidR="00000000" w:rsidRDefault="00000000">
      <w:pPr>
        <w:numPr>
          <w:ilvl w:val="0"/>
          <w:numId w:val="85"/>
        </w:numPr>
        <w:rPr>
          <w:rFonts w:hint="eastAsia"/>
        </w:rPr>
      </w:pPr>
      <w:r>
        <w:rPr>
          <w:rFonts w:hint="eastAsia"/>
        </w:rPr>
        <w:t>培训和工作合同，在第</w:t>
      </w:r>
      <w:r>
        <w:rPr>
          <w:rFonts w:hint="eastAsia"/>
        </w:rPr>
        <w:t>299/1994</w:t>
      </w:r>
      <w:r>
        <w:rPr>
          <w:rFonts w:hint="eastAsia"/>
        </w:rPr>
        <w:t>号立法令第</w:t>
      </w:r>
      <w:r>
        <w:rPr>
          <w:rFonts w:hint="eastAsia"/>
        </w:rPr>
        <w:t>16</w:t>
      </w:r>
      <w:r>
        <w:rPr>
          <w:rFonts w:hint="eastAsia"/>
        </w:rPr>
        <w:t>条中予以规定，并经第</w:t>
      </w:r>
      <w:r>
        <w:rPr>
          <w:rFonts w:hint="eastAsia"/>
        </w:rPr>
        <w:t>196/1997</w:t>
      </w:r>
      <w:r>
        <w:rPr>
          <w:rFonts w:hint="eastAsia"/>
        </w:rPr>
        <w:t>号法第</w:t>
      </w:r>
      <w:r>
        <w:rPr>
          <w:rFonts w:hint="eastAsia"/>
        </w:rPr>
        <w:t>15</w:t>
      </w:r>
      <w:r>
        <w:rPr>
          <w:rFonts w:hint="eastAsia"/>
        </w:rPr>
        <w:t>条进行修正。</w:t>
      </w:r>
      <w:r>
        <w:rPr>
          <w:rFonts w:hint="eastAsia"/>
        </w:rPr>
        <w:t>1998</w:t>
      </w:r>
      <w:r>
        <w:rPr>
          <w:rFonts w:hint="eastAsia"/>
        </w:rPr>
        <w:t>年</w:t>
      </w:r>
      <w:r>
        <w:rPr>
          <w:rFonts w:hint="eastAsia"/>
        </w:rPr>
        <w:t>7</w:t>
      </w:r>
      <w:r>
        <w:rPr>
          <w:rFonts w:hint="eastAsia"/>
        </w:rPr>
        <w:t>月曾针对意大利减免缴款额做法的合法性提出诉讼，</w:t>
      </w:r>
      <w:r>
        <w:rPr>
          <w:rFonts w:hint="eastAsia"/>
        </w:rPr>
        <w:t>1999</w:t>
      </w:r>
      <w:r>
        <w:rPr>
          <w:rFonts w:hint="eastAsia"/>
        </w:rPr>
        <w:t>年</w:t>
      </w:r>
      <w:r>
        <w:rPr>
          <w:rFonts w:hint="eastAsia"/>
        </w:rPr>
        <w:t>5</w:t>
      </w:r>
      <w:r>
        <w:rPr>
          <w:rFonts w:hint="eastAsia"/>
        </w:rPr>
        <w:t>月欧洲联盟委员会就这起诉讼作了明确阐释，确认这种减免做法只有在特定情况中才合法，如能够创造新的就业机会和雇佣有困难的工人，即</w:t>
      </w:r>
      <w:r>
        <w:rPr>
          <w:rFonts w:hint="eastAsia"/>
        </w:rPr>
        <w:t>25</w:t>
      </w:r>
      <w:r>
        <w:rPr>
          <w:rFonts w:hint="eastAsia"/>
        </w:rPr>
        <w:t>岁以下的年轻人</w:t>
      </w:r>
      <w:r>
        <w:rPr>
          <w:rFonts w:hint="eastAsia"/>
        </w:rPr>
        <w:t>(</w:t>
      </w:r>
      <w:r>
        <w:rPr>
          <w:rFonts w:hint="eastAsia"/>
        </w:rPr>
        <w:t>有学位者为</w:t>
      </w:r>
      <w:r>
        <w:rPr>
          <w:rFonts w:hint="eastAsia"/>
        </w:rPr>
        <w:t>29</w:t>
      </w:r>
      <w:r>
        <w:rPr>
          <w:rFonts w:hint="eastAsia"/>
        </w:rPr>
        <w:t>岁以下</w:t>
      </w:r>
      <w:r>
        <w:rPr>
          <w:rFonts w:hint="eastAsia"/>
        </w:rPr>
        <w:t>)</w:t>
      </w:r>
      <w:r>
        <w:rPr>
          <w:rFonts w:hint="eastAsia"/>
        </w:rPr>
        <w:t>和长期</w:t>
      </w:r>
      <w:r>
        <w:rPr>
          <w:rFonts w:hint="eastAsia"/>
        </w:rPr>
        <w:t>(12</w:t>
      </w:r>
      <w:r>
        <w:rPr>
          <w:rFonts w:hint="eastAsia"/>
        </w:rPr>
        <w:t>个月以上</w:t>
      </w:r>
      <w:r>
        <w:rPr>
          <w:rFonts w:hint="eastAsia"/>
        </w:rPr>
        <w:t>)</w:t>
      </w:r>
      <w:r>
        <w:rPr>
          <w:rFonts w:hint="eastAsia"/>
        </w:rPr>
        <w:t>失业者等。关于立法框架，第</w:t>
      </w:r>
      <w:r>
        <w:rPr>
          <w:rFonts w:hint="eastAsia"/>
          <w:spacing w:val="0"/>
        </w:rPr>
        <w:t>15</w:t>
      </w:r>
      <w:r>
        <w:rPr>
          <w:rFonts w:hint="eastAsia"/>
          <w:spacing w:val="0"/>
        </w:rPr>
        <w:t>条第</w:t>
      </w:r>
      <w:r>
        <w:rPr>
          <w:rFonts w:hint="eastAsia"/>
          <w:spacing w:val="0"/>
        </w:rPr>
        <w:t>2</w:t>
      </w:r>
      <w:r>
        <w:rPr>
          <w:rFonts w:hint="eastAsia"/>
          <w:spacing w:val="0"/>
        </w:rPr>
        <w:t>款规定，可以利用培训和工作合同交替地达到下述目的：</w:t>
      </w:r>
      <w:r>
        <w:rPr>
          <w:rFonts w:hint="eastAsia"/>
          <w:spacing w:val="0"/>
        </w:rPr>
        <w:t>(i)</w:t>
      </w:r>
      <w:r>
        <w:rPr>
          <w:rFonts w:hint="eastAsia"/>
        </w:rPr>
        <w:t xml:space="preserve"> </w:t>
      </w:r>
      <w:r>
        <w:rPr>
          <w:rFonts w:hint="eastAsia"/>
        </w:rPr>
        <w:t>获得中级专业技能；</w:t>
      </w:r>
      <w:r>
        <w:rPr>
          <w:rFonts w:hint="eastAsia"/>
        </w:rPr>
        <w:t xml:space="preserve">(ii) </w:t>
      </w:r>
      <w:r>
        <w:rPr>
          <w:rFonts w:hint="eastAsia"/>
        </w:rPr>
        <w:t>获得高级专业技能；</w:t>
      </w:r>
      <w:r>
        <w:rPr>
          <w:rFonts w:hint="eastAsia"/>
        </w:rPr>
        <w:t xml:space="preserve">(iii) </w:t>
      </w:r>
      <w:r>
        <w:rPr>
          <w:rFonts w:hint="eastAsia"/>
        </w:rPr>
        <w:t>凭借工作经验顺利找到工作，因为工作经验可以使能力达到有关的生产及组织环境的要求。同一条第</w:t>
      </w:r>
      <w:r>
        <w:rPr>
          <w:rFonts w:hint="eastAsia"/>
        </w:rPr>
        <w:t>4</w:t>
      </w:r>
      <w:r>
        <w:rPr>
          <w:rFonts w:hint="eastAsia"/>
        </w:rPr>
        <w:t>款规定针对</w:t>
      </w:r>
      <w:r>
        <w:rPr>
          <w:rFonts w:hint="eastAsia"/>
        </w:rPr>
        <w:t>(i)</w:t>
      </w:r>
      <w:r>
        <w:rPr>
          <w:rFonts w:hint="eastAsia"/>
        </w:rPr>
        <w:t>和</w:t>
      </w:r>
      <w:r>
        <w:rPr>
          <w:rFonts w:hint="eastAsia"/>
        </w:rPr>
        <w:t>(ii)</w:t>
      </w:r>
      <w:r>
        <w:rPr>
          <w:rFonts w:hint="eastAsia"/>
        </w:rPr>
        <w:t>中的情况，培训和工作合同期限最长应为</w:t>
      </w:r>
      <w:r>
        <w:rPr>
          <w:rFonts w:hint="eastAsia"/>
        </w:rPr>
        <w:t>24</w:t>
      </w:r>
      <w:r>
        <w:rPr>
          <w:rFonts w:hint="eastAsia"/>
        </w:rPr>
        <w:t>个月。而对于</w:t>
      </w:r>
      <w:r>
        <w:rPr>
          <w:rFonts w:hint="eastAsia"/>
        </w:rPr>
        <w:t>(iii)</w:t>
      </w:r>
      <w:r>
        <w:rPr>
          <w:rFonts w:hint="eastAsia"/>
        </w:rPr>
        <w:t>中的情况最长应为</w:t>
      </w:r>
      <w:r>
        <w:rPr>
          <w:rFonts w:hint="eastAsia"/>
        </w:rPr>
        <w:t>12</w:t>
      </w:r>
      <w:r>
        <w:rPr>
          <w:rFonts w:hint="eastAsia"/>
        </w:rPr>
        <w:t>个月。第</w:t>
      </w:r>
      <w:r>
        <w:rPr>
          <w:rFonts w:hint="eastAsia"/>
        </w:rPr>
        <w:t>5</w:t>
      </w:r>
      <w:r>
        <w:rPr>
          <w:rFonts w:hint="eastAsia"/>
        </w:rPr>
        <w:t>款规定培训和工作合同还必须根据上述两大类情况</w:t>
      </w:r>
      <w:r>
        <w:rPr>
          <w:rFonts w:hint="eastAsia"/>
        </w:rPr>
        <w:t>(</w:t>
      </w:r>
      <w:r>
        <w:rPr>
          <w:rFonts w:hint="eastAsia"/>
        </w:rPr>
        <w:t>即</w:t>
      </w:r>
      <w:r>
        <w:rPr>
          <w:rFonts w:hint="eastAsia"/>
        </w:rPr>
        <w:t>(i)</w:t>
      </w:r>
      <w:r>
        <w:rPr>
          <w:rFonts w:hint="eastAsia"/>
        </w:rPr>
        <w:t>和</w:t>
      </w:r>
      <w:r>
        <w:rPr>
          <w:rFonts w:hint="eastAsia"/>
        </w:rPr>
        <w:t>(ii)</w:t>
      </w:r>
      <w:r>
        <w:rPr>
          <w:rFonts w:hint="eastAsia"/>
        </w:rPr>
        <w:t>中的情况以及</w:t>
      </w:r>
      <w:r>
        <w:rPr>
          <w:rFonts w:hint="eastAsia"/>
        </w:rPr>
        <w:t>(iii)</w:t>
      </w:r>
      <w:r>
        <w:rPr>
          <w:rFonts w:hint="eastAsia"/>
        </w:rPr>
        <w:t>中的情况</w:t>
      </w:r>
      <w:r>
        <w:rPr>
          <w:rFonts w:hint="eastAsia"/>
        </w:rPr>
        <w:t>)</w:t>
      </w:r>
      <w:r>
        <w:rPr>
          <w:rFonts w:hint="eastAsia"/>
        </w:rPr>
        <w:t>分别至少限定</w:t>
      </w:r>
      <w:r>
        <w:rPr>
          <w:rFonts w:hint="eastAsia"/>
        </w:rPr>
        <w:t>80</w:t>
      </w:r>
      <w:r>
        <w:rPr>
          <w:rFonts w:hint="eastAsia"/>
        </w:rPr>
        <w:t>和</w:t>
      </w:r>
      <w:r>
        <w:rPr>
          <w:rFonts w:hint="eastAsia"/>
        </w:rPr>
        <w:t>130</w:t>
      </w:r>
      <w:r>
        <w:rPr>
          <w:rFonts w:hint="eastAsia"/>
        </w:rPr>
        <w:t>小时用以在工作场所进行培训。对于</w:t>
      </w:r>
      <w:r>
        <w:rPr>
          <w:rFonts w:hint="eastAsia"/>
        </w:rPr>
        <w:t>(iii)</w:t>
      </w:r>
      <w:r>
        <w:rPr>
          <w:rFonts w:hint="eastAsia"/>
        </w:rPr>
        <w:t>中涉及的情况，根据雇佣关系类型、工作的组织方式以及环境保护和事故预防措施，培训期限必须至少达到</w:t>
      </w:r>
      <w:r>
        <w:rPr>
          <w:rFonts w:hint="eastAsia"/>
        </w:rPr>
        <w:t>20</w:t>
      </w:r>
      <w:r>
        <w:rPr>
          <w:rFonts w:hint="eastAsia"/>
        </w:rPr>
        <w:t>小时。</w:t>
      </w:r>
    </w:p>
    <w:p w:rsidR="00000000" w:rsidRDefault="00000000">
      <w:pPr>
        <w:numPr>
          <w:ilvl w:val="0"/>
          <w:numId w:val="85"/>
        </w:numPr>
        <w:rPr>
          <w:rFonts w:hint="eastAsia"/>
        </w:rPr>
      </w:pPr>
      <w:r>
        <w:rPr>
          <w:rFonts w:hint="eastAsia"/>
        </w:rPr>
        <w:t>学徒合同，第</w:t>
      </w:r>
      <w:r>
        <w:rPr>
          <w:rFonts w:hint="eastAsia"/>
        </w:rPr>
        <w:t>25/1955</w:t>
      </w:r>
      <w:r>
        <w:rPr>
          <w:rFonts w:hint="eastAsia"/>
        </w:rPr>
        <w:t>号立法令第</w:t>
      </w:r>
      <w:r>
        <w:rPr>
          <w:rFonts w:hint="eastAsia"/>
        </w:rPr>
        <w:t>2</w:t>
      </w:r>
      <w:r>
        <w:rPr>
          <w:rFonts w:hint="eastAsia"/>
        </w:rPr>
        <w:t>条中对此作了规定。这是一种特殊类型的雇用关系，其中雇主有义务在其公司中为自己雇用的学徒提供，或安排提供必要的教导，使他们能够获得必须的技术能力从而成为合格的熟练工人。多年后这种类型的合同也根据第</w:t>
      </w:r>
      <w:r>
        <w:rPr>
          <w:rFonts w:hint="eastAsia"/>
        </w:rPr>
        <w:t>196/1997</w:t>
      </w:r>
      <w:r>
        <w:rPr>
          <w:rFonts w:hint="eastAsia"/>
        </w:rPr>
        <w:t>号法得到切实的审查。过去有资格享有这种合同的年龄组为</w:t>
      </w:r>
      <w:r>
        <w:rPr>
          <w:rFonts w:hint="eastAsia"/>
        </w:rPr>
        <w:t>15-20</w:t>
      </w:r>
      <w:r>
        <w:rPr>
          <w:rFonts w:hint="eastAsia"/>
        </w:rPr>
        <w:t>岁，现在则扩展为</w:t>
      </w:r>
      <w:r>
        <w:rPr>
          <w:rFonts w:hint="eastAsia"/>
        </w:rPr>
        <w:t>16-24</w:t>
      </w:r>
      <w:r>
        <w:rPr>
          <w:rFonts w:hint="eastAsia"/>
        </w:rPr>
        <w:t>岁</w:t>
      </w:r>
      <w:r>
        <w:rPr>
          <w:rFonts w:hint="eastAsia"/>
        </w:rPr>
        <w:t>(</w:t>
      </w:r>
      <w:r>
        <w:rPr>
          <w:rFonts w:hint="eastAsia"/>
        </w:rPr>
        <w:t>对于欧经共体第</w:t>
      </w:r>
      <w:r>
        <w:rPr>
          <w:rFonts w:hint="eastAsia"/>
        </w:rPr>
        <w:t>208/1993</w:t>
      </w:r>
      <w:r>
        <w:rPr>
          <w:rFonts w:hint="eastAsia"/>
        </w:rPr>
        <w:t>号条例目标</w:t>
      </w:r>
      <w:r>
        <w:rPr>
          <w:rFonts w:hint="eastAsia"/>
        </w:rPr>
        <w:t>1</w:t>
      </w:r>
      <w:r>
        <w:rPr>
          <w:rFonts w:hint="eastAsia"/>
        </w:rPr>
        <w:t>和</w:t>
      </w:r>
      <w:r>
        <w:rPr>
          <w:rFonts w:hint="eastAsia"/>
        </w:rPr>
        <w:t>2</w:t>
      </w:r>
      <w:r>
        <w:rPr>
          <w:rFonts w:hint="eastAsia"/>
        </w:rPr>
        <w:t>中载明的领域，年龄上限可增加到</w:t>
      </w:r>
      <w:r>
        <w:rPr>
          <w:rFonts w:hint="eastAsia"/>
        </w:rPr>
        <w:t>26</w:t>
      </w:r>
      <w:r>
        <w:rPr>
          <w:rFonts w:hint="eastAsia"/>
        </w:rPr>
        <w:t>岁，对于同类领域中的残疾人，年龄上限增加到</w:t>
      </w:r>
      <w:r>
        <w:rPr>
          <w:rFonts w:hint="eastAsia"/>
        </w:rPr>
        <w:t>28</w:t>
      </w:r>
      <w:r>
        <w:rPr>
          <w:rFonts w:hint="eastAsia"/>
        </w:rPr>
        <w:t>岁，而在手工业部门中，年龄上限为</w:t>
      </w:r>
      <w:r>
        <w:rPr>
          <w:rFonts w:hint="eastAsia"/>
        </w:rPr>
        <w:t>29</w:t>
      </w:r>
      <w:r>
        <w:rPr>
          <w:rFonts w:hint="eastAsia"/>
        </w:rPr>
        <w:t>岁</w:t>
      </w:r>
      <w:r>
        <w:rPr>
          <w:rFonts w:hint="eastAsia"/>
        </w:rPr>
        <w:t>)</w:t>
      </w:r>
      <w:r>
        <w:rPr>
          <w:rFonts w:hint="eastAsia"/>
        </w:rPr>
        <w:t>。此外，还规定最短期限为</w:t>
      </w:r>
      <w:r>
        <w:rPr>
          <w:rFonts w:hint="eastAsia"/>
        </w:rPr>
        <w:t>18</w:t>
      </w:r>
      <w:r>
        <w:rPr>
          <w:rFonts w:hint="eastAsia"/>
        </w:rPr>
        <w:t>个月，以确保能够根据个别工业部门和当地情况的具体要求来适当监督和安排学徒期的计划。如果雇主希望能被减免缴款额，则必须每年提供至少</w:t>
      </w:r>
      <w:r>
        <w:rPr>
          <w:rFonts w:hint="eastAsia"/>
        </w:rPr>
        <w:t>120</w:t>
      </w:r>
      <w:r>
        <w:rPr>
          <w:rFonts w:hint="eastAsia"/>
        </w:rPr>
        <w:t>小时的离职培训。</w:t>
      </w:r>
      <w:r>
        <w:rPr>
          <w:rFonts w:hint="eastAsia"/>
        </w:rPr>
        <w:t>1998</w:t>
      </w:r>
      <w:r>
        <w:rPr>
          <w:rFonts w:hint="eastAsia"/>
        </w:rPr>
        <w:t>年</w:t>
      </w:r>
      <w:r>
        <w:rPr>
          <w:rFonts w:hint="eastAsia"/>
        </w:rPr>
        <w:t>4</w:t>
      </w:r>
      <w:r>
        <w:rPr>
          <w:rFonts w:hint="eastAsia"/>
        </w:rPr>
        <w:t>月</w:t>
      </w:r>
      <w:r>
        <w:rPr>
          <w:rFonts w:hint="eastAsia"/>
        </w:rPr>
        <w:t>8</w:t>
      </w:r>
      <w:r>
        <w:rPr>
          <w:rFonts w:hint="eastAsia"/>
        </w:rPr>
        <w:t>日和</w:t>
      </w:r>
      <w:r>
        <w:rPr>
          <w:rFonts w:hint="eastAsia"/>
        </w:rPr>
        <w:t>1999</w:t>
      </w:r>
      <w:r>
        <w:rPr>
          <w:rFonts w:hint="eastAsia"/>
        </w:rPr>
        <w:t>年</w:t>
      </w:r>
      <w:r>
        <w:rPr>
          <w:rFonts w:hint="eastAsia"/>
        </w:rPr>
        <w:t>5</w:t>
      </w:r>
      <w:r>
        <w:rPr>
          <w:rFonts w:hint="eastAsia"/>
        </w:rPr>
        <w:t>月</w:t>
      </w:r>
      <w:r>
        <w:rPr>
          <w:rFonts w:hint="eastAsia"/>
        </w:rPr>
        <w:t>20</w:t>
      </w:r>
      <w:r>
        <w:rPr>
          <w:rFonts w:hint="eastAsia"/>
        </w:rPr>
        <w:t>日的劳动部法令规定了学徒期培训活动的内容，分为两类：</w:t>
      </w:r>
      <w:r>
        <w:rPr>
          <w:rFonts w:hint="eastAsia"/>
        </w:rPr>
        <w:t xml:space="preserve">(i) </w:t>
      </w:r>
      <w:r>
        <w:rPr>
          <w:rFonts w:hint="eastAsia"/>
        </w:rPr>
        <w:t>一般的横向培训，时间不得少于每年</w:t>
      </w:r>
      <w:r>
        <w:rPr>
          <w:rFonts w:hint="eastAsia"/>
        </w:rPr>
        <w:t>120</w:t>
      </w:r>
      <w:r>
        <w:rPr>
          <w:rFonts w:hint="eastAsia"/>
        </w:rPr>
        <w:t>小时的</w:t>
      </w:r>
      <w:r>
        <w:rPr>
          <w:rFonts w:hint="eastAsia"/>
        </w:rPr>
        <w:t>35%</w:t>
      </w:r>
      <w:r>
        <w:rPr>
          <w:rFonts w:hint="eastAsia"/>
        </w:rPr>
        <w:t>，主要培训语言、经济与管理，以及雇用合同方面的条例和集体预防措施；</w:t>
      </w:r>
      <w:r>
        <w:rPr>
          <w:rFonts w:hint="eastAsia"/>
        </w:rPr>
        <w:t xml:space="preserve">(ii) </w:t>
      </w:r>
      <w:r>
        <w:rPr>
          <w:rFonts w:hint="eastAsia"/>
        </w:rPr>
        <w:t>科技和业务培训，时间不得少于每年</w:t>
      </w:r>
      <w:r>
        <w:rPr>
          <w:rFonts w:hint="eastAsia"/>
        </w:rPr>
        <w:t>120</w:t>
      </w:r>
      <w:r>
        <w:rPr>
          <w:rFonts w:hint="eastAsia"/>
        </w:rPr>
        <w:t>小时的</w:t>
      </w:r>
      <w:r>
        <w:rPr>
          <w:rFonts w:hint="eastAsia"/>
        </w:rPr>
        <w:t>65%</w:t>
      </w:r>
      <w:r>
        <w:rPr>
          <w:rFonts w:hint="eastAsia"/>
        </w:rPr>
        <w:t>，主要培训与学徒在其职位上所从事的特定活动有关的专业技能。</w:t>
      </w:r>
    </w:p>
    <w:p w:rsidR="00000000" w:rsidRDefault="00000000">
      <w:pPr>
        <w:spacing w:after="320"/>
        <w:rPr>
          <w:rFonts w:hint="eastAsia"/>
        </w:rPr>
      </w:pPr>
      <w:r>
        <w:rPr>
          <w:rFonts w:hint="eastAsia"/>
        </w:rPr>
        <w:tab/>
        <w:t xml:space="preserve">86.  </w:t>
      </w:r>
      <w:r>
        <w:rPr>
          <w:rFonts w:hint="eastAsia"/>
        </w:rPr>
        <w:t>最后，在这方面无疑非常重要的还有第</w:t>
      </w:r>
      <w:r>
        <w:rPr>
          <w:rFonts w:hint="eastAsia"/>
        </w:rPr>
        <w:t>144/1999</w:t>
      </w:r>
      <w:r>
        <w:rPr>
          <w:rFonts w:hint="eastAsia"/>
        </w:rPr>
        <w:t>号法第</w:t>
      </w:r>
      <w:r>
        <w:rPr>
          <w:rFonts w:hint="eastAsia"/>
        </w:rPr>
        <w:t>68</w:t>
      </w:r>
      <w:r>
        <w:rPr>
          <w:rFonts w:hint="eastAsia"/>
        </w:rPr>
        <w:t>条，其中对教育改革作了规定并要求实行义务教育或培训直至</w:t>
      </w:r>
      <w:r>
        <w:rPr>
          <w:rFonts w:hint="eastAsia"/>
        </w:rPr>
        <w:t>18</w:t>
      </w:r>
      <w:r>
        <w:rPr>
          <w:rFonts w:hint="eastAsia"/>
        </w:rPr>
        <w:t>岁。学徒培训与其他教育和培训方案一样，也必须符合这项要求。</w:t>
      </w:r>
    </w:p>
    <w:p w:rsidR="00000000" w:rsidRDefault="00000000">
      <w:pPr>
        <w:pStyle w:val="Heading4"/>
        <w:rPr>
          <w:rFonts w:hint="eastAsia"/>
        </w:rPr>
      </w:pPr>
      <w:r>
        <w:rPr>
          <w:rFonts w:hint="eastAsia"/>
        </w:rPr>
        <w:t>工作培训</w:t>
      </w:r>
    </w:p>
    <w:p w:rsidR="00000000" w:rsidRDefault="00000000">
      <w:pPr>
        <w:rPr>
          <w:rFonts w:hint="eastAsia"/>
        </w:rPr>
      </w:pPr>
      <w:r>
        <w:rPr>
          <w:rFonts w:hint="eastAsia"/>
        </w:rPr>
        <w:tab/>
        <w:t xml:space="preserve">87.  </w:t>
      </w:r>
      <w:r>
        <w:rPr>
          <w:rFonts w:hint="eastAsia"/>
        </w:rPr>
        <w:t>行使工作权</w:t>
      </w:r>
      <w:r>
        <w:rPr>
          <w:rFonts w:hint="eastAsia"/>
        </w:rPr>
        <w:t>(</w:t>
      </w:r>
      <w:r>
        <w:rPr>
          <w:rFonts w:hint="eastAsia"/>
        </w:rPr>
        <w:t>根据《宪法》第</w:t>
      </w:r>
      <w:r>
        <w:rPr>
          <w:rFonts w:hint="eastAsia"/>
        </w:rPr>
        <w:t>4</w:t>
      </w:r>
      <w:r>
        <w:rPr>
          <w:rFonts w:hint="eastAsia"/>
        </w:rPr>
        <w:t>条规定</w:t>
      </w:r>
      <w:r>
        <w:rPr>
          <w:rFonts w:hint="eastAsia"/>
        </w:rPr>
        <w:t>)</w:t>
      </w:r>
      <w:r>
        <w:rPr>
          <w:rFonts w:hint="eastAsia"/>
        </w:rPr>
        <w:t>并同时为切实实现这项权利创造有利条件，这首先需要采取行动防止失业。实际上就是要执行积极的劳动政策。考虑到培训是一种积极政策的手段，并在很大程度上多亏了中小学及大学的教育制度改革，意大利已决定继续努力使学校</w:t>
      </w:r>
      <w:r>
        <w:rPr>
          <w:rFonts w:hint="eastAsia"/>
          <w:spacing w:val="-50"/>
        </w:rPr>
        <w:t>―</w:t>
      </w:r>
      <w:r>
        <w:rPr>
          <w:rFonts w:hint="eastAsia"/>
        </w:rPr>
        <w:t>―职业培训与工作更好地融合起来，并努力确立一个服务于集体利益的新的连续培训系统</w:t>
      </w:r>
      <w:r>
        <w:rPr>
          <w:rFonts w:hint="eastAsia"/>
        </w:rPr>
        <w:t>(</w:t>
      </w:r>
      <w:r>
        <w:rPr>
          <w:rFonts w:hint="eastAsia"/>
        </w:rPr>
        <w:t>第</w:t>
      </w:r>
      <w:r>
        <w:rPr>
          <w:rFonts w:hint="eastAsia"/>
        </w:rPr>
        <w:t>196/97</w:t>
      </w:r>
      <w:r>
        <w:rPr>
          <w:rFonts w:hint="eastAsia"/>
        </w:rPr>
        <w:t>号法，即所谓的</w:t>
      </w:r>
      <w:r>
        <w:rPr>
          <w:rFonts w:hint="eastAsia"/>
        </w:rPr>
        <w:t>Treu</w:t>
      </w:r>
      <w:r>
        <w:rPr>
          <w:rFonts w:hint="eastAsia"/>
        </w:rPr>
        <w:t>一揽子措施，规定为培训划拨新资源</w:t>
      </w:r>
      <w:r>
        <w:rPr>
          <w:rFonts w:hint="eastAsia"/>
        </w:rPr>
        <w:t>)</w:t>
      </w:r>
      <w:r>
        <w:rPr>
          <w:rFonts w:hint="eastAsia"/>
        </w:rPr>
        <w:t>。由此看来，所有培训政策似乎有两个共同的重点：保证外语知识；和为普及电脑知识打基础。</w:t>
      </w:r>
    </w:p>
    <w:p w:rsidR="00000000" w:rsidRDefault="00000000">
      <w:pPr>
        <w:rPr>
          <w:rFonts w:hint="eastAsia"/>
        </w:rPr>
      </w:pPr>
      <w:r>
        <w:rPr>
          <w:rFonts w:hint="eastAsia"/>
        </w:rPr>
        <w:tab/>
        <w:t xml:space="preserve">88.  </w:t>
      </w:r>
      <w:r>
        <w:rPr>
          <w:rFonts w:hint="eastAsia"/>
        </w:rPr>
        <w:t>目前已采取了诸多方案和行动，在扩大各机构技术资源的同时推广信息和语言知识。在学校方面，值得提及的有：“语言</w:t>
      </w:r>
      <w:r>
        <w:rPr>
          <w:rFonts w:hint="eastAsia"/>
        </w:rPr>
        <w:t>2002</w:t>
      </w:r>
      <w:r>
        <w:rPr>
          <w:rFonts w:hint="eastAsia"/>
        </w:rPr>
        <w:t>”</w:t>
      </w:r>
      <w:r>
        <w:rPr>
          <w:rFonts w:hint="eastAsia"/>
        </w:rPr>
        <w:t>(</w:t>
      </w:r>
      <w:r>
        <w:rPr>
          <w:rFonts w:hint="eastAsia"/>
        </w:rPr>
        <w:t>旨在加强各级学校的语言教育</w:t>
      </w:r>
      <w:r>
        <w:rPr>
          <w:rFonts w:hint="eastAsia"/>
        </w:rPr>
        <w:t>)</w:t>
      </w:r>
      <w:r>
        <w:rPr>
          <w:rFonts w:hint="eastAsia"/>
        </w:rPr>
        <w:t>；欧盟的“电子欧洲”方案</w:t>
      </w:r>
      <w:r>
        <w:rPr>
          <w:rFonts w:hint="eastAsia"/>
        </w:rPr>
        <w:t>(</w:t>
      </w:r>
      <w:r>
        <w:rPr>
          <w:rFonts w:hint="eastAsia"/>
        </w:rPr>
        <w:t>目的是使学校能进入互联网</w:t>
      </w:r>
      <w:r>
        <w:rPr>
          <w:rFonts w:hint="eastAsia"/>
        </w:rPr>
        <w:t>)</w:t>
      </w:r>
      <w:r>
        <w:rPr>
          <w:rFonts w:hint="eastAsia"/>
        </w:rPr>
        <w:t>；“教学技术发展计划”</w:t>
      </w:r>
      <w:r>
        <w:rPr>
          <w:rFonts w:hint="eastAsia"/>
        </w:rPr>
        <w:t>(</w:t>
      </w:r>
      <w:r>
        <w:rPr>
          <w:rFonts w:hint="eastAsia"/>
        </w:rPr>
        <w:t>着重于加强学校在新技术方面的资源和专门技能</w:t>
      </w:r>
      <w:r>
        <w:rPr>
          <w:rFonts w:hint="eastAsia"/>
        </w:rPr>
        <w:t>)</w:t>
      </w:r>
      <w:r>
        <w:rPr>
          <w:rFonts w:hint="eastAsia"/>
        </w:rPr>
        <w:t>；和“每名学生一台电脑”</w:t>
      </w:r>
      <w:r>
        <w:rPr>
          <w:rFonts w:hint="eastAsia"/>
        </w:rPr>
        <w:t>(</w:t>
      </w:r>
      <w:r>
        <w:rPr>
          <w:rFonts w:hint="eastAsia"/>
        </w:rPr>
        <w:t>以优惠条件为购买个人电脑贷款</w:t>
      </w:r>
      <w:r>
        <w:rPr>
          <w:rFonts w:hint="eastAsia"/>
        </w:rPr>
        <w:t>)</w:t>
      </w:r>
      <w:r>
        <w:rPr>
          <w:rFonts w:hint="eastAsia"/>
        </w:rPr>
        <w:t>。</w:t>
      </w:r>
    </w:p>
    <w:p w:rsidR="00000000" w:rsidRDefault="00000000">
      <w:pPr>
        <w:rPr>
          <w:rFonts w:hint="eastAsia"/>
        </w:rPr>
      </w:pPr>
      <w:r>
        <w:rPr>
          <w:rFonts w:hint="eastAsia"/>
        </w:rPr>
        <w:tab/>
        <w:t xml:space="preserve">89.  </w:t>
      </w:r>
      <w:r>
        <w:rPr>
          <w:rFonts w:hint="eastAsia"/>
        </w:rPr>
        <w:t>在职业培训方面有：由政府机构</w:t>
      </w:r>
      <w:r>
        <w:rPr>
          <w:rFonts w:hint="eastAsia"/>
        </w:rPr>
        <w:t>Italia-Lavoro</w:t>
      </w:r>
      <w:r>
        <w:rPr>
          <w:rFonts w:hint="eastAsia"/>
        </w:rPr>
        <w:t>针对意大利南部</w:t>
      </w:r>
      <w:r>
        <w:rPr>
          <w:rFonts w:hint="eastAsia"/>
        </w:rPr>
        <w:t>60,000</w:t>
      </w:r>
      <w:r>
        <w:rPr>
          <w:rFonts w:hint="eastAsia"/>
        </w:rPr>
        <w:t>名年轻失业者提出的“电脑知识普及计划”；各地区常设中心的活动；由欧洲社会基金共同资助的地区活动；和建立教育信用卡</w:t>
      </w:r>
      <w:r>
        <w:rPr>
          <w:rFonts w:hint="eastAsia"/>
        </w:rPr>
        <w:t>(</w:t>
      </w:r>
      <w:r>
        <w:rPr>
          <w:rFonts w:hint="eastAsia"/>
        </w:rPr>
        <w:t>为购买个人电脑和支付用户课程提供补贴贷款</w:t>
      </w:r>
      <w:r>
        <w:rPr>
          <w:rFonts w:hint="eastAsia"/>
        </w:rPr>
        <w:t>)</w:t>
      </w:r>
      <w:r>
        <w:rPr>
          <w:rFonts w:hint="eastAsia"/>
        </w:rPr>
        <w:t>。</w:t>
      </w:r>
    </w:p>
    <w:p w:rsidR="00000000" w:rsidRDefault="00000000">
      <w:pPr>
        <w:rPr>
          <w:rFonts w:hint="eastAsia"/>
        </w:rPr>
      </w:pPr>
      <w:r>
        <w:rPr>
          <w:rFonts w:hint="eastAsia"/>
        </w:rPr>
        <w:tab/>
        <w:t xml:space="preserve">90.  </w:t>
      </w:r>
      <w:r>
        <w:rPr>
          <w:rFonts w:hint="eastAsia"/>
        </w:rPr>
        <w:t>在大学方面，发现对信息和语言实验室的需求日益增加，这便需要有充足的资金保障并具备适当的结构。</w:t>
      </w:r>
    </w:p>
    <w:p w:rsidR="00000000" w:rsidRDefault="00000000">
      <w:pPr>
        <w:rPr>
          <w:rFonts w:hint="eastAsia"/>
        </w:rPr>
      </w:pPr>
      <w:r>
        <w:rPr>
          <w:rFonts w:hint="eastAsia"/>
        </w:rPr>
        <w:tab/>
        <w:t xml:space="preserve">91.  </w:t>
      </w:r>
      <w:r>
        <w:rPr>
          <w:rFonts w:hint="eastAsia"/>
        </w:rPr>
        <w:t>此外，应特别努力为那些很少有机会获得信息的人设置便利化程序。第</w:t>
      </w:r>
      <w:r>
        <w:rPr>
          <w:rFonts w:hint="eastAsia"/>
        </w:rPr>
        <w:t>53/2000</w:t>
      </w:r>
      <w:r>
        <w:rPr>
          <w:rFonts w:hint="eastAsia"/>
        </w:rPr>
        <w:t>号法中部分处理了这个问题，规定受雇者</w:t>
      </w:r>
      <w:r>
        <w:rPr>
          <w:rFonts w:hint="eastAsia"/>
        </w:rPr>
        <w:t>(</w:t>
      </w:r>
      <w:r>
        <w:rPr>
          <w:rFonts w:hint="eastAsia"/>
        </w:rPr>
        <w:t>或谋职者或尚未参加工作队伍的人</w:t>
      </w:r>
      <w:r>
        <w:rPr>
          <w:rFonts w:hint="eastAsia"/>
        </w:rPr>
        <w:t>)</w:t>
      </w:r>
      <w:r>
        <w:rPr>
          <w:rFonts w:hint="eastAsia"/>
        </w:rPr>
        <w:t>有权接受连续培训课程以便获得新的专门技能并加强他们的专业能力</w:t>
      </w:r>
      <w:r>
        <w:rPr>
          <w:rFonts w:hint="eastAsia"/>
        </w:rPr>
        <w:t>(</w:t>
      </w:r>
      <w:r>
        <w:rPr>
          <w:rFonts w:hint="eastAsia"/>
        </w:rPr>
        <w:t>例如准予</w:t>
      </w:r>
      <w:r>
        <w:rPr>
          <w:rFonts w:hint="eastAsia"/>
        </w:rPr>
        <w:t>11</w:t>
      </w:r>
      <w:r>
        <w:rPr>
          <w:rFonts w:hint="eastAsia"/>
        </w:rPr>
        <w:t>个月的培训假</w:t>
      </w:r>
      <w:r>
        <w:rPr>
          <w:rFonts w:hint="eastAsia"/>
        </w:rPr>
        <w:t>)</w:t>
      </w:r>
      <w:r>
        <w:rPr>
          <w:rFonts w:hint="eastAsia"/>
        </w:rPr>
        <w:t>。此外，</w:t>
      </w:r>
      <w:r>
        <w:rPr>
          <w:rFonts w:hint="eastAsia"/>
        </w:rPr>
        <w:t>2000</w:t>
      </w:r>
      <w:r>
        <w:rPr>
          <w:rFonts w:hint="eastAsia"/>
        </w:rPr>
        <w:t>年</w:t>
      </w:r>
      <w:r>
        <w:rPr>
          <w:rFonts w:hint="eastAsia"/>
        </w:rPr>
        <w:t>12</w:t>
      </w:r>
      <w:r>
        <w:rPr>
          <w:rFonts w:hint="eastAsia"/>
        </w:rPr>
        <w:t>月</w:t>
      </w:r>
      <w:r>
        <w:rPr>
          <w:rFonts w:hint="eastAsia"/>
        </w:rPr>
        <w:t>23</w:t>
      </w:r>
      <w:r>
        <w:rPr>
          <w:rFonts w:hint="eastAsia"/>
        </w:rPr>
        <w:t>日第</w:t>
      </w:r>
      <w:r>
        <w:rPr>
          <w:rFonts w:hint="eastAsia"/>
        </w:rPr>
        <w:t>338</w:t>
      </w:r>
      <w:r>
        <w:rPr>
          <w:rFonts w:hint="eastAsia"/>
        </w:rPr>
        <w:t>号法为工人的连续培训确立了专业间基金，由社会伙伴们管理。增强对结构基金，特别是欧洲社会基金的使用能力，有助于加强公共部门在活跃就业服务方面的干预作用。</w:t>
      </w:r>
    </w:p>
    <w:p w:rsidR="00000000" w:rsidRDefault="00000000">
      <w:pPr>
        <w:spacing w:after="320"/>
        <w:rPr>
          <w:rFonts w:hint="eastAsia"/>
        </w:rPr>
      </w:pPr>
      <w:r>
        <w:rPr>
          <w:rFonts w:hint="eastAsia"/>
        </w:rPr>
        <w:tab/>
        <w:t xml:space="preserve">92.  </w:t>
      </w:r>
      <w:r>
        <w:rPr>
          <w:rFonts w:hint="eastAsia"/>
        </w:rPr>
        <w:t>最后，不应忘记由于鼓励降低费用，使电话服务市场得到自由化，从而促使互联网在家庭中得到更广泛使用和普及。</w:t>
      </w:r>
    </w:p>
    <w:p w:rsidR="00000000" w:rsidRDefault="00000000">
      <w:pPr>
        <w:pStyle w:val="Heading4"/>
        <w:rPr>
          <w:rFonts w:hint="eastAsia"/>
        </w:rPr>
      </w:pPr>
      <w:r>
        <w:rPr>
          <w:rFonts w:hint="eastAsia"/>
        </w:rPr>
        <w:t>非正式工作</w:t>
      </w:r>
    </w:p>
    <w:p w:rsidR="00000000" w:rsidRDefault="00000000">
      <w:pPr>
        <w:rPr>
          <w:rFonts w:hint="eastAsia"/>
          <w:spacing w:val="0"/>
        </w:rPr>
      </w:pPr>
      <w:r>
        <w:rPr>
          <w:rFonts w:hint="eastAsia"/>
        </w:rPr>
        <w:tab/>
        <w:t xml:space="preserve">93.  </w:t>
      </w:r>
      <w:r>
        <w:rPr>
          <w:rFonts w:hint="eastAsia"/>
        </w:rPr>
        <w:t>在考虑如何维护工人的权利时当然必须审查非正式工作这种现象。意大利在这方面已是所有工业化国家中水平最高的之一</w:t>
      </w:r>
      <w:r>
        <w:rPr>
          <w:rFonts w:hint="eastAsia"/>
        </w:rPr>
        <w:t>(</w:t>
      </w:r>
      <w:r>
        <w:rPr>
          <w:rFonts w:hint="eastAsia"/>
        </w:rPr>
        <w:t>估计占国内生产总值的</w:t>
      </w:r>
      <w:r>
        <w:rPr>
          <w:rFonts w:hint="eastAsia"/>
        </w:rPr>
        <w:t>15.4%)</w:t>
      </w:r>
      <w:r>
        <w:rPr>
          <w:rFonts w:hint="eastAsia"/>
        </w:rPr>
        <w:t>。这种现象在工作场所的安全和保护劳力市场中脆弱人群</w:t>
      </w:r>
      <w:r>
        <w:rPr>
          <w:rFonts w:hint="eastAsia"/>
        </w:rPr>
        <w:t>(</w:t>
      </w:r>
      <w:r>
        <w:rPr>
          <w:rFonts w:hint="eastAsia"/>
        </w:rPr>
        <w:t>女性、未成年人、移民、季节工、意大利南部的工人</w:t>
      </w:r>
      <w:r>
        <w:rPr>
          <w:rFonts w:hint="eastAsia"/>
        </w:rPr>
        <w:t>)</w:t>
      </w:r>
      <w:r>
        <w:rPr>
          <w:rFonts w:hint="eastAsia"/>
        </w:rPr>
        <w:t>方面造成显著反响。近年来开展的诸多讨论都强调，仅依据数量方面的数据很难对非正式工作这种现象进行评估，必须且最好还要进行实地</w:t>
      </w:r>
      <w:r>
        <w:rPr>
          <w:rFonts w:hint="eastAsia"/>
          <w:spacing w:val="0"/>
        </w:rPr>
        <w:t>分析。通过这样一种综合办法可对非正式工作有种概括了解，而这引起了更大的担忧。</w:t>
      </w:r>
    </w:p>
    <w:p w:rsidR="00000000" w:rsidRDefault="00000000">
      <w:pPr>
        <w:rPr>
          <w:rFonts w:hint="eastAsia"/>
        </w:rPr>
      </w:pPr>
      <w:r>
        <w:rPr>
          <w:rFonts w:hint="eastAsia"/>
        </w:rPr>
        <w:tab/>
        <w:t xml:space="preserve">94.  </w:t>
      </w:r>
      <w:r>
        <w:rPr>
          <w:rFonts w:hint="eastAsia"/>
        </w:rPr>
        <w:t>意大利和希腊一样是欧洲联盟中非正式工作比率最高的国家。根据</w:t>
      </w:r>
      <w:r>
        <w:rPr>
          <w:rFonts w:hint="eastAsia"/>
        </w:rPr>
        <w:t>1999</w:t>
      </w:r>
      <w:r>
        <w:rPr>
          <w:rFonts w:hint="eastAsia"/>
        </w:rPr>
        <w:t>年国家统计局的数据，非正式工作的数量占总工作数量的</w:t>
      </w:r>
      <w:r>
        <w:rPr>
          <w:rFonts w:hint="eastAsia"/>
        </w:rPr>
        <w:t>15.1%(</w:t>
      </w:r>
      <w:r>
        <w:rPr>
          <w:rFonts w:hint="eastAsia"/>
        </w:rPr>
        <w:t>相当于</w:t>
      </w:r>
      <w:r>
        <w:rPr>
          <w:rFonts w:hint="eastAsia"/>
        </w:rPr>
        <w:t>486,000</w:t>
      </w:r>
      <w:r>
        <w:rPr>
          <w:rFonts w:hint="eastAsia"/>
        </w:rPr>
        <w:t>个劳动单位</w:t>
      </w:r>
      <w:r>
        <w:rPr>
          <w:rFonts w:hint="eastAsia"/>
        </w:rPr>
        <w:t>)</w:t>
      </w:r>
      <w:r>
        <w:rPr>
          <w:rFonts w:hint="eastAsia"/>
        </w:rPr>
        <w:t>，比</w:t>
      </w:r>
      <w:r>
        <w:rPr>
          <w:rFonts w:hint="eastAsia"/>
        </w:rPr>
        <w:t>1992</w:t>
      </w:r>
      <w:r>
        <w:rPr>
          <w:rFonts w:hint="eastAsia"/>
        </w:rPr>
        <w:t>年增加了</w:t>
      </w:r>
      <w:r>
        <w:rPr>
          <w:rFonts w:hint="eastAsia"/>
        </w:rPr>
        <w:t>1.7%</w:t>
      </w:r>
      <w:r>
        <w:rPr>
          <w:rFonts w:hint="eastAsia"/>
        </w:rPr>
        <w:t>。过去两年中进行的一些视察活动进一步证明了非正式工作现象的广度，并可以根据视察活动的次数来衡量所查明的不规范情况的数量，该数值依据地理区域、生产部门和接受视察的公司的规模而变化。据劳动部报告，在接受视察的</w:t>
      </w:r>
      <w:r>
        <w:rPr>
          <w:rFonts w:hint="eastAsia"/>
        </w:rPr>
        <w:t>118,638</w:t>
      </w:r>
      <w:r>
        <w:rPr>
          <w:rFonts w:hint="eastAsia"/>
        </w:rPr>
        <w:t>个企业中</w:t>
      </w:r>
      <w:r>
        <w:rPr>
          <w:rFonts w:hint="eastAsia"/>
        </w:rPr>
        <w:t>51,965</w:t>
      </w:r>
      <w:r>
        <w:rPr>
          <w:rFonts w:hint="eastAsia"/>
        </w:rPr>
        <w:t>个有不规范情况。根据国家社会保障局的统计，逃避支付社会保障费用的数额达</w:t>
      </w:r>
      <w:r>
        <w:rPr>
          <w:rFonts w:hint="eastAsia"/>
        </w:rPr>
        <w:t>1,495</w:t>
      </w:r>
      <w:r>
        <w:rPr>
          <w:rFonts w:hint="eastAsia"/>
        </w:rPr>
        <w:t>万亿里拉，其中</w:t>
      </w:r>
      <w:r>
        <w:rPr>
          <w:rFonts w:hint="eastAsia"/>
        </w:rPr>
        <w:t>1,102</w:t>
      </w:r>
      <w:r>
        <w:rPr>
          <w:rFonts w:hint="eastAsia"/>
        </w:rPr>
        <w:t>万亿里拉</w:t>
      </w:r>
      <w:r>
        <w:rPr>
          <w:rFonts w:hint="eastAsia"/>
        </w:rPr>
        <w:t>(73.72%)</w:t>
      </w:r>
      <w:r>
        <w:rPr>
          <w:rFonts w:hint="eastAsia"/>
        </w:rPr>
        <w:t>可以溯源至严格意义上的非正式工作现象，而国家劳工工伤事故保险机构的工人赔偿部门查明在其进行的视察中</w:t>
      </w:r>
      <w:r>
        <w:rPr>
          <w:rFonts w:hint="eastAsia"/>
        </w:rPr>
        <w:t>62.65%</w:t>
      </w:r>
      <w:r>
        <w:rPr>
          <w:rFonts w:hint="eastAsia"/>
        </w:rPr>
        <w:t>都有非正式工作现象。</w:t>
      </w:r>
    </w:p>
    <w:p w:rsidR="00000000" w:rsidRDefault="00000000">
      <w:pPr>
        <w:rPr>
          <w:rFonts w:hint="eastAsia"/>
        </w:rPr>
      </w:pPr>
      <w:r>
        <w:rPr>
          <w:rFonts w:hint="eastAsia"/>
        </w:rPr>
        <w:tab/>
        <w:t xml:space="preserve">95.  </w:t>
      </w:r>
      <w:r>
        <w:rPr>
          <w:rFonts w:hint="eastAsia"/>
        </w:rPr>
        <w:t>国家劳工工伤事故保险机构对所报事故发生日期和投保方受雇日期进行了比较，得出了更有意义的结论：即受雇头五天中的事故发生比例高</w:t>
      </w:r>
      <w:r>
        <w:rPr>
          <w:rFonts w:hint="eastAsia"/>
        </w:rPr>
        <w:t>(92,474</w:t>
      </w:r>
      <w:r>
        <w:rPr>
          <w:rFonts w:hint="eastAsia"/>
        </w:rPr>
        <w:t>起事故中</w:t>
      </w:r>
      <w:r>
        <w:rPr>
          <w:rFonts w:hint="eastAsia"/>
        </w:rPr>
        <w:t>6,399</w:t>
      </w:r>
      <w:r>
        <w:rPr>
          <w:rFonts w:hint="eastAsia"/>
        </w:rPr>
        <w:t>起发生在这五天内，约占事故总数的</w:t>
      </w:r>
      <w:r>
        <w:rPr>
          <w:rFonts w:hint="eastAsia"/>
        </w:rPr>
        <w:t>7%)</w:t>
      </w:r>
      <w:r>
        <w:rPr>
          <w:rFonts w:hint="eastAsia"/>
        </w:rPr>
        <w:t>，说明工作最初两天中非正式工作的比例明显高，许多雇用行为很可能只在发生事故后才得到申报。而且更有甚者，</w:t>
      </w:r>
      <w:r>
        <w:rPr>
          <w:rFonts w:hint="eastAsia"/>
        </w:rPr>
        <w:t>135</w:t>
      </w:r>
      <w:r>
        <w:rPr>
          <w:rFonts w:hint="eastAsia"/>
        </w:rPr>
        <w:t>起致命事故中</w:t>
      </w:r>
      <w:r>
        <w:rPr>
          <w:rFonts w:hint="eastAsia"/>
        </w:rPr>
        <w:t>42</w:t>
      </w:r>
      <w:r>
        <w:rPr>
          <w:rFonts w:hint="eastAsia"/>
        </w:rPr>
        <w:t>起发生在工作的最初五天内，这便证明了上述假设，即只在万不得已的情况下</w:t>
      </w:r>
      <w:r>
        <w:rPr>
          <w:rFonts w:hint="eastAsia"/>
        </w:rPr>
        <w:t>(</w:t>
      </w:r>
      <w:r>
        <w:rPr>
          <w:rFonts w:hint="eastAsia"/>
        </w:rPr>
        <w:t>如发生了致命事故</w:t>
      </w:r>
      <w:r>
        <w:rPr>
          <w:rFonts w:hint="eastAsia"/>
        </w:rPr>
        <w:t>)</w:t>
      </w:r>
      <w:r>
        <w:rPr>
          <w:rFonts w:hint="eastAsia"/>
        </w:rPr>
        <w:t>才申报雇用行为。</w:t>
      </w:r>
    </w:p>
    <w:p w:rsidR="00000000" w:rsidRDefault="00000000">
      <w:pPr>
        <w:rPr>
          <w:rFonts w:hint="eastAsia"/>
        </w:rPr>
      </w:pPr>
      <w:r>
        <w:rPr>
          <w:rFonts w:hint="eastAsia"/>
        </w:rPr>
        <w:tab/>
        <w:t xml:space="preserve">96.  </w:t>
      </w:r>
      <w:r>
        <w:rPr>
          <w:rFonts w:hint="eastAsia"/>
        </w:rPr>
        <w:t>这种做法有着各种各样的形式，在这方面发现意大利南部普遍存在的是严格意义上的非正式工作现象，而意大利中北部最常见的形式是掩蔽的有薪酬职业，办法是不正当使用自由职业类的合同，进行夜间和超时工作且不记入工资支票。未成年人肯定就是在这种状况中工作的：使这种现象量化是个复杂的工作，需要对各类数据进行交叉分析。在此首先必须考虑正日益突出的一对因素，即辍学和学业无成的数量和工作场所发生的事故数量。</w:t>
      </w:r>
    </w:p>
    <w:p w:rsidR="00000000" w:rsidRDefault="00000000">
      <w:pPr>
        <w:rPr>
          <w:rFonts w:hint="eastAsia"/>
        </w:rPr>
      </w:pPr>
      <w:r>
        <w:rPr>
          <w:rFonts w:hint="eastAsia"/>
        </w:rPr>
        <w:tab/>
        <w:t xml:space="preserve">97.  </w:t>
      </w:r>
      <w:r>
        <w:rPr>
          <w:rFonts w:hint="eastAsia"/>
        </w:rPr>
        <w:t>为了确定哪些条件有利于地下经济活动的扩大，并要遏止这种做法的惊人扩散，自</w:t>
      </w:r>
      <w:r>
        <w:rPr>
          <w:rFonts w:hint="eastAsia"/>
        </w:rPr>
        <w:t>1989</w:t>
      </w:r>
      <w:r>
        <w:rPr>
          <w:rFonts w:hint="eastAsia"/>
        </w:rPr>
        <w:t>年以来采取了一系列重点明确的行动，旨在提供奖励措施鼓励公司弃暗投明，从事合法的经济活动并加强视察和监控活动，同时减轻制裁措施的影响。这便是下述案文遵循的方针：</w:t>
      </w:r>
    </w:p>
    <w:p w:rsidR="00000000" w:rsidRDefault="00000000">
      <w:pPr>
        <w:pStyle w:val="a0"/>
        <w:ind w:left="1530"/>
        <w:rPr>
          <w:rFonts w:hint="eastAsia"/>
        </w:rPr>
      </w:pPr>
      <w:r>
        <w:rPr>
          <w:rFonts w:hint="eastAsia"/>
        </w:rPr>
        <w:t>第</w:t>
      </w:r>
      <w:r>
        <w:rPr>
          <w:rFonts w:hint="eastAsia"/>
        </w:rPr>
        <w:t>338/1989</w:t>
      </w:r>
      <w:r>
        <w:rPr>
          <w:rFonts w:hint="eastAsia"/>
        </w:rPr>
        <w:t>号立法令第</w:t>
      </w:r>
      <w:r>
        <w:rPr>
          <w:rFonts w:hint="eastAsia"/>
        </w:rPr>
        <w:t>1</w:t>
      </w:r>
      <w:r>
        <w:rPr>
          <w:rFonts w:hint="eastAsia"/>
        </w:rPr>
        <w:t>、第</w:t>
      </w:r>
      <w:r>
        <w:rPr>
          <w:rFonts w:hint="eastAsia"/>
        </w:rPr>
        <w:t>6</w:t>
      </w:r>
      <w:r>
        <w:rPr>
          <w:rFonts w:hint="eastAsia"/>
        </w:rPr>
        <w:t>和第</w:t>
      </w:r>
      <w:r>
        <w:rPr>
          <w:rFonts w:hint="eastAsia"/>
        </w:rPr>
        <w:t>7</w:t>
      </w:r>
      <w:r>
        <w:rPr>
          <w:rFonts w:hint="eastAsia"/>
        </w:rPr>
        <w:t>条</w:t>
      </w:r>
      <w:r>
        <w:rPr>
          <w:rFonts w:hint="eastAsia"/>
        </w:rPr>
        <w:t>(</w:t>
      </w:r>
      <w:r>
        <w:rPr>
          <w:rFonts w:hint="eastAsia"/>
        </w:rPr>
        <w:t>有变动，根据第</w:t>
      </w:r>
      <w:r>
        <w:rPr>
          <w:rFonts w:hint="eastAsia"/>
        </w:rPr>
        <w:t>389/1989</w:t>
      </w:r>
      <w:r>
        <w:rPr>
          <w:rFonts w:hint="eastAsia"/>
        </w:rPr>
        <w:t>号法第</w:t>
      </w:r>
      <w:r>
        <w:rPr>
          <w:rFonts w:hint="eastAsia"/>
        </w:rPr>
        <w:t>1</w:t>
      </w:r>
      <w:r>
        <w:rPr>
          <w:rFonts w:hint="eastAsia"/>
        </w:rPr>
        <w:t>款予以修改</w:t>
      </w:r>
      <w:r>
        <w:rPr>
          <w:rFonts w:hint="eastAsia"/>
        </w:rPr>
        <w:t>)</w:t>
      </w:r>
      <w:r>
        <w:rPr>
          <w:rFonts w:hint="eastAsia"/>
        </w:rPr>
        <w:t>；</w:t>
      </w:r>
    </w:p>
    <w:p w:rsidR="00000000" w:rsidRDefault="00000000">
      <w:pPr>
        <w:pStyle w:val="a0"/>
        <w:ind w:left="1530"/>
        <w:rPr>
          <w:rFonts w:hint="eastAsia"/>
        </w:rPr>
      </w:pPr>
      <w:r>
        <w:rPr>
          <w:rFonts w:hint="eastAsia"/>
        </w:rPr>
        <w:t>第</w:t>
      </w:r>
      <w:r>
        <w:rPr>
          <w:rFonts w:hint="eastAsia"/>
        </w:rPr>
        <w:t>129/1990</w:t>
      </w:r>
      <w:r>
        <w:rPr>
          <w:rFonts w:hint="eastAsia"/>
        </w:rPr>
        <w:t>号立法令第</w:t>
      </w:r>
      <w:r>
        <w:rPr>
          <w:rFonts w:hint="eastAsia"/>
        </w:rPr>
        <w:t>2</w:t>
      </w:r>
      <w:r>
        <w:rPr>
          <w:rFonts w:hint="eastAsia"/>
        </w:rPr>
        <w:t>条之二</w:t>
      </w:r>
      <w:r>
        <w:rPr>
          <w:rFonts w:hint="eastAsia"/>
        </w:rPr>
        <w:t>(</w:t>
      </w:r>
      <w:r>
        <w:rPr>
          <w:rFonts w:hint="eastAsia"/>
        </w:rPr>
        <w:t>已执行，并根据第</w:t>
      </w:r>
      <w:r>
        <w:rPr>
          <w:rFonts w:hint="eastAsia"/>
        </w:rPr>
        <w:t>210/1990</w:t>
      </w:r>
      <w:r>
        <w:rPr>
          <w:rFonts w:hint="eastAsia"/>
        </w:rPr>
        <w:t>号法第</w:t>
      </w:r>
      <w:r>
        <w:rPr>
          <w:rFonts w:hint="eastAsia"/>
        </w:rPr>
        <w:t>1</w:t>
      </w:r>
      <w:r>
        <w:rPr>
          <w:rFonts w:hint="eastAsia"/>
        </w:rPr>
        <w:t>条予以修改</w:t>
      </w:r>
      <w:r>
        <w:rPr>
          <w:rFonts w:hint="eastAsia"/>
        </w:rPr>
        <w:t>)</w:t>
      </w:r>
      <w:r>
        <w:rPr>
          <w:rFonts w:hint="eastAsia"/>
        </w:rPr>
        <w:t>；</w:t>
      </w:r>
    </w:p>
    <w:p w:rsidR="00000000" w:rsidRDefault="00000000">
      <w:pPr>
        <w:pStyle w:val="a0"/>
        <w:ind w:left="1530"/>
        <w:rPr>
          <w:rFonts w:hint="eastAsia"/>
        </w:rPr>
      </w:pPr>
      <w:r>
        <w:rPr>
          <w:rFonts w:hint="eastAsia"/>
        </w:rPr>
        <w:t>第</w:t>
      </w:r>
      <w:r>
        <w:rPr>
          <w:rFonts w:hint="eastAsia"/>
        </w:rPr>
        <w:t>608/1996</w:t>
      </w:r>
      <w:r>
        <w:rPr>
          <w:rFonts w:hint="eastAsia"/>
        </w:rPr>
        <w:t>号法第</w:t>
      </w:r>
      <w:r>
        <w:rPr>
          <w:rFonts w:hint="eastAsia"/>
        </w:rPr>
        <w:t>5</w:t>
      </w:r>
      <w:r>
        <w:rPr>
          <w:rFonts w:hint="eastAsia"/>
        </w:rPr>
        <w:t>条；</w:t>
      </w:r>
    </w:p>
    <w:p w:rsidR="00000000" w:rsidRDefault="00000000">
      <w:pPr>
        <w:pStyle w:val="a0"/>
        <w:ind w:left="1530"/>
        <w:rPr>
          <w:rFonts w:hint="eastAsia"/>
        </w:rPr>
      </w:pPr>
      <w:r>
        <w:rPr>
          <w:rFonts w:hint="eastAsia"/>
        </w:rPr>
        <w:t>第</w:t>
      </w:r>
      <w:r>
        <w:rPr>
          <w:rFonts w:hint="eastAsia"/>
        </w:rPr>
        <w:t>196/1997</w:t>
      </w:r>
      <w:r>
        <w:rPr>
          <w:rFonts w:hint="eastAsia"/>
        </w:rPr>
        <w:t>号法第</w:t>
      </w:r>
      <w:r>
        <w:rPr>
          <w:rFonts w:hint="eastAsia"/>
        </w:rPr>
        <w:t>23</w:t>
      </w:r>
      <w:r>
        <w:rPr>
          <w:rFonts w:hint="eastAsia"/>
        </w:rPr>
        <w:t>条；</w:t>
      </w:r>
    </w:p>
    <w:p w:rsidR="00000000" w:rsidRDefault="00000000">
      <w:pPr>
        <w:pStyle w:val="a0"/>
        <w:ind w:left="1530"/>
        <w:rPr>
          <w:rFonts w:hint="eastAsia"/>
        </w:rPr>
      </w:pPr>
      <w:r>
        <w:rPr>
          <w:rFonts w:hint="eastAsia"/>
        </w:rPr>
        <w:t>第</w:t>
      </w:r>
      <w:r>
        <w:rPr>
          <w:rFonts w:hint="eastAsia"/>
        </w:rPr>
        <w:t>448/1998</w:t>
      </w:r>
      <w:r>
        <w:rPr>
          <w:rFonts w:hint="eastAsia"/>
        </w:rPr>
        <w:t>号法第</w:t>
      </w:r>
      <w:r>
        <w:rPr>
          <w:rFonts w:hint="eastAsia"/>
        </w:rPr>
        <w:t>75</w:t>
      </w:r>
      <w:r>
        <w:rPr>
          <w:rFonts w:hint="eastAsia"/>
        </w:rPr>
        <w:t>、第</w:t>
      </w:r>
      <w:r>
        <w:rPr>
          <w:rFonts w:hint="eastAsia"/>
        </w:rPr>
        <w:t>78</w:t>
      </w:r>
      <w:r>
        <w:rPr>
          <w:rFonts w:hint="eastAsia"/>
        </w:rPr>
        <w:t>和第</w:t>
      </w:r>
      <w:r>
        <w:rPr>
          <w:rFonts w:hint="eastAsia"/>
        </w:rPr>
        <w:t>79</w:t>
      </w:r>
      <w:r>
        <w:rPr>
          <w:rFonts w:hint="eastAsia"/>
        </w:rPr>
        <w:t>条</w:t>
      </w:r>
      <w:r>
        <w:rPr>
          <w:rFonts w:hint="eastAsia"/>
        </w:rPr>
        <w:t>(1999</w:t>
      </w:r>
      <w:r>
        <w:rPr>
          <w:rFonts w:hint="eastAsia"/>
        </w:rPr>
        <w:t>年预算法</w:t>
      </w:r>
      <w:r>
        <w:rPr>
          <w:rFonts w:hint="eastAsia"/>
        </w:rPr>
        <w:t>)</w:t>
      </w:r>
      <w:r>
        <w:rPr>
          <w:rFonts w:hint="eastAsia"/>
        </w:rPr>
        <w:t>；</w:t>
      </w:r>
    </w:p>
    <w:p w:rsidR="00000000" w:rsidRDefault="00000000">
      <w:pPr>
        <w:pStyle w:val="a0"/>
        <w:ind w:left="1530"/>
        <w:rPr>
          <w:rFonts w:hint="eastAsia"/>
        </w:rPr>
      </w:pPr>
      <w:r>
        <w:rPr>
          <w:rFonts w:hint="eastAsia"/>
        </w:rPr>
        <w:t>第</w:t>
      </w:r>
      <w:r>
        <w:rPr>
          <w:rFonts w:hint="eastAsia"/>
        </w:rPr>
        <w:t>448/1999</w:t>
      </w:r>
      <w:r>
        <w:rPr>
          <w:rFonts w:hint="eastAsia"/>
        </w:rPr>
        <w:t>号法第</w:t>
      </w:r>
      <w:r>
        <w:rPr>
          <w:rFonts w:hint="eastAsia"/>
        </w:rPr>
        <w:t>63</w:t>
      </w:r>
      <w:r>
        <w:rPr>
          <w:rFonts w:hint="eastAsia"/>
        </w:rPr>
        <w:t>条</w:t>
      </w:r>
      <w:r>
        <w:rPr>
          <w:rFonts w:hint="eastAsia"/>
        </w:rPr>
        <w:t>(2000</w:t>
      </w:r>
      <w:r>
        <w:rPr>
          <w:rFonts w:hint="eastAsia"/>
        </w:rPr>
        <w:t>年预算法</w:t>
      </w:r>
      <w:r>
        <w:rPr>
          <w:rFonts w:hint="eastAsia"/>
        </w:rPr>
        <w:t>)</w:t>
      </w:r>
      <w:r>
        <w:rPr>
          <w:rFonts w:hint="eastAsia"/>
        </w:rPr>
        <w:t>；</w:t>
      </w:r>
    </w:p>
    <w:p w:rsidR="00000000" w:rsidRDefault="00000000">
      <w:pPr>
        <w:pStyle w:val="a0"/>
        <w:ind w:left="1530"/>
        <w:rPr>
          <w:rFonts w:hint="eastAsia"/>
        </w:rPr>
      </w:pPr>
      <w:r>
        <w:rPr>
          <w:rFonts w:hint="eastAsia"/>
        </w:rPr>
        <w:t>第</w:t>
      </w:r>
      <w:r>
        <w:rPr>
          <w:rFonts w:hint="eastAsia"/>
        </w:rPr>
        <w:t>388/2000</w:t>
      </w:r>
      <w:r>
        <w:rPr>
          <w:rFonts w:hint="eastAsia"/>
        </w:rPr>
        <w:t>号法第</w:t>
      </w:r>
      <w:r>
        <w:rPr>
          <w:rFonts w:hint="eastAsia"/>
        </w:rPr>
        <w:t>5</w:t>
      </w:r>
      <w:r>
        <w:rPr>
          <w:rFonts w:hint="eastAsia"/>
        </w:rPr>
        <w:t>、第</w:t>
      </w:r>
      <w:r>
        <w:rPr>
          <w:rFonts w:hint="eastAsia"/>
        </w:rPr>
        <w:t>116</w:t>
      </w:r>
      <w:r>
        <w:rPr>
          <w:rFonts w:hint="eastAsia"/>
        </w:rPr>
        <w:t>和第</w:t>
      </w:r>
      <w:r>
        <w:rPr>
          <w:rFonts w:hint="eastAsia"/>
        </w:rPr>
        <w:t>119</w:t>
      </w:r>
      <w:r>
        <w:rPr>
          <w:rFonts w:hint="eastAsia"/>
        </w:rPr>
        <w:t>条</w:t>
      </w:r>
      <w:r>
        <w:rPr>
          <w:rFonts w:hint="eastAsia"/>
        </w:rPr>
        <w:t>(2001</w:t>
      </w:r>
      <w:r>
        <w:rPr>
          <w:rFonts w:hint="eastAsia"/>
        </w:rPr>
        <w:t>年预算法</w:t>
      </w:r>
      <w:r>
        <w:rPr>
          <w:rFonts w:hint="eastAsia"/>
        </w:rPr>
        <w:t>)</w:t>
      </w:r>
      <w:r>
        <w:rPr>
          <w:rFonts w:hint="eastAsia"/>
        </w:rPr>
        <w:t>；</w:t>
      </w:r>
    </w:p>
    <w:p w:rsidR="00000000" w:rsidRDefault="00000000">
      <w:pPr>
        <w:pStyle w:val="a0"/>
        <w:ind w:left="1530"/>
        <w:rPr>
          <w:rFonts w:hint="eastAsia"/>
        </w:rPr>
      </w:pPr>
      <w:r>
        <w:rPr>
          <w:rFonts w:hint="eastAsia"/>
        </w:rPr>
        <w:t>1996</w:t>
      </w:r>
      <w:r>
        <w:rPr>
          <w:rFonts w:hint="eastAsia"/>
        </w:rPr>
        <w:t>年</w:t>
      </w:r>
      <w:r>
        <w:rPr>
          <w:rFonts w:hint="eastAsia"/>
        </w:rPr>
        <w:t>9</w:t>
      </w:r>
      <w:r>
        <w:rPr>
          <w:rFonts w:hint="eastAsia"/>
        </w:rPr>
        <w:t>月</w:t>
      </w:r>
      <w:r>
        <w:rPr>
          <w:rFonts w:hint="eastAsia"/>
        </w:rPr>
        <w:t>24</w:t>
      </w:r>
      <w:r>
        <w:rPr>
          <w:rFonts w:hint="eastAsia"/>
        </w:rPr>
        <w:t>日的《劳动协定》，题为“让非正式工作走出阴影”的章节；</w:t>
      </w:r>
    </w:p>
    <w:p w:rsidR="00000000" w:rsidRDefault="00000000">
      <w:pPr>
        <w:pStyle w:val="a0"/>
        <w:ind w:left="1530"/>
        <w:rPr>
          <w:rFonts w:hint="eastAsia"/>
        </w:rPr>
      </w:pPr>
      <w:r>
        <w:rPr>
          <w:rFonts w:hint="eastAsia"/>
        </w:rPr>
        <w:t>1999</w:t>
      </w:r>
      <w:r>
        <w:rPr>
          <w:rFonts w:hint="eastAsia"/>
        </w:rPr>
        <w:t>年《社会发展与就业契约》，第三章</w:t>
      </w:r>
      <w:r>
        <w:rPr>
          <w:rFonts w:hint="eastAsia"/>
        </w:rPr>
        <w:t>(</w:t>
      </w:r>
      <w:r>
        <w:rPr>
          <w:rFonts w:hint="eastAsia"/>
        </w:rPr>
        <w:t>发展与就业政策</w:t>
      </w:r>
      <w:r>
        <w:rPr>
          <w:rFonts w:hint="eastAsia"/>
        </w:rPr>
        <w:t>)</w:t>
      </w:r>
      <w:r>
        <w:rPr>
          <w:rFonts w:hint="eastAsia"/>
        </w:rPr>
        <w:t>第</w:t>
      </w:r>
      <w:r>
        <w:rPr>
          <w:rFonts w:hint="eastAsia"/>
        </w:rPr>
        <w:t>7</w:t>
      </w:r>
      <w:r>
        <w:rPr>
          <w:rFonts w:hint="eastAsia"/>
        </w:rPr>
        <w:t>点。</w:t>
      </w:r>
    </w:p>
    <w:p w:rsidR="00000000" w:rsidRDefault="00000000">
      <w:pPr>
        <w:rPr>
          <w:rFonts w:hint="eastAsia"/>
        </w:rPr>
      </w:pPr>
      <w:r>
        <w:rPr>
          <w:rFonts w:hint="eastAsia"/>
        </w:rPr>
        <w:tab/>
        <w:t xml:space="preserve">98.  </w:t>
      </w:r>
      <w:r>
        <w:rPr>
          <w:rFonts w:hint="eastAsia"/>
        </w:rPr>
        <w:t>迄今，这些政策中的关键措施一直是调整合同，尽管与非正式工作这种现象的巨大规模相比，这种合同数量很有限，但它们作为解决这一问题的第一种系统化办法，已经证明是有价值的</w:t>
      </w:r>
      <w:r>
        <w:rPr>
          <w:rFonts w:hint="eastAsia"/>
        </w:rPr>
        <w:t>(</w:t>
      </w:r>
      <w:r>
        <w:rPr>
          <w:rFonts w:hint="eastAsia"/>
        </w:rPr>
        <w:t>这是迄今以来第一次在严厉压制</w:t>
      </w:r>
      <w:r>
        <w:rPr>
          <w:rFonts w:hint="eastAsia"/>
          <w:spacing w:val="-50"/>
        </w:rPr>
        <w:t>―</w:t>
      </w:r>
      <w:r>
        <w:rPr>
          <w:rFonts w:hint="eastAsia"/>
        </w:rPr>
        <w:t>―惩罚性办法中增添了促进和奖励性成分</w:t>
      </w:r>
      <w:r>
        <w:rPr>
          <w:rFonts w:hint="eastAsia"/>
        </w:rPr>
        <w:t>)</w:t>
      </w:r>
      <w:r>
        <w:rPr>
          <w:rFonts w:hint="eastAsia"/>
        </w:rPr>
        <w:t>。此外，还对工作条件和薪金具有积极影响，既承认工人的权利，也承认企业的权利。</w:t>
      </w:r>
    </w:p>
    <w:p w:rsidR="00000000" w:rsidRDefault="00000000">
      <w:pPr>
        <w:rPr>
          <w:rFonts w:hint="eastAsia"/>
        </w:rPr>
      </w:pPr>
      <w:r>
        <w:rPr>
          <w:rFonts w:hint="eastAsia"/>
        </w:rPr>
        <w:tab/>
        <w:t xml:space="preserve">99.  </w:t>
      </w:r>
      <w:r>
        <w:rPr>
          <w:rFonts w:hint="eastAsia"/>
        </w:rPr>
        <w:t>近年来采取的行动，尽管旨在解决经济周期问题，但也有助于突出地方特点的重要性，同时鼓励从技术和组织两方面重新制定视察活动，例如：成立地下经济活动合法化问题委员会和地方委员会，以及采取措施协调不同视察和监控机构的活动</w:t>
      </w:r>
      <w:r>
        <w:rPr>
          <w:rFonts w:hint="eastAsia"/>
        </w:rPr>
        <w:t>(</w:t>
      </w:r>
      <w:r>
        <w:rPr>
          <w:rFonts w:hint="eastAsia"/>
        </w:rPr>
        <w:t>根据</w:t>
      </w:r>
      <w:r>
        <w:rPr>
          <w:rFonts w:hint="eastAsia"/>
        </w:rPr>
        <w:t>2000</w:t>
      </w:r>
      <w:r>
        <w:rPr>
          <w:rFonts w:hint="eastAsia"/>
        </w:rPr>
        <w:t>年预算法第</w:t>
      </w:r>
      <w:r>
        <w:rPr>
          <w:rFonts w:hint="eastAsia"/>
        </w:rPr>
        <w:t>78</w:t>
      </w:r>
      <w:r>
        <w:rPr>
          <w:rFonts w:hint="eastAsia"/>
        </w:rPr>
        <w:t>和第</w:t>
      </w:r>
      <w:r>
        <w:rPr>
          <w:rFonts w:hint="eastAsia"/>
        </w:rPr>
        <w:t>79</w:t>
      </w:r>
      <w:r>
        <w:rPr>
          <w:rFonts w:hint="eastAsia"/>
        </w:rPr>
        <w:t>条</w:t>
      </w:r>
      <w:r>
        <w:rPr>
          <w:rFonts w:hint="eastAsia"/>
        </w:rPr>
        <w:t>)</w:t>
      </w:r>
      <w:r>
        <w:rPr>
          <w:rFonts w:hint="eastAsia"/>
        </w:rPr>
        <w:t>，或为非正式工作合法化及减轻处罚问题设立一名指导</w:t>
      </w:r>
      <w:r>
        <w:rPr>
          <w:rFonts w:hint="eastAsia"/>
        </w:rPr>
        <w:t>(2001</w:t>
      </w:r>
      <w:r>
        <w:rPr>
          <w:rFonts w:hint="eastAsia"/>
        </w:rPr>
        <w:t>年预算法第</w:t>
      </w:r>
      <w:r>
        <w:rPr>
          <w:rFonts w:hint="eastAsia"/>
        </w:rPr>
        <w:t>5</w:t>
      </w:r>
      <w:r>
        <w:rPr>
          <w:rFonts w:hint="eastAsia"/>
        </w:rPr>
        <w:t>、第</w:t>
      </w:r>
      <w:r>
        <w:rPr>
          <w:rFonts w:hint="eastAsia"/>
        </w:rPr>
        <w:t>116</w:t>
      </w:r>
      <w:r>
        <w:rPr>
          <w:rFonts w:hint="eastAsia"/>
        </w:rPr>
        <w:t>和第</w:t>
      </w:r>
      <w:r>
        <w:rPr>
          <w:rFonts w:hint="eastAsia"/>
        </w:rPr>
        <w:t>119</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100.  </w:t>
      </w:r>
      <w:r>
        <w:rPr>
          <w:rFonts w:hint="eastAsia"/>
        </w:rPr>
        <w:t>国家行政部门随后开展了一项深入细致的活动，其中最重要的步骤如下：</w:t>
      </w:r>
    </w:p>
    <w:p w:rsidR="00000000" w:rsidRDefault="00000000">
      <w:pPr>
        <w:pStyle w:val="a0"/>
        <w:ind w:left="1530"/>
        <w:rPr>
          <w:rFonts w:hint="eastAsia"/>
        </w:rPr>
      </w:pPr>
      <w:r>
        <w:rPr>
          <w:rFonts w:hint="eastAsia"/>
        </w:rPr>
        <w:t>根据</w:t>
      </w:r>
      <w:r>
        <w:rPr>
          <w:rFonts w:hint="eastAsia"/>
        </w:rPr>
        <w:t>1999</w:t>
      </w:r>
      <w:r>
        <w:rPr>
          <w:rFonts w:hint="eastAsia"/>
        </w:rPr>
        <w:t>年</w:t>
      </w:r>
      <w:r>
        <w:rPr>
          <w:rFonts w:hint="eastAsia"/>
        </w:rPr>
        <w:t>3</w:t>
      </w:r>
      <w:r>
        <w:rPr>
          <w:rFonts w:hint="eastAsia"/>
        </w:rPr>
        <w:t>月</w:t>
      </w:r>
      <w:r>
        <w:rPr>
          <w:rFonts w:hint="eastAsia"/>
        </w:rPr>
        <w:t>19</w:t>
      </w:r>
      <w:r>
        <w:rPr>
          <w:rFonts w:hint="eastAsia"/>
        </w:rPr>
        <w:t>日的部长令，在劳动部成立一个工作队，负责加强视察工作并辅助省劳动部门的活动，尤其是在出现特别严重或紧急情况时；</w:t>
      </w:r>
    </w:p>
    <w:p w:rsidR="00000000" w:rsidRDefault="00000000">
      <w:pPr>
        <w:pStyle w:val="a0"/>
        <w:ind w:left="1530"/>
        <w:rPr>
          <w:rFonts w:hint="eastAsia"/>
        </w:rPr>
      </w:pPr>
      <w:r>
        <w:rPr>
          <w:rFonts w:hint="eastAsia"/>
        </w:rPr>
        <w:t>根据</w:t>
      </w:r>
      <w:r>
        <w:rPr>
          <w:rFonts w:hint="eastAsia"/>
        </w:rPr>
        <w:t>1999</w:t>
      </w:r>
      <w:r>
        <w:rPr>
          <w:rFonts w:hint="eastAsia"/>
        </w:rPr>
        <w:t>年</w:t>
      </w:r>
      <w:r>
        <w:rPr>
          <w:rFonts w:hint="eastAsia"/>
        </w:rPr>
        <w:t>7</w:t>
      </w:r>
      <w:r>
        <w:rPr>
          <w:rFonts w:hint="eastAsia"/>
        </w:rPr>
        <w:t>月</w:t>
      </w:r>
      <w:r>
        <w:rPr>
          <w:rFonts w:hint="eastAsia"/>
        </w:rPr>
        <w:t>21</w:t>
      </w:r>
      <w:r>
        <w:rPr>
          <w:rFonts w:hint="eastAsia"/>
        </w:rPr>
        <w:t>日第</w:t>
      </w:r>
      <w:r>
        <w:rPr>
          <w:rFonts w:hint="eastAsia"/>
        </w:rPr>
        <w:t>246</w:t>
      </w:r>
      <w:r>
        <w:rPr>
          <w:rFonts w:hint="eastAsia"/>
        </w:rPr>
        <w:t>号国家社会保障局决议，建立一个收入和地下经济监督部门，目的是分析并拟订政策，以使地下经济活动合法化；</w:t>
      </w:r>
    </w:p>
    <w:p w:rsidR="00000000" w:rsidRDefault="00000000">
      <w:pPr>
        <w:pStyle w:val="a0"/>
        <w:ind w:left="1530"/>
        <w:rPr>
          <w:rFonts w:hint="eastAsia"/>
        </w:rPr>
      </w:pPr>
      <w:r>
        <w:rPr>
          <w:rFonts w:hint="eastAsia"/>
        </w:rPr>
        <w:t>2000</w:t>
      </w:r>
      <w:r>
        <w:rPr>
          <w:rFonts w:hint="eastAsia"/>
        </w:rPr>
        <w:t>年</w:t>
      </w:r>
      <w:r>
        <w:rPr>
          <w:rFonts w:hint="eastAsia"/>
        </w:rPr>
        <w:t>4</w:t>
      </w:r>
      <w:r>
        <w:rPr>
          <w:rFonts w:hint="eastAsia"/>
        </w:rPr>
        <w:t>月，国家社会保障局准许与彼此利益相关的地方机构和组织签署协议议定书，以便建立一些地区非正式工作观察处，监督地下经济和逃漏社会保障缴款的情况；</w:t>
      </w:r>
    </w:p>
    <w:p w:rsidR="00000000" w:rsidRDefault="00000000">
      <w:pPr>
        <w:pStyle w:val="a0"/>
        <w:ind w:left="1530"/>
        <w:rPr>
          <w:rFonts w:hint="eastAsia"/>
        </w:rPr>
      </w:pPr>
      <w:r>
        <w:rPr>
          <w:rFonts w:hint="eastAsia"/>
        </w:rPr>
        <w:t>2000</w:t>
      </w:r>
      <w:r>
        <w:rPr>
          <w:rFonts w:hint="eastAsia"/>
        </w:rPr>
        <w:t>年</w:t>
      </w:r>
      <w:r>
        <w:rPr>
          <w:rFonts w:hint="eastAsia"/>
        </w:rPr>
        <w:t>3</w:t>
      </w:r>
      <w:r>
        <w:rPr>
          <w:rFonts w:hint="eastAsia"/>
        </w:rPr>
        <w:t>月，国家劳工工伤事故保险机构采用一种单一的报酬和存款申报单</w:t>
      </w:r>
      <w:r>
        <w:rPr>
          <w:rFonts w:hint="eastAsia"/>
        </w:rPr>
        <w:t>(</w:t>
      </w:r>
      <w:r>
        <w:rPr>
          <w:rFonts w:hint="eastAsia"/>
        </w:rPr>
        <w:t>申报投保方的姓名</w:t>
      </w:r>
      <w:r>
        <w:rPr>
          <w:rFonts w:hint="eastAsia"/>
        </w:rPr>
        <w:t>)</w:t>
      </w:r>
      <w:r>
        <w:rPr>
          <w:rFonts w:hint="eastAsia"/>
        </w:rPr>
        <w:t>，可用于计算所得税和社会保障缴款额，随后为工人和企业建立了一个数据库，并开设混合式窗口，以便能像服务中心那样提供多种服务并履行税务和社会保障程序。</w:t>
      </w:r>
    </w:p>
    <w:p w:rsidR="00000000" w:rsidRDefault="00000000">
      <w:pPr>
        <w:spacing w:after="320"/>
        <w:rPr>
          <w:rFonts w:hint="eastAsia"/>
        </w:rPr>
      </w:pPr>
      <w:r>
        <w:rPr>
          <w:rFonts w:hint="eastAsia"/>
        </w:rPr>
        <w:tab/>
        <w:t>101.  2001</w:t>
      </w:r>
      <w:r>
        <w:rPr>
          <w:rFonts w:hint="eastAsia"/>
        </w:rPr>
        <w:t>年</w:t>
      </w:r>
      <w:r>
        <w:rPr>
          <w:rFonts w:hint="eastAsia"/>
        </w:rPr>
        <w:t>10</w:t>
      </w:r>
      <w:r>
        <w:rPr>
          <w:rFonts w:hint="eastAsia"/>
        </w:rPr>
        <w:t>月</w:t>
      </w:r>
      <w:r>
        <w:rPr>
          <w:rFonts w:hint="eastAsia"/>
        </w:rPr>
        <w:t>18</w:t>
      </w:r>
      <w:r>
        <w:rPr>
          <w:rFonts w:hint="eastAsia"/>
        </w:rPr>
        <w:t>日批准第</w:t>
      </w:r>
      <w:r>
        <w:rPr>
          <w:rFonts w:hint="eastAsia"/>
        </w:rPr>
        <w:t>383</w:t>
      </w:r>
      <w:r>
        <w:rPr>
          <w:rFonts w:hint="eastAsia"/>
        </w:rPr>
        <w:t>号法后，调整合同的使用便告结束。该法为雇主推出新的有利条件，同时使他们可以通过管理社会保障及税务方面，对于小规模企业还包括环境方面的违法行为而获得减免。目前该措施已推出四个月，但据国家社会保障局报告，还没有企业提出要采用它。</w:t>
      </w:r>
    </w:p>
    <w:p w:rsidR="00000000" w:rsidRDefault="00000000">
      <w:pPr>
        <w:pStyle w:val="Heading4"/>
        <w:rPr>
          <w:rFonts w:hint="eastAsia"/>
        </w:rPr>
      </w:pPr>
      <w:r>
        <w:rPr>
          <w:rFonts w:hint="eastAsia"/>
        </w:rPr>
        <w:t>灵</w:t>
      </w:r>
      <w:r>
        <w:rPr>
          <w:rFonts w:hint="eastAsia"/>
        </w:rPr>
        <w:t xml:space="preserve"> </w:t>
      </w:r>
      <w:r>
        <w:rPr>
          <w:rFonts w:hint="eastAsia"/>
        </w:rPr>
        <w:t>活</w:t>
      </w:r>
      <w:r>
        <w:rPr>
          <w:rFonts w:hint="eastAsia"/>
        </w:rPr>
        <w:t xml:space="preserve"> </w:t>
      </w:r>
      <w:r>
        <w:rPr>
          <w:rFonts w:hint="eastAsia"/>
        </w:rPr>
        <w:t>性</w:t>
      </w:r>
    </w:p>
    <w:p w:rsidR="00000000" w:rsidRDefault="00000000">
      <w:pPr>
        <w:rPr>
          <w:rFonts w:hint="eastAsia"/>
        </w:rPr>
      </w:pPr>
      <w:r>
        <w:rPr>
          <w:rFonts w:hint="eastAsia"/>
        </w:rPr>
        <w:tab/>
        <w:t xml:space="preserve">102.  </w:t>
      </w:r>
      <w:r>
        <w:rPr>
          <w:rFonts w:hint="eastAsia"/>
        </w:rPr>
        <w:t>在“工作时间和时间安排的灵活性”方面有了新发展，旨在促进就业率的提高并同时使企业更具竞争力。这些新发展符合欧洲其他国家采取的措施</w:t>
      </w:r>
      <w:r>
        <w:rPr>
          <w:rFonts w:hint="eastAsia"/>
        </w:rPr>
        <w:t>(</w:t>
      </w:r>
      <w:r>
        <w:rPr>
          <w:rFonts w:hint="eastAsia"/>
        </w:rPr>
        <w:t>从《</w:t>
      </w:r>
      <w:r>
        <w:rPr>
          <w:rFonts w:hint="eastAsia"/>
        </w:rPr>
        <w:t>Delors</w:t>
      </w:r>
      <w:r>
        <w:rPr>
          <w:rFonts w:hint="eastAsia"/>
        </w:rPr>
        <w:t>白皮书》到第</w:t>
      </w:r>
      <w:r>
        <w:rPr>
          <w:rFonts w:hint="eastAsia"/>
        </w:rPr>
        <w:t>93/104/EC</w:t>
      </w:r>
      <w:r>
        <w:rPr>
          <w:rFonts w:hint="eastAsia"/>
        </w:rPr>
        <w:t>号指令都规定每周工作时间为</w:t>
      </w:r>
      <w:r>
        <w:rPr>
          <w:rFonts w:hint="eastAsia"/>
        </w:rPr>
        <w:t>40</w:t>
      </w:r>
      <w:r>
        <w:rPr>
          <w:rFonts w:hint="eastAsia"/>
        </w:rPr>
        <w:t>小时</w:t>
      </w:r>
      <w:r>
        <w:rPr>
          <w:rFonts w:hint="eastAsia"/>
        </w:rPr>
        <w:t>)</w:t>
      </w:r>
      <w:r>
        <w:rPr>
          <w:rFonts w:hint="eastAsia"/>
        </w:rPr>
        <w:t>，并旨在充分利用合同方面取得的进展，以便能够在合同双方</w:t>
      </w:r>
      <w:r>
        <w:rPr>
          <w:rFonts w:hint="eastAsia"/>
        </w:rPr>
        <w:t>(</w:t>
      </w:r>
      <w:r>
        <w:rPr>
          <w:rFonts w:hint="eastAsia"/>
        </w:rPr>
        <w:t>无论是个人还是集体</w:t>
      </w:r>
      <w:r>
        <w:rPr>
          <w:rFonts w:hint="eastAsia"/>
        </w:rPr>
        <w:t>)</w:t>
      </w:r>
      <w:r>
        <w:rPr>
          <w:rFonts w:hint="eastAsia"/>
        </w:rPr>
        <w:t>之间均衡地分配好处。但大致上说，整个灵活性问题可能受制于集体和个人在城市中生活节奏的变化，而这种演变促使立法者们出于工人，特别是女性工人的需要而确定了一种机制，使尤其是城市中的工作时间多样化并能适应各种需要</w:t>
      </w:r>
      <w:r>
        <w:rPr>
          <w:rFonts w:hint="eastAsia"/>
        </w:rPr>
        <w:t>(</w:t>
      </w:r>
      <w:r>
        <w:rPr>
          <w:rFonts w:hint="eastAsia"/>
        </w:rPr>
        <w:t>第</w:t>
      </w:r>
      <w:r>
        <w:rPr>
          <w:rFonts w:hint="eastAsia"/>
        </w:rPr>
        <w:t>142/90</w:t>
      </w:r>
      <w:r>
        <w:rPr>
          <w:rFonts w:hint="eastAsia"/>
        </w:rPr>
        <w:t>号法</w:t>
      </w:r>
      <w:r>
        <w:rPr>
          <w:rFonts w:hint="eastAsia"/>
        </w:rPr>
        <w:t>)</w:t>
      </w:r>
      <w:r>
        <w:rPr>
          <w:rFonts w:hint="eastAsia"/>
        </w:rPr>
        <w:t>。</w:t>
      </w:r>
    </w:p>
    <w:p w:rsidR="00000000" w:rsidRDefault="00000000">
      <w:pPr>
        <w:rPr>
          <w:rFonts w:hint="eastAsia"/>
        </w:rPr>
      </w:pPr>
      <w:r>
        <w:rPr>
          <w:rFonts w:hint="eastAsia"/>
        </w:rPr>
        <w:tab/>
        <w:t xml:space="preserve">103.  </w:t>
      </w:r>
      <w:r>
        <w:rPr>
          <w:rFonts w:hint="eastAsia"/>
        </w:rPr>
        <w:t>《宪法》规定</w:t>
      </w:r>
      <w:r>
        <w:rPr>
          <w:rFonts w:hint="eastAsia"/>
        </w:rPr>
        <w:t>(</w:t>
      </w:r>
      <w:r>
        <w:rPr>
          <w:rFonts w:hint="eastAsia"/>
        </w:rPr>
        <w:t>第</w:t>
      </w:r>
      <w:r>
        <w:rPr>
          <w:rFonts w:hint="eastAsia"/>
        </w:rPr>
        <w:t>36</w:t>
      </w:r>
      <w:r>
        <w:rPr>
          <w:rFonts w:hint="eastAsia"/>
        </w:rPr>
        <w:t>条，并在《民法》第</w:t>
      </w:r>
      <w:r>
        <w:rPr>
          <w:rFonts w:hint="eastAsia"/>
        </w:rPr>
        <w:t>2107</w:t>
      </w:r>
      <w:r>
        <w:rPr>
          <w:rFonts w:hint="eastAsia"/>
        </w:rPr>
        <w:t>条中得到重申</w:t>
      </w:r>
      <w:r>
        <w:rPr>
          <w:rFonts w:hint="eastAsia"/>
        </w:rPr>
        <w:t>)</w:t>
      </w:r>
      <w:r>
        <w:rPr>
          <w:rFonts w:hint="eastAsia"/>
        </w:rPr>
        <w:t>必须依法确定最长工时，企业和工人可以根据需要按天或周来谈判工作时间的结构。直到九十年代，立法者们在这方面的目标是限定工作的时数，以便保护工人的健康。自</w:t>
      </w:r>
      <w:r>
        <w:rPr>
          <w:rFonts w:hint="eastAsia"/>
        </w:rPr>
        <w:t>1980</w:t>
      </w:r>
      <w:r>
        <w:rPr>
          <w:rFonts w:hint="eastAsia"/>
        </w:rPr>
        <w:t>年代末期起，考虑到生产系统的需要和就业危机，社会政策和团结意识已把削减工时当作一种手段，来避免出现集体解雇现象、创造较高就业率并避免超时工作</w:t>
      </w:r>
      <w:r>
        <w:rPr>
          <w:rFonts w:hint="eastAsia"/>
        </w:rPr>
        <w:t>(1996</w:t>
      </w:r>
      <w:r>
        <w:rPr>
          <w:rFonts w:hint="eastAsia"/>
        </w:rPr>
        <w:t>年预算法</w:t>
      </w:r>
      <w:r>
        <w:rPr>
          <w:rFonts w:hint="eastAsia"/>
        </w:rPr>
        <w:t>)</w:t>
      </w:r>
      <w:r>
        <w:rPr>
          <w:rFonts w:hint="eastAsia"/>
        </w:rPr>
        <w:t>。尽管目前没有资金来全面执行这项法律，但我们可以从中看到与上述根据</w:t>
      </w:r>
      <w:r>
        <w:rPr>
          <w:rFonts w:hint="eastAsia"/>
        </w:rPr>
        <w:t>Treu</w:t>
      </w:r>
      <w:r>
        <w:rPr>
          <w:rFonts w:hint="eastAsia"/>
        </w:rPr>
        <w:t>一揽子措施</w:t>
      </w:r>
      <w:r>
        <w:rPr>
          <w:rFonts w:hint="eastAsia"/>
        </w:rPr>
        <w:t>(</w:t>
      </w:r>
      <w:r>
        <w:rPr>
          <w:rFonts w:hint="eastAsia"/>
        </w:rPr>
        <w:t>第</w:t>
      </w:r>
      <w:r>
        <w:rPr>
          <w:rFonts w:hint="eastAsia"/>
        </w:rPr>
        <w:t>196/97</w:t>
      </w:r>
      <w:r>
        <w:rPr>
          <w:rFonts w:hint="eastAsia"/>
        </w:rPr>
        <w:t>号法</w:t>
      </w:r>
      <w:r>
        <w:rPr>
          <w:rFonts w:hint="eastAsia"/>
        </w:rPr>
        <w:t>)</w:t>
      </w:r>
      <w:r>
        <w:rPr>
          <w:rFonts w:hint="eastAsia"/>
        </w:rPr>
        <w:t>第</w:t>
      </w:r>
      <w:r>
        <w:rPr>
          <w:rFonts w:hint="eastAsia"/>
        </w:rPr>
        <w:t>13</w:t>
      </w:r>
      <w:r>
        <w:rPr>
          <w:rFonts w:hint="eastAsia"/>
        </w:rPr>
        <w:t>条采取的措施相同的目标。</w:t>
      </w:r>
      <w:r>
        <w:rPr>
          <w:rFonts w:hint="eastAsia"/>
        </w:rPr>
        <w:t>Treu</w:t>
      </w:r>
      <w:r>
        <w:rPr>
          <w:rFonts w:hint="eastAsia"/>
        </w:rPr>
        <w:t>一揽子措施第</w:t>
      </w:r>
      <w:r>
        <w:rPr>
          <w:rFonts w:hint="eastAsia"/>
        </w:rPr>
        <w:t>13</w:t>
      </w:r>
      <w:r>
        <w:rPr>
          <w:rFonts w:hint="eastAsia"/>
        </w:rPr>
        <w:t>条为削减和重新确定工作时间并为非全日制工作提供了一些奖励措施，规定正常工作时间为每周</w:t>
      </w:r>
      <w:r>
        <w:rPr>
          <w:rFonts w:hint="eastAsia"/>
        </w:rPr>
        <w:t>40</w:t>
      </w:r>
      <w:r>
        <w:rPr>
          <w:rFonts w:hint="eastAsia"/>
        </w:rPr>
        <w:t>小时，但国家集体谈判合同规定的工时可低于这个标准。公务员的工作周，根据一项不同的措施，为</w:t>
      </w:r>
      <w:r>
        <w:rPr>
          <w:rFonts w:hint="eastAsia"/>
        </w:rPr>
        <w:t>36</w:t>
      </w:r>
      <w:r>
        <w:rPr>
          <w:rFonts w:hint="eastAsia"/>
        </w:rPr>
        <w:t>小时</w:t>
      </w:r>
      <w:r>
        <w:rPr>
          <w:rFonts w:hint="eastAsia"/>
        </w:rPr>
        <w:t>(</w:t>
      </w:r>
      <w:r>
        <w:rPr>
          <w:rFonts w:hint="eastAsia"/>
        </w:rPr>
        <w:t>第</w:t>
      </w:r>
      <w:r>
        <w:rPr>
          <w:rFonts w:hint="eastAsia"/>
        </w:rPr>
        <w:t>93/83</w:t>
      </w:r>
      <w:r>
        <w:rPr>
          <w:rFonts w:hint="eastAsia"/>
        </w:rPr>
        <w:t>号法</w:t>
      </w:r>
      <w:r>
        <w:rPr>
          <w:rFonts w:hint="eastAsia"/>
        </w:rPr>
        <w:t>)</w:t>
      </w:r>
      <w:r>
        <w:rPr>
          <w:rFonts w:hint="eastAsia"/>
        </w:rPr>
        <w:t>。</w:t>
      </w:r>
    </w:p>
    <w:p w:rsidR="00000000" w:rsidRDefault="00000000">
      <w:pPr>
        <w:spacing w:after="320"/>
        <w:rPr>
          <w:rFonts w:hint="eastAsia"/>
        </w:rPr>
      </w:pPr>
      <w:r>
        <w:rPr>
          <w:rFonts w:hint="eastAsia"/>
        </w:rPr>
        <w:tab/>
        <w:t xml:space="preserve">104.  </w:t>
      </w:r>
      <w:r>
        <w:rPr>
          <w:rFonts w:hint="eastAsia"/>
        </w:rPr>
        <w:t>对于</w:t>
      </w:r>
      <w:r>
        <w:rPr>
          <w:rFonts w:hint="eastAsia"/>
        </w:rPr>
        <w:t>14-18</w:t>
      </w:r>
      <w:r>
        <w:rPr>
          <w:rFonts w:hint="eastAsia"/>
        </w:rPr>
        <w:t>岁者每周的工作量有不同的规定：少年每周</w:t>
      </w:r>
      <w:r>
        <w:rPr>
          <w:rFonts w:hint="eastAsia"/>
        </w:rPr>
        <w:t>35</w:t>
      </w:r>
      <w:r>
        <w:rPr>
          <w:rFonts w:hint="eastAsia"/>
        </w:rPr>
        <w:t>小时，青年每周</w:t>
      </w:r>
      <w:r>
        <w:rPr>
          <w:rFonts w:hint="eastAsia"/>
        </w:rPr>
        <w:t>40</w:t>
      </w:r>
      <w:r>
        <w:rPr>
          <w:rFonts w:hint="eastAsia"/>
        </w:rPr>
        <w:t>小时</w:t>
      </w:r>
      <w:r>
        <w:rPr>
          <w:rFonts w:hint="eastAsia"/>
        </w:rPr>
        <w:t>(</w:t>
      </w:r>
      <w:r>
        <w:rPr>
          <w:rFonts w:hint="eastAsia"/>
        </w:rPr>
        <w:t>第</w:t>
      </w:r>
      <w:r>
        <w:rPr>
          <w:rFonts w:hint="eastAsia"/>
        </w:rPr>
        <w:t>977/67</w:t>
      </w:r>
      <w:r>
        <w:rPr>
          <w:rFonts w:hint="eastAsia"/>
        </w:rPr>
        <w:t>号法</w:t>
      </w:r>
      <w:r>
        <w:rPr>
          <w:rFonts w:hint="eastAsia"/>
        </w:rPr>
        <w:t>)</w:t>
      </w:r>
      <w:r>
        <w:rPr>
          <w:rFonts w:hint="eastAsia"/>
        </w:rPr>
        <w:t>。工作时间安排方面的主要措施是谈判，因为需要是复杂多样的，只有通过灵活的模式才能得到满足。从国家集体谈判合同的角度对每周工作时数进行了一项分析表明，</w:t>
      </w:r>
      <w:r>
        <w:rPr>
          <w:rFonts w:hint="eastAsia"/>
        </w:rPr>
        <w:t>62%</w:t>
      </w:r>
      <w:r>
        <w:rPr>
          <w:rFonts w:hint="eastAsia"/>
        </w:rPr>
        <w:t>的工人每周工作</w:t>
      </w:r>
      <w:r>
        <w:rPr>
          <w:rFonts w:hint="eastAsia"/>
        </w:rPr>
        <w:t>39</w:t>
      </w:r>
      <w:r>
        <w:rPr>
          <w:rFonts w:hint="eastAsia"/>
        </w:rPr>
        <w:t>小时，</w:t>
      </w:r>
      <w:r>
        <w:rPr>
          <w:rFonts w:hint="eastAsia"/>
        </w:rPr>
        <w:t>18%</w:t>
      </w:r>
      <w:r>
        <w:rPr>
          <w:rFonts w:hint="eastAsia"/>
        </w:rPr>
        <w:t>的工人每周工作</w:t>
      </w:r>
      <w:r>
        <w:rPr>
          <w:rFonts w:hint="eastAsia"/>
        </w:rPr>
        <w:t>37-39</w:t>
      </w:r>
      <w:r>
        <w:rPr>
          <w:rFonts w:hint="eastAsia"/>
        </w:rPr>
        <w:t>小时，而</w:t>
      </w:r>
      <w:r>
        <w:rPr>
          <w:rFonts w:hint="eastAsia"/>
        </w:rPr>
        <w:t>20%</w:t>
      </w:r>
      <w:r>
        <w:rPr>
          <w:rFonts w:hint="eastAsia"/>
        </w:rPr>
        <w:t>最多工作</w:t>
      </w:r>
      <w:r>
        <w:rPr>
          <w:rFonts w:hint="eastAsia"/>
        </w:rPr>
        <w:t>36</w:t>
      </w:r>
      <w:r>
        <w:rPr>
          <w:rFonts w:hint="eastAsia"/>
        </w:rPr>
        <w:t>小时。</w:t>
      </w:r>
    </w:p>
    <w:p w:rsidR="00000000" w:rsidRDefault="00000000">
      <w:pPr>
        <w:pStyle w:val="Heading4"/>
        <w:rPr>
          <w:rFonts w:hint="eastAsia"/>
        </w:rPr>
      </w:pPr>
      <w:r>
        <w:rPr>
          <w:rFonts w:hint="eastAsia"/>
        </w:rPr>
        <w:t>工作补助金</w:t>
      </w:r>
    </w:p>
    <w:p w:rsidR="00000000" w:rsidRDefault="00000000">
      <w:pPr>
        <w:rPr>
          <w:rFonts w:hint="eastAsia"/>
        </w:rPr>
      </w:pPr>
      <w:r>
        <w:rPr>
          <w:rFonts w:hint="eastAsia"/>
        </w:rPr>
        <w:tab/>
        <w:t xml:space="preserve">105.  </w:t>
      </w:r>
      <w:r>
        <w:rPr>
          <w:rFonts w:hint="eastAsia"/>
        </w:rPr>
        <w:t>尽管现在已不再拨发“工作补助金”，但仍应予以考虑，因为这种补助金曾拨发给意大利南部的年轻人。在执行依据第</w:t>
      </w:r>
      <w:r>
        <w:rPr>
          <w:rFonts w:hint="eastAsia"/>
        </w:rPr>
        <w:t>196/1997</w:t>
      </w:r>
      <w:r>
        <w:rPr>
          <w:rFonts w:hint="eastAsia"/>
        </w:rPr>
        <w:t>号法第</w:t>
      </w:r>
      <w:r>
        <w:rPr>
          <w:rFonts w:hint="eastAsia"/>
        </w:rPr>
        <w:t>26</w:t>
      </w:r>
      <w:r>
        <w:rPr>
          <w:rFonts w:hint="eastAsia"/>
        </w:rPr>
        <w:t>条</w:t>
      </w:r>
      <w:r>
        <w:rPr>
          <w:rFonts w:hint="eastAsia"/>
        </w:rPr>
        <w:t>(</w:t>
      </w:r>
      <w:r>
        <w:rPr>
          <w:rFonts w:hint="eastAsia"/>
        </w:rPr>
        <w:t>涉及为意大利南部年轻失业者采取的行动</w:t>
      </w:r>
      <w:r>
        <w:rPr>
          <w:rFonts w:hint="eastAsia"/>
        </w:rPr>
        <w:t>)</w:t>
      </w:r>
      <w:r>
        <w:rPr>
          <w:rFonts w:hint="eastAsia"/>
        </w:rPr>
        <w:t>向政府所授权力时，通过了第</w:t>
      </w:r>
      <w:r>
        <w:rPr>
          <w:rFonts w:hint="eastAsia"/>
        </w:rPr>
        <w:t>280/1997</w:t>
      </w:r>
      <w:r>
        <w:rPr>
          <w:rFonts w:hint="eastAsia"/>
        </w:rPr>
        <w:t>号立法令，推出了“公益工作”方案和“工作补助金”政策。立法者们的意图是在意大利南部八个行政区以及根据国家统计局扩大了的定义，在</w:t>
      </w:r>
      <w:r>
        <w:rPr>
          <w:rFonts w:hint="eastAsia"/>
        </w:rPr>
        <w:t>1996</w:t>
      </w:r>
      <w:r>
        <w:rPr>
          <w:rFonts w:hint="eastAsia"/>
        </w:rPr>
        <w:t>年中年平均失业率高于全国平均值的省份</w:t>
      </w:r>
      <w:r>
        <w:rPr>
          <w:rFonts w:hint="eastAsia"/>
        </w:rPr>
        <w:t>(</w:t>
      </w:r>
      <w:r>
        <w:rPr>
          <w:rFonts w:hint="eastAsia"/>
        </w:rPr>
        <w:t>维泰尔博、拉蒂纳、罗马、弗洛辛诺内、马萨</w:t>
      </w:r>
      <w:r>
        <w:rPr>
          <w:rFonts w:hint="eastAsia"/>
          <w:spacing w:val="-50"/>
        </w:rPr>
        <w:t>―</w:t>
      </w:r>
      <w:r>
        <w:rPr>
          <w:rFonts w:hint="eastAsia"/>
        </w:rPr>
        <w:t>―卡拉拉</w:t>
      </w:r>
      <w:r>
        <w:rPr>
          <w:rFonts w:hint="eastAsia"/>
        </w:rPr>
        <w:t>)</w:t>
      </w:r>
      <w:r>
        <w:rPr>
          <w:rFonts w:hint="eastAsia"/>
        </w:rPr>
        <w:t>中使至少</w:t>
      </w:r>
      <w:r>
        <w:rPr>
          <w:rFonts w:hint="eastAsia"/>
        </w:rPr>
        <w:t>100,000</w:t>
      </w:r>
      <w:r>
        <w:rPr>
          <w:rFonts w:hint="eastAsia"/>
        </w:rPr>
        <w:t>名年轻失业者能重新就业。</w:t>
      </w:r>
    </w:p>
    <w:p w:rsidR="00000000" w:rsidRDefault="00000000">
      <w:pPr>
        <w:rPr>
          <w:rFonts w:hint="eastAsia"/>
        </w:rPr>
      </w:pPr>
      <w:r>
        <w:rPr>
          <w:rFonts w:hint="eastAsia"/>
        </w:rPr>
        <w:tab/>
        <w:t xml:space="preserve">106.  </w:t>
      </w:r>
      <w:r>
        <w:rPr>
          <w:rFonts w:hint="eastAsia"/>
        </w:rPr>
        <w:t>根据该法令，在失业名单第一类中登记</w:t>
      </w:r>
      <w:r>
        <w:rPr>
          <w:rFonts w:hint="eastAsia"/>
        </w:rPr>
        <w:t>30</w:t>
      </w:r>
      <w:r>
        <w:rPr>
          <w:rFonts w:hint="eastAsia"/>
        </w:rPr>
        <w:t>个月以上的</w:t>
      </w:r>
      <w:r>
        <w:rPr>
          <w:rFonts w:hint="eastAsia"/>
        </w:rPr>
        <w:t>21-32</w:t>
      </w:r>
      <w:r>
        <w:rPr>
          <w:rFonts w:hint="eastAsia"/>
        </w:rPr>
        <w:t>岁的年轻人均可参加该方案，这项特别行动计划是专门为他们设计的。在补助金方面，法令规定参加方案的年轻人应直接由公司一个个挑选，且时限必须在获知有资格被列入候选名单后</w:t>
      </w:r>
      <w:r>
        <w:rPr>
          <w:rFonts w:hint="eastAsia"/>
        </w:rPr>
        <w:t>30</w:t>
      </w:r>
      <w:r>
        <w:rPr>
          <w:rFonts w:hint="eastAsia"/>
        </w:rPr>
        <w:t>日内。根据该方案安排的工作不构成一种直接的雇用关系，期限不得超过</w:t>
      </w:r>
      <w:r>
        <w:rPr>
          <w:rFonts w:hint="eastAsia"/>
        </w:rPr>
        <w:t>12</w:t>
      </w:r>
      <w:r>
        <w:rPr>
          <w:rFonts w:hint="eastAsia"/>
        </w:rPr>
        <w:t>个月。享有补助金的人每月领取</w:t>
      </w:r>
      <w:r>
        <w:rPr>
          <w:rFonts w:hint="eastAsia"/>
        </w:rPr>
        <w:t>800,000</w:t>
      </w:r>
      <w:r>
        <w:rPr>
          <w:rFonts w:hint="eastAsia"/>
        </w:rPr>
        <w:t>里拉。雇员人数少于两名或超过一百名的公司不得参加这项方案，因为它只面向根据</w:t>
      </w:r>
      <w:r>
        <w:rPr>
          <w:rFonts w:hint="eastAsia"/>
        </w:rPr>
        <w:t>1991</w:t>
      </w:r>
      <w:r>
        <w:rPr>
          <w:rFonts w:hint="eastAsia"/>
        </w:rPr>
        <w:t>年国家统计局分类标准确定的某些活动部门中的公司。</w:t>
      </w:r>
    </w:p>
    <w:p w:rsidR="00000000" w:rsidRDefault="00000000">
      <w:pPr>
        <w:spacing w:after="320"/>
        <w:rPr>
          <w:rFonts w:hint="eastAsia"/>
        </w:rPr>
      </w:pPr>
      <w:r>
        <w:rPr>
          <w:rFonts w:hint="eastAsia"/>
        </w:rPr>
        <w:tab/>
        <w:t xml:space="preserve">107.  </w:t>
      </w:r>
      <w:r>
        <w:rPr>
          <w:rFonts w:hint="eastAsia"/>
        </w:rPr>
        <w:t>为了鼓励公司更长久地雇用方案参与者，规定无论是在补助金拨发期间还是在拨发完毕后，凡能为年轻人提供就业机会的公司，都应有权享受减免缴款额的特殊措施</w:t>
      </w:r>
      <w:r>
        <w:rPr>
          <w:rFonts w:hint="eastAsia"/>
        </w:rPr>
        <w:t>(</w:t>
      </w:r>
      <w:r>
        <w:rPr>
          <w:rFonts w:hint="eastAsia"/>
        </w:rPr>
        <w:t>与那些雇用长期失业者的雇主一样</w:t>
      </w:r>
      <w:r>
        <w:rPr>
          <w:rFonts w:hint="eastAsia"/>
        </w:rPr>
        <w:t>(</w:t>
      </w:r>
      <w:r>
        <w:rPr>
          <w:rFonts w:hint="eastAsia"/>
        </w:rPr>
        <w:t>第</w:t>
      </w:r>
      <w:r>
        <w:rPr>
          <w:rFonts w:hint="eastAsia"/>
        </w:rPr>
        <w:t>407/1990</w:t>
      </w:r>
      <w:r>
        <w:rPr>
          <w:rFonts w:hint="eastAsia"/>
        </w:rPr>
        <w:t>号法第</w:t>
      </w:r>
      <w:r>
        <w:rPr>
          <w:rFonts w:hint="eastAsia"/>
        </w:rPr>
        <w:t>8</w:t>
      </w:r>
      <w:r>
        <w:rPr>
          <w:rFonts w:hint="eastAsia"/>
        </w:rPr>
        <w:t>条第</w:t>
      </w:r>
      <w:r>
        <w:rPr>
          <w:rFonts w:hint="eastAsia"/>
        </w:rPr>
        <w:t>9</w:t>
      </w:r>
      <w:r>
        <w:rPr>
          <w:rFonts w:hint="eastAsia"/>
        </w:rPr>
        <w:t>款</w:t>
      </w:r>
      <w:r>
        <w:rPr>
          <w:rFonts w:hint="eastAsia"/>
        </w:rPr>
        <w:t>))</w:t>
      </w:r>
      <w:r>
        <w:rPr>
          <w:rFonts w:hint="eastAsia"/>
        </w:rPr>
        <w:t>。</w:t>
      </w:r>
    </w:p>
    <w:p w:rsidR="00000000" w:rsidRDefault="00000000">
      <w:pPr>
        <w:pStyle w:val="Heading4"/>
        <w:rPr>
          <w:rFonts w:hint="eastAsia"/>
        </w:rPr>
      </w:pPr>
      <w:r>
        <w:rPr>
          <w:rFonts w:hint="eastAsia"/>
        </w:rPr>
        <w:t>为从意大利南部向中北部的流动提供补助</w:t>
      </w:r>
    </w:p>
    <w:p w:rsidR="00000000" w:rsidRDefault="00000000">
      <w:pPr>
        <w:rPr>
          <w:rFonts w:hint="eastAsia"/>
        </w:rPr>
      </w:pPr>
      <w:r>
        <w:rPr>
          <w:rFonts w:hint="eastAsia"/>
        </w:rPr>
        <w:tab/>
        <w:t xml:space="preserve">108.  </w:t>
      </w:r>
      <w:r>
        <w:rPr>
          <w:rFonts w:hint="eastAsia"/>
        </w:rPr>
        <w:t>面向至少具有初中文凭的年轻人的培训和就业指导方案旨在让他们能以工作</w:t>
      </w:r>
      <w:r>
        <w:rPr>
          <w:rFonts w:hint="eastAsia"/>
          <w:spacing w:val="-50"/>
        </w:rPr>
        <w:t>―</w:t>
      </w:r>
      <w:r>
        <w:rPr>
          <w:rFonts w:hint="eastAsia"/>
        </w:rPr>
        <w:t>―学习相间的方式获得直接工作经验，从而便利他们的就业选择。在这方面，</w:t>
      </w:r>
      <w:r>
        <w:rPr>
          <w:rFonts w:hint="eastAsia"/>
        </w:rPr>
        <w:t>2001</w:t>
      </w:r>
      <w:r>
        <w:rPr>
          <w:rFonts w:hint="eastAsia"/>
        </w:rPr>
        <w:t>年</w:t>
      </w:r>
      <w:r>
        <w:rPr>
          <w:rFonts w:hint="eastAsia"/>
        </w:rPr>
        <w:t>1</w:t>
      </w:r>
      <w:r>
        <w:rPr>
          <w:rFonts w:hint="eastAsia"/>
        </w:rPr>
        <w:t>月</w:t>
      </w:r>
      <w:r>
        <w:rPr>
          <w:rFonts w:hint="eastAsia"/>
        </w:rPr>
        <w:t>22</w:t>
      </w:r>
      <w:r>
        <w:rPr>
          <w:rFonts w:hint="eastAsia"/>
        </w:rPr>
        <w:t>日部长令的目标，是为愿意到意大利中北部培训的南部青年提供资金援助。这项部长令规定要偿还公共和私营部门雇主为从南部到中北部参加培训项目的年轻人所支付的费用，以及为他们提供工业事故保险的费用。</w:t>
      </w:r>
    </w:p>
    <w:p w:rsidR="00000000" w:rsidRDefault="00000000">
      <w:pPr>
        <w:rPr>
          <w:rFonts w:hint="eastAsia"/>
        </w:rPr>
      </w:pPr>
      <w:r>
        <w:rPr>
          <w:rFonts w:hint="eastAsia"/>
        </w:rPr>
        <w:tab/>
        <w:t xml:space="preserve">109.  </w:t>
      </w:r>
      <w:r>
        <w:rPr>
          <w:rFonts w:hint="eastAsia"/>
        </w:rPr>
        <w:t>关于偿还程序，执行</w:t>
      </w:r>
      <w:r>
        <w:rPr>
          <w:rFonts w:hint="eastAsia"/>
        </w:rPr>
        <w:t>Treu</w:t>
      </w:r>
      <w:r>
        <w:rPr>
          <w:rFonts w:hint="eastAsia"/>
        </w:rPr>
        <w:t>一揽子措施</w:t>
      </w:r>
      <w:r>
        <w:rPr>
          <w:rFonts w:hint="eastAsia"/>
        </w:rPr>
        <w:t>(</w:t>
      </w:r>
      <w:r>
        <w:rPr>
          <w:rFonts w:hint="eastAsia"/>
        </w:rPr>
        <w:t>第</w:t>
      </w:r>
      <w:r>
        <w:rPr>
          <w:rFonts w:hint="eastAsia"/>
        </w:rPr>
        <w:t>196/1997</w:t>
      </w:r>
      <w:r>
        <w:rPr>
          <w:rFonts w:hint="eastAsia"/>
        </w:rPr>
        <w:t>号法</w:t>
      </w:r>
      <w:r>
        <w:rPr>
          <w:rFonts w:hint="eastAsia"/>
        </w:rPr>
        <w:t>)</w:t>
      </w:r>
      <w:r>
        <w:rPr>
          <w:rFonts w:hint="eastAsia"/>
        </w:rPr>
        <w:t>的第</w:t>
      </w:r>
      <w:r>
        <w:rPr>
          <w:rFonts w:hint="eastAsia"/>
        </w:rPr>
        <w:t>142/1998</w:t>
      </w:r>
      <w:r>
        <w:rPr>
          <w:rFonts w:hint="eastAsia"/>
        </w:rPr>
        <w:t>号部长令首先重视为那些作为“地区所拟订项目框架一部分”的培训提供经费。</w:t>
      </w:r>
      <w:r>
        <w:rPr>
          <w:rFonts w:hint="eastAsia"/>
        </w:rPr>
        <w:t>2001</w:t>
      </w:r>
      <w:r>
        <w:rPr>
          <w:rFonts w:hint="eastAsia"/>
        </w:rPr>
        <w:t>年部长令明确规定这些项目应为偿还确定一些安排，鼓励年轻人从南部向中北部流动，为此在</w:t>
      </w:r>
      <w:r>
        <w:rPr>
          <w:rFonts w:hint="eastAsia"/>
        </w:rPr>
        <w:t>1998</w:t>
      </w:r>
      <w:r>
        <w:rPr>
          <w:rFonts w:hint="eastAsia"/>
        </w:rPr>
        <w:t>年和</w:t>
      </w:r>
      <w:r>
        <w:rPr>
          <w:rFonts w:hint="eastAsia"/>
        </w:rPr>
        <w:t>2000</w:t>
      </w:r>
      <w:r>
        <w:rPr>
          <w:rFonts w:hint="eastAsia"/>
        </w:rPr>
        <w:t>年为这项方案所划拨的资金中留出了</w:t>
      </w:r>
      <w:r>
        <w:rPr>
          <w:rFonts w:hint="eastAsia"/>
        </w:rPr>
        <w:t>85%</w:t>
      </w:r>
      <w:r>
        <w:rPr>
          <w:rFonts w:hint="eastAsia"/>
        </w:rPr>
        <w:t>。当这些资金根据地区失业率和居民人口数已在年轻人原籍地区的地方当局之间分配殆尽后，接纳年轻人的地区应积极同意参与这些培训项目，以确保最大限度的获得所提供的经费。意大利中北部地区从中央政府获得经费的条件是必须与南部某地区签署至少两项协议。</w:t>
      </w:r>
    </w:p>
    <w:p w:rsidR="00000000" w:rsidRDefault="00000000">
      <w:pPr>
        <w:spacing w:after="320"/>
        <w:rPr>
          <w:rFonts w:hint="eastAsia"/>
        </w:rPr>
      </w:pPr>
      <w:r>
        <w:rPr>
          <w:rFonts w:hint="eastAsia"/>
        </w:rPr>
        <w:tab/>
        <w:t xml:space="preserve">110.  </w:t>
      </w:r>
      <w:r>
        <w:rPr>
          <w:rFonts w:hint="eastAsia"/>
        </w:rPr>
        <w:t>此外规定了其他一些鼓励利用这种资助的奖励措施：如促请意大利南部各地方当局尽快使用这些经费，否则这些经费就可能被重新分配给其他南部地区。如果中北部地方当局未能利用这种资助，那么有关资金将被归还原始的集合基金。</w:t>
      </w:r>
    </w:p>
    <w:p w:rsidR="00000000" w:rsidRDefault="00000000">
      <w:pPr>
        <w:pStyle w:val="Heading4"/>
        <w:rPr>
          <w:rFonts w:hint="eastAsia"/>
        </w:rPr>
      </w:pPr>
      <w:r>
        <w:rPr>
          <w:rFonts w:hint="eastAsia"/>
        </w:rPr>
        <w:t>商定的规划</w:t>
      </w:r>
    </w:p>
    <w:p w:rsidR="00000000" w:rsidRDefault="00000000">
      <w:pPr>
        <w:rPr>
          <w:rFonts w:hint="eastAsia"/>
        </w:rPr>
      </w:pPr>
      <w:r>
        <w:rPr>
          <w:rFonts w:hint="eastAsia"/>
        </w:rPr>
        <w:tab/>
        <w:t xml:space="preserve">111.  </w:t>
      </w:r>
      <w:r>
        <w:rPr>
          <w:rFonts w:hint="eastAsia"/>
        </w:rPr>
        <w:t>在采取行动促进贫困地区的社会经济发展方面，商定的规划具有特殊作用，这不仅仅体现在所需资金额方面，而且还尤其体现在所着重强调的目标上，即要减少地理方面的不利因素，而不单单只为之提供补偿。此外，这种特殊作用还体现在在地方一级开展对话，使公私部门经营者、地方当局以及各种社会经济角色之间能够就规划和项目设计问题进行讨论。这些行动分四步落实：</w:t>
      </w:r>
      <w:r>
        <w:rPr>
          <w:rFonts w:hint="eastAsia"/>
        </w:rPr>
        <w:t xml:space="preserve">(1) </w:t>
      </w:r>
      <w:r>
        <w:rPr>
          <w:rFonts w:hint="eastAsia"/>
        </w:rPr>
        <w:t>由经济规划部际委员会向每项规划划拨经费；</w:t>
      </w:r>
      <w:r>
        <w:rPr>
          <w:rFonts w:hint="eastAsia"/>
        </w:rPr>
        <w:t xml:space="preserve">(2) </w:t>
      </w:r>
      <w:r>
        <w:rPr>
          <w:rFonts w:hint="eastAsia"/>
        </w:rPr>
        <w:t>根据政府有关部委的评估选择具体行动；</w:t>
      </w:r>
      <w:r>
        <w:rPr>
          <w:rFonts w:hint="eastAsia"/>
        </w:rPr>
        <w:t xml:space="preserve">(3) </w:t>
      </w:r>
      <w:r>
        <w:rPr>
          <w:rFonts w:hint="eastAsia"/>
        </w:rPr>
        <w:t>发放资金；</w:t>
      </w:r>
      <w:r>
        <w:rPr>
          <w:rFonts w:hint="eastAsia"/>
        </w:rPr>
        <w:t xml:space="preserve">(4) </w:t>
      </w:r>
      <w:r>
        <w:rPr>
          <w:rFonts w:hint="eastAsia"/>
        </w:rPr>
        <w:t>由地方的私人或公私混合式经营者使用这些经费。</w:t>
      </w:r>
    </w:p>
    <w:p w:rsidR="00000000" w:rsidRDefault="00000000">
      <w:pPr>
        <w:rPr>
          <w:rFonts w:hint="eastAsia"/>
        </w:rPr>
      </w:pPr>
      <w:r>
        <w:rPr>
          <w:rFonts w:hint="eastAsia"/>
        </w:rPr>
        <w:tab/>
        <w:t xml:space="preserve">112.  </w:t>
      </w:r>
      <w:r>
        <w:rPr>
          <w:rFonts w:hint="eastAsia"/>
        </w:rPr>
        <w:t>新的制度方案将在短期内出台。在这方面已经开始将行政权下放，承认地区规划的作用。第</w:t>
      </w:r>
      <w:r>
        <w:rPr>
          <w:rFonts w:hint="eastAsia"/>
        </w:rPr>
        <w:t>112/1998</w:t>
      </w:r>
      <w:r>
        <w:rPr>
          <w:rFonts w:hint="eastAsia"/>
        </w:rPr>
        <w:t>号立法令要求各地区负责“安排执行商定规划的工作”。最令我们关注的是地区合同问题</w:t>
      </w:r>
      <w:r>
        <w:rPr>
          <w:rFonts w:hint="eastAsia"/>
        </w:rPr>
        <w:t>(</w:t>
      </w:r>
      <w:r>
        <w:rPr>
          <w:rFonts w:hint="eastAsia"/>
        </w:rPr>
        <w:t>见下文</w:t>
      </w:r>
      <w:r>
        <w:rPr>
          <w:rFonts w:hint="eastAsia"/>
        </w:rPr>
        <w:t>)</w:t>
      </w:r>
      <w:r>
        <w:rPr>
          <w:rFonts w:hint="eastAsia"/>
        </w:rPr>
        <w:t>。由社会伙伴们达成的协议中有些很有创新性，在合同安排方面十分灵活，特别是对年轻人而言，因为这类合同能够跳出这方面现行的立法框架。</w:t>
      </w:r>
    </w:p>
    <w:p w:rsidR="00000000" w:rsidRDefault="00000000">
      <w:pPr>
        <w:rPr>
          <w:rFonts w:hint="eastAsia"/>
        </w:rPr>
      </w:pPr>
      <w:r>
        <w:rPr>
          <w:rFonts w:hint="eastAsia"/>
        </w:rPr>
        <w:tab/>
        <w:t xml:space="preserve">113.  </w:t>
      </w:r>
      <w:r>
        <w:rPr>
          <w:rFonts w:hint="eastAsia"/>
        </w:rPr>
        <w:t>简而言之，第一批协议包括如下几点：</w:t>
      </w:r>
    </w:p>
    <w:p w:rsidR="00000000" w:rsidRDefault="00000000">
      <w:pPr>
        <w:pStyle w:val="a0"/>
        <w:ind w:left="1530"/>
        <w:rPr>
          <w:rFonts w:hint="eastAsia"/>
        </w:rPr>
      </w:pPr>
      <w:r>
        <w:rPr>
          <w:rFonts w:hint="eastAsia"/>
        </w:rPr>
        <w:t>培训和工作合同，期限</w:t>
      </w:r>
      <w:r>
        <w:rPr>
          <w:rFonts w:hint="eastAsia"/>
        </w:rPr>
        <w:t>36</w:t>
      </w:r>
      <w:r>
        <w:rPr>
          <w:rFonts w:hint="eastAsia"/>
        </w:rPr>
        <w:t>个月，参加者的级别比从事相同工作的长期雇员低两级，而且该级别在有关合同有效期内和在转为长期雇用合同后</w:t>
      </w:r>
      <w:r>
        <w:rPr>
          <w:rFonts w:hint="eastAsia"/>
        </w:rPr>
        <w:t>12</w:t>
      </w:r>
      <w:r>
        <w:rPr>
          <w:rFonts w:hint="eastAsia"/>
        </w:rPr>
        <w:t>个月内不变；</w:t>
      </w:r>
    </w:p>
    <w:p w:rsidR="00000000" w:rsidRDefault="00000000">
      <w:pPr>
        <w:pStyle w:val="a0"/>
        <w:spacing w:after="320"/>
        <w:ind w:left="1530"/>
        <w:rPr>
          <w:rFonts w:hint="eastAsia"/>
        </w:rPr>
      </w:pPr>
      <w:r>
        <w:rPr>
          <w:rFonts w:hint="eastAsia"/>
        </w:rPr>
        <w:t>学徒合同，期限四年</w:t>
      </w:r>
      <w:r>
        <w:rPr>
          <w:rFonts w:hint="eastAsia"/>
        </w:rPr>
        <w:t>(</w:t>
      </w:r>
      <w:r>
        <w:rPr>
          <w:rFonts w:hint="eastAsia"/>
        </w:rPr>
        <w:t>这是第</w:t>
      </w:r>
      <w:r>
        <w:rPr>
          <w:rFonts w:hint="eastAsia"/>
        </w:rPr>
        <w:t>196/1997</w:t>
      </w:r>
      <w:r>
        <w:rPr>
          <w:rFonts w:hint="eastAsia"/>
        </w:rPr>
        <w:t>号法规定的最长期限</w:t>
      </w:r>
      <w:r>
        <w:rPr>
          <w:rFonts w:hint="eastAsia"/>
        </w:rPr>
        <w:t>)</w:t>
      </w:r>
      <w:r>
        <w:rPr>
          <w:rFonts w:hint="eastAsia"/>
        </w:rPr>
        <w:t>，起始报酬比正常标准最多低</w:t>
      </w:r>
      <w:r>
        <w:rPr>
          <w:rFonts w:hint="eastAsia"/>
        </w:rPr>
        <w:t>60%</w:t>
      </w:r>
      <w:r>
        <w:rPr>
          <w:rFonts w:hint="eastAsia"/>
        </w:rPr>
        <w:t>；此外还对培训和专业接轨计划作了规定。</w:t>
      </w:r>
    </w:p>
    <w:p w:rsidR="00000000" w:rsidRDefault="00000000">
      <w:pPr>
        <w:pStyle w:val="Heading3"/>
        <w:rPr>
          <w:rFonts w:hint="eastAsia"/>
        </w:rPr>
      </w:pPr>
      <w:r>
        <w:rPr>
          <w:rFonts w:hint="eastAsia"/>
          <w:u w:val="none"/>
        </w:rPr>
        <w:t xml:space="preserve">C.  </w:t>
      </w:r>
      <w:r>
        <w:rPr>
          <w:rFonts w:hint="eastAsia"/>
        </w:rPr>
        <w:t>第</w:t>
      </w:r>
      <w:r>
        <w:rPr>
          <w:rFonts w:hint="eastAsia"/>
        </w:rPr>
        <w:t xml:space="preserve"> 7 </w:t>
      </w:r>
      <w:r>
        <w:rPr>
          <w:rFonts w:hint="eastAsia"/>
        </w:rPr>
        <w:t>条</w:t>
      </w:r>
    </w:p>
    <w:p w:rsidR="00000000" w:rsidRDefault="00000000">
      <w:pPr>
        <w:pStyle w:val="Heading3"/>
        <w:rPr>
          <w:rFonts w:hint="eastAsia"/>
        </w:rPr>
      </w:pPr>
      <w:r>
        <w:rPr>
          <w:rFonts w:hint="eastAsia"/>
        </w:rPr>
        <w:t>享有公正和适宜工作条件的权利</w:t>
      </w:r>
    </w:p>
    <w:p w:rsidR="00000000" w:rsidRDefault="00000000">
      <w:pPr>
        <w:pStyle w:val="Heading4"/>
        <w:rPr>
          <w:rFonts w:hint="eastAsia"/>
        </w:rPr>
      </w:pPr>
      <w:r>
        <w:rPr>
          <w:rFonts w:hint="eastAsia"/>
        </w:rPr>
        <w:t>工作场所的安全</w:t>
      </w:r>
    </w:p>
    <w:p w:rsidR="00000000" w:rsidRDefault="00000000">
      <w:pPr>
        <w:rPr>
          <w:rFonts w:hint="eastAsia"/>
        </w:rPr>
      </w:pPr>
      <w:r>
        <w:rPr>
          <w:rFonts w:hint="eastAsia"/>
        </w:rPr>
        <w:tab/>
        <w:t xml:space="preserve">114.  </w:t>
      </w:r>
      <w:r>
        <w:rPr>
          <w:rFonts w:hint="eastAsia"/>
        </w:rPr>
        <w:t>第</w:t>
      </w:r>
      <w:r>
        <w:rPr>
          <w:rFonts w:hint="eastAsia"/>
        </w:rPr>
        <w:t>626/94</w:t>
      </w:r>
      <w:r>
        <w:rPr>
          <w:rFonts w:hint="eastAsia"/>
        </w:rPr>
        <w:t>号立法令</w:t>
      </w:r>
      <w:r>
        <w:rPr>
          <w:rFonts w:hint="eastAsia"/>
        </w:rPr>
        <w:t>(</w:t>
      </w:r>
      <w:r>
        <w:rPr>
          <w:rFonts w:hint="eastAsia"/>
        </w:rPr>
        <w:t>用以执行欧经共体关于改善工作场所工人的安全与健康的指令</w:t>
      </w:r>
      <w:r>
        <w:rPr>
          <w:rFonts w:hint="eastAsia"/>
        </w:rPr>
        <w:t>)</w:t>
      </w:r>
      <w:r>
        <w:rPr>
          <w:rFonts w:hint="eastAsia"/>
        </w:rPr>
        <w:t>，以及随后采取的措施和添加的补充条款，强迫各企业全面积极地处理如何维护工人健康与安全的问题，并确立了一种明确的共同职责</w:t>
      </w:r>
      <w:r>
        <w:rPr>
          <w:rFonts w:hint="eastAsia"/>
        </w:rPr>
        <w:t>(RSPP)</w:t>
      </w:r>
      <w:r>
        <w:rPr>
          <w:rFonts w:hint="eastAsia"/>
        </w:rPr>
        <w:t>，旨在支持雇主管理和规划企业内的预防性活动。第</w:t>
      </w:r>
      <w:r>
        <w:rPr>
          <w:rFonts w:hint="eastAsia"/>
        </w:rPr>
        <w:t>626</w:t>
      </w:r>
      <w:r>
        <w:rPr>
          <w:rFonts w:hint="eastAsia"/>
        </w:rPr>
        <w:t>号立法令载有一些准则，要求由社会伙伴们负责拟订具体程序来颁布法令中规定的有关工人安全代表参与某些活动的权利，这些活动包括：风险分析与评估、制定信息</w:t>
      </w:r>
      <w:r>
        <w:rPr>
          <w:rFonts w:hint="eastAsia"/>
        </w:rPr>
        <w:t>/</w:t>
      </w:r>
      <w:r>
        <w:rPr>
          <w:rFonts w:hint="eastAsia"/>
        </w:rPr>
        <w:t>培训方案和确定预防措施。尽管有这样一种富有创新性的管理和组织框架，但工伤事故仍然造成巨大的生命代价和大量永久性残疾状况。</w:t>
      </w:r>
    </w:p>
    <w:p w:rsidR="00000000" w:rsidRDefault="00000000">
      <w:pPr>
        <w:rPr>
          <w:rFonts w:hint="eastAsia"/>
        </w:rPr>
      </w:pPr>
      <w:r>
        <w:rPr>
          <w:rFonts w:hint="eastAsia"/>
        </w:rPr>
        <w:tab/>
        <w:t>115.  2000</w:t>
      </w:r>
      <w:r>
        <w:rPr>
          <w:rFonts w:hint="eastAsia"/>
        </w:rPr>
        <w:t>年期间，工作场所发生的事故逾百万</w:t>
      </w:r>
      <w:r>
        <w:rPr>
          <w:rFonts w:hint="eastAsia"/>
        </w:rPr>
        <w:t>(</w:t>
      </w:r>
      <w:r>
        <w:rPr>
          <w:rFonts w:hint="eastAsia"/>
        </w:rPr>
        <w:t>根据</w:t>
      </w:r>
      <w:r>
        <w:rPr>
          <w:rFonts w:hint="eastAsia"/>
        </w:rPr>
        <w:t>2001</w:t>
      </w:r>
      <w:r>
        <w:rPr>
          <w:rFonts w:hint="eastAsia"/>
        </w:rPr>
        <w:t>年普查报告</w:t>
      </w:r>
      <w:r>
        <w:rPr>
          <w:rFonts w:hint="eastAsia"/>
        </w:rPr>
        <w:t>)</w:t>
      </w:r>
      <w:r>
        <w:rPr>
          <w:rFonts w:hint="eastAsia"/>
        </w:rPr>
        <w:t>，比前一年增加了</w:t>
      </w:r>
      <w:r>
        <w:rPr>
          <w:rFonts w:hint="eastAsia"/>
        </w:rPr>
        <w:t>0.6%</w:t>
      </w:r>
      <w:r>
        <w:rPr>
          <w:rFonts w:hint="eastAsia"/>
        </w:rPr>
        <w:t>。与前几年不同的情况还有，患职业疾病的比例升高了</w:t>
      </w:r>
      <w:r>
        <w:rPr>
          <w:rFonts w:hint="eastAsia"/>
        </w:rPr>
        <w:t>(</w:t>
      </w:r>
      <w:r>
        <w:rPr>
          <w:rFonts w:hint="eastAsia"/>
        </w:rPr>
        <w:t>增加了</w:t>
      </w:r>
      <w:r>
        <w:rPr>
          <w:rFonts w:hint="eastAsia"/>
        </w:rPr>
        <w:t>4.3%)</w:t>
      </w:r>
      <w:r>
        <w:rPr>
          <w:rFonts w:hint="eastAsia"/>
        </w:rPr>
        <w:t>。这在很大程度上可以说明现在针对新类劳动者，特别是风险最大的劳动者</w:t>
      </w:r>
      <w:r>
        <w:rPr>
          <w:rFonts w:hint="eastAsia"/>
        </w:rPr>
        <w:t>(</w:t>
      </w:r>
      <w:r>
        <w:rPr>
          <w:rFonts w:hint="eastAsia"/>
        </w:rPr>
        <w:t>准雇用劳动者、非欧盟国家的劳动者、家庭主妇和学生</w:t>
      </w:r>
      <w:r>
        <w:rPr>
          <w:rFonts w:hint="eastAsia"/>
        </w:rPr>
        <w:t>)</w:t>
      </w:r>
      <w:r>
        <w:rPr>
          <w:rFonts w:hint="eastAsia"/>
        </w:rPr>
        <w:t>的强制性保险范围扩大了。鉴于上述情况，现有数据</w:t>
      </w:r>
      <w:r>
        <w:rPr>
          <w:rFonts w:hint="eastAsia"/>
        </w:rPr>
        <w:t>(</w:t>
      </w:r>
      <w:r>
        <w:rPr>
          <w:rFonts w:hint="eastAsia"/>
        </w:rPr>
        <w:t>来自国家劳工工伤事故保险机构、国家社会保障局、国家统计局</w:t>
      </w:r>
      <w:r>
        <w:rPr>
          <w:rFonts w:hint="eastAsia"/>
        </w:rPr>
        <w:t>)</w:t>
      </w:r>
      <w:r>
        <w:rPr>
          <w:rFonts w:hint="eastAsia"/>
        </w:rPr>
        <w:t>表现出一种明显的长期下降趋势</w:t>
      </w:r>
      <w:r>
        <w:rPr>
          <w:rFonts w:hint="eastAsia"/>
        </w:rPr>
        <w:t>(</w:t>
      </w:r>
      <w:r>
        <w:rPr>
          <w:rFonts w:hint="eastAsia"/>
        </w:rPr>
        <w:t>绝对说增加了，但相对说下降了</w:t>
      </w:r>
      <w:r>
        <w:rPr>
          <w:rFonts w:hint="eastAsia"/>
        </w:rPr>
        <w:t>)</w:t>
      </w:r>
      <w:r>
        <w:rPr>
          <w:rFonts w:hint="eastAsia"/>
        </w:rPr>
        <w:t>，特别是在农业方面。换言之，要对情况进行一种更彻底的评估，必须考虑构成一个国家生产系统特征的其他要素。事实上，一项更仔细的分析表明事故风险明显在逐步减小，这是因为曾努力对工作场所进行现代化和更新、改善工作条件并就工人在工作场所的健康与安全问题进行培训和提高认识。</w:t>
      </w:r>
    </w:p>
    <w:p w:rsidR="00000000" w:rsidRDefault="00000000">
      <w:pPr>
        <w:rPr>
          <w:rFonts w:hint="eastAsia"/>
          <w:spacing w:val="0"/>
        </w:rPr>
      </w:pPr>
      <w:r>
        <w:rPr>
          <w:rFonts w:hint="eastAsia"/>
        </w:rPr>
        <w:tab/>
        <w:t>116.  2000</w:t>
      </w:r>
      <w:r>
        <w:rPr>
          <w:rFonts w:hint="eastAsia"/>
        </w:rPr>
        <w:t>年中由国家劳工工伤事故保险机构的工人赔偿部门提供赔偿的事故中</w:t>
      </w:r>
      <w:r>
        <w:rPr>
          <w:rFonts w:hint="eastAsia"/>
        </w:rPr>
        <w:t>97%</w:t>
      </w:r>
      <w:r>
        <w:rPr>
          <w:rFonts w:hint="eastAsia"/>
        </w:rPr>
        <w:t>涉及暂时残疾情况，更严重的情况</w:t>
      </w:r>
      <w:r>
        <w:rPr>
          <w:rFonts w:hint="eastAsia"/>
        </w:rPr>
        <w:t>(</w:t>
      </w:r>
      <w:r>
        <w:rPr>
          <w:rFonts w:hint="eastAsia"/>
        </w:rPr>
        <w:t>包括致死的情况在内</w:t>
      </w:r>
      <w:r>
        <w:rPr>
          <w:rFonts w:hint="eastAsia"/>
        </w:rPr>
        <w:t>)</w:t>
      </w:r>
      <w:r>
        <w:rPr>
          <w:rFonts w:hint="eastAsia"/>
        </w:rPr>
        <w:t>总共占</w:t>
      </w:r>
      <w:r>
        <w:rPr>
          <w:rFonts w:hint="eastAsia"/>
        </w:rPr>
        <w:t>2.5%</w:t>
      </w:r>
      <w:r>
        <w:rPr>
          <w:rFonts w:hint="eastAsia"/>
        </w:rPr>
        <w:t>。此外，</w:t>
      </w:r>
      <w:r>
        <w:rPr>
          <w:rFonts w:hint="eastAsia"/>
        </w:rPr>
        <w:t>1999</w:t>
      </w:r>
      <w:r>
        <w:rPr>
          <w:rFonts w:hint="eastAsia"/>
        </w:rPr>
        <w:t>年至</w:t>
      </w:r>
      <w:r>
        <w:rPr>
          <w:rFonts w:hint="eastAsia"/>
        </w:rPr>
        <w:t>2000</w:t>
      </w:r>
      <w:r>
        <w:rPr>
          <w:rFonts w:hint="eastAsia"/>
        </w:rPr>
        <w:t>年中，造成永久性残疾的伤害事故减少了几乎</w:t>
      </w:r>
      <w:r>
        <w:rPr>
          <w:rFonts w:hint="eastAsia"/>
        </w:rPr>
        <w:t>60%</w:t>
      </w:r>
      <w:r>
        <w:rPr>
          <w:rFonts w:hint="eastAsia"/>
        </w:rPr>
        <w:t>，而致命事故下降的比率超过</w:t>
      </w:r>
      <w:r>
        <w:rPr>
          <w:rFonts w:hint="eastAsia"/>
        </w:rPr>
        <w:t>28%</w:t>
      </w:r>
      <w:r>
        <w:rPr>
          <w:rFonts w:hint="eastAsia"/>
        </w:rPr>
        <w:t>。但要想为执行正确的政策而审查情况却很难，这在部分上仍是由于没有坚决努力组织监督工作</w:t>
      </w:r>
      <w:r>
        <w:rPr>
          <w:rFonts w:hint="eastAsia"/>
        </w:rPr>
        <w:t>(</w:t>
      </w:r>
      <w:r>
        <w:rPr>
          <w:rFonts w:hint="eastAsia"/>
        </w:rPr>
        <w:t>卫生部特别方案中关于第一个地区间监督和监控</w:t>
      </w:r>
      <w:r>
        <w:rPr>
          <w:rFonts w:hint="eastAsia"/>
          <w:spacing w:val="0"/>
        </w:rPr>
        <w:t>项目的数据是</w:t>
      </w:r>
      <w:r>
        <w:rPr>
          <w:rFonts w:hint="eastAsia"/>
          <w:spacing w:val="0"/>
        </w:rPr>
        <w:t>2001</w:t>
      </w:r>
      <w:r>
        <w:rPr>
          <w:rFonts w:hint="eastAsia"/>
          <w:spacing w:val="0"/>
        </w:rPr>
        <w:t>年的</w:t>
      </w:r>
      <w:r>
        <w:rPr>
          <w:rFonts w:hint="eastAsia"/>
          <w:spacing w:val="0"/>
        </w:rPr>
        <w:t>)</w:t>
      </w:r>
      <w:r>
        <w:rPr>
          <w:rFonts w:hint="eastAsia"/>
          <w:spacing w:val="0"/>
        </w:rPr>
        <w:t>以便能够考虑意大利生产系统各个部门中发生的深刻变化。</w:t>
      </w:r>
    </w:p>
    <w:p w:rsidR="00000000" w:rsidRDefault="00000000">
      <w:pPr>
        <w:rPr>
          <w:rFonts w:hint="eastAsia"/>
        </w:rPr>
      </w:pPr>
      <w:r>
        <w:rPr>
          <w:rFonts w:hint="eastAsia"/>
        </w:rPr>
        <w:tab/>
        <w:t xml:space="preserve">117.  </w:t>
      </w:r>
      <w:r>
        <w:rPr>
          <w:rFonts w:hint="eastAsia"/>
        </w:rPr>
        <w:t>在这方面，我们首先谈谈工业部门中公司的规模。其中小型和微型公司数量增加了，特别是在高技术部门，这给组织模式带来一系列后果，表现出一种明显趋势，就是将一部分生产业务委派给第三方</w:t>
      </w:r>
      <w:r>
        <w:rPr>
          <w:rFonts w:hint="eastAsia"/>
        </w:rPr>
        <w:t>(</w:t>
      </w:r>
      <w:r>
        <w:rPr>
          <w:rFonts w:hint="eastAsia"/>
        </w:rPr>
        <w:t>网络系统、工业分支部门</w:t>
      </w:r>
      <w:r>
        <w:rPr>
          <w:rFonts w:hint="eastAsia"/>
        </w:rPr>
        <w:t>)</w:t>
      </w:r>
      <w:r>
        <w:rPr>
          <w:rFonts w:hint="eastAsia"/>
        </w:rPr>
        <w:t>。重点已不再是大型公共部门的企业和私营公司，因为现在全国各地已形成一个完善的中小型生产部门网络，其特点是灵活、富有创造力，甚至在国际上具有竞争力。此外，还有一个原因就是培训和安全水平下降了</w:t>
      </w:r>
      <w:r>
        <w:rPr>
          <w:rFonts w:hint="eastAsia"/>
        </w:rPr>
        <w:t>(</w:t>
      </w:r>
      <w:r>
        <w:rPr>
          <w:rFonts w:hint="eastAsia"/>
        </w:rPr>
        <w:t>对利润的追求胜过了对工作和生命价值的珍重</w:t>
      </w:r>
      <w:r>
        <w:rPr>
          <w:rFonts w:hint="eastAsia"/>
        </w:rPr>
        <w:t>)</w:t>
      </w:r>
      <w:r>
        <w:rPr>
          <w:rFonts w:hint="eastAsia"/>
        </w:rPr>
        <w:t>。</w:t>
      </w:r>
    </w:p>
    <w:p w:rsidR="00000000" w:rsidRDefault="00000000">
      <w:pPr>
        <w:spacing w:after="320"/>
        <w:rPr>
          <w:rFonts w:hint="eastAsia"/>
        </w:rPr>
      </w:pPr>
      <w:r>
        <w:rPr>
          <w:rFonts w:hint="eastAsia"/>
        </w:rPr>
        <w:tab/>
        <w:t xml:space="preserve">118.  </w:t>
      </w:r>
      <w:r>
        <w:rPr>
          <w:rFonts w:hint="eastAsia"/>
        </w:rPr>
        <w:t>防止工伤事故曾是且仍然是意大利历届政府优先重视的问题之一，它们曾经制定了一些预防措施</w:t>
      </w:r>
      <w:r>
        <w:rPr>
          <w:rFonts w:hint="eastAsia"/>
        </w:rPr>
        <w:t>(</w:t>
      </w:r>
      <w:r>
        <w:rPr>
          <w:rFonts w:hint="eastAsia"/>
        </w:rPr>
        <w:t>例如“宪章</w:t>
      </w:r>
      <w:r>
        <w:rPr>
          <w:rFonts w:hint="eastAsia"/>
        </w:rPr>
        <w:t>2000</w:t>
      </w:r>
      <w:r>
        <w:rPr>
          <w:rFonts w:hint="eastAsia"/>
        </w:rPr>
        <w:t>：防止工伤事故行动计划”项目</w:t>
      </w:r>
      <w:r>
        <w:rPr>
          <w:rFonts w:hint="eastAsia"/>
        </w:rPr>
        <w:t>)</w:t>
      </w:r>
      <w:r>
        <w:rPr>
          <w:rFonts w:hint="eastAsia"/>
        </w:rPr>
        <w:t>并采取行动打击不合法的行为</w:t>
      </w:r>
      <w:r>
        <w:rPr>
          <w:rFonts w:hint="eastAsia"/>
        </w:rPr>
        <w:t>(</w:t>
      </w:r>
      <w:r>
        <w:rPr>
          <w:rFonts w:hint="eastAsia"/>
        </w:rPr>
        <w:t>成立了一支由劳动检查员和</w:t>
      </w:r>
      <w:r>
        <w:rPr>
          <w:rFonts w:hint="eastAsia"/>
        </w:rPr>
        <w:t>Carabinieri</w:t>
      </w:r>
      <w:r>
        <w:rPr>
          <w:rFonts w:hint="eastAsia"/>
        </w:rPr>
        <w:t>警察</w:t>
      </w:r>
      <w:r>
        <w:rPr>
          <w:rFonts w:hint="eastAsia"/>
        </w:rPr>
        <w:t>(</w:t>
      </w:r>
      <w:r>
        <w:rPr>
          <w:rFonts w:hint="eastAsia"/>
        </w:rPr>
        <w:t>负责宗教和民族事务</w:t>
      </w:r>
      <w:r>
        <w:rPr>
          <w:rFonts w:hint="eastAsia"/>
        </w:rPr>
        <w:t>)</w:t>
      </w:r>
      <w:r>
        <w:rPr>
          <w:rFonts w:hint="eastAsia"/>
        </w:rPr>
        <w:t>组成的工作队</w:t>
      </w:r>
      <w:r>
        <w:rPr>
          <w:rFonts w:hint="eastAsia"/>
        </w:rPr>
        <w:t>)</w:t>
      </w:r>
      <w:r>
        <w:rPr>
          <w:rFonts w:hint="eastAsia"/>
        </w:rPr>
        <w:t>。同时，在采取类似的努力时一定要包括旨在使非正式工作和调整合同规范化的措施。</w:t>
      </w:r>
    </w:p>
    <w:p w:rsidR="00000000" w:rsidRDefault="00000000">
      <w:pPr>
        <w:pStyle w:val="Heading4"/>
        <w:rPr>
          <w:rFonts w:hint="eastAsia"/>
        </w:rPr>
      </w:pPr>
      <w:r>
        <w:rPr>
          <w:rFonts w:hint="eastAsia"/>
        </w:rPr>
        <w:t>罢</w:t>
      </w:r>
      <w:r>
        <w:rPr>
          <w:rFonts w:hint="eastAsia"/>
        </w:rPr>
        <w:t xml:space="preserve"> </w:t>
      </w:r>
      <w:r>
        <w:rPr>
          <w:rFonts w:hint="eastAsia"/>
        </w:rPr>
        <w:t>工</w:t>
      </w:r>
      <w:r>
        <w:rPr>
          <w:rFonts w:hint="eastAsia"/>
        </w:rPr>
        <w:t xml:space="preserve"> </w:t>
      </w:r>
      <w:r>
        <w:rPr>
          <w:rFonts w:hint="eastAsia"/>
        </w:rPr>
        <w:t>权</w:t>
      </w:r>
    </w:p>
    <w:p w:rsidR="00000000" w:rsidRDefault="00000000">
      <w:pPr>
        <w:rPr>
          <w:rFonts w:hint="eastAsia"/>
        </w:rPr>
      </w:pPr>
      <w:r>
        <w:rPr>
          <w:rFonts w:hint="eastAsia"/>
        </w:rPr>
        <w:tab/>
        <w:t xml:space="preserve">119.  </w:t>
      </w:r>
      <w:r>
        <w:rPr>
          <w:rFonts w:hint="eastAsia"/>
        </w:rPr>
        <w:t>基本公共服务部门罢工法执行情况监察委员会在介绍其</w:t>
      </w:r>
      <w:r>
        <w:rPr>
          <w:rFonts w:hint="eastAsia"/>
        </w:rPr>
        <w:t>2000</w:t>
      </w:r>
      <w:r>
        <w:rPr>
          <w:rFonts w:hint="eastAsia"/>
        </w:rPr>
        <w:t>年年度报告时指出，罢工权尽管是《宪法》</w:t>
      </w:r>
      <w:r>
        <w:rPr>
          <w:rFonts w:hint="eastAsia"/>
        </w:rPr>
        <w:t>(</w:t>
      </w:r>
      <w:r>
        <w:rPr>
          <w:rFonts w:hint="eastAsia"/>
        </w:rPr>
        <w:t>第</w:t>
      </w:r>
      <w:r>
        <w:rPr>
          <w:rFonts w:hint="eastAsia"/>
        </w:rPr>
        <w:t>40</w:t>
      </w:r>
      <w:r>
        <w:rPr>
          <w:rFonts w:hint="eastAsia"/>
        </w:rPr>
        <w:t>条</w:t>
      </w:r>
      <w:r>
        <w:rPr>
          <w:rFonts w:hint="eastAsia"/>
        </w:rPr>
        <w:t>)</w:t>
      </w:r>
      <w:r>
        <w:rPr>
          <w:rFonts w:hint="eastAsia"/>
        </w:rPr>
        <w:t>规定的一项基本权利，但法律</w:t>
      </w:r>
      <w:r>
        <w:rPr>
          <w:rFonts w:hint="eastAsia"/>
        </w:rPr>
        <w:t>,</w:t>
      </w:r>
      <w:r>
        <w:rPr>
          <w:rFonts w:hint="eastAsia"/>
        </w:rPr>
        <w:t>主要是第</w:t>
      </w:r>
      <w:r>
        <w:rPr>
          <w:rFonts w:hint="eastAsia"/>
        </w:rPr>
        <w:t>146/1990</w:t>
      </w:r>
      <w:r>
        <w:rPr>
          <w:rFonts w:hint="eastAsia"/>
        </w:rPr>
        <w:t>号法对此只作了部分规定，这项法律中载有关于基本公共服务部门行使罢工权的规定，后来该法由第</w:t>
      </w:r>
      <w:r>
        <w:rPr>
          <w:rFonts w:hint="eastAsia"/>
        </w:rPr>
        <w:t>83/2000</w:t>
      </w:r>
      <w:r>
        <w:rPr>
          <w:rFonts w:hint="eastAsia"/>
        </w:rPr>
        <w:t>号法予以修正。基本公共服务旨在保障《宪法》规定的个人权利与自由，如生命权、健康和安全权、行动自由、享受社会援助和保险的权利、教育权和通信自由等。</w:t>
      </w:r>
    </w:p>
    <w:p w:rsidR="00000000" w:rsidRDefault="00000000">
      <w:pPr>
        <w:rPr>
          <w:rFonts w:hint="eastAsia"/>
        </w:rPr>
      </w:pPr>
      <w:r>
        <w:rPr>
          <w:rFonts w:hint="eastAsia"/>
        </w:rPr>
        <w:tab/>
        <w:t xml:space="preserve">120.  </w:t>
      </w:r>
      <w:r>
        <w:rPr>
          <w:rFonts w:hint="eastAsia"/>
        </w:rPr>
        <w:t>就这些服务部门而言，虽然不禁止罢工行动，但法律规定了一项条件，即要确保这项特权不与受《宪法》保护的其他权利相冲突。为此，法律制定并要求遵守一些明确的规则，如至少应提前多久予以通知；必须事先确定罢工持续的时间；必须保证必不可少</w:t>
      </w:r>
      <w:r>
        <w:rPr>
          <w:rFonts w:hint="eastAsia"/>
        </w:rPr>
        <w:t>(</w:t>
      </w:r>
      <w:r>
        <w:rPr>
          <w:rFonts w:hint="eastAsia"/>
        </w:rPr>
        <w:t>最低限度</w:t>
      </w:r>
      <w:r>
        <w:rPr>
          <w:rFonts w:hint="eastAsia"/>
        </w:rPr>
        <w:t>)</w:t>
      </w:r>
      <w:r>
        <w:rPr>
          <w:rFonts w:hint="eastAsia"/>
        </w:rPr>
        <w:t>的服务；必须说明罢工的理由和实施方式；在采取罢工行动前必须努力“冷静头脑”和进行和解；以及两次罢工之间至少要间隔多长时间等。</w:t>
      </w:r>
    </w:p>
    <w:p w:rsidR="00000000" w:rsidRDefault="00000000">
      <w:pPr>
        <w:rPr>
          <w:rFonts w:hint="eastAsia"/>
        </w:rPr>
      </w:pPr>
      <w:r>
        <w:rPr>
          <w:rFonts w:hint="eastAsia"/>
        </w:rPr>
        <w:tab/>
        <w:t xml:space="preserve">121.  </w:t>
      </w:r>
      <w:r>
        <w:rPr>
          <w:rFonts w:hint="eastAsia"/>
        </w:rPr>
        <w:t>监察委员会鼓励政府各部门</w:t>
      </w:r>
      <w:r>
        <w:rPr>
          <w:rFonts w:hint="eastAsia"/>
        </w:rPr>
        <w:t>(</w:t>
      </w:r>
      <w:r>
        <w:rPr>
          <w:rFonts w:hint="eastAsia"/>
        </w:rPr>
        <w:t>或提供服务的公共企业</w:t>
      </w:r>
      <w:r>
        <w:rPr>
          <w:rFonts w:hint="eastAsia"/>
        </w:rPr>
        <w:t>)</w:t>
      </w:r>
      <w:r>
        <w:rPr>
          <w:rFonts w:hint="eastAsia"/>
        </w:rPr>
        <w:t>与工人代表之间达成协议，因为这种形式的谈判可以确保罢工权与其他宪法权利保持适当的和谐。监察委员会在通信、电力和司法部门，以及在政府各部和卫生及运输部门尤其活跃。</w:t>
      </w:r>
      <w:r>
        <w:rPr>
          <w:rFonts w:hint="eastAsia"/>
        </w:rPr>
        <w:t>2000</w:t>
      </w:r>
      <w:r>
        <w:rPr>
          <w:rFonts w:hint="eastAsia"/>
        </w:rPr>
        <w:t>年该委员会从纯统计的角度报告了下述情况：</w:t>
      </w:r>
    </w:p>
    <w:p w:rsidR="00000000" w:rsidRDefault="00000000">
      <w:pPr>
        <w:pStyle w:val="a0"/>
        <w:ind w:left="1530"/>
        <w:rPr>
          <w:rFonts w:hint="eastAsia"/>
        </w:rPr>
      </w:pPr>
      <w:r>
        <w:rPr>
          <w:rFonts w:hint="eastAsia"/>
        </w:rPr>
        <w:t>关于自动调节罢工权问题签署了</w:t>
      </w:r>
      <w:r>
        <w:rPr>
          <w:rFonts w:hint="eastAsia"/>
        </w:rPr>
        <w:t>5</w:t>
      </w:r>
      <w:r>
        <w:rPr>
          <w:rFonts w:hint="eastAsia"/>
        </w:rPr>
        <w:t>项全国协议和</w:t>
      </w:r>
      <w:r>
        <w:rPr>
          <w:rFonts w:hint="eastAsia"/>
        </w:rPr>
        <w:t>231</w:t>
      </w:r>
      <w:r>
        <w:rPr>
          <w:rFonts w:hint="eastAsia"/>
        </w:rPr>
        <w:t>项地方协议；</w:t>
      </w:r>
    </w:p>
    <w:p w:rsidR="00000000" w:rsidRDefault="00000000">
      <w:pPr>
        <w:pStyle w:val="a0"/>
        <w:ind w:left="1530"/>
        <w:rPr>
          <w:rFonts w:hint="eastAsia"/>
        </w:rPr>
      </w:pPr>
      <w:r>
        <w:rPr>
          <w:rFonts w:hint="eastAsia"/>
        </w:rPr>
        <w:t>共举行</w:t>
      </w:r>
      <w:r>
        <w:rPr>
          <w:rFonts w:hint="eastAsia"/>
        </w:rPr>
        <w:t>287</w:t>
      </w:r>
      <w:r>
        <w:rPr>
          <w:rFonts w:hint="eastAsia"/>
        </w:rPr>
        <w:t>次罢工，其中单是运输部门就进行了</w:t>
      </w:r>
      <w:r>
        <w:rPr>
          <w:rFonts w:hint="eastAsia"/>
        </w:rPr>
        <w:t>179</w:t>
      </w:r>
      <w:r>
        <w:rPr>
          <w:rFonts w:hint="eastAsia"/>
        </w:rPr>
        <w:t>次，通信部门进行过</w:t>
      </w:r>
      <w:r>
        <w:rPr>
          <w:rFonts w:hint="eastAsia"/>
        </w:rPr>
        <w:t>22</w:t>
      </w:r>
      <w:r>
        <w:rPr>
          <w:rFonts w:hint="eastAsia"/>
        </w:rPr>
        <w:t>次，司法部门</w:t>
      </w:r>
      <w:r>
        <w:rPr>
          <w:rFonts w:hint="eastAsia"/>
        </w:rPr>
        <w:t>18</w:t>
      </w:r>
      <w:r>
        <w:rPr>
          <w:rFonts w:hint="eastAsia"/>
        </w:rPr>
        <w:t>次，卫生部门</w:t>
      </w:r>
      <w:r>
        <w:rPr>
          <w:rFonts w:hint="eastAsia"/>
        </w:rPr>
        <w:t>10</w:t>
      </w:r>
      <w:r>
        <w:rPr>
          <w:rFonts w:hint="eastAsia"/>
        </w:rPr>
        <w:t>次，教育部门</w:t>
      </w:r>
      <w:r>
        <w:rPr>
          <w:rFonts w:hint="eastAsia"/>
        </w:rPr>
        <w:t>5</w:t>
      </w:r>
      <w:r>
        <w:rPr>
          <w:rFonts w:hint="eastAsia"/>
        </w:rPr>
        <w:t>次；</w:t>
      </w:r>
    </w:p>
    <w:p w:rsidR="00000000" w:rsidRDefault="00000000">
      <w:pPr>
        <w:pStyle w:val="a0"/>
        <w:spacing w:after="320"/>
        <w:ind w:left="1530"/>
        <w:rPr>
          <w:rFonts w:hint="eastAsia"/>
        </w:rPr>
      </w:pPr>
      <w:r>
        <w:rPr>
          <w:rFonts w:hint="eastAsia"/>
        </w:rPr>
        <w:t>在评估守法程度方面</w:t>
      </w:r>
      <w:r>
        <w:rPr>
          <w:rFonts w:hint="eastAsia"/>
          <w:spacing w:val="-50"/>
        </w:rPr>
        <w:t>―</w:t>
      </w:r>
      <w:r>
        <w:rPr>
          <w:rFonts w:hint="eastAsia"/>
        </w:rPr>
        <w:t>―根据一种体现罢工权与其他主要宪法权利之间和谐程度的指数</w:t>
      </w:r>
      <w:r>
        <w:rPr>
          <w:rFonts w:hint="eastAsia"/>
          <w:spacing w:val="-50"/>
        </w:rPr>
        <w:t>―</w:t>
      </w:r>
      <w:r>
        <w:rPr>
          <w:rFonts w:hint="eastAsia"/>
        </w:rPr>
        <w:t>―发现一些违法行为，占总罢工次数的</w:t>
      </w:r>
      <w:r>
        <w:rPr>
          <w:rFonts w:hint="eastAsia"/>
        </w:rPr>
        <w:t>37.6%</w:t>
      </w:r>
      <w:r>
        <w:rPr>
          <w:rFonts w:hint="eastAsia"/>
        </w:rPr>
        <w:t>。</w:t>
      </w:r>
    </w:p>
    <w:p w:rsidR="00000000" w:rsidRDefault="00000000">
      <w:pPr>
        <w:pStyle w:val="Heading3"/>
        <w:rPr>
          <w:rFonts w:hint="eastAsia"/>
          <w:u w:val="none"/>
        </w:rPr>
      </w:pPr>
      <w:r>
        <w:rPr>
          <w:rFonts w:hint="eastAsia"/>
          <w:u w:val="none"/>
        </w:rPr>
        <w:t xml:space="preserve">D.  </w:t>
      </w:r>
      <w:r>
        <w:rPr>
          <w:rFonts w:hint="eastAsia"/>
        </w:rPr>
        <w:t>第</w:t>
      </w:r>
      <w:r>
        <w:rPr>
          <w:rFonts w:hint="eastAsia"/>
        </w:rPr>
        <w:t xml:space="preserve"> 8 </w:t>
      </w:r>
      <w:r>
        <w:rPr>
          <w:rFonts w:hint="eastAsia"/>
        </w:rPr>
        <w:t>条</w:t>
      </w:r>
    </w:p>
    <w:p w:rsidR="00000000" w:rsidRDefault="00000000">
      <w:pPr>
        <w:pStyle w:val="Heading3"/>
        <w:rPr>
          <w:rFonts w:hint="eastAsia"/>
        </w:rPr>
      </w:pPr>
      <w:r>
        <w:rPr>
          <w:rFonts w:hint="eastAsia"/>
        </w:rPr>
        <w:t>工</w:t>
      </w:r>
      <w:r>
        <w:rPr>
          <w:rFonts w:hint="eastAsia"/>
        </w:rPr>
        <w:t xml:space="preserve">  </w:t>
      </w:r>
      <w:r>
        <w:rPr>
          <w:rFonts w:hint="eastAsia"/>
        </w:rPr>
        <w:t>会</w:t>
      </w:r>
    </w:p>
    <w:p w:rsidR="00000000" w:rsidRDefault="00000000">
      <w:pPr>
        <w:rPr>
          <w:rFonts w:hint="eastAsia"/>
        </w:rPr>
      </w:pPr>
      <w:r>
        <w:rPr>
          <w:rFonts w:hint="eastAsia"/>
        </w:rPr>
        <w:tab/>
        <w:t xml:space="preserve">122.  </w:t>
      </w:r>
      <w:r>
        <w:rPr>
          <w:rFonts w:hint="eastAsia"/>
        </w:rPr>
        <w:t>劳动法的准则根据法律、集体谈判和判例确定。各种立法行动在尊重工会的独立性和自我管理权利的前提下，通常能够提供保障</w:t>
      </w:r>
      <w:r>
        <w:rPr>
          <w:rFonts w:hint="eastAsia"/>
        </w:rPr>
        <w:t>(</w:t>
      </w:r>
      <w:r>
        <w:rPr>
          <w:rFonts w:hint="eastAsia"/>
        </w:rPr>
        <w:t>为处理经济和规章制度方面的问题确定必须遵守的最低标准，如第</w:t>
      </w:r>
      <w:r>
        <w:rPr>
          <w:rFonts w:hint="eastAsia"/>
        </w:rPr>
        <w:t>83/00</w:t>
      </w:r>
      <w:r>
        <w:rPr>
          <w:rFonts w:hint="eastAsia"/>
        </w:rPr>
        <w:t>号法补充了载有关于基本公共服务部门罢工权条例的第</w:t>
      </w:r>
      <w:r>
        <w:rPr>
          <w:rFonts w:hint="eastAsia"/>
        </w:rPr>
        <w:t>146/90</w:t>
      </w:r>
      <w:r>
        <w:rPr>
          <w:rFonts w:hint="eastAsia"/>
        </w:rPr>
        <w:t>号法，增添了一些准则以加强对公民用户的保护</w:t>
      </w:r>
      <w:r>
        <w:rPr>
          <w:rFonts w:hint="eastAsia"/>
        </w:rPr>
        <w:t>)</w:t>
      </w:r>
      <w:r>
        <w:rPr>
          <w:rFonts w:hint="eastAsia"/>
        </w:rPr>
        <w:t>，支持并促进谈判进程。集体谈判合同最能体现工会的独立性，是劳动法的一个明确来源。尽管，众所周知，《宪法》有关条款</w:t>
      </w:r>
      <w:r>
        <w:rPr>
          <w:rFonts w:hint="eastAsia"/>
        </w:rPr>
        <w:t>(</w:t>
      </w:r>
      <w:r>
        <w:rPr>
          <w:rFonts w:hint="eastAsia"/>
        </w:rPr>
        <w:t>第</w:t>
      </w:r>
      <w:r>
        <w:rPr>
          <w:rFonts w:hint="eastAsia"/>
        </w:rPr>
        <w:t>39</w:t>
      </w:r>
      <w:r>
        <w:rPr>
          <w:rFonts w:hint="eastAsia"/>
        </w:rPr>
        <w:t>条</w:t>
      </w:r>
      <w:r>
        <w:rPr>
          <w:rFonts w:hint="eastAsia"/>
        </w:rPr>
        <w:t>)</w:t>
      </w:r>
      <w:r>
        <w:rPr>
          <w:rFonts w:hint="eastAsia"/>
        </w:rPr>
        <w:t>的执行工作仍不彻底，但工会</w:t>
      </w:r>
      <w:r>
        <w:rPr>
          <w:rFonts w:hint="eastAsia"/>
          <w:spacing w:val="-50"/>
        </w:rPr>
        <w:t>―</w:t>
      </w:r>
      <w:r>
        <w:rPr>
          <w:rFonts w:hint="eastAsia"/>
        </w:rPr>
        <w:t>―实际上一直在作为独立的协会行事</w:t>
      </w:r>
      <w:r>
        <w:rPr>
          <w:rFonts w:hint="eastAsia"/>
        </w:rPr>
        <w:t>(</w:t>
      </w:r>
      <w:r>
        <w:rPr>
          <w:rFonts w:hint="eastAsia"/>
        </w:rPr>
        <w:t>《宪法》第</w:t>
      </w:r>
      <w:r>
        <w:rPr>
          <w:rFonts w:hint="eastAsia"/>
        </w:rPr>
        <w:t>39</w:t>
      </w:r>
      <w:r>
        <w:rPr>
          <w:rFonts w:hint="eastAsia"/>
        </w:rPr>
        <w:t>条第</w:t>
      </w:r>
      <w:r>
        <w:rPr>
          <w:rFonts w:hint="eastAsia"/>
        </w:rPr>
        <w:t>1</w:t>
      </w:r>
      <w:r>
        <w:rPr>
          <w:rFonts w:hint="eastAsia"/>
        </w:rPr>
        <w:t>和第</w:t>
      </w:r>
      <w:r>
        <w:rPr>
          <w:rFonts w:hint="eastAsia"/>
        </w:rPr>
        <w:t>18</w:t>
      </w:r>
      <w:r>
        <w:rPr>
          <w:rFonts w:hint="eastAsia"/>
        </w:rPr>
        <w:t>条</w:t>
      </w:r>
      <w:r>
        <w:rPr>
          <w:rFonts w:hint="eastAsia"/>
        </w:rPr>
        <w:t>)</w:t>
      </w:r>
      <w:r>
        <w:rPr>
          <w:rFonts w:hint="eastAsia"/>
        </w:rPr>
        <w:t>，根据普通法或集体谈判合同签署经各方议定的协议</w:t>
      </w:r>
      <w:r>
        <w:rPr>
          <w:rFonts w:hint="eastAsia"/>
          <w:spacing w:val="-50"/>
        </w:rPr>
        <w:t>―</w:t>
      </w:r>
      <w:r>
        <w:rPr>
          <w:rFonts w:hint="eastAsia"/>
        </w:rPr>
        <w:t>―已在整个公共领域中承担起了重要角色，立法者们逐步承认</w:t>
      </w:r>
      <w:r>
        <w:rPr>
          <w:rFonts w:hint="eastAsia"/>
        </w:rPr>
        <w:t>(</w:t>
      </w:r>
      <w:r>
        <w:rPr>
          <w:rFonts w:hint="eastAsia"/>
        </w:rPr>
        <w:t>多少以直接方式，并部分上依据法院的判决</w:t>
      </w:r>
      <w:r>
        <w:rPr>
          <w:rFonts w:hint="eastAsia"/>
        </w:rPr>
        <w:t>)</w:t>
      </w:r>
      <w:r>
        <w:rPr>
          <w:rFonts w:hint="eastAsia"/>
        </w:rPr>
        <w:t>集体谈判合同的普遍效力</w:t>
      </w:r>
      <w:r>
        <w:rPr>
          <w:rFonts w:hint="eastAsia"/>
        </w:rPr>
        <w:t>(</w:t>
      </w:r>
      <w:r>
        <w:rPr>
          <w:rFonts w:hint="eastAsia"/>
        </w:rPr>
        <w:t>不只限于工会会员，而且适用于一切人</w:t>
      </w:r>
      <w:r>
        <w:rPr>
          <w:rFonts w:hint="eastAsia"/>
        </w:rPr>
        <w:t>)</w:t>
      </w:r>
      <w:r>
        <w:rPr>
          <w:rFonts w:hint="eastAsia"/>
        </w:rPr>
        <w:t>。如果立法者们交由集体谈判来解决问题就等于长久授权于一种能更灵活管理工作关系的准则来源。谈判制度</w:t>
      </w:r>
      <w:r>
        <w:rPr>
          <w:rFonts w:hint="eastAsia"/>
        </w:rPr>
        <w:t>(</w:t>
      </w:r>
      <w:r>
        <w:rPr>
          <w:rFonts w:hint="eastAsia"/>
        </w:rPr>
        <w:t>或一系列不同层次上的谈判制度</w:t>
      </w:r>
      <w:r>
        <w:rPr>
          <w:rFonts w:hint="eastAsia"/>
        </w:rPr>
        <w:t>)</w:t>
      </w:r>
      <w:r>
        <w:rPr>
          <w:rFonts w:hint="eastAsia"/>
        </w:rPr>
        <w:t>，以已经确立的惯例为依据，而且不只限于集体谈判合同</w:t>
      </w:r>
      <w:r>
        <w:rPr>
          <w:rFonts w:hint="eastAsia"/>
        </w:rPr>
        <w:t>(</w:t>
      </w:r>
      <w:r>
        <w:rPr>
          <w:rFonts w:hint="eastAsia"/>
        </w:rPr>
        <w:t>关于薪酬以及相关的规则和条例</w:t>
      </w:r>
      <w:r>
        <w:rPr>
          <w:rFonts w:hint="eastAsia"/>
        </w:rPr>
        <w:t>)</w:t>
      </w:r>
      <w:r>
        <w:rPr>
          <w:rFonts w:hint="eastAsia"/>
        </w:rPr>
        <w:t>，还包括不同生产部门的总公司、各级公司以及不同类型的工人之间广泛得多的关系。</w:t>
      </w:r>
    </w:p>
    <w:p w:rsidR="00000000" w:rsidRDefault="00000000">
      <w:pPr>
        <w:rPr>
          <w:rFonts w:hint="eastAsia"/>
        </w:rPr>
      </w:pPr>
      <w:r>
        <w:rPr>
          <w:rFonts w:hint="eastAsia"/>
        </w:rPr>
        <w:tab/>
        <w:t xml:space="preserve">123.  </w:t>
      </w:r>
      <w:r>
        <w:rPr>
          <w:rFonts w:hint="eastAsia"/>
        </w:rPr>
        <w:t>社会伙伴们在全国范围内逐步参与并承担责任，外加其他一些更普遍的因素</w:t>
      </w:r>
      <w:r>
        <w:rPr>
          <w:rFonts w:hint="eastAsia"/>
        </w:rPr>
        <w:t>(</w:t>
      </w:r>
      <w:r>
        <w:rPr>
          <w:rFonts w:hint="eastAsia"/>
        </w:rPr>
        <w:t>生产模式的革新、各政党的危机、组合主义逻辑的摈弃、欧洲共同体的承诺、新的国际政治前景</w:t>
      </w:r>
      <w:r>
        <w:rPr>
          <w:rFonts w:hint="eastAsia"/>
        </w:rPr>
        <w:t>)</w:t>
      </w:r>
      <w:r>
        <w:rPr>
          <w:rFonts w:hint="eastAsia"/>
        </w:rPr>
        <w:t>都有助于就旨在支持国家社会经济发展</w:t>
      </w:r>
      <w:r>
        <w:rPr>
          <w:rFonts w:hint="eastAsia"/>
        </w:rPr>
        <w:t>(</w:t>
      </w:r>
      <w:r>
        <w:rPr>
          <w:rFonts w:hint="eastAsia"/>
        </w:rPr>
        <w:t>并最终能促使签署双边和三边协定</w:t>
      </w:r>
      <w:r>
        <w:rPr>
          <w:rFonts w:hint="eastAsia"/>
        </w:rPr>
        <w:t>)</w:t>
      </w:r>
      <w:r>
        <w:rPr>
          <w:rFonts w:hint="eastAsia"/>
        </w:rPr>
        <w:t>的集体目标达成共同意见。通过社会对话、伙伴关系和一致行动来鼓励新的力量和群体广泛参与决策进程的做法已成为社会和民间民主新纪元的里程碑。</w:t>
      </w:r>
    </w:p>
    <w:p w:rsidR="00000000" w:rsidRDefault="00000000">
      <w:pPr>
        <w:rPr>
          <w:rFonts w:hint="eastAsia"/>
        </w:rPr>
      </w:pPr>
      <w:r>
        <w:rPr>
          <w:rFonts w:hint="eastAsia"/>
        </w:rPr>
        <w:tab/>
        <w:t>124.  1998</w:t>
      </w:r>
      <w:r>
        <w:rPr>
          <w:rFonts w:hint="eastAsia"/>
        </w:rPr>
        <w:t>年</w:t>
      </w:r>
      <w:r>
        <w:rPr>
          <w:rFonts w:hint="eastAsia"/>
        </w:rPr>
        <w:t>12</w:t>
      </w:r>
      <w:r>
        <w:rPr>
          <w:rFonts w:hint="eastAsia"/>
        </w:rPr>
        <w:t>月</w:t>
      </w:r>
      <w:r>
        <w:rPr>
          <w:rFonts w:hint="eastAsia"/>
        </w:rPr>
        <w:t>22</w:t>
      </w:r>
      <w:r>
        <w:rPr>
          <w:rFonts w:hint="eastAsia"/>
        </w:rPr>
        <w:t>日签署的《社会发展与就业契约》是一项邦联间协议</w:t>
      </w:r>
      <w:r>
        <w:rPr>
          <w:rFonts w:hint="eastAsia"/>
        </w:rPr>
        <w:t>(</w:t>
      </w:r>
      <w:r>
        <w:rPr>
          <w:rFonts w:hint="eastAsia"/>
        </w:rPr>
        <w:t>涉及政府、商业协会和工会</w:t>
      </w:r>
      <w:r>
        <w:rPr>
          <w:rFonts w:hint="eastAsia"/>
        </w:rPr>
        <w:t>)</w:t>
      </w:r>
      <w:r>
        <w:rPr>
          <w:rFonts w:hint="eastAsia"/>
        </w:rPr>
        <w:t>，也是过去五年中在这方面迈出的最重要一步。该契约再度确认</w:t>
      </w:r>
      <w:r>
        <w:rPr>
          <w:rFonts w:hint="eastAsia"/>
        </w:rPr>
        <w:t>1993</w:t>
      </w:r>
      <w:r>
        <w:rPr>
          <w:rFonts w:hint="eastAsia"/>
        </w:rPr>
        <w:t>年</w:t>
      </w:r>
      <w:r>
        <w:rPr>
          <w:rFonts w:hint="eastAsia"/>
        </w:rPr>
        <w:t>7</w:t>
      </w:r>
      <w:r>
        <w:rPr>
          <w:rFonts w:hint="eastAsia"/>
        </w:rPr>
        <w:t>月的协议中已经规定的产业关系制度、集体谈判规则和全部就业发展政策。</w:t>
      </w:r>
      <w:r>
        <w:rPr>
          <w:rFonts w:hint="eastAsia"/>
        </w:rPr>
        <w:t>1993</w:t>
      </w:r>
      <w:r>
        <w:rPr>
          <w:rFonts w:hint="eastAsia"/>
        </w:rPr>
        <w:t>年协议首先在第一部分中承认一致行动这种方法的效果和正确性，随后为改革确定了指导方针，旨在实现为促进就业所制定的目标。“一致行动”已经证明是“决策”过程中的首选方法，因为通过这种行动得以实现了如下基本目标：首先，减少了通货膨胀，从而保护了家庭收入；其次，使财政得到恢复，从而能够遵循马斯特里赫特目标；最后，使各种产业关系均以合作为主，从而使意大利各公司重新加强了竞争力。</w:t>
      </w:r>
    </w:p>
    <w:p w:rsidR="00000000" w:rsidRDefault="00000000">
      <w:pPr>
        <w:spacing w:after="320"/>
        <w:rPr>
          <w:rFonts w:hint="eastAsia"/>
        </w:rPr>
      </w:pPr>
      <w:r>
        <w:rPr>
          <w:rFonts w:hint="eastAsia"/>
        </w:rPr>
        <w:tab/>
        <w:t xml:space="preserve">125.  </w:t>
      </w:r>
      <w:r>
        <w:rPr>
          <w:rFonts w:hint="eastAsia"/>
        </w:rPr>
        <w:t>在这种情况下，集体谈判也越来越多地分散到公司和地区两级进行。</w:t>
      </w:r>
      <w:r>
        <w:rPr>
          <w:rFonts w:hint="eastAsia"/>
        </w:rPr>
        <w:t>2000</w:t>
      </w:r>
      <w:r>
        <w:rPr>
          <w:rFonts w:hint="eastAsia"/>
        </w:rPr>
        <w:t>年起，政府被迫优先重视现代化需要，以便使意大利的体制更具竞争力，这意味着要进行改革从而进一步解除对劳力市场的管制，降低税务负担并使社会福利系统现代化。然而与此同时，去年对</w:t>
      </w:r>
      <w:r>
        <w:rPr>
          <w:rFonts w:hint="eastAsia"/>
        </w:rPr>
        <w:t>1990</w:t>
      </w:r>
      <w:r>
        <w:rPr>
          <w:rFonts w:hint="eastAsia"/>
        </w:rPr>
        <w:t>年代中所特有的一致行动方法进行了重新审视</w:t>
      </w:r>
      <w:r>
        <w:rPr>
          <w:rFonts w:hint="eastAsia"/>
        </w:rPr>
        <w:t>(</w:t>
      </w:r>
      <w:r>
        <w:rPr>
          <w:rFonts w:hint="eastAsia"/>
        </w:rPr>
        <w:t>这与社会经济领域出现的一系列深刻变革密切相关</w:t>
      </w:r>
      <w:r>
        <w:rPr>
          <w:rFonts w:hint="eastAsia"/>
        </w:rPr>
        <w:t>)</w:t>
      </w:r>
      <w:r>
        <w:rPr>
          <w:rFonts w:hint="eastAsia"/>
        </w:rPr>
        <w:t>，结果是暂时停止执行</w:t>
      </w:r>
      <w:r>
        <w:rPr>
          <w:rFonts w:hint="eastAsia"/>
        </w:rPr>
        <w:t>1998</w:t>
      </w:r>
      <w:r>
        <w:rPr>
          <w:rFonts w:hint="eastAsia"/>
        </w:rPr>
        <w:t>年《契约》并造成了一种很难采取一致行动的真空状态。关于这个问题，意大利的一致行动进程无疑受到了欧洲共同体的社会对话和伙伴关系模式的影响。最近发生的变化表明，社会伙伴们在各自朝不同目标努力，而并没有朝着</w:t>
      </w:r>
      <w:r>
        <w:rPr>
          <w:rFonts w:hint="eastAsia"/>
        </w:rPr>
        <w:t>1990</w:t>
      </w:r>
      <w:r>
        <w:rPr>
          <w:rFonts w:hint="eastAsia"/>
        </w:rPr>
        <w:t>年代中的目标共同努力。在某种程度上，控制宏观经济变量的努力让位给了新的挑战，如促进就业和企业成长，同时要确保采取新的保障措施维护工人的权利。</w:t>
      </w:r>
    </w:p>
    <w:p w:rsidR="00000000" w:rsidRDefault="00000000">
      <w:pPr>
        <w:pStyle w:val="Heading3"/>
        <w:rPr>
          <w:rFonts w:hint="eastAsia"/>
        </w:rPr>
      </w:pPr>
      <w:r>
        <w:rPr>
          <w:rFonts w:hint="eastAsia"/>
          <w:u w:val="none"/>
        </w:rPr>
        <w:t xml:space="preserve">E.  </w:t>
      </w:r>
      <w:r>
        <w:rPr>
          <w:rFonts w:hint="eastAsia"/>
        </w:rPr>
        <w:t>第</w:t>
      </w:r>
      <w:r>
        <w:rPr>
          <w:rFonts w:hint="eastAsia"/>
        </w:rPr>
        <w:t xml:space="preserve"> 9 </w:t>
      </w:r>
      <w:r>
        <w:rPr>
          <w:rFonts w:hint="eastAsia"/>
        </w:rPr>
        <w:t>条</w:t>
      </w:r>
    </w:p>
    <w:p w:rsidR="00000000" w:rsidRDefault="00000000">
      <w:pPr>
        <w:pStyle w:val="Heading3"/>
        <w:rPr>
          <w:rFonts w:hint="eastAsia"/>
        </w:rPr>
      </w:pPr>
      <w:r>
        <w:rPr>
          <w:rFonts w:hint="eastAsia"/>
        </w:rPr>
        <w:t>社</w:t>
      </w:r>
      <w:r>
        <w:rPr>
          <w:rFonts w:hint="eastAsia"/>
        </w:rPr>
        <w:t xml:space="preserve"> </w:t>
      </w:r>
      <w:r>
        <w:rPr>
          <w:rFonts w:hint="eastAsia"/>
        </w:rPr>
        <w:t>会</w:t>
      </w:r>
      <w:r>
        <w:rPr>
          <w:rFonts w:hint="eastAsia"/>
        </w:rPr>
        <w:t xml:space="preserve"> </w:t>
      </w:r>
      <w:r>
        <w:rPr>
          <w:rFonts w:hint="eastAsia"/>
        </w:rPr>
        <w:t>保</w:t>
      </w:r>
      <w:r>
        <w:rPr>
          <w:rFonts w:hint="eastAsia"/>
        </w:rPr>
        <w:t xml:space="preserve"> </w:t>
      </w:r>
      <w:r>
        <w:rPr>
          <w:rFonts w:hint="eastAsia"/>
        </w:rPr>
        <w:t>障</w:t>
      </w:r>
    </w:p>
    <w:p w:rsidR="00000000" w:rsidRDefault="00000000">
      <w:pPr>
        <w:pStyle w:val="Heading4"/>
        <w:rPr>
          <w:rFonts w:hint="eastAsia"/>
        </w:rPr>
      </w:pPr>
      <w:r>
        <w:rPr>
          <w:rFonts w:hint="eastAsia"/>
        </w:rPr>
        <w:t>强制性和补充性社会保障</w:t>
      </w:r>
    </w:p>
    <w:p w:rsidR="00000000" w:rsidRDefault="00000000">
      <w:pPr>
        <w:rPr>
          <w:rFonts w:hint="eastAsia"/>
        </w:rPr>
      </w:pPr>
      <w:r>
        <w:rPr>
          <w:rFonts w:hint="eastAsia"/>
        </w:rPr>
        <w:tab/>
        <w:t xml:space="preserve">126.  </w:t>
      </w:r>
      <w:r>
        <w:rPr>
          <w:rFonts w:hint="eastAsia"/>
        </w:rPr>
        <w:t>根据意大利国家统计局对人口变化趋势的预测，该国内仍存在很强的与欧洲其他国家相同的趋势。具体说，受抚养的老年人口指数</w:t>
      </w:r>
      <w:r>
        <w:rPr>
          <w:rFonts w:hint="eastAsia"/>
        </w:rPr>
        <w:t>1996</w:t>
      </w:r>
      <w:r>
        <w:rPr>
          <w:rFonts w:hint="eastAsia"/>
        </w:rPr>
        <w:t>年为</w:t>
      </w:r>
      <w:r>
        <w:rPr>
          <w:rFonts w:hint="eastAsia"/>
        </w:rPr>
        <w:t>24.6%</w:t>
      </w:r>
      <w:r>
        <w:rPr>
          <w:rFonts w:hint="eastAsia"/>
        </w:rPr>
        <w:t>，而预计到</w:t>
      </w:r>
      <w:r>
        <w:rPr>
          <w:rFonts w:hint="eastAsia"/>
        </w:rPr>
        <w:t>2050</w:t>
      </w:r>
      <w:r>
        <w:rPr>
          <w:rFonts w:hint="eastAsia"/>
        </w:rPr>
        <w:t>年将升至</w:t>
      </w:r>
      <w:r>
        <w:rPr>
          <w:rFonts w:hint="eastAsia"/>
        </w:rPr>
        <w:t>57.6%</w:t>
      </w:r>
      <w:r>
        <w:rPr>
          <w:rFonts w:hint="eastAsia"/>
        </w:rPr>
        <w:t>，也即将增加约</w:t>
      </w:r>
      <w:r>
        <w:rPr>
          <w:rFonts w:hint="eastAsia"/>
        </w:rPr>
        <w:t>134%</w:t>
      </w:r>
      <w:r>
        <w:rPr>
          <w:rFonts w:hint="eastAsia"/>
        </w:rPr>
        <w:t>。但另一方面，人口总数将下降约</w:t>
      </w:r>
      <w:r>
        <w:rPr>
          <w:rFonts w:hint="eastAsia"/>
        </w:rPr>
        <w:t>20%(1996</w:t>
      </w:r>
      <w:r>
        <w:rPr>
          <w:rFonts w:hint="eastAsia"/>
        </w:rPr>
        <w:t>年为</w:t>
      </w:r>
      <w:r>
        <w:rPr>
          <w:rFonts w:hint="eastAsia"/>
        </w:rPr>
        <w:t>57,333,000</w:t>
      </w:r>
      <w:r>
        <w:rPr>
          <w:rFonts w:hint="eastAsia"/>
        </w:rPr>
        <w:t>人，到</w:t>
      </w:r>
      <w:r>
        <w:rPr>
          <w:rFonts w:hint="eastAsia"/>
        </w:rPr>
        <w:t>2050</w:t>
      </w:r>
      <w:r>
        <w:rPr>
          <w:rFonts w:hint="eastAsia"/>
        </w:rPr>
        <w:t>年则将降为</w:t>
      </w:r>
      <w:r>
        <w:rPr>
          <w:rFonts w:hint="eastAsia"/>
        </w:rPr>
        <w:t>45,997,000</w:t>
      </w:r>
      <w:r>
        <w:rPr>
          <w:rFonts w:hint="eastAsia"/>
        </w:rPr>
        <w:t>人</w:t>
      </w:r>
      <w:r>
        <w:rPr>
          <w:rFonts w:hint="eastAsia"/>
        </w:rPr>
        <w:t>)</w:t>
      </w:r>
      <w:r>
        <w:rPr>
          <w:rFonts w:hint="eastAsia"/>
        </w:rPr>
        <w:t>。</w:t>
      </w:r>
    </w:p>
    <w:p w:rsidR="00000000" w:rsidRDefault="00000000">
      <w:pPr>
        <w:rPr>
          <w:rFonts w:hint="eastAsia"/>
        </w:rPr>
      </w:pPr>
      <w:r>
        <w:rPr>
          <w:rFonts w:hint="eastAsia"/>
        </w:rPr>
        <w:tab/>
        <w:t xml:space="preserve">127.  </w:t>
      </w:r>
      <w:r>
        <w:rPr>
          <w:rFonts w:hint="eastAsia"/>
        </w:rPr>
        <w:t>在这些因素的刺激下，意大利近年来作出了显著努力，特别是颁布了第</w:t>
      </w:r>
      <w:r>
        <w:rPr>
          <w:rFonts w:hint="eastAsia"/>
        </w:rPr>
        <w:t>335/1995</w:t>
      </w:r>
      <w:r>
        <w:rPr>
          <w:rFonts w:hint="eastAsia"/>
        </w:rPr>
        <w:t>号法，旨在重新平衡社会保障支出，而且同时也不忽视《宪法》第</w:t>
      </w:r>
      <w:r>
        <w:rPr>
          <w:rFonts w:hint="eastAsia"/>
        </w:rPr>
        <w:t>38</w:t>
      </w:r>
      <w:r>
        <w:rPr>
          <w:rFonts w:hint="eastAsia"/>
        </w:rPr>
        <w:t>条中规定的目标，即要为其退休公民提供适当的养恤金服务。</w:t>
      </w:r>
    </w:p>
    <w:p w:rsidR="00000000" w:rsidRDefault="00000000">
      <w:pPr>
        <w:rPr>
          <w:rFonts w:hint="eastAsia"/>
        </w:rPr>
      </w:pPr>
      <w:r>
        <w:rPr>
          <w:rFonts w:hint="eastAsia"/>
        </w:rPr>
        <w:tab/>
        <w:t xml:space="preserve">128.  </w:t>
      </w:r>
      <w:r>
        <w:rPr>
          <w:rFonts w:hint="eastAsia"/>
        </w:rPr>
        <w:t>总的情况仍然是无条理的，在规范性结构方面，以法律为特征，但法律尚未得到充分协调，并还有一些任务未曾予以执行；在有关社会保障发展情况的信息流动方面也很零乱，很难进行监督。</w:t>
      </w:r>
    </w:p>
    <w:p w:rsidR="00000000" w:rsidRDefault="00000000">
      <w:pPr>
        <w:rPr>
          <w:rFonts w:hint="eastAsia"/>
        </w:rPr>
      </w:pPr>
      <w:r>
        <w:rPr>
          <w:rFonts w:hint="eastAsia"/>
        </w:rPr>
        <w:tab/>
        <w:t xml:space="preserve">129.  </w:t>
      </w:r>
      <w:r>
        <w:rPr>
          <w:rFonts w:hint="eastAsia"/>
        </w:rPr>
        <w:t>在保护弱势人口的权利方面，必须看到始终为特定类别的人口保持有特权的养恤金制度。关于移徙工人，现有数据的可靠性是个问题。事实上，被记入内政部档案的工人与被记入国家社会保障局文档的工人在比例上存在显著差距。然而，尽管仍存在一些扭曲现象，但应当强调，而且部长委员会的工作也已经证明，意大利社会保障制度近年来的改革满足了财政平衡这一高度重要领域中的期望，甚至还有进一步提高。补充性养恤金制度旨在通过商定的养恤金基金来增加公共养恤金金额，同时还设有开放式基金以求进一步提高养恤金的覆盖率。</w:t>
      </w:r>
    </w:p>
    <w:p w:rsidR="00000000" w:rsidRDefault="00000000">
      <w:pPr>
        <w:spacing w:after="320"/>
        <w:rPr>
          <w:rFonts w:hint="eastAsia"/>
        </w:rPr>
      </w:pPr>
      <w:r>
        <w:rPr>
          <w:rFonts w:hint="eastAsia"/>
        </w:rPr>
        <w:tab/>
        <w:t xml:space="preserve">130.  </w:t>
      </w:r>
      <w:r>
        <w:rPr>
          <w:rFonts w:hint="eastAsia"/>
        </w:rPr>
        <w:t>中央政府和地区准则必须澄清谁具有商定这些基金的特权。与地区不同，中央政府的目标不只是要避免养恤金待遇方面的差别和市场规则的改变，而且还要避免不同地区在可用于补充性社会保障的资金方面的不平衡现象。目前面临的挑战是既要避免使补充性社会保障制度被粉碎，又要避免使之重叠累赘，同时还要不断考虑养恤金基金的经济效益和前景。</w:t>
      </w:r>
    </w:p>
    <w:p w:rsidR="00000000" w:rsidRDefault="00000000">
      <w:pPr>
        <w:pStyle w:val="Heading4"/>
        <w:rPr>
          <w:rFonts w:hint="eastAsia"/>
        </w:rPr>
      </w:pPr>
      <w:r>
        <w:rPr>
          <w:rFonts w:hint="eastAsia"/>
        </w:rPr>
        <w:t>商定的养恤金基金</w:t>
      </w:r>
    </w:p>
    <w:p w:rsidR="00000000" w:rsidRDefault="00000000">
      <w:pPr>
        <w:spacing w:after="320"/>
        <w:rPr>
          <w:rFonts w:hint="eastAsia"/>
        </w:rPr>
      </w:pPr>
      <w:r>
        <w:rPr>
          <w:rFonts w:hint="eastAsia"/>
        </w:rPr>
        <w:tab/>
        <w:t xml:space="preserve">131.  </w:t>
      </w:r>
      <w:r>
        <w:rPr>
          <w:rFonts w:hint="eastAsia"/>
        </w:rPr>
        <w:t>根据截至</w:t>
      </w:r>
      <w:r>
        <w:rPr>
          <w:rFonts w:hint="eastAsia"/>
        </w:rPr>
        <w:t>2001</w:t>
      </w:r>
      <w:r>
        <w:rPr>
          <w:rFonts w:hint="eastAsia"/>
        </w:rPr>
        <w:t>年</w:t>
      </w:r>
      <w:r>
        <w:rPr>
          <w:rFonts w:hint="eastAsia"/>
        </w:rPr>
        <w:t>9</w:t>
      </w:r>
      <w:r>
        <w:rPr>
          <w:rFonts w:hint="eastAsia"/>
        </w:rPr>
        <w:t>月</w:t>
      </w:r>
      <w:r>
        <w:rPr>
          <w:rFonts w:hint="eastAsia"/>
        </w:rPr>
        <w:t>30</w:t>
      </w:r>
      <w:r>
        <w:rPr>
          <w:rFonts w:hint="eastAsia"/>
        </w:rPr>
        <w:t>日的</w:t>
      </w:r>
      <w:r>
        <w:rPr>
          <w:rFonts w:hint="eastAsia"/>
        </w:rPr>
        <w:t>Mefop</w:t>
      </w:r>
      <w:r>
        <w:rPr>
          <w:rFonts w:hint="eastAsia"/>
        </w:rPr>
        <w:t>数据，商定基金的参与者</w:t>
      </w:r>
      <w:r>
        <w:rPr>
          <w:rFonts w:hint="eastAsia"/>
        </w:rPr>
        <w:t>(</w:t>
      </w:r>
      <w:r>
        <w:rPr>
          <w:rFonts w:hint="eastAsia"/>
        </w:rPr>
        <w:t>包括登记参加第</w:t>
      </w:r>
      <w:r>
        <w:rPr>
          <w:rFonts w:hint="eastAsia"/>
        </w:rPr>
        <w:t>124/1993</w:t>
      </w:r>
      <w:r>
        <w:rPr>
          <w:rFonts w:hint="eastAsia"/>
        </w:rPr>
        <w:t>号法颁布前已存在的基金的人</w:t>
      </w:r>
      <w:r>
        <w:rPr>
          <w:rFonts w:hint="eastAsia"/>
        </w:rPr>
        <w:t>)</w:t>
      </w:r>
      <w:r>
        <w:rPr>
          <w:rFonts w:hint="eastAsia"/>
        </w:rPr>
        <w:t>数目约为</w:t>
      </w:r>
      <w:r>
        <w:rPr>
          <w:rFonts w:hint="eastAsia"/>
        </w:rPr>
        <w:t>170</w:t>
      </w:r>
      <w:r>
        <w:rPr>
          <w:rFonts w:hint="eastAsia"/>
        </w:rPr>
        <w:t>万，而潜在参与者的数目将近</w:t>
      </w:r>
      <w:r>
        <w:rPr>
          <w:rFonts w:hint="eastAsia"/>
        </w:rPr>
        <w:t>1300</w:t>
      </w:r>
      <w:r>
        <w:rPr>
          <w:rFonts w:hint="eastAsia"/>
        </w:rPr>
        <w:t>万。几乎所有商定的基金都允许学徒工人以及持有培训合同、定期合同和季节性合同的工人参加。在这方面，与第一阶段不同，国家集体谈判使权利得到扩展。此外，已经发现小公司和手工业企业的雇用劳动者在参与时遇到困难，因为在这些公司和企业中很难将信息，特别是权利方面的信息传达给有关各方。由此，按年龄来看，养恤金基金参与者中年轻人的比例仍有限。</w:t>
      </w:r>
      <w:r>
        <w:rPr>
          <w:rFonts w:hint="eastAsia"/>
        </w:rPr>
        <w:t>2000</w:t>
      </w:r>
      <w:r>
        <w:rPr>
          <w:rFonts w:hint="eastAsia"/>
        </w:rPr>
        <w:t>年中养恤金基金的平均年收入率为</w:t>
      </w:r>
      <w:r>
        <w:rPr>
          <w:rFonts w:hint="eastAsia"/>
        </w:rPr>
        <w:t>3.6%</w:t>
      </w:r>
      <w:r>
        <w:rPr>
          <w:rFonts w:hint="eastAsia"/>
        </w:rPr>
        <w:t>。此外，还应考虑解雇金基金的平均年收入率，该比率</w:t>
      </w:r>
      <w:r>
        <w:rPr>
          <w:rFonts w:hint="eastAsia"/>
        </w:rPr>
        <w:t>2000</w:t>
      </w:r>
      <w:r>
        <w:rPr>
          <w:rFonts w:hint="eastAsia"/>
        </w:rPr>
        <w:t>年中为</w:t>
      </w:r>
      <w:r>
        <w:rPr>
          <w:rFonts w:hint="eastAsia"/>
        </w:rPr>
        <w:t>3.5%</w:t>
      </w:r>
      <w:r>
        <w:rPr>
          <w:rFonts w:hint="eastAsia"/>
        </w:rPr>
        <w:t>。临时工问题是个需要单独处理的问题，他们不能参加雇用他们的公司的商定基金。有权处理这方面问题的机构实体</w:t>
      </w:r>
      <w:r>
        <w:rPr>
          <w:rFonts w:hint="eastAsia"/>
        </w:rPr>
        <w:t>(</w:t>
      </w:r>
      <w:r>
        <w:rPr>
          <w:rFonts w:hint="eastAsia"/>
        </w:rPr>
        <w:t>即政府、议会和社会伙伴们</w:t>
      </w:r>
      <w:r>
        <w:rPr>
          <w:rFonts w:hint="eastAsia"/>
        </w:rPr>
        <w:t>)</w:t>
      </w:r>
      <w:r>
        <w:rPr>
          <w:rFonts w:hint="eastAsia"/>
        </w:rPr>
        <w:t>必须反省造成参与不足情况的原因，以求找到适当的解决办法。</w:t>
      </w:r>
    </w:p>
    <w:p w:rsidR="00000000" w:rsidRDefault="00000000">
      <w:pPr>
        <w:pStyle w:val="Heading4"/>
        <w:rPr>
          <w:rFonts w:hint="eastAsia"/>
        </w:rPr>
      </w:pPr>
      <w:r>
        <w:rPr>
          <w:rFonts w:hint="eastAsia"/>
        </w:rPr>
        <w:t>开放式养恤金基金</w:t>
      </w:r>
    </w:p>
    <w:p w:rsidR="00000000" w:rsidRDefault="00000000">
      <w:pPr>
        <w:spacing w:after="320"/>
        <w:rPr>
          <w:rFonts w:hint="eastAsia"/>
        </w:rPr>
      </w:pPr>
      <w:r>
        <w:rPr>
          <w:rFonts w:hint="eastAsia"/>
        </w:rPr>
        <w:tab/>
        <w:t xml:space="preserve">132.  </w:t>
      </w:r>
      <w:r>
        <w:rPr>
          <w:rFonts w:hint="eastAsia"/>
        </w:rPr>
        <w:t>目前已经明确了一些规范方面的问题，解决这些问题的办法对于确保充分发展补充性社会保障制度至关重要。在此涉及到所谓的“社会保障缴款的可转移性”</w:t>
      </w:r>
      <w:r>
        <w:rPr>
          <w:rFonts w:hint="eastAsia"/>
        </w:rPr>
        <w:t>(</w:t>
      </w:r>
      <w:r>
        <w:rPr>
          <w:rFonts w:hint="eastAsia"/>
        </w:rPr>
        <w:t>包括雇主的缴款在内</w:t>
      </w:r>
      <w:r>
        <w:rPr>
          <w:rFonts w:hint="eastAsia"/>
        </w:rPr>
        <w:t>)</w:t>
      </w:r>
      <w:r>
        <w:rPr>
          <w:rFonts w:hint="eastAsia"/>
        </w:rPr>
        <w:t>问题，即参加某个商定基金的工人在经过所必须的最短期限以后，能否将其全部储蓄转至另一个开放式基金。毫无疑问，可能与否完全取决于工人的决定，不需要事先获得批准或受制于任何双边或工会协议。然而，就目前情况看，问题在于这种转移是否会改变公司的义务，即向新基金支付其所承担的社会保障缴款份额，以及解雇金缴款额。这是一个关系极其重大的问题，必须通过对中央政府和工会间准则进行协调一致的解释来予以澄清。</w:t>
      </w:r>
    </w:p>
    <w:p w:rsidR="00000000" w:rsidRDefault="00000000">
      <w:pPr>
        <w:pStyle w:val="Heading4"/>
        <w:rPr>
          <w:rFonts w:hint="eastAsia"/>
        </w:rPr>
      </w:pPr>
      <w:r>
        <w:rPr>
          <w:rFonts w:hint="eastAsia"/>
        </w:rPr>
        <w:t>养恤金制度</w:t>
      </w:r>
    </w:p>
    <w:p w:rsidR="00000000" w:rsidRDefault="00000000">
      <w:pPr>
        <w:rPr>
          <w:rFonts w:hint="eastAsia"/>
        </w:rPr>
      </w:pPr>
      <w:r>
        <w:rPr>
          <w:rFonts w:hint="eastAsia"/>
        </w:rPr>
        <w:tab/>
        <w:t xml:space="preserve">133.  </w:t>
      </w:r>
      <w:r>
        <w:rPr>
          <w:rFonts w:hint="eastAsia"/>
        </w:rPr>
        <w:t>意大利在九十年代中采取了一系列重要的社会保障措施。具体说，</w:t>
      </w:r>
      <w:r>
        <w:rPr>
          <w:rFonts w:hint="eastAsia"/>
        </w:rPr>
        <w:t>1992</w:t>
      </w:r>
      <w:r>
        <w:rPr>
          <w:rFonts w:hint="eastAsia"/>
        </w:rPr>
        <w:t>年推行的初步改革开始了一个逐步协调的进程，将关于雇用劳动者的条例扩大适用于各类工人，从而能够在控制社会保障支出方面取得一些初步成果。这次改革采取了一系列革新性措施，包括：</w:t>
      </w:r>
    </w:p>
    <w:p w:rsidR="00000000" w:rsidRDefault="00000000">
      <w:pPr>
        <w:pStyle w:val="a0"/>
        <w:ind w:left="1530"/>
        <w:rPr>
          <w:rFonts w:hint="eastAsia"/>
        </w:rPr>
      </w:pPr>
      <w:r>
        <w:rPr>
          <w:rFonts w:hint="eastAsia"/>
        </w:rPr>
        <w:t>延迟领取养恤金的年龄并增加为养老金缴款的最低年限；</w:t>
      </w:r>
    </w:p>
    <w:p w:rsidR="00000000" w:rsidRDefault="00000000">
      <w:pPr>
        <w:pStyle w:val="a0"/>
        <w:ind w:left="1530"/>
        <w:rPr>
          <w:rFonts w:hint="eastAsia"/>
        </w:rPr>
      </w:pPr>
      <w:r>
        <w:rPr>
          <w:rFonts w:hint="eastAsia"/>
        </w:rPr>
        <w:t>只依据物价上涨情况来限定养恤金增加额。</w:t>
      </w:r>
    </w:p>
    <w:p w:rsidR="00000000" w:rsidRDefault="00000000">
      <w:pPr>
        <w:rPr>
          <w:rFonts w:hint="eastAsia"/>
        </w:rPr>
      </w:pPr>
      <w:r>
        <w:tab/>
      </w:r>
      <w:r>
        <w:rPr>
          <w:rFonts w:hint="eastAsia"/>
        </w:rPr>
        <w:t>1993</w:t>
      </w:r>
      <w:r>
        <w:rPr>
          <w:rFonts w:hint="eastAsia"/>
        </w:rPr>
        <w:t>年至</w:t>
      </w:r>
      <w:r>
        <w:rPr>
          <w:rFonts w:hint="eastAsia"/>
        </w:rPr>
        <w:t>1994</w:t>
      </w:r>
      <w:r>
        <w:rPr>
          <w:rFonts w:hint="eastAsia"/>
        </w:rPr>
        <w:t>年期间为压缩养恤金支出采取了下述措施：</w:t>
      </w:r>
    </w:p>
    <w:p w:rsidR="00000000" w:rsidRDefault="00000000">
      <w:pPr>
        <w:pStyle w:val="a0"/>
        <w:ind w:left="1530"/>
        <w:rPr>
          <w:rFonts w:hint="eastAsia"/>
        </w:rPr>
      </w:pPr>
      <w:r>
        <w:rPr>
          <w:rFonts w:hint="eastAsia"/>
        </w:rPr>
        <w:t>根据实际工作年限与</w:t>
      </w:r>
      <w:r>
        <w:rPr>
          <w:rFonts w:hint="eastAsia"/>
        </w:rPr>
        <w:t>35</w:t>
      </w:r>
      <w:r>
        <w:rPr>
          <w:rFonts w:hint="eastAsia"/>
        </w:rPr>
        <w:t>年最低年限之间的差数来相应地减少公共部门雇员的养老金金额</w:t>
      </w:r>
      <w:r>
        <w:rPr>
          <w:rFonts w:hint="eastAsia"/>
        </w:rPr>
        <w:t xml:space="preserve"> </w:t>
      </w:r>
      <w:r>
        <w:rPr>
          <w:rStyle w:val="EndnoteReference"/>
        </w:rPr>
        <w:endnoteReference w:id="1"/>
      </w:r>
      <w:r>
        <w:rPr>
          <w:rFonts w:hint="eastAsia"/>
        </w:rPr>
        <w:t>；</w:t>
      </w:r>
    </w:p>
    <w:p w:rsidR="00000000" w:rsidRDefault="00000000">
      <w:pPr>
        <w:pStyle w:val="a0"/>
        <w:ind w:left="1530"/>
        <w:rPr>
          <w:rFonts w:hint="eastAsia"/>
        </w:rPr>
      </w:pPr>
      <w:r>
        <w:rPr>
          <w:rFonts w:hint="eastAsia"/>
        </w:rPr>
        <w:t>将少数社会保障机构合并或进行重组；</w:t>
      </w:r>
    </w:p>
    <w:p w:rsidR="00000000" w:rsidRDefault="00000000">
      <w:pPr>
        <w:pStyle w:val="a0"/>
        <w:ind w:left="1530"/>
        <w:rPr>
          <w:rFonts w:hint="eastAsia"/>
        </w:rPr>
      </w:pPr>
      <w:r>
        <w:rPr>
          <w:rFonts w:hint="eastAsia"/>
        </w:rPr>
        <w:t>使专业基金私有化。</w:t>
      </w:r>
    </w:p>
    <w:p w:rsidR="00000000" w:rsidRDefault="00000000">
      <w:pPr>
        <w:spacing w:after="320"/>
        <w:rPr>
          <w:rFonts w:hint="eastAsia"/>
        </w:rPr>
      </w:pPr>
      <w:r>
        <w:rPr>
          <w:rFonts w:hint="eastAsia"/>
        </w:rPr>
        <w:tab/>
        <w:t xml:space="preserve">134.  </w:t>
      </w:r>
      <w:r>
        <w:rPr>
          <w:rFonts w:hint="eastAsia"/>
        </w:rPr>
        <w:t>由于社会保险制度方面的措施充分利用社会伙伴们的广泛参与，并符合收入政策方面的协调程序，终于于</w:t>
      </w:r>
      <w:r>
        <w:rPr>
          <w:rFonts w:hint="eastAsia"/>
        </w:rPr>
        <w:t>1995</w:t>
      </w:r>
      <w:r>
        <w:rPr>
          <w:rFonts w:hint="eastAsia"/>
        </w:rPr>
        <w:t>年促使颁布了第</w:t>
      </w:r>
      <w:r>
        <w:rPr>
          <w:rFonts w:hint="eastAsia"/>
        </w:rPr>
        <w:t>335/95</w:t>
      </w:r>
      <w:r>
        <w:rPr>
          <w:rFonts w:hint="eastAsia"/>
        </w:rPr>
        <w:t>号法，为意大利的养恤金制度确定了一种全新的结构，并从按工资计算的办法过渡到根据缴款额计算的办法。新的缴款制度是个基本步骤，在此基础上才可能稳定养恤金支出与国内生产总值之间的比率；这也是规则协调方面的好例子，可以被其他社会福利工作采用。这项法律还为领取退休金规定了年龄条件</w:t>
      </w:r>
      <w:r>
        <w:rPr>
          <w:rFonts w:hint="eastAsia"/>
        </w:rPr>
        <w:t>(</w:t>
      </w:r>
      <w:r>
        <w:rPr>
          <w:rFonts w:hint="eastAsia"/>
        </w:rPr>
        <w:t>已逐步上升到</w:t>
      </w:r>
      <w:r>
        <w:rPr>
          <w:rFonts w:hint="eastAsia"/>
        </w:rPr>
        <w:t>57</w:t>
      </w:r>
      <w:r>
        <w:rPr>
          <w:rFonts w:hint="eastAsia"/>
        </w:rPr>
        <w:t>岁</w:t>
      </w:r>
      <w:r>
        <w:rPr>
          <w:rFonts w:hint="eastAsia"/>
        </w:rPr>
        <w:t>)</w:t>
      </w:r>
      <w:r>
        <w:rPr>
          <w:rFonts w:hint="eastAsia"/>
        </w:rPr>
        <w:t>，和缴款年限条件，目前缴款年限为</w:t>
      </w:r>
      <w:r>
        <w:rPr>
          <w:rFonts w:hint="eastAsia"/>
        </w:rPr>
        <w:t>35</w:t>
      </w:r>
      <w:r>
        <w:rPr>
          <w:rFonts w:hint="eastAsia"/>
        </w:rPr>
        <w:t>年。最后，</w:t>
      </w:r>
      <w:r>
        <w:rPr>
          <w:rFonts w:hint="eastAsia"/>
        </w:rPr>
        <w:t>1997</w:t>
      </w:r>
      <w:r>
        <w:rPr>
          <w:rFonts w:hint="eastAsia"/>
        </w:rPr>
        <w:t>年颁布的预算法</w:t>
      </w:r>
      <w:r>
        <w:rPr>
          <w:rFonts w:hint="eastAsia"/>
        </w:rPr>
        <w:t>(</w:t>
      </w:r>
      <w:r>
        <w:rPr>
          <w:rFonts w:hint="eastAsia"/>
        </w:rPr>
        <w:t>第</w:t>
      </w:r>
      <w:r>
        <w:rPr>
          <w:rFonts w:hint="eastAsia"/>
        </w:rPr>
        <w:t>449/97</w:t>
      </w:r>
      <w:r>
        <w:rPr>
          <w:rFonts w:hint="eastAsia"/>
        </w:rPr>
        <w:t>号法</w:t>
      </w:r>
      <w:r>
        <w:rPr>
          <w:rFonts w:hint="eastAsia"/>
        </w:rPr>
        <w:t>)</w:t>
      </w:r>
      <w:r>
        <w:rPr>
          <w:rFonts w:hint="eastAsia"/>
        </w:rPr>
        <w:t>提出了一些重要措施，旨在确保各种规章条例更加和谐，具体说这些措施包括：在养老金条件方面使公共和私营部门的雇员一致；逐渐增加自营职业者的缴款比率；逐步延迟自营职业者的退休年龄</w:t>
      </w:r>
      <w:r>
        <w:rPr>
          <w:rFonts w:hint="eastAsia"/>
        </w:rPr>
        <w:t>(</w:t>
      </w:r>
      <w:r>
        <w:rPr>
          <w:rFonts w:hint="eastAsia"/>
        </w:rPr>
        <w:t>从</w:t>
      </w:r>
      <w:r>
        <w:rPr>
          <w:rFonts w:hint="eastAsia"/>
        </w:rPr>
        <w:t>57</w:t>
      </w:r>
      <w:r>
        <w:rPr>
          <w:rFonts w:hint="eastAsia"/>
        </w:rPr>
        <w:t>岁延至</w:t>
      </w:r>
      <w:r>
        <w:rPr>
          <w:rFonts w:hint="eastAsia"/>
        </w:rPr>
        <w:t>58</w:t>
      </w:r>
      <w:r>
        <w:rPr>
          <w:rFonts w:hint="eastAsia"/>
        </w:rPr>
        <w:t>岁</w:t>
      </w:r>
      <w:r>
        <w:rPr>
          <w:rFonts w:hint="eastAsia"/>
        </w:rPr>
        <w:t>)</w:t>
      </w:r>
      <w:r>
        <w:rPr>
          <w:rFonts w:hint="eastAsia"/>
        </w:rPr>
        <w:t>；缩短执行养老金方面新的年龄条件的期限。</w:t>
      </w:r>
    </w:p>
    <w:p w:rsidR="00000000" w:rsidRDefault="00000000">
      <w:pPr>
        <w:pStyle w:val="Heading4"/>
        <w:rPr>
          <w:rFonts w:hint="eastAsia"/>
        </w:rPr>
      </w:pPr>
      <w:r>
        <w:rPr>
          <w:rFonts w:hint="eastAsia"/>
        </w:rPr>
        <w:t>新计算方法</w:t>
      </w:r>
    </w:p>
    <w:p w:rsidR="00000000" w:rsidRDefault="00000000">
      <w:pPr>
        <w:rPr>
          <w:rFonts w:hint="eastAsia"/>
        </w:rPr>
      </w:pPr>
      <w:r>
        <w:rPr>
          <w:rFonts w:hint="eastAsia"/>
        </w:rPr>
        <w:tab/>
        <w:t xml:space="preserve">135.  </w:t>
      </w:r>
      <w:r>
        <w:rPr>
          <w:rFonts w:hint="eastAsia"/>
        </w:rPr>
        <w:t>新的缴款制度继续以分摊原则为基础，即目前的养恤金由就业工人的缴款支付，但养恤金的计算模拟一种以资本化为基础的计算办法；因此一笔缴款额被记入投保工人的账户贷方。这笔缴款额相当于：</w:t>
      </w:r>
    </w:p>
    <w:p w:rsidR="00000000" w:rsidRDefault="00000000">
      <w:pPr>
        <w:pStyle w:val="a0"/>
        <w:ind w:left="1530"/>
        <w:rPr>
          <w:rFonts w:hint="eastAsia"/>
        </w:rPr>
      </w:pPr>
      <w:r>
        <w:rPr>
          <w:rFonts w:hint="eastAsia"/>
        </w:rPr>
        <w:t>雇用劳动者应纳税收入的</w:t>
      </w:r>
      <w:r>
        <w:rPr>
          <w:rFonts w:hint="eastAsia"/>
        </w:rPr>
        <w:t>33%(</w:t>
      </w:r>
      <w:r>
        <w:rPr>
          <w:rFonts w:hint="eastAsia"/>
        </w:rPr>
        <w:t>目前的缴款比率为</w:t>
      </w:r>
      <w:r>
        <w:rPr>
          <w:rFonts w:hint="eastAsia"/>
        </w:rPr>
        <w:t>32.7%)</w:t>
      </w:r>
      <w:r>
        <w:rPr>
          <w:rFonts w:hint="eastAsia"/>
        </w:rPr>
        <w:t>；</w:t>
      </w:r>
    </w:p>
    <w:p w:rsidR="00000000" w:rsidRDefault="00000000">
      <w:pPr>
        <w:pStyle w:val="a0"/>
        <w:ind w:left="1530"/>
        <w:rPr>
          <w:rFonts w:hint="eastAsia"/>
        </w:rPr>
      </w:pPr>
      <w:r>
        <w:rPr>
          <w:rFonts w:hint="eastAsia"/>
        </w:rPr>
        <w:t>没有其他保障的自营职业者，包括非正式工作者应纳税收入的</w:t>
      </w:r>
      <w:r>
        <w:rPr>
          <w:rFonts w:hint="eastAsia"/>
        </w:rPr>
        <w:t>20%(</w:t>
      </w:r>
      <w:r>
        <w:rPr>
          <w:rFonts w:hint="eastAsia"/>
        </w:rPr>
        <w:t>目前比率较低，但正在逐步达到</w:t>
      </w:r>
      <w:r>
        <w:rPr>
          <w:rFonts w:hint="eastAsia"/>
        </w:rPr>
        <w:t>19%)</w:t>
      </w:r>
      <w:r>
        <w:rPr>
          <w:rFonts w:hint="eastAsia"/>
        </w:rPr>
        <w:t>。</w:t>
      </w:r>
    </w:p>
    <w:p w:rsidR="00000000" w:rsidRDefault="00000000">
      <w:pPr>
        <w:rPr>
          <w:rFonts w:hint="eastAsia"/>
        </w:rPr>
      </w:pPr>
      <w:r>
        <w:rPr>
          <w:rFonts w:hint="eastAsia"/>
        </w:rPr>
        <w:t>实际缴款额与记入贷方的缴款额之间的差额可以被视为控制财政平衡的一种手段，因为前者符合社会保障制度的供资条件，而后者旨在从社会角度出发使平均更新率保持在适当水平。记入贷方的缴款额年复一年地累积，并须根据五年内国内生产总值的平均名义变动率予以重新估价。</w:t>
      </w:r>
    </w:p>
    <w:p w:rsidR="00000000" w:rsidRDefault="00000000">
      <w:pPr>
        <w:rPr>
          <w:rFonts w:hint="eastAsia"/>
        </w:rPr>
      </w:pPr>
      <w:r>
        <w:rPr>
          <w:rFonts w:hint="eastAsia"/>
        </w:rPr>
        <w:tab/>
        <w:t xml:space="preserve">136.  </w:t>
      </w:r>
      <w:r>
        <w:rPr>
          <w:rFonts w:hint="eastAsia"/>
        </w:rPr>
        <w:t>只要工人已主动向强制性保险制度缴款至少五年，且他们有资格领取的养恤金金额至少超过社会津贴</w:t>
      </w:r>
      <w:r>
        <w:rPr>
          <w:rFonts w:hint="eastAsia"/>
        </w:rPr>
        <w:t>(</w:t>
      </w:r>
      <w:r>
        <w:rPr>
          <w:rFonts w:hint="eastAsia"/>
        </w:rPr>
        <w:t>目前将近为每月</w:t>
      </w:r>
      <w:r>
        <w:rPr>
          <w:rFonts w:hint="eastAsia"/>
        </w:rPr>
        <w:t>333</w:t>
      </w:r>
      <w:r>
        <w:rPr>
          <w:rFonts w:hint="eastAsia"/>
        </w:rPr>
        <w:t>欧元</w:t>
      </w:r>
      <w:r>
        <w:rPr>
          <w:rFonts w:hint="eastAsia"/>
        </w:rPr>
        <w:t>)</w:t>
      </w:r>
      <w:r>
        <w:rPr>
          <w:rFonts w:hint="eastAsia"/>
        </w:rPr>
        <w:t>的</w:t>
      </w:r>
      <w:r>
        <w:rPr>
          <w:rFonts w:hint="eastAsia"/>
        </w:rPr>
        <w:t>20%</w:t>
      </w:r>
      <w:r>
        <w:rPr>
          <w:rFonts w:hint="eastAsia"/>
        </w:rPr>
        <w:t>，则可在</w:t>
      </w:r>
      <w:r>
        <w:rPr>
          <w:rFonts w:hint="eastAsia"/>
        </w:rPr>
        <w:t>57</w:t>
      </w:r>
      <w:r>
        <w:rPr>
          <w:rFonts w:hint="eastAsia"/>
        </w:rPr>
        <w:t>岁至</w:t>
      </w:r>
      <w:r>
        <w:rPr>
          <w:rFonts w:hint="eastAsia"/>
        </w:rPr>
        <w:t>65</w:t>
      </w:r>
      <w:r>
        <w:rPr>
          <w:rFonts w:hint="eastAsia"/>
        </w:rPr>
        <w:t>岁间退休。一名工人退休时，每年退休金的金额由其总缴款额乘以特定的转换精算系数得出。这种系数通过对男女适用一种平均值来考虑退休时的预期寿命，同时还估计可能有的遗属人数。计算该系数时打了</w:t>
      </w:r>
      <w:r>
        <w:rPr>
          <w:rFonts w:hint="eastAsia"/>
        </w:rPr>
        <w:t>1.5%</w:t>
      </w:r>
      <w:r>
        <w:rPr>
          <w:rFonts w:hint="eastAsia"/>
        </w:rPr>
        <w:t>的折扣，几乎是实际国内生产总值的预期增长率。</w:t>
      </w:r>
    </w:p>
    <w:p w:rsidR="00000000" w:rsidRDefault="00000000">
      <w:pPr>
        <w:spacing w:after="320"/>
        <w:rPr>
          <w:rFonts w:hint="eastAsia"/>
        </w:rPr>
      </w:pPr>
      <w:r>
        <w:rPr>
          <w:rFonts w:hint="eastAsia"/>
        </w:rPr>
        <w:tab/>
        <w:t xml:space="preserve">137.  </w:t>
      </w:r>
      <w:r>
        <w:rPr>
          <w:rFonts w:hint="eastAsia"/>
        </w:rPr>
        <w:t>对于到</w:t>
      </w:r>
      <w:r>
        <w:rPr>
          <w:rFonts w:hint="eastAsia"/>
        </w:rPr>
        <w:t>1995</w:t>
      </w:r>
      <w:r>
        <w:rPr>
          <w:rFonts w:hint="eastAsia"/>
        </w:rPr>
        <w:t>年底缴款年限已满</w:t>
      </w:r>
      <w:r>
        <w:rPr>
          <w:rFonts w:hint="eastAsia"/>
        </w:rPr>
        <w:t>18</w:t>
      </w:r>
      <w:r>
        <w:rPr>
          <w:rFonts w:hint="eastAsia"/>
        </w:rPr>
        <w:t>年的工作者，仍然适用老的养恤金计算办法，而对于到</w:t>
      </w:r>
      <w:r>
        <w:rPr>
          <w:rFonts w:hint="eastAsia"/>
        </w:rPr>
        <w:t>1995</w:t>
      </w:r>
      <w:r>
        <w:rPr>
          <w:rFonts w:hint="eastAsia"/>
        </w:rPr>
        <w:t>年底缴款年限不足</w:t>
      </w:r>
      <w:r>
        <w:rPr>
          <w:rFonts w:hint="eastAsia"/>
        </w:rPr>
        <w:t>18</w:t>
      </w:r>
      <w:r>
        <w:rPr>
          <w:rFonts w:hint="eastAsia"/>
        </w:rPr>
        <w:t>年的工作者则按比例原则适用新的计算办法，即以</w:t>
      </w:r>
      <w:r>
        <w:rPr>
          <w:rFonts w:hint="eastAsia"/>
        </w:rPr>
        <w:t>1996</w:t>
      </w:r>
      <w:r>
        <w:rPr>
          <w:rFonts w:hint="eastAsia"/>
        </w:rPr>
        <w:t>年</w:t>
      </w:r>
      <w:r>
        <w:rPr>
          <w:rFonts w:hint="eastAsia"/>
        </w:rPr>
        <w:t>1</w:t>
      </w:r>
      <w:r>
        <w:rPr>
          <w:rFonts w:hint="eastAsia"/>
        </w:rPr>
        <w:t>月起缴纳的款额为准。对于所有新的缴款者，新法律还废除了按工龄领取退休金的制度。不过，这种退休金制度仍适用于所有在</w:t>
      </w:r>
      <w:r>
        <w:rPr>
          <w:rFonts w:hint="eastAsia"/>
        </w:rPr>
        <w:t>1995</w:t>
      </w:r>
      <w:r>
        <w:rPr>
          <w:rFonts w:hint="eastAsia"/>
        </w:rPr>
        <w:t>年年底以前开始工作的人，但条件是必须延迟最低退休年龄</w:t>
      </w:r>
      <w:r>
        <w:rPr>
          <w:rFonts w:hint="eastAsia"/>
        </w:rPr>
        <w:t>(</w:t>
      </w:r>
      <w:r>
        <w:rPr>
          <w:rFonts w:hint="eastAsia"/>
        </w:rPr>
        <w:t>目前为</w:t>
      </w:r>
      <w:r>
        <w:rPr>
          <w:rFonts w:hint="eastAsia"/>
        </w:rPr>
        <w:t>55</w:t>
      </w:r>
      <w:r>
        <w:rPr>
          <w:rFonts w:hint="eastAsia"/>
        </w:rPr>
        <w:t>岁，但将逐步增加，在</w:t>
      </w:r>
      <w:r>
        <w:rPr>
          <w:rFonts w:hint="eastAsia"/>
        </w:rPr>
        <w:t>2002</w:t>
      </w:r>
      <w:r>
        <w:rPr>
          <w:rFonts w:hint="eastAsia"/>
        </w:rPr>
        <w:t>年和</w:t>
      </w:r>
      <w:r>
        <w:rPr>
          <w:rFonts w:hint="eastAsia"/>
        </w:rPr>
        <w:t>2006</w:t>
      </w:r>
      <w:r>
        <w:rPr>
          <w:rFonts w:hint="eastAsia"/>
        </w:rPr>
        <w:t>年期间达到</w:t>
      </w:r>
      <w:r>
        <w:rPr>
          <w:rFonts w:hint="eastAsia"/>
        </w:rPr>
        <w:t>57</w:t>
      </w:r>
      <w:r>
        <w:rPr>
          <w:rFonts w:hint="eastAsia"/>
        </w:rPr>
        <w:t>岁</w:t>
      </w:r>
      <w:r>
        <w:rPr>
          <w:rFonts w:hint="eastAsia"/>
        </w:rPr>
        <w:t>)</w:t>
      </w:r>
      <w:r>
        <w:rPr>
          <w:rFonts w:hint="eastAsia"/>
        </w:rPr>
        <w:t>。如上所述，这项规则旨在减轻改革给即将退休的职业人口造成的影响。</w:t>
      </w:r>
    </w:p>
    <w:p w:rsidR="00000000" w:rsidRDefault="00000000">
      <w:pPr>
        <w:pStyle w:val="Heading4"/>
        <w:rPr>
          <w:rFonts w:hint="eastAsia"/>
        </w:rPr>
      </w:pPr>
      <w:r>
        <w:rPr>
          <w:rFonts w:hint="eastAsia"/>
        </w:rPr>
        <w:t>例外情况</w:t>
      </w:r>
    </w:p>
    <w:p w:rsidR="00000000" w:rsidRDefault="00000000">
      <w:pPr>
        <w:rPr>
          <w:rFonts w:hint="eastAsia"/>
        </w:rPr>
      </w:pPr>
      <w:r>
        <w:rPr>
          <w:rFonts w:hint="eastAsia"/>
        </w:rPr>
        <w:tab/>
        <w:t xml:space="preserve">138.  </w:t>
      </w:r>
      <w:r>
        <w:rPr>
          <w:rFonts w:hint="eastAsia"/>
        </w:rPr>
        <w:t>主要出于团结方面的考虑，改革法针对普遍的条例规定了一些例外情况，包括：</w:t>
      </w:r>
    </w:p>
    <w:p w:rsidR="00000000" w:rsidRDefault="00000000">
      <w:pPr>
        <w:pStyle w:val="a0"/>
        <w:ind w:left="1530"/>
        <w:rPr>
          <w:rFonts w:hint="eastAsia"/>
        </w:rPr>
      </w:pPr>
      <w:r>
        <w:rPr>
          <w:rFonts w:hint="eastAsia"/>
        </w:rPr>
        <w:t>缴款年限已满</w:t>
      </w:r>
      <w:r>
        <w:rPr>
          <w:rFonts w:hint="eastAsia"/>
        </w:rPr>
        <w:t>40</w:t>
      </w:r>
      <w:r>
        <w:rPr>
          <w:rFonts w:hint="eastAsia"/>
        </w:rPr>
        <w:t>年或更多的工作者，可以在</w:t>
      </w:r>
      <w:r>
        <w:rPr>
          <w:rFonts w:hint="eastAsia"/>
        </w:rPr>
        <w:t>57</w:t>
      </w:r>
      <w:r>
        <w:rPr>
          <w:rFonts w:hint="eastAsia"/>
        </w:rPr>
        <w:t>岁以前退休，计算他们的退休金时使用与年满</w:t>
      </w:r>
      <w:r>
        <w:rPr>
          <w:rFonts w:hint="eastAsia"/>
        </w:rPr>
        <w:t>57</w:t>
      </w:r>
      <w:r>
        <w:rPr>
          <w:rFonts w:hint="eastAsia"/>
        </w:rPr>
        <w:t>岁的退休者相同的转换系数。此外，</w:t>
      </w:r>
      <w:r>
        <w:rPr>
          <w:rFonts w:hint="eastAsia"/>
        </w:rPr>
        <w:t>18</w:t>
      </w:r>
      <w:r>
        <w:rPr>
          <w:rFonts w:hint="eastAsia"/>
        </w:rPr>
        <w:t>岁以前所缴款额的价值可被增加</w:t>
      </w:r>
      <w:r>
        <w:rPr>
          <w:rFonts w:hint="eastAsia"/>
        </w:rPr>
        <w:t>50%</w:t>
      </w:r>
      <w:r>
        <w:rPr>
          <w:rFonts w:hint="eastAsia"/>
        </w:rPr>
        <w:t>；</w:t>
      </w:r>
    </w:p>
    <w:p w:rsidR="00000000" w:rsidRDefault="00000000">
      <w:pPr>
        <w:pStyle w:val="a0"/>
        <w:ind w:left="1530"/>
        <w:rPr>
          <w:rFonts w:hint="eastAsia"/>
        </w:rPr>
      </w:pPr>
      <w:r>
        <w:rPr>
          <w:rFonts w:hint="eastAsia"/>
        </w:rPr>
        <w:t>从事极端困难和危险工作</w:t>
      </w:r>
      <w:r>
        <w:rPr>
          <w:rFonts w:hint="eastAsia"/>
        </w:rPr>
        <w:t>(</w:t>
      </w:r>
      <w:r>
        <w:rPr>
          <w:rFonts w:hint="eastAsia"/>
        </w:rPr>
        <w:t>即所谓“累人的工作”</w:t>
      </w:r>
      <w:r>
        <w:rPr>
          <w:rFonts w:hint="eastAsia"/>
        </w:rPr>
        <w:t>)</w:t>
      </w:r>
      <w:r>
        <w:rPr>
          <w:rFonts w:hint="eastAsia"/>
        </w:rPr>
        <w:t>的人有权享受某种优惠待遇，每从事这类工作六年可使转换系数增加一年；</w:t>
      </w:r>
    </w:p>
    <w:p w:rsidR="00000000" w:rsidRDefault="00000000">
      <w:pPr>
        <w:pStyle w:val="a0"/>
        <w:ind w:left="1530"/>
        <w:rPr>
          <w:rFonts w:hint="eastAsia"/>
        </w:rPr>
      </w:pPr>
      <w:r>
        <w:rPr>
          <w:rFonts w:hint="eastAsia"/>
        </w:rPr>
        <w:t>对于有一到两个子女的女性工作者，有权使转换系数增加一年，而对于有三个或更多子女的女性工作者，则有权使转换系数增加两年；</w:t>
      </w:r>
    </w:p>
    <w:p w:rsidR="00000000" w:rsidRDefault="00000000">
      <w:pPr>
        <w:pStyle w:val="a0"/>
        <w:ind w:left="1530"/>
        <w:rPr>
          <w:rFonts w:hint="eastAsia"/>
        </w:rPr>
      </w:pPr>
      <w:r>
        <w:rPr>
          <w:rFonts w:hint="eastAsia"/>
        </w:rPr>
        <w:t>准许职业父母出于子女的教育或看护</w:t>
      </w:r>
      <w:r>
        <w:rPr>
          <w:rFonts w:hint="eastAsia"/>
        </w:rPr>
        <w:t>(</w:t>
      </w:r>
      <w:r>
        <w:rPr>
          <w:rFonts w:hint="eastAsia"/>
        </w:rPr>
        <w:t>直到六岁</w:t>
      </w:r>
      <w:r>
        <w:rPr>
          <w:rFonts w:hint="eastAsia"/>
        </w:rPr>
        <w:t>)</w:t>
      </w:r>
      <w:r>
        <w:rPr>
          <w:rFonts w:hint="eastAsia"/>
        </w:rPr>
        <w:t>理由而缺勤，最长期限为每个子女</w:t>
      </w:r>
      <w:r>
        <w:rPr>
          <w:rFonts w:hint="eastAsia"/>
        </w:rPr>
        <w:t>170</w:t>
      </w:r>
      <w:r>
        <w:rPr>
          <w:rFonts w:hint="eastAsia"/>
        </w:rPr>
        <w:t>天；</w:t>
      </w:r>
    </w:p>
    <w:p w:rsidR="00000000" w:rsidRDefault="00000000">
      <w:pPr>
        <w:pStyle w:val="a0"/>
        <w:spacing w:after="320"/>
        <w:ind w:left="1530"/>
        <w:rPr>
          <w:rFonts w:hint="eastAsia"/>
        </w:rPr>
      </w:pPr>
      <w:r>
        <w:rPr>
          <w:rFonts w:hint="eastAsia"/>
        </w:rPr>
        <w:t>准许家庭成员为照顾同住在一起的亲属而请假，但期限每年至多</w:t>
      </w:r>
      <w:r>
        <w:rPr>
          <w:rFonts w:hint="eastAsia"/>
        </w:rPr>
        <w:t>25</w:t>
      </w:r>
      <w:r>
        <w:rPr>
          <w:rFonts w:hint="eastAsia"/>
        </w:rPr>
        <w:t>天，总共不得超过</w:t>
      </w:r>
      <w:r>
        <w:rPr>
          <w:rFonts w:hint="eastAsia"/>
        </w:rPr>
        <w:t>24</w:t>
      </w:r>
      <w:r>
        <w:rPr>
          <w:rFonts w:hint="eastAsia"/>
        </w:rPr>
        <w:t>个月。</w:t>
      </w:r>
    </w:p>
    <w:p w:rsidR="00000000" w:rsidRDefault="00000000">
      <w:pPr>
        <w:pStyle w:val="Heading4"/>
        <w:rPr>
          <w:rFonts w:hint="eastAsia"/>
        </w:rPr>
      </w:pPr>
      <w:r>
        <w:rPr>
          <w:rFonts w:hint="eastAsia"/>
        </w:rPr>
        <w:t>发展补充性和个人社会保障</w:t>
      </w:r>
    </w:p>
    <w:p w:rsidR="00000000" w:rsidRDefault="00000000">
      <w:pPr>
        <w:rPr>
          <w:rFonts w:hint="eastAsia"/>
        </w:rPr>
      </w:pPr>
      <w:r>
        <w:rPr>
          <w:rFonts w:hint="eastAsia"/>
        </w:rPr>
        <w:tab/>
        <w:t xml:space="preserve">139.  </w:t>
      </w:r>
      <w:r>
        <w:rPr>
          <w:rFonts w:hint="eastAsia"/>
        </w:rPr>
        <w:t>最近的改革为发展补充性和个人社会保障形式展示了新的前景。事实上，九十年代中自我保护的办法变得日益重要。直接人寿保险业务的总保险额由</w:t>
      </w:r>
      <w:r>
        <w:rPr>
          <w:rFonts w:hint="eastAsia"/>
        </w:rPr>
        <w:t>1991</w:t>
      </w:r>
      <w:r>
        <w:rPr>
          <w:rFonts w:hint="eastAsia"/>
        </w:rPr>
        <w:t>年的</w:t>
      </w:r>
      <w:r>
        <w:rPr>
          <w:rFonts w:hint="eastAsia"/>
        </w:rPr>
        <w:t>547,300</w:t>
      </w:r>
      <w:r>
        <w:rPr>
          <w:rFonts w:hint="eastAsia"/>
        </w:rPr>
        <w:t>万欧元增加到</w:t>
      </w:r>
      <w:r>
        <w:rPr>
          <w:rFonts w:hint="eastAsia"/>
        </w:rPr>
        <w:t>1999</w:t>
      </w:r>
      <w:r>
        <w:rPr>
          <w:rFonts w:hint="eastAsia"/>
        </w:rPr>
        <w:t>年的</w:t>
      </w:r>
      <w:r>
        <w:rPr>
          <w:rFonts w:hint="eastAsia"/>
        </w:rPr>
        <w:t>3,559,520</w:t>
      </w:r>
      <w:r>
        <w:rPr>
          <w:rFonts w:hint="eastAsia"/>
        </w:rPr>
        <w:t>万欧元，名义上增加了</w:t>
      </w:r>
      <w:r>
        <w:rPr>
          <w:rFonts w:hint="eastAsia"/>
        </w:rPr>
        <w:t>550.3%</w:t>
      </w:r>
      <w:r>
        <w:rPr>
          <w:rFonts w:hint="eastAsia"/>
        </w:rPr>
        <w:t>。在补充性社会保障方面，除集体社会保障</w:t>
      </w:r>
      <w:r>
        <w:rPr>
          <w:rFonts w:hint="eastAsia"/>
        </w:rPr>
        <w:t>(</w:t>
      </w:r>
      <w:r>
        <w:rPr>
          <w:rFonts w:hint="eastAsia"/>
        </w:rPr>
        <w:t>养恤金基金</w:t>
      </w:r>
      <w:r>
        <w:rPr>
          <w:rFonts w:hint="eastAsia"/>
        </w:rPr>
        <w:t>)</w:t>
      </w:r>
      <w:r>
        <w:rPr>
          <w:rFonts w:hint="eastAsia"/>
        </w:rPr>
        <w:t>外，新条例规定要确立个人养恤金方案，这种方案需要参加某种开放式基金或签署人寿保险合同以便能获得终身年金，同时能够有限地构成资本。这些合同自</w:t>
      </w:r>
      <w:r>
        <w:rPr>
          <w:rFonts w:hint="eastAsia"/>
        </w:rPr>
        <w:t>2000</w:t>
      </w:r>
      <w:r>
        <w:rPr>
          <w:rFonts w:hint="eastAsia"/>
        </w:rPr>
        <w:t>年起允许预付资金，但只限于职业培训期间的开支。此外，如果有极大的医疗保健开支或者要购买或整修住房，这些合同甚至准许部分退还保金。至于税收，新条例规定了从应纳税收入中扣除向集体补充性社会保障</w:t>
      </w:r>
      <w:r>
        <w:rPr>
          <w:rFonts w:hint="eastAsia"/>
        </w:rPr>
        <w:t>(</w:t>
      </w:r>
      <w:r>
        <w:rPr>
          <w:rFonts w:hint="eastAsia"/>
        </w:rPr>
        <w:t>养恤金基金</w:t>
      </w:r>
      <w:r>
        <w:rPr>
          <w:rFonts w:hint="eastAsia"/>
        </w:rPr>
        <w:t>)</w:t>
      </w:r>
      <w:r>
        <w:rPr>
          <w:rFonts w:hint="eastAsia"/>
        </w:rPr>
        <w:t>，和向个人补充性社会保障缴款的金额，在收入总额不超过</w:t>
      </w:r>
      <w:r>
        <w:rPr>
          <w:rFonts w:hint="eastAsia"/>
        </w:rPr>
        <w:t>5,164.57</w:t>
      </w:r>
      <w:r>
        <w:rPr>
          <w:rFonts w:hint="eastAsia"/>
        </w:rPr>
        <w:t>欧元的情况下，扣除额最多占收入总额的</w:t>
      </w:r>
      <w:r>
        <w:rPr>
          <w:rFonts w:hint="eastAsia"/>
        </w:rPr>
        <w:t>12%</w:t>
      </w:r>
      <w:r>
        <w:rPr>
          <w:rFonts w:hint="eastAsia"/>
        </w:rPr>
        <w:t>。</w:t>
      </w:r>
    </w:p>
    <w:p w:rsidR="00000000" w:rsidRDefault="00000000">
      <w:pPr>
        <w:rPr>
          <w:rFonts w:hint="eastAsia"/>
        </w:rPr>
      </w:pPr>
      <w:r>
        <w:rPr>
          <w:rFonts w:hint="eastAsia"/>
        </w:rPr>
        <w:tab/>
        <w:t>140.  1999</w:t>
      </w:r>
      <w:r>
        <w:rPr>
          <w:rFonts w:hint="eastAsia"/>
        </w:rPr>
        <w:t>年中实施的一些规定将强制性社会保障制度扩及至在国家机关、私有化的强制性社会保障和保险管理公司中工作的人，以及农业部门中持有定期合同的雇用劳动者。</w:t>
      </w:r>
      <w:r>
        <w:rPr>
          <w:rFonts w:hint="eastAsia"/>
        </w:rPr>
        <w:t>1999</w:t>
      </w:r>
      <w:r>
        <w:rPr>
          <w:rFonts w:hint="eastAsia"/>
        </w:rPr>
        <w:t>年至</w:t>
      </w:r>
      <w:r>
        <w:rPr>
          <w:rFonts w:hint="eastAsia"/>
        </w:rPr>
        <w:t>2002</w:t>
      </w:r>
      <w:r>
        <w:rPr>
          <w:rFonts w:hint="eastAsia"/>
        </w:rPr>
        <w:t>年这四年期间，作为一种尝试性措施，政府允许在企业和工人均同意的前提下，由企业将解雇金以财政债务证券的形式拨给养恤金基金。最后，</w:t>
      </w:r>
      <w:r>
        <w:rPr>
          <w:rFonts w:hint="eastAsia"/>
        </w:rPr>
        <w:t>1999</w:t>
      </w:r>
      <w:r>
        <w:rPr>
          <w:rFonts w:hint="eastAsia"/>
        </w:rPr>
        <w:t>年中，经工会同意，启动了程序为公共部门确立一种补充性社会保障制度。</w:t>
      </w:r>
    </w:p>
    <w:p w:rsidR="00000000" w:rsidRDefault="00000000">
      <w:pPr>
        <w:spacing w:after="320"/>
        <w:rPr>
          <w:rFonts w:hint="eastAsia"/>
        </w:rPr>
      </w:pPr>
      <w:r>
        <w:rPr>
          <w:rFonts w:hint="eastAsia"/>
        </w:rPr>
        <w:tab/>
        <w:t xml:space="preserve">141.  </w:t>
      </w:r>
      <w:r>
        <w:rPr>
          <w:rFonts w:hint="eastAsia"/>
        </w:rPr>
        <w:t>意大利为发展补充性社会保障制度而作出的努力开始获得一些初步成果。自</w:t>
      </w:r>
      <w:r>
        <w:rPr>
          <w:rFonts w:hint="eastAsia"/>
        </w:rPr>
        <w:t>2000</w:t>
      </w:r>
      <w:r>
        <w:rPr>
          <w:rFonts w:hint="eastAsia"/>
        </w:rPr>
        <w:t>年</w:t>
      </w:r>
      <w:r>
        <w:rPr>
          <w:rFonts w:hint="eastAsia"/>
        </w:rPr>
        <w:t>9</w:t>
      </w:r>
      <w:r>
        <w:rPr>
          <w:rFonts w:hint="eastAsia"/>
        </w:rPr>
        <w:t>月</w:t>
      </w:r>
      <w:r>
        <w:rPr>
          <w:rFonts w:hint="eastAsia"/>
        </w:rPr>
        <w:t>30</w:t>
      </w:r>
      <w:r>
        <w:rPr>
          <w:rFonts w:hint="eastAsia"/>
        </w:rPr>
        <w:t>日以来已运作有近</w:t>
      </w:r>
      <w:r>
        <w:rPr>
          <w:rFonts w:hint="eastAsia"/>
        </w:rPr>
        <w:t>705</w:t>
      </w:r>
      <w:r>
        <w:rPr>
          <w:rFonts w:hint="eastAsia"/>
        </w:rPr>
        <w:t>种养恤金基金，登记参加这些养恤金的总人数达</w:t>
      </w:r>
      <w:r>
        <w:rPr>
          <w:rFonts w:hint="eastAsia"/>
        </w:rPr>
        <w:t>1,695,682</w:t>
      </w:r>
      <w:r>
        <w:rPr>
          <w:rFonts w:hint="eastAsia"/>
        </w:rPr>
        <w:t>，与</w:t>
      </w:r>
      <w:r>
        <w:rPr>
          <w:rFonts w:hint="eastAsia"/>
        </w:rPr>
        <w:t>1999</w:t>
      </w:r>
      <w:r>
        <w:rPr>
          <w:rFonts w:hint="eastAsia"/>
        </w:rPr>
        <w:t>年年底相比增加了</w:t>
      </w:r>
      <w:r>
        <w:rPr>
          <w:rFonts w:hint="eastAsia"/>
        </w:rPr>
        <w:t>17.3%</w:t>
      </w:r>
      <w:r>
        <w:rPr>
          <w:rFonts w:hint="eastAsia"/>
        </w:rPr>
        <w:t>。考虑到承保人数目与潜在承保人总数之间的比率，登记率为</w:t>
      </w:r>
      <w:r>
        <w:rPr>
          <w:rFonts w:hint="eastAsia"/>
        </w:rPr>
        <w:t>30.5%</w:t>
      </w:r>
      <w:r>
        <w:rPr>
          <w:rFonts w:hint="eastAsia"/>
        </w:rPr>
        <w:t>，比</w:t>
      </w:r>
      <w:r>
        <w:rPr>
          <w:rFonts w:hint="eastAsia"/>
        </w:rPr>
        <w:t>1999</w:t>
      </w:r>
      <w:r>
        <w:rPr>
          <w:rFonts w:hint="eastAsia"/>
        </w:rPr>
        <w:t>年</w:t>
      </w:r>
      <w:r>
        <w:rPr>
          <w:rFonts w:hint="eastAsia"/>
        </w:rPr>
        <w:t>12</w:t>
      </w:r>
      <w:r>
        <w:rPr>
          <w:rFonts w:hint="eastAsia"/>
        </w:rPr>
        <w:t>月时高出</w:t>
      </w:r>
      <w:r>
        <w:rPr>
          <w:rFonts w:hint="eastAsia"/>
        </w:rPr>
        <w:t>4</w:t>
      </w:r>
      <w:r>
        <w:rPr>
          <w:rFonts w:hint="eastAsia"/>
        </w:rPr>
        <w:t>个百分点。登记参加开放式基金的人数越来越多，但仍大大少于参加合同式基金的人数。现有数据仍表明到</w:t>
      </w:r>
      <w:r>
        <w:rPr>
          <w:rFonts w:hint="eastAsia"/>
        </w:rPr>
        <w:t>1999</w:t>
      </w:r>
      <w:r>
        <w:rPr>
          <w:rFonts w:hint="eastAsia"/>
        </w:rPr>
        <w:t>年年底，登记者中</w:t>
      </w:r>
      <w:r>
        <w:rPr>
          <w:rFonts w:hint="eastAsia"/>
        </w:rPr>
        <w:t>78.8%</w:t>
      </w:r>
      <w:r>
        <w:rPr>
          <w:rFonts w:hint="eastAsia"/>
        </w:rPr>
        <w:t>是那些</w:t>
      </w:r>
      <w:r>
        <w:rPr>
          <w:rFonts w:hint="eastAsia"/>
        </w:rPr>
        <w:t>1995</w:t>
      </w:r>
      <w:r>
        <w:rPr>
          <w:rFonts w:hint="eastAsia"/>
        </w:rPr>
        <w:t>年改革时缴款年限不满</w:t>
      </w:r>
      <w:r>
        <w:rPr>
          <w:rFonts w:hint="eastAsia"/>
        </w:rPr>
        <w:t>18</w:t>
      </w:r>
      <w:r>
        <w:rPr>
          <w:rFonts w:hint="eastAsia"/>
        </w:rPr>
        <w:t>年的工作者，他们将因公共养恤金覆盖面缩减而受到影响。另一方面，在报告的人数中，年轻人及女性的比例不足。</w:t>
      </w:r>
    </w:p>
    <w:p w:rsidR="00000000" w:rsidRDefault="00000000">
      <w:pPr>
        <w:pStyle w:val="Heading4"/>
        <w:rPr>
          <w:rFonts w:hint="eastAsia"/>
        </w:rPr>
      </w:pPr>
      <w:r>
        <w:rPr>
          <w:rFonts w:hint="eastAsia"/>
        </w:rPr>
        <w:t>社会福利措施</w:t>
      </w:r>
    </w:p>
    <w:p w:rsidR="00000000" w:rsidRDefault="00000000">
      <w:pPr>
        <w:spacing w:after="320"/>
        <w:rPr>
          <w:rFonts w:hint="eastAsia"/>
        </w:rPr>
      </w:pPr>
      <w:r>
        <w:rPr>
          <w:rFonts w:hint="eastAsia"/>
        </w:rPr>
        <w:tab/>
        <w:t xml:space="preserve">142.  </w:t>
      </w:r>
      <w:r>
        <w:rPr>
          <w:rFonts w:hint="eastAsia"/>
        </w:rPr>
        <w:t>这一节只列举有益于穷人的主要社会福利措施，并将社会保险型措施与社会援助型措施区分开。这种区分的主要依据是，前者主要是靠缴款供资，而后者则通过普遍征税来资助。一个人有无权利享受社会保险型措施主要取决于他</w:t>
      </w:r>
      <w:r>
        <w:rPr>
          <w:rFonts w:hint="eastAsia"/>
        </w:rPr>
        <w:t>/</w:t>
      </w:r>
      <w:r>
        <w:rPr>
          <w:rFonts w:hint="eastAsia"/>
        </w:rPr>
        <w:t>她的就业经历。</w:t>
      </w:r>
    </w:p>
    <w:p w:rsidR="00000000" w:rsidRDefault="00000000">
      <w:pPr>
        <w:pStyle w:val="Heading4"/>
        <w:rPr>
          <w:rFonts w:hint="eastAsia"/>
        </w:rPr>
      </w:pPr>
      <w:r>
        <w:rPr>
          <w:rFonts w:hint="eastAsia"/>
        </w:rPr>
        <w:t>社会保险型措施</w:t>
      </w:r>
    </w:p>
    <w:p w:rsidR="00000000" w:rsidRDefault="00000000">
      <w:pPr>
        <w:rPr>
          <w:rFonts w:hint="eastAsia"/>
        </w:rPr>
      </w:pPr>
      <w:r>
        <w:rPr>
          <w:rFonts w:hint="eastAsia"/>
        </w:rPr>
        <w:tab/>
        <w:t xml:space="preserve">143.  </w:t>
      </w:r>
      <w:r>
        <w:rPr>
          <w:rFonts w:hint="eastAsia"/>
        </w:rPr>
        <w:t>这些措施由国家社会保障局提供，包括：</w:t>
      </w:r>
    </w:p>
    <w:p w:rsidR="00000000" w:rsidRDefault="00000000">
      <w:pPr>
        <w:numPr>
          <w:ilvl w:val="0"/>
          <w:numId w:val="86"/>
        </w:numPr>
        <w:rPr>
          <w:rFonts w:hint="eastAsia"/>
        </w:rPr>
      </w:pPr>
      <w:r>
        <w:rPr>
          <w:rFonts w:hint="eastAsia"/>
        </w:rPr>
        <w:t>家庭津贴：根据收入情况每月拨发给有家庭负担的雇用劳动者或前雇用劳动者。津贴的金额直接与家庭规模成正比，但与收入成反比。</w:t>
      </w:r>
      <w:r>
        <w:rPr>
          <w:rFonts w:hint="eastAsia"/>
        </w:rPr>
        <w:t>1999</w:t>
      </w:r>
      <w:r>
        <w:rPr>
          <w:rFonts w:hint="eastAsia"/>
        </w:rPr>
        <w:t>年起，自营职业者也可申请家庭津贴，但资格标准比雇佣劳动者要严格。</w:t>
      </w:r>
    </w:p>
    <w:p w:rsidR="00000000" w:rsidRDefault="00000000">
      <w:pPr>
        <w:numPr>
          <w:ilvl w:val="0"/>
          <w:numId w:val="86"/>
        </w:numPr>
        <w:rPr>
          <w:rFonts w:hint="eastAsia"/>
        </w:rPr>
      </w:pPr>
      <w:r>
        <w:rPr>
          <w:rFonts w:hint="eastAsia"/>
        </w:rPr>
        <w:t>养恤金追加额：拨发给养恤金金额低于法定最低标准</w:t>
      </w:r>
      <w:r>
        <w:rPr>
          <w:rFonts w:hint="eastAsia"/>
        </w:rPr>
        <w:t>(2002</w:t>
      </w:r>
      <w:r>
        <w:rPr>
          <w:rFonts w:hint="eastAsia"/>
        </w:rPr>
        <w:t>年时约为</w:t>
      </w:r>
      <w:r>
        <w:rPr>
          <w:rFonts w:hint="eastAsia"/>
        </w:rPr>
        <w:t>5,100</w:t>
      </w:r>
      <w:r>
        <w:rPr>
          <w:rFonts w:hint="eastAsia"/>
        </w:rPr>
        <w:t>欧元</w:t>
      </w:r>
      <w:r>
        <w:rPr>
          <w:rFonts w:hint="eastAsia"/>
        </w:rPr>
        <w:t xml:space="preserve">) </w:t>
      </w:r>
      <w:r>
        <w:rPr>
          <w:rStyle w:val="EndnoteReference"/>
        </w:rPr>
        <w:endnoteReference w:id="2"/>
      </w:r>
      <w:r>
        <w:rPr>
          <w:rFonts w:hint="eastAsia"/>
        </w:rPr>
        <w:t xml:space="preserve"> </w:t>
      </w:r>
      <w:r>
        <w:rPr>
          <w:rFonts w:hint="eastAsia"/>
        </w:rPr>
        <w:t>的缴费制养恤金领取人。拨发追加额必须根据潜在受益者应纳税收入的情况</w:t>
      </w:r>
      <w:r>
        <w:rPr>
          <w:rFonts w:hint="eastAsia"/>
        </w:rPr>
        <w:t>(</w:t>
      </w:r>
      <w:r>
        <w:rPr>
          <w:rFonts w:hint="eastAsia"/>
        </w:rPr>
        <w:t>对</w:t>
      </w:r>
      <w:r>
        <w:rPr>
          <w:rFonts w:hint="eastAsia"/>
        </w:rPr>
        <w:t>1994</w:t>
      </w:r>
      <w:r>
        <w:rPr>
          <w:rFonts w:hint="eastAsia"/>
        </w:rPr>
        <w:t>年以后提出申请的已婚者，还要考虑其配偶的应纳税收入情况</w:t>
      </w:r>
      <w:r>
        <w:rPr>
          <w:rFonts w:hint="eastAsia"/>
        </w:rPr>
        <w:t>)</w:t>
      </w:r>
      <w:r>
        <w:rPr>
          <w:rFonts w:hint="eastAsia"/>
        </w:rPr>
        <w:t>以及缴款期限</w:t>
      </w:r>
      <w:r>
        <w:rPr>
          <w:rFonts w:hint="eastAsia"/>
        </w:rPr>
        <w:t>(</w:t>
      </w:r>
      <w:r>
        <w:rPr>
          <w:rFonts w:hint="eastAsia"/>
        </w:rPr>
        <w:t>必须达到</w:t>
      </w:r>
      <w:r>
        <w:rPr>
          <w:rFonts w:hint="eastAsia"/>
        </w:rPr>
        <w:t>15</w:t>
      </w:r>
      <w:r>
        <w:rPr>
          <w:rFonts w:hint="eastAsia"/>
        </w:rPr>
        <w:t>年</w:t>
      </w:r>
      <w:r>
        <w:rPr>
          <w:rFonts w:hint="eastAsia"/>
        </w:rPr>
        <w:t>)</w:t>
      </w:r>
      <w:r>
        <w:rPr>
          <w:rFonts w:hint="eastAsia"/>
        </w:rPr>
        <w:t>来决定。于</w:t>
      </w:r>
      <w:r>
        <w:rPr>
          <w:rFonts w:hint="eastAsia"/>
        </w:rPr>
        <w:t>1996</w:t>
      </w:r>
      <w:r>
        <w:rPr>
          <w:rFonts w:hint="eastAsia"/>
        </w:rPr>
        <w:t>年</w:t>
      </w:r>
      <w:r>
        <w:rPr>
          <w:rFonts w:hint="eastAsia"/>
        </w:rPr>
        <w:t>1</w:t>
      </w:r>
      <w:r>
        <w:rPr>
          <w:rFonts w:hint="eastAsia"/>
        </w:rPr>
        <w:t>月</w:t>
      </w:r>
      <w:r>
        <w:rPr>
          <w:rFonts w:hint="eastAsia"/>
        </w:rPr>
        <w:t>1</w:t>
      </w:r>
      <w:r>
        <w:rPr>
          <w:rFonts w:hint="eastAsia"/>
        </w:rPr>
        <w:t>日后进入劳力市场的人无权享受这种追加额，因为在转变为以缴款为基础，工作合同结束后支付的制度后，他们的养恤金将是累积的缴款额及利息的一部分，没有任何追加额。在这里所考察的措施中，养恤金追加额的受益者人数最多：</w:t>
      </w:r>
      <w:r>
        <w:rPr>
          <w:rFonts w:hint="eastAsia"/>
        </w:rPr>
        <w:t>2000</w:t>
      </w:r>
      <w:r>
        <w:rPr>
          <w:rFonts w:hint="eastAsia"/>
        </w:rPr>
        <w:t>年超过</w:t>
      </w:r>
      <w:r>
        <w:rPr>
          <w:rFonts w:hint="eastAsia"/>
        </w:rPr>
        <w:t>440</w:t>
      </w:r>
      <w:r>
        <w:rPr>
          <w:rFonts w:hint="eastAsia"/>
        </w:rPr>
        <w:t>万。</w:t>
      </w:r>
    </w:p>
    <w:p w:rsidR="00000000" w:rsidRDefault="00000000">
      <w:pPr>
        <w:numPr>
          <w:ilvl w:val="0"/>
          <w:numId w:val="86"/>
        </w:numPr>
        <w:spacing w:after="320"/>
        <w:rPr>
          <w:rFonts w:hint="eastAsia"/>
        </w:rPr>
      </w:pPr>
      <w:r>
        <w:rPr>
          <w:rFonts w:hint="eastAsia"/>
        </w:rPr>
        <w:t>残疾养恤金：支付给已缴款至少五年</w:t>
      </w:r>
      <w:r>
        <w:rPr>
          <w:rFonts w:hint="eastAsia"/>
        </w:rPr>
        <w:t>(</w:t>
      </w:r>
      <w:r>
        <w:rPr>
          <w:rFonts w:hint="eastAsia"/>
        </w:rPr>
        <w:t>其中三年必须在最近五年内</w:t>
      </w:r>
      <w:r>
        <w:rPr>
          <w:rFonts w:hint="eastAsia"/>
        </w:rPr>
        <w:t>)</w:t>
      </w:r>
      <w:r>
        <w:rPr>
          <w:rFonts w:hint="eastAsia"/>
        </w:rPr>
        <w:t>的工作者。有无资格获得这种养恤金须根据医疗检查和收入情况来决定，如必要，养恤金金额可在最低限度内得到追加。</w:t>
      </w:r>
    </w:p>
    <w:p w:rsidR="00000000" w:rsidRDefault="00000000">
      <w:pPr>
        <w:pStyle w:val="Heading4"/>
        <w:rPr>
          <w:rFonts w:hint="eastAsia"/>
        </w:rPr>
      </w:pPr>
      <w:r>
        <w:rPr>
          <w:rFonts w:hint="eastAsia"/>
        </w:rPr>
        <w:t>社会援助型措施</w:t>
      </w:r>
    </w:p>
    <w:p w:rsidR="00000000" w:rsidRDefault="00000000">
      <w:pPr>
        <w:rPr>
          <w:rFonts w:hint="eastAsia"/>
        </w:rPr>
      </w:pPr>
      <w:r>
        <w:rPr>
          <w:rFonts w:hint="eastAsia"/>
        </w:rPr>
        <w:tab/>
        <w:t xml:space="preserve">144.  </w:t>
      </w:r>
      <w:r>
        <w:rPr>
          <w:rFonts w:hint="eastAsia"/>
        </w:rPr>
        <w:t>这些措施包括：</w:t>
      </w:r>
    </w:p>
    <w:p w:rsidR="00000000" w:rsidRDefault="00000000">
      <w:pPr>
        <w:numPr>
          <w:ilvl w:val="0"/>
          <w:numId w:val="87"/>
        </w:numPr>
        <w:rPr>
          <w:rFonts w:hint="eastAsia"/>
        </w:rPr>
      </w:pPr>
      <w:r>
        <w:rPr>
          <w:rFonts w:hint="eastAsia"/>
        </w:rPr>
        <w:t>民事残疾养恤金：这种非缴费制养恤金拨发给残疾人，且在领取的同时可以从事工作活动。对收入情况的审查完全限于受益者个人，不考虑其家庭规模的大小。</w:t>
      </w:r>
      <w:r>
        <w:rPr>
          <w:rFonts w:hint="eastAsia"/>
        </w:rPr>
        <w:t>1984</w:t>
      </w:r>
      <w:r>
        <w:rPr>
          <w:rFonts w:hint="eastAsia"/>
        </w:rPr>
        <w:t>年后，这种养恤金方案取代了国家社会保障局的残疾养恤金。</w:t>
      </w:r>
      <w:r>
        <w:rPr>
          <w:rFonts w:hint="eastAsia"/>
        </w:rPr>
        <w:t>1999</w:t>
      </w:r>
      <w:r>
        <w:rPr>
          <w:rFonts w:hint="eastAsia"/>
        </w:rPr>
        <w:t>年中，受益于这种养恤金的人数约达</w:t>
      </w:r>
      <w:r>
        <w:rPr>
          <w:rFonts w:hint="eastAsia"/>
        </w:rPr>
        <w:t>1,260,000</w:t>
      </w:r>
      <w:r>
        <w:rPr>
          <w:rFonts w:hint="eastAsia"/>
        </w:rPr>
        <w:t>人。</w:t>
      </w:r>
    </w:p>
    <w:p w:rsidR="00000000" w:rsidRDefault="00000000">
      <w:pPr>
        <w:numPr>
          <w:ilvl w:val="0"/>
          <w:numId w:val="87"/>
        </w:numPr>
        <w:rPr>
          <w:rFonts w:hint="eastAsia"/>
        </w:rPr>
      </w:pPr>
      <w:r>
        <w:rPr>
          <w:rFonts w:hint="eastAsia"/>
        </w:rPr>
        <w:t>社会养恤金：拨发给</w:t>
      </w:r>
      <w:r>
        <w:rPr>
          <w:rFonts w:hint="eastAsia"/>
        </w:rPr>
        <w:t>65</w:t>
      </w:r>
      <w:r>
        <w:rPr>
          <w:rFonts w:hint="eastAsia"/>
        </w:rPr>
        <w:t>岁以上，或无收入或所领取的年金、津贴或收入额低于社会养恤金金额的人。自</w:t>
      </w:r>
      <w:r>
        <w:rPr>
          <w:rFonts w:hint="eastAsia"/>
        </w:rPr>
        <w:t>1996</w:t>
      </w:r>
      <w:r>
        <w:rPr>
          <w:rFonts w:hint="eastAsia"/>
        </w:rPr>
        <w:t>年起，这种养恤金虽被社会津贴取代，但仍继续发给此日期之前的合格者。社会养恤金的受益者必须居住在意大利。</w:t>
      </w:r>
      <w:r>
        <w:rPr>
          <w:rFonts w:hint="eastAsia"/>
        </w:rPr>
        <w:t>2000</w:t>
      </w:r>
      <w:r>
        <w:rPr>
          <w:rFonts w:hint="eastAsia"/>
        </w:rPr>
        <w:t>年中，社会养恤金金额达每月</w:t>
      </w:r>
      <w:r>
        <w:rPr>
          <w:rFonts w:hint="eastAsia"/>
        </w:rPr>
        <w:t>274.2</w:t>
      </w:r>
      <w:r>
        <w:rPr>
          <w:rFonts w:hint="eastAsia"/>
        </w:rPr>
        <w:t>欧元。但如果收入极低或根本无收入，则可根据一项准许提高社会养恤金的附加规定予以追加。这项追加额发给</w:t>
      </w:r>
      <w:r>
        <w:rPr>
          <w:rFonts w:hint="eastAsia"/>
        </w:rPr>
        <w:t>65</w:t>
      </w:r>
      <w:r>
        <w:rPr>
          <w:rFonts w:hint="eastAsia"/>
        </w:rPr>
        <w:t>岁以上，或无收入或所领取的年金、津贴或收入额，即便在追加后仍不超过社会养恤金金额的人。这笔追加额每年向居住在意大利的受益者拨发</w:t>
      </w:r>
      <w:r>
        <w:rPr>
          <w:rFonts w:hint="eastAsia"/>
        </w:rPr>
        <w:t>13</w:t>
      </w:r>
      <w:r>
        <w:rPr>
          <w:rFonts w:hint="eastAsia"/>
        </w:rPr>
        <w:t>个月，不受自动调整的影响，即便实际金额可能随个人收入而变化，但每月不可超过</w:t>
      </w:r>
      <w:r>
        <w:rPr>
          <w:rFonts w:hint="eastAsia"/>
        </w:rPr>
        <w:t>64.56</w:t>
      </w:r>
      <w:r>
        <w:rPr>
          <w:rFonts w:hint="eastAsia"/>
        </w:rPr>
        <w:t>欧元</w:t>
      </w:r>
      <w:r>
        <w:rPr>
          <w:rFonts w:hint="eastAsia"/>
        </w:rPr>
        <w:t xml:space="preserve"> </w:t>
      </w:r>
      <w:r>
        <w:rPr>
          <w:rStyle w:val="EndnoteReference"/>
        </w:rPr>
        <w:endnoteReference w:id="3"/>
      </w:r>
      <w:r>
        <w:rPr>
          <w:rFonts w:hint="eastAsia"/>
        </w:rPr>
        <w:t>。社会养恤金还发给在</w:t>
      </w:r>
      <w:r>
        <w:rPr>
          <w:rFonts w:hint="eastAsia"/>
        </w:rPr>
        <w:t>1995</w:t>
      </w:r>
      <w:r>
        <w:rPr>
          <w:rFonts w:hint="eastAsia"/>
        </w:rPr>
        <w:t>年或此前年满</w:t>
      </w:r>
      <w:r>
        <w:rPr>
          <w:rFonts w:hint="eastAsia"/>
        </w:rPr>
        <w:t>65</w:t>
      </w:r>
      <w:r>
        <w:rPr>
          <w:rFonts w:hint="eastAsia"/>
        </w:rPr>
        <w:t>岁的无能力者和民事残疾者</w:t>
      </w:r>
      <w:r>
        <w:rPr>
          <w:rFonts w:hint="eastAsia"/>
        </w:rPr>
        <w:t>(</w:t>
      </w:r>
      <w:r>
        <w:rPr>
          <w:rFonts w:hint="eastAsia"/>
        </w:rPr>
        <w:t>不论是全身残疾还部分残疾</w:t>
      </w:r>
      <w:r>
        <w:rPr>
          <w:rFonts w:hint="eastAsia"/>
        </w:rPr>
        <w:t>)</w:t>
      </w:r>
      <w:r>
        <w:rPr>
          <w:rFonts w:hint="eastAsia"/>
        </w:rPr>
        <w:t>，以及聋哑人，并取代他们在达到此年龄以前所享受的特定津贴。</w:t>
      </w:r>
    </w:p>
    <w:p w:rsidR="00000000" w:rsidRDefault="00000000">
      <w:pPr>
        <w:numPr>
          <w:ilvl w:val="0"/>
          <w:numId w:val="87"/>
        </w:numPr>
        <w:rPr>
          <w:rFonts w:hint="eastAsia"/>
        </w:rPr>
      </w:pPr>
      <w:r>
        <w:rPr>
          <w:rFonts w:hint="eastAsia"/>
        </w:rPr>
        <w:t>社会津贴：由</w:t>
      </w:r>
      <w:r>
        <w:rPr>
          <w:rFonts w:hint="eastAsia"/>
        </w:rPr>
        <w:t>1995</w:t>
      </w:r>
      <w:r>
        <w:rPr>
          <w:rFonts w:hint="eastAsia"/>
        </w:rPr>
        <w:t>年的改革法提出，发给</w:t>
      </w:r>
      <w:r>
        <w:rPr>
          <w:rFonts w:hint="eastAsia"/>
        </w:rPr>
        <w:t>65</w:t>
      </w:r>
      <w:r>
        <w:rPr>
          <w:rFonts w:hint="eastAsia"/>
        </w:rPr>
        <w:t>岁以上，收入低于津贴数额的人。</w:t>
      </w:r>
      <w:r>
        <w:rPr>
          <w:rFonts w:hint="eastAsia"/>
        </w:rPr>
        <w:t>1996</w:t>
      </w:r>
      <w:r>
        <w:rPr>
          <w:rFonts w:hint="eastAsia"/>
        </w:rPr>
        <w:t>年起该津贴取代了社会养恤金</w:t>
      </w:r>
      <w:r>
        <w:rPr>
          <w:rFonts w:hint="eastAsia"/>
        </w:rPr>
        <w:t>(</w:t>
      </w:r>
      <w:r>
        <w:rPr>
          <w:rFonts w:hint="eastAsia"/>
        </w:rPr>
        <w:t>及有关的追加额</w:t>
      </w:r>
      <w:r>
        <w:rPr>
          <w:rFonts w:hint="eastAsia"/>
        </w:rPr>
        <w:t>)</w:t>
      </w:r>
      <w:r>
        <w:rPr>
          <w:rFonts w:hint="eastAsia"/>
        </w:rPr>
        <w:t>。获准领取该津贴的人必须居住在意大利。社会津贴还发给已年满</w:t>
      </w:r>
      <w:r>
        <w:rPr>
          <w:rFonts w:hint="eastAsia"/>
        </w:rPr>
        <w:t>65</w:t>
      </w:r>
      <w:r>
        <w:rPr>
          <w:rFonts w:hint="eastAsia"/>
        </w:rPr>
        <w:t>岁的无能力者和民事残疾者</w:t>
      </w:r>
      <w:r>
        <w:rPr>
          <w:rFonts w:hint="eastAsia"/>
        </w:rPr>
        <w:t>(</w:t>
      </w:r>
      <w:r>
        <w:rPr>
          <w:rFonts w:hint="eastAsia"/>
        </w:rPr>
        <w:t>不论是全身残疾还部分残疾</w:t>
      </w:r>
      <w:r>
        <w:rPr>
          <w:rFonts w:hint="eastAsia"/>
        </w:rPr>
        <w:t>)</w:t>
      </w:r>
      <w:r>
        <w:rPr>
          <w:rFonts w:hint="eastAsia"/>
        </w:rPr>
        <w:t>，以及聋哑人，并取代他们在达到此年龄以前所享受的特定津贴。如果有其他收入来源。则可在一定限度内部分支付社会津贴。该津贴的金额最初定为每月</w:t>
      </w:r>
      <w:r>
        <w:rPr>
          <w:rFonts w:hint="eastAsia"/>
        </w:rPr>
        <w:t>248</w:t>
      </w:r>
      <w:r>
        <w:rPr>
          <w:rFonts w:hint="eastAsia"/>
        </w:rPr>
        <w:t>欧元，但将根据生活费用进行调整。</w:t>
      </w:r>
      <w:r>
        <w:rPr>
          <w:rFonts w:hint="eastAsia"/>
        </w:rPr>
        <w:t>2000</w:t>
      </w:r>
      <w:r>
        <w:rPr>
          <w:rFonts w:hint="eastAsia"/>
        </w:rPr>
        <w:t>年中，在规范方面采取干预措施后，每月津贴额约为</w:t>
      </w:r>
      <w:r>
        <w:rPr>
          <w:rFonts w:hint="eastAsia"/>
        </w:rPr>
        <w:t>333</w:t>
      </w:r>
      <w:r>
        <w:rPr>
          <w:rFonts w:hint="eastAsia"/>
        </w:rPr>
        <w:t>欧元</w:t>
      </w:r>
      <w:r>
        <w:rPr>
          <w:rFonts w:hint="eastAsia"/>
        </w:rPr>
        <w:t xml:space="preserve"> </w:t>
      </w:r>
      <w:r>
        <w:rPr>
          <w:rStyle w:val="EndnoteReference"/>
        </w:rPr>
        <w:endnoteReference w:id="4"/>
      </w:r>
      <w:r>
        <w:rPr>
          <w:rFonts w:hint="eastAsia"/>
        </w:rPr>
        <w:t>。</w:t>
      </w:r>
    </w:p>
    <w:p w:rsidR="00000000" w:rsidRDefault="00000000">
      <w:pPr>
        <w:numPr>
          <w:ilvl w:val="0"/>
          <w:numId w:val="87"/>
        </w:numPr>
        <w:spacing w:after="320"/>
        <w:rPr>
          <w:rFonts w:hint="eastAsia"/>
        </w:rPr>
      </w:pPr>
      <w:r>
        <w:rPr>
          <w:rFonts w:hint="eastAsia"/>
        </w:rPr>
        <w:t>护理津贴：拨发给需要持续帮助，不能自理的人。须根据医疗检查和申请人的身体状况而定，但不考虑收入情况。随时间，这种津贴已成为衰弱老年人日益重要的福利来源。</w:t>
      </w:r>
    </w:p>
    <w:p w:rsidR="00000000" w:rsidRDefault="00000000">
      <w:pPr>
        <w:pStyle w:val="Heading3"/>
      </w:pPr>
      <w:r>
        <w:rPr>
          <w:rFonts w:hint="eastAsia"/>
        </w:rPr>
        <w:t>表</w:t>
      </w:r>
      <w:r>
        <w:t xml:space="preserve"> </w:t>
      </w:r>
      <w:r>
        <w:rPr>
          <w:rFonts w:hint="eastAsia"/>
        </w:rPr>
        <w:t xml:space="preserve"> </w:t>
      </w:r>
      <w:r>
        <w:t>1</w:t>
      </w:r>
    </w:p>
    <w:p w:rsidR="00000000" w:rsidRDefault="00000000">
      <w:pPr>
        <w:pStyle w:val="Heading3"/>
        <w:rPr>
          <w:rFonts w:hint="eastAsia"/>
        </w:rPr>
      </w:pPr>
      <w:r>
        <w:rPr>
          <w:rFonts w:hint="eastAsia"/>
        </w:rPr>
        <w:t>养恤金领取人的社会福利津贴</w:t>
      </w:r>
    </w:p>
    <w:tbl>
      <w:tblPr>
        <w:tblW w:w="0" w:type="auto"/>
        <w:jc w:val="center"/>
        <w:tblInd w:w="-575" w:type="dxa"/>
        <w:tblBorders>
          <w:top w:val="single" w:sz="6" w:space="0" w:color="auto"/>
          <w:left w:val="single" w:sz="6" w:space="0" w:color="auto"/>
          <w:bottom w:val="single" w:sz="6" w:space="0" w:color="auto"/>
          <w:right w:val="single" w:sz="6" w:space="0" w:color="auto"/>
        </w:tblBorders>
        <w:tblLayout w:type="fixed"/>
        <w:tblCellMar>
          <w:left w:w="31" w:type="dxa"/>
          <w:right w:w="31" w:type="dxa"/>
        </w:tblCellMar>
        <w:tblLook w:val="0000" w:firstRow="0" w:lastRow="0" w:firstColumn="0" w:lastColumn="0" w:noHBand="0" w:noVBand="0"/>
      </w:tblPr>
      <w:tblGrid>
        <w:gridCol w:w="791"/>
        <w:gridCol w:w="1131"/>
        <w:gridCol w:w="975"/>
        <w:gridCol w:w="1209"/>
        <w:gridCol w:w="965"/>
        <w:gridCol w:w="1010"/>
        <w:gridCol w:w="1011"/>
        <w:gridCol w:w="1041"/>
        <w:gridCol w:w="1421"/>
        <w:gridCol w:w="8"/>
      </w:tblGrid>
      <w:tr w:rsidR="00000000">
        <w:tblPrEx>
          <w:tblCellMar>
            <w:top w:w="0" w:type="dxa"/>
            <w:bottom w:w="0" w:type="dxa"/>
          </w:tblCellMar>
        </w:tblPrEx>
        <w:trPr>
          <w:cantSplit/>
          <w:jc w:val="center"/>
        </w:trPr>
        <w:tc>
          <w:tcPr>
            <w:tcW w:w="791" w:type="dxa"/>
            <w:vMerge w:val="restart"/>
            <w:tcBorders>
              <w:top w:val="single" w:sz="6" w:space="0" w:color="auto"/>
              <w:right w:val="single" w:sz="6" w:space="0" w:color="auto"/>
            </w:tcBorders>
          </w:tcPr>
          <w:p w:rsidR="00000000" w:rsidRDefault="00000000">
            <w:pPr>
              <w:jc w:val="center"/>
              <w:rPr>
                <w:sz w:val="21"/>
                <w:u w:val="single"/>
              </w:rPr>
            </w:pPr>
          </w:p>
        </w:tc>
        <w:tc>
          <w:tcPr>
            <w:tcW w:w="210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120" w:line="288" w:lineRule="auto"/>
              <w:jc w:val="center"/>
              <w:rPr>
                <w:rFonts w:hint="eastAsia"/>
                <w:sz w:val="21"/>
                <w:u w:val="single"/>
              </w:rPr>
            </w:pPr>
            <w:r>
              <w:rPr>
                <w:rFonts w:hint="eastAsia"/>
                <w:sz w:val="21"/>
                <w:u w:val="single"/>
              </w:rPr>
              <w:t>社会养恤金</w:t>
            </w:r>
          </w:p>
        </w:tc>
        <w:tc>
          <w:tcPr>
            <w:tcW w:w="217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rFonts w:hint="eastAsia"/>
                <w:sz w:val="21"/>
                <w:u w:val="single"/>
              </w:rPr>
            </w:pPr>
            <w:r>
              <w:rPr>
                <w:rFonts w:hint="eastAsia"/>
                <w:sz w:val="21"/>
                <w:u w:val="single"/>
              </w:rPr>
              <w:t>有追加额的</w:t>
            </w:r>
            <w:r>
              <w:rPr>
                <w:sz w:val="21"/>
                <w:u w:val="single"/>
              </w:rPr>
              <w:br/>
            </w:r>
            <w:r>
              <w:rPr>
                <w:rFonts w:hint="eastAsia"/>
                <w:sz w:val="21"/>
                <w:u w:val="single"/>
              </w:rPr>
              <w:t>社会养恤金</w:t>
            </w:r>
          </w:p>
        </w:tc>
        <w:tc>
          <w:tcPr>
            <w:tcW w:w="2021"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120" w:line="288" w:lineRule="auto"/>
              <w:jc w:val="center"/>
              <w:rPr>
                <w:rFonts w:hint="eastAsia"/>
                <w:sz w:val="21"/>
                <w:u w:val="single"/>
              </w:rPr>
            </w:pPr>
            <w:r>
              <w:rPr>
                <w:rFonts w:hint="eastAsia"/>
                <w:sz w:val="21"/>
                <w:u w:val="single"/>
              </w:rPr>
              <w:t>社会津贴</w:t>
            </w:r>
          </w:p>
        </w:tc>
        <w:tc>
          <w:tcPr>
            <w:tcW w:w="2470" w:type="dxa"/>
            <w:gridSpan w:val="3"/>
            <w:tcBorders>
              <w:top w:val="single" w:sz="6" w:space="0" w:color="auto"/>
              <w:left w:val="single" w:sz="6" w:space="0" w:color="auto"/>
            </w:tcBorders>
          </w:tcPr>
          <w:p w:rsidR="00000000" w:rsidRDefault="00000000">
            <w:pPr>
              <w:spacing w:before="120" w:line="288" w:lineRule="auto"/>
              <w:jc w:val="center"/>
              <w:rPr>
                <w:rFonts w:hint="eastAsia"/>
                <w:sz w:val="21"/>
                <w:u w:val="single"/>
              </w:rPr>
            </w:pPr>
            <w:r>
              <w:rPr>
                <w:rFonts w:hint="eastAsia"/>
                <w:sz w:val="21"/>
                <w:u w:val="single"/>
              </w:rPr>
              <w:t>养恤金追加额</w:t>
            </w:r>
          </w:p>
        </w:tc>
      </w:tr>
      <w:tr w:rsidR="00000000">
        <w:tblPrEx>
          <w:tblCellMar>
            <w:top w:w="0" w:type="dxa"/>
            <w:bottom w:w="0" w:type="dxa"/>
          </w:tblCellMar>
        </w:tblPrEx>
        <w:trPr>
          <w:gridAfter w:val="1"/>
          <w:wAfter w:w="8" w:type="dxa"/>
          <w:cantSplit/>
          <w:trHeight w:hRule="exact" w:val="360"/>
          <w:jc w:val="center"/>
        </w:trPr>
        <w:tc>
          <w:tcPr>
            <w:tcW w:w="791" w:type="dxa"/>
            <w:vMerge/>
            <w:tcBorders>
              <w:bottom w:val="single" w:sz="6" w:space="0" w:color="auto"/>
              <w:right w:val="single" w:sz="6" w:space="0" w:color="auto"/>
            </w:tcBorders>
          </w:tcPr>
          <w:p w:rsidR="00000000" w:rsidRDefault="00000000">
            <w:pPr>
              <w:jc w:val="center"/>
              <w:rPr>
                <w:color w:val="000000"/>
                <w:sz w:val="21"/>
                <w:u w:val="single"/>
                <w:lang w:val="fr-CH"/>
              </w:rPr>
            </w:pPr>
          </w:p>
        </w:tc>
        <w:tc>
          <w:tcPr>
            <w:tcW w:w="2106"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rFonts w:hint="eastAsia"/>
                <w:color w:val="000000"/>
                <w:sz w:val="21"/>
                <w:u w:val="single"/>
              </w:rPr>
            </w:pPr>
            <w:r>
              <w:rPr>
                <w:rFonts w:hint="eastAsia"/>
                <w:color w:val="000000"/>
                <w:sz w:val="21"/>
                <w:u w:val="single"/>
              </w:rPr>
              <w:t>每月金额</w:t>
            </w:r>
          </w:p>
        </w:tc>
        <w:tc>
          <w:tcPr>
            <w:tcW w:w="2174"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color w:val="000000"/>
                <w:sz w:val="21"/>
                <w:u w:val="single"/>
              </w:rPr>
            </w:pPr>
            <w:r>
              <w:rPr>
                <w:rFonts w:hint="eastAsia"/>
                <w:color w:val="000000"/>
                <w:sz w:val="21"/>
                <w:u w:val="single"/>
              </w:rPr>
              <w:t>每月金额</w:t>
            </w:r>
          </w:p>
        </w:tc>
        <w:tc>
          <w:tcPr>
            <w:tcW w:w="2021"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color w:val="000000"/>
                <w:sz w:val="21"/>
                <w:u w:val="single"/>
              </w:rPr>
            </w:pPr>
            <w:r>
              <w:rPr>
                <w:rFonts w:hint="eastAsia"/>
                <w:color w:val="000000"/>
                <w:sz w:val="21"/>
                <w:u w:val="single"/>
              </w:rPr>
              <w:t>每月金额</w:t>
            </w:r>
          </w:p>
        </w:tc>
        <w:tc>
          <w:tcPr>
            <w:tcW w:w="2462" w:type="dxa"/>
            <w:gridSpan w:val="2"/>
            <w:tcBorders>
              <w:left w:val="single" w:sz="6" w:space="0" w:color="auto"/>
              <w:bottom w:val="single" w:sz="6" w:space="0" w:color="auto"/>
            </w:tcBorders>
          </w:tcPr>
          <w:p w:rsidR="00000000" w:rsidRDefault="00000000">
            <w:pPr>
              <w:jc w:val="center"/>
              <w:rPr>
                <w:color w:val="000000"/>
                <w:sz w:val="21"/>
                <w:u w:val="single"/>
              </w:rPr>
            </w:pPr>
          </w:p>
        </w:tc>
      </w:tr>
      <w:tr w:rsidR="00000000">
        <w:tblPrEx>
          <w:tblCellMar>
            <w:top w:w="0" w:type="dxa"/>
            <w:bottom w:w="0" w:type="dxa"/>
          </w:tblCellMar>
        </w:tblPrEx>
        <w:trPr>
          <w:cantSplit/>
          <w:trHeight w:hRule="exact" w:val="360"/>
          <w:jc w:val="center"/>
        </w:trPr>
        <w:tc>
          <w:tcPr>
            <w:tcW w:w="791" w:type="dxa"/>
            <w:tcBorders>
              <w:top w:val="single" w:sz="6" w:space="0" w:color="auto"/>
              <w:bottom w:val="single" w:sz="6" w:space="0" w:color="auto"/>
              <w:right w:val="single" w:sz="6" w:space="0" w:color="auto"/>
            </w:tcBorders>
          </w:tcPr>
          <w:p w:rsidR="00000000" w:rsidRDefault="00000000">
            <w:pPr>
              <w:spacing w:before="60"/>
              <w:jc w:val="center"/>
              <w:rPr>
                <w:rFonts w:hint="eastAsia"/>
                <w:color w:val="000000"/>
                <w:sz w:val="21"/>
                <w:u w:val="single"/>
              </w:rPr>
            </w:pPr>
            <w:r>
              <w:rPr>
                <w:rFonts w:hint="eastAsia"/>
                <w:color w:val="000000"/>
                <w:sz w:val="21"/>
                <w:u w:val="single"/>
              </w:rPr>
              <w:t>年份</w:t>
            </w:r>
          </w:p>
        </w:tc>
        <w:tc>
          <w:tcPr>
            <w:tcW w:w="1131"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rPr>
                <w:rFonts w:hint="eastAsia"/>
                <w:color w:val="000000"/>
                <w:sz w:val="21"/>
                <w:u w:val="single"/>
                <w:lang w:val="fr-CH"/>
              </w:rPr>
            </w:pPr>
            <w:r>
              <w:rPr>
                <w:rFonts w:hint="eastAsia"/>
                <w:color w:val="000000"/>
                <w:sz w:val="21"/>
                <w:u w:val="single"/>
                <w:lang w:val="fr-CH"/>
              </w:rPr>
              <w:t>里拉</w:t>
            </w:r>
          </w:p>
        </w:tc>
        <w:tc>
          <w:tcPr>
            <w:tcW w:w="975"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rPr>
                <w:rFonts w:hint="eastAsia"/>
                <w:color w:val="000000"/>
                <w:sz w:val="21"/>
                <w:u w:val="single"/>
                <w:lang w:val="fr-CH"/>
              </w:rPr>
            </w:pPr>
            <w:r>
              <w:rPr>
                <w:rFonts w:hint="eastAsia"/>
                <w:color w:val="000000"/>
                <w:sz w:val="21"/>
                <w:u w:val="single"/>
                <w:lang w:val="fr-CH"/>
              </w:rPr>
              <w:t>欧元</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rPr>
                <w:color w:val="000000"/>
                <w:sz w:val="21"/>
                <w:u w:val="single"/>
                <w:lang w:val="fr-CH"/>
              </w:rPr>
            </w:pPr>
            <w:r>
              <w:rPr>
                <w:rFonts w:hint="eastAsia"/>
                <w:color w:val="000000"/>
                <w:sz w:val="21"/>
                <w:u w:val="single"/>
                <w:lang w:val="fr-CH"/>
              </w:rPr>
              <w:t>里拉</w:t>
            </w:r>
          </w:p>
        </w:tc>
        <w:tc>
          <w:tcPr>
            <w:tcW w:w="965"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rPr>
                <w:color w:val="000000"/>
                <w:sz w:val="21"/>
                <w:u w:val="single"/>
              </w:rPr>
            </w:pPr>
            <w:r>
              <w:rPr>
                <w:rFonts w:hint="eastAsia"/>
                <w:color w:val="000000"/>
                <w:sz w:val="21"/>
                <w:u w:val="single"/>
                <w:lang w:val="fr-CH"/>
              </w:rPr>
              <w:t>欧元</w:t>
            </w: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rPr>
                <w:color w:val="000000"/>
                <w:sz w:val="21"/>
                <w:u w:val="single"/>
              </w:rPr>
            </w:pPr>
            <w:r>
              <w:rPr>
                <w:rFonts w:hint="eastAsia"/>
                <w:color w:val="000000"/>
                <w:sz w:val="21"/>
                <w:u w:val="single"/>
                <w:lang w:val="fr-CH"/>
              </w:rPr>
              <w:t>里拉</w:t>
            </w:r>
          </w:p>
        </w:tc>
        <w:tc>
          <w:tcPr>
            <w:tcW w:w="1011"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rPr>
                <w:color w:val="000000"/>
                <w:sz w:val="21"/>
                <w:u w:val="single"/>
              </w:rPr>
            </w:pPr>
            <w:r>
              <w:rPr>
                <w:rFonts w:hint="eastAsia"/>
                <w:color w:val="000000"/>
                <w:sz w:val="21"/>
                <w:u w:val="single"/>
                <w:lang w:val="fr-CH"/>
              </w:rPr>
              <w:t>欧元</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rPr>
                <w:color w:val="000000"/>
                <w:sz w:val="21"/>
                <w:u w:val="single"/>
              </w:rPr>
            </w:pPr>
            <w:r>
              <w:rPr>
                <w:rFonts w:hint="eastAsia"/>
                <w:color w:val="000000"/>
                <w:sz w:val="21"/>
                <w:u w:val="single"/>
                <w:lang w:val="fr-CH"/>
              </w:rPr>
              <w:t>里拉</w:t>
            </w:r>
          </w:p>
        </w:tc>
        <w:tc>
          <w:tcPr>
            <w:tcW w:w="1429" w:type="dxa"/>
            <w:gridSpan w:val="2"/>
            <w:tcBorders>
              <w:top w:val="single" w:sz="6" w:space="0" w:color="auto"/>
              <w:left w:val="single" w:sz="6" w:space="0" w:color="auto"/>
              <w:bottom w:val="single" w:sz="6" w:space="0" w:color="auto"/>
            </w:tcBorders>
          </w:tcPr>
          <w:p w:rsidR="00000000" w:rsidRDefault="00000000">
            <w:pPr>
              <w:spacing w:before="60"/>
              <w:jc w:val="center"/>
              <w:rPr>
                <w:color w:val="000000"/>
                <w:sz w:val="21"/>
                <w:u w:val="single"/>
              </w:rPr>
            </w:pPr>
            <w:r>
              <w:rPr>
                <w:rFonts w:hint="eastAsia"/>
                <w:color w:val="000000"/>
                <w:sz w:val="21"/>
                <w:u w:val="single"/>
                <w:lang w:val="fr-CH"/>
              </w:rPr>
              <w:t>欧元</w:t>
            </w:r>
          </w:p>
        </w:tc>
      </w:tr>
      <w:tr w:rsidR="00000000">
        <w:tblPrEx>
          <w:tblCellMar>
            <w:top w:w="0" w:type="dxa"/>
            <w:bottom w:w="0" w:type="dxa"/>
          </w:tblCellMar>
        </w:tblPrEx>
        <w:trPr>
          <w:cantSplit/>
          <w:trHeight w:hRule="exact" w:val="360"/>
          <w:jc w:val="center"/>
        </w:trPr>
        <w:tc>
          <w:tcPr>
            <w:tcW w:w="791" w:type="dxa"/>
            <w:tcBorders>
              <w:top w:val="single" w:sz="6" w:space="0" w:color="auto"/>
              <w:right w:val="single" w:sz="6" w:space="0" w:color="auto"/>
            </w:tcBorders>
          </w:tcPr>
          <w:p w:rsidR="00000000" w:rsidRDefault="00000000">
            <w:pPr>
              <w:jc w:val="center"/>
              <w:rPr>
                <w:color w:val="000000"/>
                <w:sz w:val="21"/>
              </w:rPr>
            </w:pPr>
            <w:r>
              <w:rPr>
                <w:color w:val="000000"/>
                <w:sz w:val="21"/>
              </w:rPr>
              <w:t>1995</w:t>
            </w:r>
          </w:p>
        </w:tc>
        <w:tc>
          <w:tcPr>
            <w:tcW w:w="1131" w:type="dxa"/>
            <w:tcBorders>
              <w:top w:val="single" w:sz="6" w:space="0" w:color="auto"/>
              <w:left w:val="single" w:sz="6" w:space="0" w:color="auto"/>
              <w:right w:val="single" w:sz="6" w:space="0" w:color="auto"/>
            </w:tcBorders>
          </w:tcPr>
          <w:p w:rsidR="00000000" w:rsidRDefault="00000000">
            <w:pPr>
              <w:jc w:val="center"/>
              <w:rPr>
                <w:color w:val="000000"/>
                <w:sz w:val="21"/>
              </w:rPr>
            </w:pPr>
            <w:r>
              <w:rPr>
                <w:color w:val="000000"/>
                <w:sz w:val="21"/>
              </w:rPr>
              <w:t>357 000</w:t>
            </w:r>
          </w:p>
        </w:tc>
        <w:tc>
          <w:tcPr>
            <w:tcW w:w="975" w:type="dxa"/>
            <w:tcBorders>
              <w:top w:val="single" w:sz="6" w:space="0" w:color="auto"/>
              <w:left w:val="single" w:sz="6" w:space="0" w:color="auto"/>
              <w:right w:val="single" w:sz="6" w:space="0" w:color="auto"/>
            </w:tcBorders>
          </w:tcPr>
          <w:p w:rsidR="00000000" w:rsidRDefault="00000000">
            <w:pPr>
              <w:jc w:val="center"/>
              <w:rPr>
                <w:color w:val="000000"/>
                <w:sz w:val="21"/>
              </w:rPr>
            </w:pPr>
            <w:r>
              <w:rPr>
                <w:color w:val="000000"/>
                <w:sz w:val="21"/>
              </w:rPr>
              <w:t>184.4</w:t>
            </w:r>
          </w:p>
        </w:tc>
        <w:tc>
          <w:tcPr>
            <w:tcW w:w="1209" w:type="dxa"/>
            <w:tcBorders>
              <w:top w:val="single" w:sz="6" w:space="0" w:color="auto"/>
              <w:left w:val="single" w:sz="6" w:space="0" w:color="auto"/>
              <w:right w:val="single" w:sz="6" w:space="0" w:color="auto"/>
            </w:tcBorders>
          </w:tcPr>
          <w:p w:rsidR="00000000" w:rsidRDefault="00000000">
            <w:pPr>
              <w:jc w:val="center"/>
              <w:rPr>
                <w:color w:val="000000"/>
                <w:sz w:val="21"/>
              </w:rPr>
            </w:pPr>
            <w:r>
              <w:rPr>
                <w:color w:val="000000"/>
                <w:sz w:val="21"/>
              </w:rPr>
              <w:t>482 000</w:t>
            </w:r>
          </w:p>
        </w:tc>
        <w:tc>
          <w:tcPr>
            <w:tcW w:w="965" w:type="dxa"/>
            <w:tcBorders>
              <w:top w:val="single" w:sz="6" w:space="0" w:color="auto"/>
              <w:left w:val="single" w:sz="6" w:space="0" w:color="auto"/>
              <w:right w:val="single" w:sz="6" w:space="0" w:color="auto"/>
            </w:tcBorders>
          </w:tcPr>
          <w:p w:rsidR="00000000" w:rsidRDefault="00000000">
            <w:pPr>
              <w:jc w:val="center"/>
              <w:rPr>
                <w:color w:val="000000"/>
                <w:sz w:val="21"/>
              </w:rPr>
            </w:pPr>
            <w:r>
              <w:rPr>
                <w:color w:val="000000"/>
                <w:sz w:val="21"/>
              </w:rPr>
              <w:t>248.9</w:t>
            </w:r>
          </w:p>
        </w:tc>
        <w:tc>
          <w:tcPr>
            <w:tcW w:w="1010" w:type="dxa"/>
            <w:tcBorders>
              <w:top w:val="single" w:sz="6" w:space="0" w:color="auto"/>
              <w:left w:val="single" w:sz="6" w:space="0" w:color="auto"/>
              <w:right w:val="single" w:sz="6" w:space="0" w:color="auto"/>
            </w:tcBorders>
          </w:tcPr>
          <w:p w:rsidR="00000000" w:rsidRDefault="00000000">
            <w:pPr>
              <w:jc w:val="center"/>
              <w:rPr>
                <w:color w:val="000000"/>
                <w:sz w:val="21"/>
              </w:rPr>
            </w:pPr>
            <w:r>
              <w:rPr>
                <w:color w:val="000000"/>
                <w:sz w:val="21"/>
              </w:rPr>
              <w:t>-</w:t>
            </w:r>
          </w:p>
        </w:tc>
        <w:tc>
          <w:tcPr>
            <w:tcW w:w="1011" w:type="dxa"/>
            <w:tcBorders>
              <w:top w:val="single" w:sz="6" w:space="0" w:color="auto"/>
              <w:left w:val="single" w:sz="6" w:space="0" w:color="auto"/>
              <w:right w:val="single" w:sz="6" w:space="0" w:color="auto"/>
            </w:tcBorders>
          </w:tcPr>
          <w:p w:rsidR="00000000" w:rsidRDefault="00000000">
            <w:pPr>
              <w:jc w:val="center"/>
              <w:rPr>
                <w:color w:val="000000"/>
                <w:sz w:val="21"/>
              </w:rPr>
            </w:pPr>
            <w:r>
              <w:rPr>
                <w:color w:val="000000"/>
                <w:sz w:val="21"/>
              </w:rPr>
              <w:t>-</w:t>
            </w:r>
          </w:p>
        </w:tc>
        <w:tc>
          <w:tcPr>
            <w:tcW w:w="1041" w:type="dxa"/>
            <w:tcBorders>
              <w:top w:val="single" w:sz="6" w:space="0" w:color="auto"/>
              <w:left w:val="single" w:sz="6" w:space="0" w:color="auto"/>
              <w:right w:val="single" w:sz="6" w:space="0" w:color="auto"/>
            </w:tcBorders>
          </w:tcPr>
          <w:p w:rsidR="00000000" w:rsidRDefault="00000000">
            <w:pPr>
              <w:jc w:val="center"/>
              <w:rPr>
                <w:color w:val="000000"/>
                <w:sz w:val="21"/>
              </w:rPr>
            </w:pPr>
            <w:r>
              <w:rPr>
                <w:color w:val="000000"/>
                <w:sz w:val="21"/>
              </w:rPr>
              <w:t>626 450</w:t>
            </w:r>
          </w:p>
        </w:tc>
        <w:tc>
          <w:tcPr>
            <w:tcW w:w="1429" w:type="dxa"/>
            <w:gridSpan w:val="2"/>
            <w:tcBorders>
              <w:top w:val="single" w:sz="6" w:space="0" w:color="auto"/>
              <w:left w:val="single" w:sz="6" w:space="0" w:color="auto"/>
            </w:tcBorders>
          </w:tcPr>
          <w:p w:rsidR="00000000" w:rsidRDefault="00000000">
            <w:pPr>
              <w:jc w:val="center"/>
              <w:rPr>
                <w:color w:val="000000"/>
                <w:sz w:val="21"/>
              </w:rPr>
            </w:pPr>
            <w:r>
              <w:rPr>
                <w:color w:val="000000"/>
                <w:sz w:val="21"/>
              </w:rPr>
              <w:t>323.5</w:t>
            </w:r>
          </w:p>
        </w:tc>
      </w:tr>
      <w:tr w:rsidR="00000000">
        <w:tblPrEx>
          <w:tblCellMar>
            <w:top w:w="0" w:type="dxa"/>
            <w:bottom w:w="0" w:type="dxa"/>
          </w:tblCellMar>
        </w:tblPrEx>
        <w:trPr>
          <w:cantSplit/>
          <w:trHeight w:hRule="exact" w:val="360"/>
          <w:jc w:val="center"/>
        </w:trPr>
        <w:tc>
          <w:tcPr>
            <w:tcW w:w="791" w:type="dxa"/>
            <w:tcBorders>
              <w:right w:val="single" w:sz="6" w:space="0" w:color="auto"/>
            </w:tcBorders>
          </w:tcPr>
          <w:p w:rsidR="00000000" w:rsidRDefault="00000000">
            <w:pPr>
              <w:jc w:val="center"/>
              <w:rPr>
                <w:color w:val="000000"/>
                <w:sz w:val="21"/>
              </w:rPr>
            </w:pPr>
            <w:r>
              <w:rPr>
                <w:color w:val="000000"/>
                <w:sz w:val="21"/>
              </w:rPr>
              <w:t>1996</w:t>
            </w:r>
          </w:p>
        </w:tc>
        <w:tc>
          <w:tcPr>
            <w:tcW w:w="1131" w:type="dxa"/>
            <w:tcBorders>
              <w:left w:val="single" w:sz="6" w:space="0" w:color="auto"/>
              <w:right w:val="single" w:sz="6" w:space="0" w:color="auto"/>
            </w:tcBorders>
          </w:tcPr>
          <w:p w:rsidR="00000000" w:rsidRDefault="00000000">
            <w:pPr>
              <w:jc w:val="center"/>
              <w:rPr>
                <w:color w:val="000000"/>
                <w:sz w:val="21"/>
              </w:rPr>
            </w:pPr>
            <w:r>
              <w:rPr>
                <w:color w:val="000000"/>
                <w:sz w:val="21"/>
              </w:rPr>
              <w:t>376 300</w:t>
            </w:r>
          </w:p>
        </w:tc>
        <w:tc>
          <w:tcPr>
            <w:tcW w:w="975" w:type="dxa"/>
            <w:tcBorders>
              <w:left w:val="single" w:sz="6" w:space="0" w:color="auto"/>
              <w:right w:val="single" w:sz="6" w:space="0" w:color="auto"/>
            </w:tcBorders>
          </w:tcPr>
          <w:p w:rsidR="00000000" w:rsidRDefault="00000000">
            <w:pPr>
              <w:jc w:val="center"/>
              <w:rPr>
                <w:color w:val="000000"/>
                <w:sz w:val="21"/>
              </w:rPr>
            </w:pPr>
            <w:r>
              <w:rPr>
                <w:color w:val="000000"/>
                <w:sz w:val="21"/>
              </w:rPr>
              <w:t>194.3</w:t>
            </w:r>
          </w:p>
        </w:tc>
        <w:tc>
          <w:tcPr>
            <w:tcW w:w="1209" w:type="dxa"/>
            <w:tcBorders>
              <w:left w:val="single" w:sz="6" w:space="0" w:color="auto"/>
              <w:right w:val="single" w:sz="6" w:space="0" w:color="auto"/>
            </w:tcBorders>
          </w:tcPr>
          <w:p w:rsidR="00000000" w:rsidRDefault="00000000">
            <w:pPr>
              <w:jc w:val="center"/>
              <w:rPr>
                <w:color w:val="000000"/>
                <w:sz w:val="21"/>
              </w:rPr>
            </w:pPr>
            <w:r>
              <w:rPr>
                <w:color w:val="000000"/>
                <w:sz w:val="21"/>
              </w:rPr>
              <w:t>501 300</w:t>
            </w:r>
          </w:p>
        </w:tc>
        <w:tc>
          <w:tcPr>
            <w:tcW w:w="965" w:type="dxa"/>
            <w:tcBorders>
              <w:left w:val="single" w:sz="6" w:space="0" w:color="auto"/>
              <w:right w:val="single" w:sz="6" w:space="0" w:color="auto"/>
            </w:tcBorders>
          </w:tcPr>
          <w:p w:rsidR="00000000" w:rsidRDefault="00000000">
            <w:pPr>
              <w:jc w:val="center"/>
              <w:rPr>
                <w:color w:val="000000"/>
                <w:sz w:val="21"/>
              </w:rPr>
            </w:pPr>
            <w:r>
              <w:rPr>
                <w:color w:val="000000"/>
                <w:sz w:val="21"/>
              </w:rPr>
              <w:t>258.9</w:t>
            </w:r>
          </w:p>
        </w:tc>
        <w:tc>
          <w:tcPr>
            <w:tcW w:w="1010" w:type="dxa"/>
            <w:tcBorders>
              <w:left w:val="single" w:sz="6" w:space="0" w:color="auto"/>
              <w:right w:val="single" w:sz="6" w:space="0" w:color="auto"/>
            </w:tcBorders>
          </w:tcPr>
          <w:p w:rsidR="00000000" w:rsidRDefault="00000000">
            <w:pPr>
              <w:jc w:val="center"/>
              <w:rPr>
                <w:color w:val="000000"/>
                <w:sz w:val="21"/>
              </w:rPr>
            </w:pPr>
            <w:r>
              <w:rPr>
                <w:color w:val="000000"/>
                <w:sz w:val="21"/>
              </w:rPr>
              <w:t>480 000</w:t>
            </w:r>
          </w:p>
        </w:tc>
        <w:tc>
          <w:tcPr>
            <w:tcW w:w="1011" w:type="dxa"/>
            <w:tcBorders>
              <w:left w:val="single" w:sz="6" w:space="0" w:color="auto"/>
              <w:right w:val="single" w:sz="6" w:space="0" w:color="auto"/>
            </w:tcBorders>
          </w:tcPr>
          <w:p w:rsidR="00000000" w:rsidRDefault="00000000">
            <w:pPr>
              <w:jc w:val="center"/>
              <w:rPr>
                <w:color w:val="000000"/>
                <w:sz w:val="21"/>
              </w:rPr>
            </w:pPr>
            <w:r>
              <w:rPr>
                <w:color w:val="000000"/>
                <w:sz w:val="21"/>
              </w:rPr>
              <w:t>247.9</w:t>
            </w:r>
          </w:p>
        </w:tc>
        <w:tc>
          <w:tcPr>
            <w:tcW w:w="1041" w:type="dxa"/>
            <w:tcBorders>
              <w:left w:val="single" w:sz="6" w:space="0" w:color="auto"/>
              <w:right w:val="single" w:sz="6" w:space="0" w:color="auto"/>
            </w:tcBorders>
          </w:tcPr>
          <w:p w:rsidR="00000000" w:rsidRDefault="00000000">
            <w:pPr>
              <w:jc w:val="center"/>
              <w:rPr>
                <w:color w:val="000000"/>
                <w:sz w:val="21"/>
              </w:rPr>
            </w:pPr>
            <w:r>
              <w:rPr>
                <w:color w:val="000000"/>
                <w:sz w:val="21"/>
              </w:rPr>
              <w:t>660 300</w:t>
            </w:r>
          </w:p>
        </w:tc>
        <w:tc>
          <w:tcPr>
            <w:tcW w:w="1429" w:type="dxa"/>
            <w:gridSpan w:val="2"/>
            <w:tcBorders>
              <w:left w:val="single" w:sz="6" w:space="0" w:color="auto"/>
            </w:tcBorders>
          </w:tcPr>
          <w:p w:rsidR="00000000" w:rsidRDefault="00000000">
            <w:pPr>
              <w:jc w:val="center"/>
              <w:rPr>
                <w:color w:val="000000"/>
                <w:sz w:val="21"/>
              </w:rPr>
            </w:pPr>
            <w:r>
              <w:rPr>
                <w:color w:val="000000"/>
                <w:sz w:val="21"/>
              </w:rPr>
              <w:t>341.0</w:t>
            </w:r>
          </w:p>
        </w:tc>
      </w:tr>
      <w:tr w:rsidR="00000000">
        <w:tblPrEx>
          <w:tblCellMar>
            <w:top w:w="0" w:type="dxa"/>
            <w:bottom w:w="0" w:type="dxa"/>
          </w:tblCellMar>
        </w:tblPrEx>
        <w:trPr>
          <w:cantSplit/>
          <w:trHeight w:hRule="exact" w:val="360"/>
          <w:jc w:val="center"/>
        </w:trPr>
        <w:tc>
          <w:tcPr>
            <w:tcW w:w="791" w:type="dxa"/>
            <w:tcBorders>
              <w:right w:val="single" w:sz="6" w:space="0" w:color="auto"/>
            </w:tcBorders>
          </w:tcPr>
          <w:p w:rsidR="00000000" w:rsidRDefault="00000000">
            <w:pPr>
              <w:jc w:val="center"/>
              <w:rPr>
                <w:color w:val="000000"/>
                <w:sz w:val="21"/>
              </w:rPr>
            </w:pPr>
            <w:r>
              <w:rPr>
                <w:color w:val="000000"/>
                <w:sz w:val="21"/>
              </w:rPr>
              <w:t>1997</w:t>
            </w:r>
          </w:p>
        </w:tc>
        <w:tc>
          <w:tcPr>
            <w:tcW w:w="1131" w:type="dxa"/>
            <w:tcBorders>
              <w:left w:val="single" w:sz="6" w:space="0" w:color="auto"/>
              <w:right w:val="single" w:sz="6" w:space="0" w:color="auto"/>
            </w:tcBorders>
          </w:tcPr>
          <w:p w:rsidR="00000000" w:rsidRDefault="00000000">
            <w:pPr>
              <w:jc w:val="center"/>
              <w:rPr>
                <w:color w:val="000000"/>
                <w:sz w:val="21"/>
              </w:rPr>
            </w:pPr>
            <w:r>
              <w:rPr>
                <w:color w:val="000000"/>
                <w:sz w:val="21"/>
              </w:rPr>
              <w:t>390 600</w:t>
            </w:r>
          </w:p>
        </w:tc>
        <w:tc>
          <w:tcPr>
            <w:tcW w:w="975" w:type="dxa"/>
            <w:tcBorders>
              <w:left w:val="single" w:sz="6" w:space="0" w:color="auto"/>
              <w:right w:val="single" w:sz="6" w:space="0" w:color="auto"/>
            </w:tcBorders>
          </w:tcPr>
          <w:p w:rsidR="00000000" w:rsidRDefault="00000000">
            <w:pPr>
              <w:jc w:val="center"/>
              <w:rPr>
                <w:color w:val="000000"/>
                <w:sz w:val="21"/>
              </w:rPr>
            </w:pPr>
            <w:r>
              <w:rPr>
                <w:color w:val="000000"/>
                <w:sz w:val="21"/>
              </w:rPr>
              <w:t>201.7</w:t>
            </w:r>
          </w:p>
        </w:tc>
        <w:tc>
          <w:tcPr>
            <w:tcW w:w="1209" w:type="dxa"/>
            <w:tcBorders>
              <w:left w:val="single" w:sz="6" w:space="0" w:color="auto"/>
              <w:right w:val="single" w:sz="6" w:space="0" w:color="auto"/>
            </w:tcBorders>
          </w:tcPr>
          <w:p w:rsidR="00000000" w:rsidRDefault="00000000">
            <w:pPr>
              <w:jc w:val="center"/>
              <w:rPr>
                <w:color w:val="000000"/>
                <w:sz w:val="21"/>
              </w:rPr>
            </w:pPr>
            <w:r>
              <w:rPr>
                <w:color w:val="000000"/>
                <w:sz w:val="21"/>
              </w:rPr>
              <w:t>515 600</w:t>
            </w:r>
          </w:p>
        </w:tc>
        <w:tc>
          <w:tcPr>
            <w:tcW w:w="965" w:type="dxa"/>
            <w:tcBorders>
              <w:left w:val="single" w:sz="6" w:space="0" w:color="auto"/>
              <w:right w:val="single" w:sz="6" w:space="0" w:color="auto"/>
            </w:tcBorders>
          </w:tcPr>
          <w:p w:rsidR="00000000" w:rsidRDefault="00000000">
            <w:pPr>
              <w:jc w:val="center"/>
              <w:rPr>
                <w:color w:val="000000"/>
                <w:sz w:val="21"/>
              </w:rPr>
            </w:pPr>
            <w:r>
              <w:rPr>
                <w:color w:val="000000"/>
                <w:sz w:val="21"/>
              </w:rPr>
              <w:t>266.3</w:t>
            </w:r>
          </w:p>
        </w:tc>
        <w:tc>
          <w:tcPr>
            <w:tcW w:w="1010" w:type="dxa"/>
            <w:tcBorders>
              <w:left w:val="single" w:sz="6" w:space="0" w:color="auto"/>
              <w:right w:val="single" w:sz="6" w:space="0" w:color="auto"/>
            </w:tcBorders>
          </w:tcPr>
          <w:p w:rsidR="00000000" w:rsidRDefault="00000000">
            <w:pPr>
              <w:jc w:val="center"/>
              <w:rPr>
                <w:color w:val="000000"/>
                <w:sz w:val="21"/>
              </w:rPr>
            </w:pPr>
            <w:r>
              <w:rPr>
                <w:color w:val="000000"/>
                <w:sz w:val="21"/>
              </w:rPr>
              <w:t>498 700</w:t>
            </w:r>
          </w:p>
        </w:tc>
        <w:tc>
          <w:tcPr>
            <w:tcW w:w="1011" w:type="dxa"/>
            <w:tcBorders>
              <w:left w:val="single" w:sz="6" w:space="0" w:color="auto"/>
              <w:right w:val="single" w:sz="6" w:space="0" w:color="auto"/>
            </w:tcBorders>
          </w:tcPr>
          <w:p w:rsidR="00000000" w:rsidRDefault="00000000">
            <w:pPr>
              <w:jc w:val="center"/>
              <w:rPr>
                <w:color w:val="000000"/>
                <w:sz w:val="21"/>
              </w:rPr>
            </w:pPr>
            <w:r>
              <w:rPr>
                <w:color w:val="000000"/>
                <w:sz w:val="21"/>
              </w:rPr>
              <w:t>257.6</w:t>
            </w:r>
          </w:p>
        </w:tc>
        <w:tc>
          <w:tcPr>
            <w:tcW w:w="1041" w:type="dxa"/>
            <w:tcBorders>
              <w:left w:val="single" w:sz="6" w:space="0" w:color="auto"/>
              <w:right w:val="single" w:sz="6" w:space="0" w:color="auto"/>
            </w:tcBorders>
          </w:tcPr>
          <w:p w:rsidR="00000000" w:rsidRDefault="00000000">
            <w:pPr>
              <w:jc w:val="center"/>
              <w:rPr>
                <w:color w:val="000000"/>
                <w:sz w:val="21"/>
              </w:rPr>
            </w:pPr>
            <w:r>
              <w:rPr>
                <w:color w:val="000000"/>
                <w:sz w:val="21"/>
              </w:rPr>
              <w:t>686 050</w:t>
            </w:r>
          </w:p>
        </w:tc>
        <w:tc>
          <w:tcPr>
            <w:tcW w:w="1429" w:type="dxa"/>
            <w:gridSpan w:val="2"/>
            <w:tcBorders>
              <w:left w:val="single" w:sz="6" w:space="0" w:color="auto"/>
            </w:tcBorders>
          </w:tcPr>
          <w:p w:rsidR="00000000" w:rsidRDefault="00000000">
            <w:pPr>
              <w:jc w:val="center"/>
              <w:rPr>
                <w:color w:val="000000"/>
                <w:sz w:val="21"/>
              </w:rPr>
            </w:pPr>
            <w:r>
              <w:rPr>
                <w:color w:val="000000"/>
                <w:sz w:val="21"/>
              </w:rPr>
              <w:t>354.3</w:t>
            </w:r>
          </w:p>
        </w:tc>
      </w:tr>
      <w:tr w:rsidR="00000000">
        <w:tblPrEx>
          <w:tblCellMar>
            <w:top w:w="0" w:type="dxa"/>
            <w:bottom w:w="0" w:type="dxa"/>
          </w:tblCellMar>
        </w:tblPrEx>
        <w:trPr>
          <w:cantSplit/>
          <w:trHeight w:hRule="exact" w:val="360"/>
          <w:jc w:val="center"/>
        </w:trPr>
        <w:tc>
          <w:tcPr>
            <w:tcW w:w="791" w:type="dxa"/>
            <w:tcBorders>
              <w:right w:val="single" w:sz="6" w:space="0" w:color="auto"/>
            </w:tcBorders>
          </w:tcPr>
          <w:p w:rsidR="00000000" w:rsidRDefault="00000000">
            <w:pPr>
              <w:jc w:val="center"/>
              <w:rPr>
                <w:color w:val="000000"/>
                <w:sz w:val="21"/>
              </w:rPr>
            </w:pPr>
            <w:r>
              <w:rPr>
                <w:color w:val="000000"/>
                <w:sz w:val="21"/>
              </w:rPr>
              <w:t>1998</w:t>
            </w:r>
          </w:p>
        </w:tc>
        <w:tc>
          <w:tcPr>
            <w:tcW w:w="1131" w:type="dxa"/>
            <w:tcBorders>
              <w:left w:val="single" w:sz="6" w:space="0" w:color="auto"/>
              <w:right w:val="single" w:sz="6" w:space="0" w:color="auto"/>
            </w:tcBorders>
          </w:tcPr>
          <w:p w:rsidR="00000000" w:rsidRDefault="00000000">
            <w:pPr>
              <w:jc w:val="center"/>
              <w:rPr>
                <w:color w:val="000000"/>
                <w:sz w:val="21"/>
              </w:rPr>
            </w:pPr>
            <w:r>
              <w:rPr>
                <w:color w:val="000000"/>
                <w:sz w:val="21"/>
              </w:rPr>
              <w:t>397 650</w:t>
            </w:r>
          </w:p>
        </w:tc>
        <w:tc>
          <w:tcPr>
            <w:tcW w:w="975" w:type="dxa"/>
            <w:tcBorders>
              <w:left w:val="single" w:sz="6" w:space="0" w:color="auto"/>
              <w:right w:val="single" w:sz="6" w:space="0" w:color="auto"/>
            </w:tcBorders>
          </w:tcPr>
          <w:p w:rsidR="00000000" w:rsidRDefault="00000000">
            <w:pPr>
              <w:jc w:val="center"/>
              <w:rPr>
                <w:color w:val="000000"/>
                <w:sz w:val="21"/>
              </w:rPr>
            </w:pPr>
            <w:r>
              <w:rPr>
                <w:color w:val="000000"/>
                <w:sz w:val="21"/>
              </w:rPr>
              <w:t>205.4</w:t>
            </w:r>
          </w:p>
        </w:tc>
        <w:tc>
          <w:tcPr>
            <w:tcW w:w="1209" w:type="dxa"/>
            <w:tcBorders>
              <w:left w:val="single" w:sz="6" w:space="0" w:color="auto"/>
              <w:right w:val="single" w:sz="6" w:space="0" w:color="auto"/>
            </w:tcBorders>
          </w:tcPr>
          <w:p w:rsidR="00000000" w:rsidRDefault="00000000">
            <w:pPr>
              <w:jc w:val="center"/>
              <w:rPr>
                <w:color w:val="000000"/>
                <w:sz w:val="21"/>
              </w:rPr>
            </w:pPr>
            <w:r>
              <w:rPr>
                <w:color w:val="000000"/>
                <w:sz w:val="21"/>
              </w:rPr>
              <w:t>522 650</w:t>
            </w:r>
          </w:p>
        </w:tc>
        <w:tc>
          <w:tcPr>
            <w:tcW w:w="965" w:type="dxa"/>
            <w:tcBorders>
              <w:left w:val="single" w:sz="6" w:space="0" w:color="auto"/>
              <w:right w:val="single" w:sz="6" w:space="0" w:color="auto"/>
            </w:tcBorders>
          </w:tcPr>
          <w:p w:rsidR="00000000" w:rsidRDefault="00000000">
            <w:pPr>
              <w:jc w:val="center"/>
              <w:rPr>
                <w:color w:val="000000"/>
                <w:sz w:val="21"/>
              </w:rPr>
            </w:pPr>
            <w:r>
              <w:rPr>
                <w:color w:val="000000"/>
                <w:sz w:val="21"/>
              </w:rPr>
              <w:t>269.9</w:t>
            </w:r>
          </w:p>
        </w:tc>
        <w:tc>
          <w:tcPr>
            <w:tcW w:w="1010" w:type="dxa"/>
            <w:tcBorders>
              <w:left w:val="single" w:sz="6" w:space="0" w:color="auto"/>
              <w:right w:val="single" w:sz="6" w:space="0" w:color="auto"/>
            </w:tcBorders>
          </w:tcPr>
          <w:p w:rsidR="00000000" w:rsidRDefault="00000000">
            <w:pPr>
              <w:jc w:val="center"/>
              <w:rPr>
                <w:color w:val="000000"/>
                <w:sz w:val="21"/>
              </w:rPr>
            </w:pPr>
            <w:r>
              <w:rPr>
                <w:color w:val="000000"/>
                <w:sz w:val="21"/>
              </w:rPr>
              <w:t>507 200</w:t>
            </w:r>
          </w:p>
        </w:tc>
        <w:tc>
          <w:tcPr>
            <w:tcW w:w="1011" w:type="dxa"/>
            <w:tcBorders>
              <w:left w:val="single" w:sz="6" w:space="0" w:color="auto"/>
              <w:right w:val="single" w:sz="6" w:space="0" w:color="auto"/>
            </w:tcBorders>
          </w:tcPr>
          <w:p w:rsidR="00000000" w:rsidRDefault="00000000">
            <w:pPr>
              <w:jc w:val="center"/>
              <w:rPr>
                <w:color w:val="000000"/>
                <w:sz w:val="21"/>
              </w:rPr>
            </w:pPr>
            <w:r>
              <w:rPr>
                <w:color w:val="000000"/>
                <w:sz w:val="21"/>
              </w:rPr>
              <w:t>261.9</w:t>
            </w:r>
          </w:p>
        </w:tc>
        <w:tc>
          <w:tcPr>
            <w:tcW w:w="1041" w:type="dxa"/>
            <w:tcBorders>
              <w:left w:val="single" w:sz="6" w:space="0" w:color="auto"/>
              <w:right w:val="single" w:sz="6" w:space="0" w:color="auto"/>
            </w:tcBorders>
          </w:tcPr>
          <w:p w:rsidR="00000000" w:rsidRDefault="00000000">
            <w:pPr>
              <w:jc w:val="center"/>
              <w:rPr>
                <w:color w:val="000000"/>
                <w:sz w:val="21"/>
              </w:rPr>
            </w:pPr>
            <w:r>
              <w:rPr>
                <w:color w:val="000000"/>
                <w:sz w:val="21"/>
              </w:rPr>
              <w:t>697 700</w:t>
            </w:r>
          </w:p>
        </w:tc>
        <w:tc>
          <w:tcPr>
            <w:tcW w:w="1429" w:type="dxa"/>
            <w:gridSpan w:val="2"/>
            <w:tcBorders>
              <w:left w:val="single" w:sz="6" w:space="0" w:color="auto"/>
            </w:tcBorders>
          </w:tcPr>
          <w:p w:rsidR="00000000" w:rsidRDefault="00000000">
            <w:pPr>
              <w:jc w:val="center"/>
              <w:rPr>
                <w:color w:val="000000"/>
                <w:sz w:val="21"/>
              </w:rPr>
            </w:pPr>
            <w:r>
              <w:rPr>
                <w:color w:val="000000"/>
                <w:sz w:val="21"/>
              </w:rPr>
              <w:t>360.3</w:t>
            </w:r>
          </w:p>
        </w:tc>
      </w:tr>
      <w:tr w:rsidR="00000000">
        <w:tblPrEx>
          <w:tblCellMar>
            <w:top w:w="0" w:type="dxa"/>
            <w:bottom w:w="0" w:type="dxa"/>
          </w:tblCellMar>
        </w:tblPrEx>
        <w:trPr>
          <w:cantSplit/>
          <w:trHeight w:hRule="exact" w:val="360"/>
          <w:jc w:val="center"/>
        </w:trPr>
        <w:tc>
          <w:tcPr>
            <w:tcW w:w="791" w:type="dxa"/>
            <w:tcBorders>
              <w:right w:val="single" w:sz="6" w:space="0" w:color="auto"/>
            </w:tcBorders>
          </w:tcPr>
          <w:p w:rsidR="00000000" w:rsidRDefault="00000000">
            <w:pPr>
              <w:jc w:val="center"/>
              <w:rPr>
                <w:color w:val="000000"/>
                <w:sz w:val="21"/>
              </w:rPr>
            </w:pPr>
            <w:r>
              <w:rPr>
                <w:color w:val="000000"/>
                <w:sz w:val="21"/>
              </w:rPr>
              <w:t>1999</w:t>
            </w:r>
          </w:p>
        </w:tc>
        <w:tc>
          <w:tcPr>
            <w:tcW w:w="1131" w:type="dxa"/>
            <w:tcBorders>
              <w:left w:val="single" w:sz="6" w:space="0" w:color="auto"/>
              <w:right w:val="single" w:sz="6" w:space="0" w:color="auto"/>
            </w:tcBorders>
          </w:tcPr>
          <w:p w:rsidR="00000000" w:rsidRDefault="00000000">
            <w:pPr>
              <w:jc w:val="center"/>
              <w:rPr>
                <w:color w:val="000000"/>
                <w:sz w:val="21"/>
              </w:rPr>
            </w:pPr>
            <w:r>
              <w:rPr>
                <w:color w:val="000000"/>
                <w:sz w:val="21"/>
              </w:rPr>
              <w:t>504 800</w:t>
            </w:r>
          </w:p>
        </w:tc>
        <w:tc>
          <w:tcPr>
            <w:tcW w:w="975" w:type="dxa"/>
            <w:tcBorders>
              <w:left w:val="single" w:sz="6" w:space="0" w:color="auto"/>
              <w:right w:val="single" w:sz="6" w:space="0" w:color="auto"/>
            </w:tcBorders>
          </w:tcPr>
          <w:p w:rsidR="00000000" w:rsidRDefault="00000000">
            <w:pPr>
              <w:jc w:val="center"/>
              <w:rPr>
                <w:color w:val="000000"/>
                <w:sz w:val="21"/>
              </w:rPr>
            </w:pPr>
            <w:r>
              <w:rPr>
                <w:color w:val="000000"/>
                <w:sz w:val="21"/>
              </w:rPr>
              <w:t>260.7</w:t>
            </w:r>
          </w:p>
        </w:tc>
        <w:tc>
          <w:tcPr>
            <w:tcW w:w="1209" w:type="dxa"/>
            <w:tcBorders>
              <w:left w:val="single" w:sz="6" w:space="0" w:color="auto"/>
              <w:right w:val="single" w:sz="6" w:space="0" w:color="auto"/>
            </w:tcBorders>
          </w:tcPr>
          <w:p w:rsidR="00000000" w:rsidRDefault="00000000">
            <w:pPr>
              <w:jc w:val="center"/>
              <w:rPr>
                <w:color w:val="000000"/>
                <w:sz w:val="21"/>
              </w:rPr>
            </w:pPr>
            <w:r>
              <w:rPr>
                <w:color w:val="000000"/>
                <w:sz w:val="21"/>
              </w:rPr>
              <w:t>629 800</w:t>
            </w:r>
          </w:p>
        </w:tc>
        <w:tc>
          <w:tcPr>
            <w:tcW w:w="965" w:type="dxa"/>
            <w:tcBorders>
              <w:left w:val="single" w:sz="6" w:space="0" w:color="auto"/>
              <w:right w:val="single" w:sz="6" w:space="0" w:color="auto"/>
            </w:tcBorders>
          </w:tcPr>
          <w:p w:rsidR="00000000" w:rsidRDefault="00000000">
            <w:pPr>
              <w:jc w:val="center"/>
              <w:rPr>
                <w:color w:val="000000"/>
                <w:sz w:val="21"/>
              </w:rPr>
            </w:pPr>
            <w:r>
              <w:rPr>
                <w:color w:val="000000"/>
                <w:sz w:val="21"/>
              </w:rPr>
              <w:t>325.3</w:t>
            </w:r>
          </w:p>
        </w:tc>
        <w:tc>
          <w:tcPr>
            <w:tcW w:w="1010" w:type="dxa"/>
            <w:tcBorders>
              <w:left w:val="single" w:sz="6" w:space="0" w:color="auto"/>
              <w:right w:val="single" w:sz="6" w:space="0" w:color="auto"/>
            </w:tcBorders>
          </w:tcPr>
          <w:p w:rsidR="00000000" w:rsidRDefault="00000000">
            <w:pPr>
              <w:jc w:val="center"/>
              <w:rPr>
                <w:color w:val="000000"/>
                <w:sz w:val="21"/>
              </w:rPr>
            </w:pPr>
            <w:r>
              <w:rPr>
                <w:color w:val="000000"/>
                <w:sz w:val="21"/>
              </w:rPr>
              <w:t>616 350</w:t>
            </w:r>
          </w:p>
        </w:tc>
        <w:tc>
          <w:tcPr>
            <w:tcW w:w="1011" w:type="dxa"/>
            <w:tcBorders>
              <w:left w:val="single" w:sz="6" w:space="0" w:color="auto"/>
              <w:right w:val="single" w:sz="6" w:space="0" w:color="auto"/>
            </w:tcBorders>
          </w:tcPr>
          <w:p w:rsidR="00000000" w:rsidRDefault="00000000">
            <w:pPr>
              <w:jc w:val="center"/>
              <w:rPr>
                <w:color w:val="000000"/>
                <w:sz w:val="21"/>
              </w:rPr>
            </w:pPr>
            <w:r>
              <w:rPr>
                <w:color w:val="000000"/>
                <w:sz w:val="21"/>
              </w:rPr>
              <w:t>318.3</w:t>
            </w:r>
          </w:p>
        </w:tc>
        <w:tc>
          <w:tcPr>
            <w:tcW w:w="1041" w:type="dxa"/>
            <w:tcBorders>
              <w:left w:val="single" w:sz="6" w:space="0" w:color="auto"/>
              <w:right w:val="single" w:sz="6" w:space="0" w:color="auto"/>
            </w:tcBorders>
          </w:tcPr>
          <w:p w:rsidR="00000000" w:rsidRDefault="00000000">
            <w:pPr>
              <w:jc w:val="center"/>
              <w:rPr>
                <w:color w:val="000000"/>
                <w:sz w:val="21"/>
              </w:rPr>
            </w:pPr>
            <w:r>
              <w:rPr>
                <w:color w:val="000000"/>
                <w:sz w:val="21"/>
              </w:rPr>
              <w:t>710 250</w:t>
            </w:r>
          </w:p>
        </w:tc>
        <w:tc>
          <w:tcPr>
            <w:tcW w:w="1429" w:type="dxa"/>
            <w:gridSpan w:val="2"/>
            <w:tcBorders>
              <w:left w:val="single" w:sz="6" w:space="0" w:color="auto"/>
            </w:tcBorders>
          </w:tcPr>
          <w:p w:rsidR="00000000" w:rsidRDefault="00000000">
            <w:pPr>
              <w:jc w:val="center"/>
              <w:rPr>
                <w:color w:val="000000"/>
                <w:sz w:val="21"/>
              </w:rPr>
            </w:pPr>
            <w:r>
              <w:rPr>
                <w:color w:val="000000"/>
                <w:sz w:val="21"/>
              </w:rPr>
              <w:t>366.8</w:t>
            </w:r>
          </w:p>
        </w:tc>
      </w:tr>
      <w:tr w:rsidR="00000000">
        <w:tblPrEx>
          <w:tblCellMar>
            <w:top w:w="0" w:type="dxa"/>
            <w:bottom w:w="0" w:type="dxa"/>
          </w:tblCellMar>
        </w:tblPrEx>
        <w:trPr>
          <w:cantSplit/>
          <w:trHeight w:hRule="exact" w:val="360"/>
          <w:jc w:val="center"/>
        </w:trPr>
        <w:tc>
          <w:tcPr>
            <w:tcW w:w="791" w:type="dxa"/>
            <w:tcBorders>
              <w:bottom w:val="single" w:sz="6" w:space="0" w:color="auto"/>
              <w:right w:val="single" w:sz="6" w:space="0" w:color="auto"/>
            </w:tcBorders>
          </w:tcPr>
          <w:p w:rsidR="00000000" w:rsidRDefault="00000000">
            <w:pPr>
              <w:jc w:val="center"/>
              <w:rPr>
                <w:color w:val="000000"/>
                <w:sz w:val="21"/>
              </w:rPr>
            </w:pPr>
            <w:r>
              <w:rPr>
                <w:color w:val="000000"/>
                <w:sz w:val="21"/>
              </w:rPr>
              <w:t>2000</w:t>
            </w:r>
          </w:p>
        </w:tc>
        <w:tc>
          <w:tcPr>
            <w:tcW w:w="1131" w:type="dxa"/>
            <w:tcBorders>
              <w:left w:val="single" w:sz="6" w:space="0" w:color="auto"/>
              <w:bottom w:val="single" w:sz="6" w:space="0" w:color="auto"/>
              <w:right w:val="single" w:sz="6" w:space="0" w:color="auto"/>
            </w:tcBorders>
          </w:tcPr>
          <w:p w:rsidR="00000000" w:rsidRDefault="00000000">
            <w:pPr>
              <w:jc w:val="center"/>
              <w:rPr>
                <w:color w:val="000000"/>
                <w:sz w:val="21"/>
              </w:rPr>
            </w:pPr>
            <w:r>
              <w:rPr>
                <w:color w:val="000000"/>
                <w:sz w:val="21"/>
              </w:rPr>
              <w:t>530 900</w:t>
            </w:r>
          </w:p>
        </w:tc>
        <w:tc>
          <w:tcPr>
            <w:tcW w:w="975" w:type="dxa"/>
            <w:tcBorders>
              <w:left w:val="single" w:sz="6" w:space="0" w:color="auto"/>
              <w:bottom w:val="single" w:sz="6" w:space="0" w:color="auto"/>
              <w:right w:val="single" w:sz="6" w:space="0" w:color="auto"/>
            </w:tcBorders>
          </w:tcPr>
          <w:p w:rsidR="00000000" w:rsidRDefault="00000000">
            <w:pPr>
              <w:jc w:val="center"/>
              <w:rPr>
                <w:color w:val="000000"/>
                <w:sz w:val="21"/>
              </w:rPr>
            </w:pPr>
            <w:r>
              <w:rPr>
                <w:color w:val="000000"/>
                <w:sz w:val="21"/>
              </w:rPr>
              <w:t>274.2</w:t>
            </w:r>
          </w:p>
        </w:tc>
        <w:tc>
          <w:tcPr>
            <w:tcW w:w="1209" w:type="dxa"/>
            <w:tcBorders>
              <w:left w:val="single" w:sz="6" w:space="0" w:color="auto"/>
              <w:bottom w:val="single" w:sz="6" w:space="0" w:color="auto"/>
              <w:right w:val="single" w:sz="6" w:space="0" w:color="auto"/>
            </w:tcBorders>
          </w:tcPr>
          <w:p w:rsidR="00000000" w:rsidRDefault="00000000">
            <w:pPr>
              <w:jc w:val="center"/>
              <w:rPr>
                <w:color w:val="000000"/>
                <w:sz w:val="21"/>
              </w:rPr>
            </w:pPr>
            <w:r>
              <w:rPr>
                <w:color w:val="000000"/>
                <w:sz w:val="21"/>
              </w:rPr>
              <w:t>655 350</w:t>
            </w:r>
          </w:p>
        </w:tc>
        <w:tc>
          <w:tcPr>
            <w:tcW w:w="965" w:type="dxa"/>
            <w:tcBorders>
              <w:left w:val="single" w:sz="6" w:space="0" w:color="auto"/>
              <w:bottom w:val="single" w:sz="6" w:space="0" w:color="auto"/>
              <w:right w:val="single" w:sz="6" w:space="0" w:color="auto"/>
            </w:tcBorders>
          </w:tcPr>
          <w:p w:rsidR="00000000" w:rsidRDefault="00000000">
            <w:pPr>
              <w:jc w:val="center"/>
              <w:rPr>
                <w:color w:val="000000"/>
                <w:sz w:val="21"/>
              </w:rPr>
            </w:pPr>
            <w:r>
              <w:rPr>
                <w:color w:val="000000"/>
                <w:sz w:val="21"/>
              </w:rPr>
              <w:t>338.5</w:t>
            </w:r>
          </w:p>
        </w:tc>
        <w:tc>
          <w:tcPr>
            <w:tcW w:w="1010" w:type="dxa"/>
            <w:tcBorders>
              <w:left w:val="single" w:sz="6" w:space="0" w:color="auto"/>
              <w:bottom w:val="single" w:sz="6" w:space="0" w:color="auto"/>
              <w:right w:val="single" w:sz="6" w:space="0" w:color="auto"/>
            </w:tcBorders>
          </w:tcPr>
          <w:p w:rsidR="00000000" w:rsidRDefault="00000000">
            <w:pPr>
              <w:jc w:val="center"/>
              <w:rPr>
                <w:color w:val="000000"/>
                <w:sz w:val="21"/>
              </w:rPr>
            </w:pPr>
            <w:r>
              <w:rPr>
                <w:color w:val="000000"/>
                <w:sz w:val="21"/>
              </w:rPr>
              <w:t>644 200</w:t>
            </w:r>
          </w:p>
        </w:tc>
        <w:tc>
          <w:tcPr>
            <w:tcW w:w="1011" w:type="dxa"/>
            <w:tcBorders>
              <w:left w:val="single" w:sz="6" w:space="0" w:color="auto"/>
              <w:bottom w:val="single" w:sz="6" w:space="0" w:color="auto"/>
              <w:right w:val="single" w:sz="6" w:space="0" w:color="auto"/>
            </w:tcBorders>
          </w:tcPr>
          <w:p w:rsidR="00000000" w:rsidRDefault="00000000">
            <w:pPr>
              <w:jc w:val="center"/>
              <w:rPr>
                <w:color w:val="000000"/>
                <w:sz w:val="21"/>
              </w:rPr>
            </w:pPr>
            <w:r>
              <w:rPr>
                <w:color w:val="000000"/>
                <w:sz w:val="21"/>
              </w:rPr>
              <w:t>332.7</w:t>
            </w:r>
          </w:p>
        </w:tc>
        <w:tc>
          <w:tcPr>
            <w:tcW w:w="1041" w:type="dxa"/>
            <w:tcBorders>
              <w:left w:val="single" w:sz="6" w:space="0" w:color="auto"/>
              <w:bottom w:val="single" w:sz="6" w:space="0" w:color="auto"/>
              <w:right w:val="single" w:sz="6" w:space="0" w:color="auto"/>
            </w:tcBorders>
          </w:tcPr>
          <w:p w:rsidR="00000000" w:rsidRDefault="00000000">
            <w:pPr>
              <w:jc w:val="center"/>
              <w:rPr>
                <w:color w:val="000000"/>
                <w:sz w:val="21"/>
              </w:rPr>
            </w:pPr>
            <w:r>
              <w:rPr>
                <w:color w:val="000000"/>
                <w:sz w:val="21"/>
              </w:rPr>
              <w:t>721 600</w:t>
            </w:r>
          </w:p>
        </w:tc>
        <w:tc>
          <w:tcPr>
            <w:tcW w:w="1429" w:type="dxa"/>
            <w:gridSpan w:val="2"/>
            <w:tcBorders>
              <w:left w:val="single" w:sz="6" w:space="0" w:color="auto"/>
              <w:bottom w:val="single" w:sz="6" w:space="0" w:color="auto"/>
            </w:tcBorders>
          </w:tcPr>
          <w:p w:rsidR="00000000" w:rsidRDefault="00000000">
            <w:pPr>
              <w:jc w:val="center"/>
              <w:rPr>
                <w:color w:val="000000"/>
                <w:sz w:val="21"/>
              </w:rPr>
            </w:pPr>
            <w:r>
              <w:rPr>
                <w:color w:val="000000"/>
                <w:sz w:val="21"/>
              </w:rPr>
              <w:t>372.7</w:t>
            </w:r>
          </w:p>
        </w:tc>
      </w:tr>
    </w:tbl>
    <w:p w:rsidR="00000000" w:rsidRDefault="00000000">
      <w:pPr>
        <w:rPr>
          <w:rFonts w:hint="eastAsia"/>
        </w:rPr>
      </w:pPr>
    </w:p>
    <w:p w:rsidR="00000000" w:rsidRDefault="00000000">
      <w:pPr>
        <w:rPr>
          <w:rFonts w:hint="eastAsia"/>
          <w:lang w:val="en-GB"/>
        </w:rPr>
      </w:pPr>
      <w:r>
        <w:rPr>
          <w:rFonts w:hint="eastAsia"/>
        </w:rPr>
        <w:tab/>
        <w:t>145.  1998</w:t>
      </w:r>
      <w:r>
        <w:rPr>
          <w:rFonts w:hint="eastAsia"/>
        </w:rPr>
        <w:t>年</w:t>
      </w:r>
      <w:r>
        <w:rPr>
          <w:rFonts w:hint="eastAsia"/>
        </w:rPr>
        <w:t>6</w:t>
      </w:r>
      <w:r>
        <w:rPr>
          <w:rFonts w:hint="eastAsia"/>
        </w:rPr>
        <w:t>月颁布了一项立法令，试验性地推出</w:t>
      </w:r>
      <w:r>
        <w:rPr>
          <w:lang w:val="en-GB"/>
        </w:rPr>
        <w:t xml:space="preserve">Reddito Minimo di Inserimento </w:t>
      </w:r>
      <w:r>
        <w:rPr>
          <w:rFonts w:hint="eastAsia"/>
          <w:lang w:val="en-GB"/>
        </w:rPr>
        <w:t>(</w:t>
      </w:r>
      <w:r>
        <w:rPr>
          <w:rFonts w:hint="eastAsia"/>
          <w:lang w:val="en-GB"/>
        </w:rPr>
        <w:t>用于融合的最低收入</w:t>
      </w:r>
      <w:r>
        <w:rPr>
          <w:rFonts w:hint="eastAsia"/>
          <w:lang w:val="en-GB"/>
        </w:rPr>
        <w:t>)</w:t>
      </w:r>
      <w:r>
        <w:rPr>
          <w:rFonts w:hint="eastAsia"/>
          <w:lang w:val="en-GB"/>
        </w:rPr>
        <w:t>方案</w:t>
      </w:r>
      <w:r>
        <w:rPr>
          <w:rFonts w:hint="eastAsia"/>
        </w:rPr>
        <w:t>，</w:t>
      </w:r>
      <w:r>
        <w:rPr>
          <w:rFonts w:hint="eastAsia"/>
          <w:lang w:val="en-GB"/>
        </w:rPr>
        <w:t>其名称令人想起于</w:t>
      </w:r>
      <w:r>
        <w:rPr>
          <w:rFonts w:hint="eastAsia"/>
          <w:lang w:val="en-GB"/>
        </w:rPr>
        <w:t>1998</w:t>
      </w:r>
      <w:r>
        <w:rPr>
          <w:rFonts w:hint="eastAsia"/>
          <w:lang w:val="en-GB"/>
        </w:rPr>
        <w:t>年起生效的法国</w:t>
      </w:r>
      <w:r>
        <w:rPr>
          <w:rFonts w:hint="eastAsia"/>
          <w:lang w:val="en-GB"/>
        </w:rPr>
        <w:t>RMI (</w:t>
      </w:r>
      <w:r>
        <w:rPr>
          <w:rFonts w:hint="eastAsia"/>
          <w:lang w:val="en-GB"/>
        </w:rPr>
        <w:t>用于整合的最低收入</w:t>
      </w:r>
      <w:r>
        <w:rPr>
          <w:rFonts w:hint="eastAsia"/>
          <w:lang w:val="en-GB"/>
        </w:rPr>
        <w:t xml:space="preserve">) </w:t>
      </w:r>
      <w:r>
        <w:rPr>
          <w:rFonts w:hint="eastAsia"/>
          <w:lang w:val="en-GB"/>
        </w:rPr>
        <w:t>政策。根据这项具有创立作用的法令</w:t>
      </w:r>
      <w:r>
        <w:rPr>
          <w:lang w:val="en-GB"/>
        </w:rPr>
        <w:t>(D.Lg. 237/98)</w:t>
      </w:r>
      <w:r>
        <w:rPr>
          <w:rFonts w:hint="eastAsia"/>
          <w:lang w:val="en-GB"/>
        </w:rPr>
        <w:t>，用于融合的最低收入方案旨在提供一种受保障且无类别之分的安全网，“在社会经济条件方面支持面临社会边缘化危险的人和出于心理、身体或社会原因而不能养活自己及子女的人，从而消除贫困和社会排斥现象”。方案包括两个要素：现金划拨和融合方案。用于融合的最低收入方案的目标是“通过个人化的方案和划拨资金</w:t>
      </w:r>
      <w:r>
        <w:rPr>
          <w:rFonts w:hint="eastAsia"/>
          <w:lang w:val="en-GB"/>
        </w:rPr>
        <w:t>(</w:t>
      </w:r>
      <w:r>
        <w:rPr>
          <w:rFonts w:hint="eastAsia"/>
          <w:lang w:val="en-GB"/>
        </w:rPr>
        <w:t>该资金是收入的一部分</w:t>
      </w:r>
      <w:r>
        <w:rPr>
          <w:rFonts w:hint="eastAsia"/>
          <w:lang w:val="en-GB"/>
        </w:rPr>
        <w:t>)</w:t>
      </w:r>
      <w:r>
        <w:rPr>
          <w:rFonts w:hint="eastAsia"/>
          <w:lang w:val="en-GB"/>
        </w:rPr>
        <w:t>，使受益者和家庭能融入社会并在经济方面独立”。</w:t>
      </w:r>
    </w:p>
    <w:p w:rsidR="00000000" w:rsidRDefault="00000000">
      <w:pPr>
        <w:rPr>
          <w:rFonts w:hint="eastAsia"/>
          <w:lang w:val="en-GB"/>
        </w:rPr>
      </w:pPr>
      <w:r>
        <w:rPr>
          <w:rFonts w:hint="eastAsia"/>
          <w:lang w:val="en-GB"/>
        </w:rPr>
        <w:tab/>
        <w:t xml:space="preserve">146.  </w:t>
      </w:r>
      <w:r>
        <w:rPr>
          <w:rFonts w:hint="eastAsia"/>
          <w:lang w:val="en-GB"/>
        </w:rPr>
        <w:t>用于融合的最低收入方案直截了当的目标是要减轻贫困和社会排斥现象，它由资金和“活化”措施两部分组成：一名潜在受益者必须参加以他</w:t>
      </w:r>
      <w:r>
        <w:rPr>
          <w:rFonts w:hint="eastAsia"/>
          <w:lang w:val="en-GB"/>
        </w:rPr>
        <w:t>/</w:t>
      </w:r>
      <w:r>
        <w:rPr>
          <w:rFonts w:hint="eastAsia"/>
          <w:lang w:val="en-GB"/>
        </w:rPr>
        <w:t>她的具体需要或受排斥情况为基础的融合方案，才有权获得资金。对于单身家庭，最低收入津贴的金额相当于已确定的最低限额</w:t>
      </w:r>
      <w:r>
        <w:rPr>
          <w:rFonts w:hint="eastAsia"/>
          <w:lang w:val="en-GB"/>
        </w:rPr>
        <w:t>(2000</w:t>
      </w:r>
      <w:r>
        <w:rPr>
          <w:rFonts w:hint="eastAsia"/>
          <w:lang w:val="en-GB"/>
        </w:rPr>
        <w:t>年时为</w:t>
      </w:r>
      <w:r>
        <w:rPr>
          <w:rFonts w:hint="eastAsia"/>
          <w:lang w:val="en-GB"/>
        </w:rPr>
        <w:t>268</w:t>
      </w:r>
      <w:r>
        <w:rPr>
          <w:rFonts w:hint="eastAsia"/>
          <w:lang w:val="en-GB"/>
        </w:rPr>
        <w:t>欧元</w:t>
      </w:r>
      <w:r>
        <w:rPr>
          <w:rFonts w:hint="eastAsia"/>
          <w:lang w:val="en-GB"/>
        </w:rPr>
        <w:t>)</w:t>
      </w:r>
      <w:r>
        <w:rPr>
          <w:rFonts w:hint="eastAsia"/>
          <w:lang w:val="en-GB"/>
        </w:rPr>
        <w:t>与受益者每月可支配的收入之间的差额；而对于一人以上的各种规模的家庭，须根据经济状况指标的等值尺度来计算津贴的数额。重新融合方案是个人化的，旨在恢复并提高个人能力和重建社会网络，并必须包括所有家庭成员。目前已经开始在根据社会经济指标选出的</w:t>
      </w:r>
      <w:r>
        <w:rPr>
          <w:rFonts w:hint="eastAsia"/>
          <w:lang w:val="en-GB"/>
        </w:rPr>
        <w:t>39</w:t>
      </w:r>
      <w:r>
        <w:rPr>
          <w:rFonts w:hint="eastAsia"/>
          <w:lang w:val="en-GB"/>
        </w:rPr>
        <w:t>个市镇试行这项方案，</w:t>
      </w:r>
      <w:r>
        <w:rPr>
          <w:lang w:val="en-GB"/>
        </w:rPr>
        <w:t xml:space="preserve"> </w:t>
      </w:r>
      <w:r>
        <w:rPr>
          <w:rFonts w:hint="eastAsia"/>
          <w:lang w:val="en-GB"/>
        </w:rPr>
        <w:t>从</w:t>
      </w:r>
      <w:r>
        <w:rPr>
          <w:rFonts w:hint="eastAsia"/>
          <w:lang w:val="en-GB"/>
        </w:rPr>
        <w:t>1998</w:t>
      </w:r>
      <w:r>
        <w:rPr>
          <w:rFonts w:hint="eastAsia"/>
          <w:lang w:val="en-GB"/>
        </w:rPr>
        <w:t>年年底开始到</w:t>
      </w:r>
      <w:r>
        <w:rPr>
          <w:rFonts w:hint="eastAsia"/>
          <w:lang w:val="en-GB"/>
        </w:rPr>
        <w:t>2000</w:t>
      </w:r>
      <w:r>
        <w:rPr>
          <w:rFonts w:hint="eastAsia"/>
          <w:lang w:val="en-GB"/>
        </w:rPr>
        <w:t>年</w:t>
      </w:r>
      <w:r>
        <w:rPr>
          <w:rFonts w:hint="eastAsia"/>
          <w:lang w:val="en-GB"/>
        </w:rPr>
        <w:t>12</w:t>
      </w:r>
      <w:r>
        <w:rPr>
          <w:rFonts w:hint="eastAsia"/>
          <w:lang w:val="en-GB"/>
        </w:rPr>
        <w:t>月</w:t>
      </w:r>
      <w:r>
        <w:rPr>
          <w:rFonts w:hint="eastAsia"/>
          <w:lang w:val="en-GB"/>
        </w:rPr>
        <w:t>31</w:t>
      </w:r>
      <w:r>
        <w:rPr>
          <w:rFonts w:hint="eastAsia"/>
          <w:lang w:val="en-GB"/>
        </w:rPr>
        <w:t>日为止，为期两年</w:t>
      </w:r>
      <w:r>
        <w:rPr>
          <w:rFonts w:hint="eastAsia"/>
          <w:lang w:val="en-GB"/>
        </w:rPr>
        <w:t xml:space="preserve"> </w:t>
      </w:r>
      <w:r>
        <w:rPr>
          <w:rStyle w:val="EndnoteReference"/>
          <w:lang w:val="en-GB"/>
        </w:rPr>
        <w:endnoteReference w:id="5"/>
      </w:r>
      <w:r>
        <w:rPr>
          <w:rFonts w:hint="eastAsia"/>
          <w:lang w:val="en-GB"/>
        </w:rPr>
        <w:t>。在</w:t>
      </w:r>
      <w:r>
        <w:rPr>
          <w:rFonts w:hint="eastAsia"/>
          <w:lang w:val="en-GB"/>
        </w:rPr>
        <w:t>1998</w:t>
      </w:r>
      <w:r>
        <w:rPr>
          <w:rFonts w:hint="eastAsia"/>
          <w:lang w:val="en-GB"/>
        </w:rPr>
        <w:t>年至</w:t>
      </w:r>
      <w:r>
        <w:rPr>
          <w:rFonts w:hint="eastAsia"/>
          <w:lang w:val="en-GB"/>
        </w:rPr>
        <w:t>2000</w:t>
      </w:r>
      <w:r>
        <w:rPr>
          <w:rFonts w:hint="eastAsia"/>
          <w:lang w:val="en-GB"/>
        </w:rPr>
        <w:t>年期间，已对</w:t>
      </w:r>
      <w:r>
        <w:rPr>
          <w:rFonts w:hint="eastAsia"/>
          <w:lang w:val="en-GB"/>
        </w:rPr>
        <w:t>34,000</w:t>
      </w:r>
      <w:r>
        <w:rPr>
          <w:rFonts w:hint="eastAsia"/>
          <w:lang w:val="en-GB"/>
        </w:rPr>
        <w:t>多户家庭试用用于融合的最低收入方案，所支付津贴数额总共约达</w:t>
      </w:r>
      <w:r>
        <w:rPr>
          <w:rFonts w:hint="eastAsia"/>
          <w:lang w:val="en-GB"/>
        </w:rPr>
        <w:t>22,000</w:t>
      </w:r>
      <w:r>
        <w:rPr>
          <w:rFonts w:hint="eastAsia"/>
          <w:lang w:val="en-GB"/>
        </w:rPr>
        <w:t>万欧元。在被选中的</w:t>
      </w:r>
      <w:r>
        <w:rPr>
          <w:rFonts w:hint="eastAsia"/>
          <w:lang w:val="en-GB"/>
        </w:rPr>
        <w:t>39</w:t>
      </w:r>
      <w:r>
        <w:rPr>
          <w:rFonts w:hint="eastAsia"/>
          <w:lang w:val="en-GB"/>
        </w:rPr>
        <w:t>个市镇中</w:t>
      </w:r>
      <w:r>
        <w:rPr>
          <w:rFonts w:hint="eastAsia"/>
          <w:lang w:val="en-GB"/>
        </w:rPr>
        <w:t>5</w:t>
      </w:r>
      <w:r>
        <w:rPr>
          <w:rFonts w:hint="eastAsia"/>
          <w:lang w:val="en-GB"/>
        </w:rPr>
        <w:t>个位于意大利北部，</w:t>
      </w:r>
      <w:r>
        <w:rPr>
          <w:rFonts w:hint="eastAsia"/>
          <w:lang w:val="en-GB"/>
        </w:rPr>
        <w:t>10</w:t>
      </w:r>
      <w:r>
        <w:rPr>
          <w:rFonts w:hint="eastAsia"/>
          <w:lang w:val="en-GB"/>
        </w:rPr>
        <w:t>个位于中部，另有</w:t>
      </w:r>
      <w:r>
        <w:rPr>
          <w:rFonts w:hint="eastAsia"/>
          <w:lang w:val="en-GB"/>
        </w:rPr>
        <w:t>24</w:t>
      </w:r>
      <w:r>
        <w:rPr>
          <w:rFonts w:hint="eastAsia"/>
          <w:lang w:val="en-GB"/>
        </w:rPr>
        <w:t>个位于南部。</w:t>
      </w:r>
    </w:p>
    <w:p w:rsidR="00000000" w:rsidRDefault="00000000">
      <w:pPr>
        <w:spacing w:after="320"/>
        <w:rPr>
          <w:rFonts w:hint="eastAsia"/>
          <w:lang w:val="en-GB"/>
        </w:rPr>
      </w:pPr>
      <w:r>
        <w:rPr>
          <w:rFonts w:hint="eastAsia"/>
          <w:lang w:val="en-GB"/>
        </w:rPr>
        <w:tab/>
        <w:t xml:space="preserve">147.  </w:t>
      </w:r>
      <w:r>
        <w:rPr>
          <w:rFonts w:hint="eastAsia"/>
          <w:lang w:val="en-GB"/>
        </w:rPr>
        <w:t>立法令规定要对这个试验性方案进行评估</w:t>
      </w:r>
      <w:r>
        <w:rPr>
          <w:rFonts w:hint="eastAsia"/>
          <w:lang w:val="en-GB"/>
        </w:rPr>
        <w:t>,</w:t>
      </w:r>
      <w:r>
        <w:rPr>
          <w:rFonts w:hint="eastAsia"/>
          <w:lang w:val="en-GB"/>
        </w:rPr>
        <w:t>于是意大利有史以来第一次对一种福利性政策措施进行评估。</w:t>
      </w:r>
      <w:r>
        <w:rPr>
          <w:rFonts w:hint="eastAsia"/>
          <w:lang w:val="en-GB"/>
        </w:rPr>
        <w:t>2001</w:t>
      </w:r>
      <w:r>
        <w:rPr>
          <w:rFonts w:hint="eastAsia"/>
          <w:lang w:val="en-GB"/>
        </w:rPr>
        <w:t>年</w:t>
      </w:r>
      <w:r>
        <w:rPr>
          <w:rFonts w:hint="eastAsia"/>
          <w:lang w:val="en-GB"/>
        </w:rPr>
        <w:t>6</w:t>
      </w:r>
      <w:r>
        <w:rPr>
          <w:rFonts w:hint="eastAsia"/>
          <w:lang w:val="en-GB"/>
        </w:rPr>
        <w:t>月由一个独立研究中心协会</w:t>
      </w:r>
      <w:r>
        <w:rPr>
          <w:rFonts w:hint="eastAsia"/>
          <w:lang w:val="en-GB"/>
        </w:rPr>
        <w:t xml:space="preserve"> </w:t>
      </w:r>
      <w:r>
        <w:rPr>
          <w:rStyle w:val="EndnoteReference"/>
          <w:lang w:val="en-GB"/>
        </w:rPr>
        <w:endnoteReference w:id="6"/>
      </w:r>
      <w:r>
        <w:rPr>
          <w:rFonts w:hint="eastAsia"/>
          <w:lang w:val="en-GB"/>
        </w:rPr>
        <w:t xml:space="preserve"> </w:t>
      </w:r>
      <w:r>
        <w:rPr>
          <w:rFonts w:hint="eastAsia"/>
          <w:lang w:val="en-GB"/>
        </w:rPr>
        <w:t>编纂了一份关于用于融合的最低收入方案试用头两年的经验的评估报告。随后，第</w:t>
      </w:r>
      <w:r>
        <w:rPr>
          <w:rFonts w:hint="eastAsia"/>
          <w:lang w:val="en-GB"/>
        </w:rPr>
        <w:t>328/2000</w:t>
      </w:r>
      <w:r>
        <w:rPr>
          <w:rFonts w:hint="eastAsia"/>
          <w:lang w:val="en-GB"/>
        </w:rPr>
        <w:t>号法规定到</w:t>
      </w:r>
      <w:r>
        <w:rPr>
          <w:rFonts w:hint="eastAsia"/>
          <w:lang w:val="en-GB"/>
        </w:rPr>
        <w:t>2001</w:t>
      </w:r>
      <w:r>
        <w:rPr>
          <w:rFonts w:hint="eastAsia"/>
          <w:lang w:val="en-GB"/>
        </w:rPr>
        <w:t>年年中时，政府应向议会汇报方案试行情况和评估结果，以便将用于融合的最低收入方案定为一种完全合格的措施，准备并入社会养恤金等其他措施。然而，甚至在</w:t>
      </w:r>
      <w:r>
        <w:rPr>
          <w:rFonts w:hint="eastAsia"/>
          <w:lang w:val="en-GB"/>
        </w:rPr>
        <w:t>2001</w:t>
      </w:r>
      <w:r>
        <w:rPr>
          <w:rFonts w:hint="eastAsia"/>
          <w:lang w:val="en-GB"/>
        </w:rPr>
        <w:t>年中期这个期限到期之前，而且在该项目仍在试行之中时，</w:t>
      </w:r>
      <w:r>
        <w:rPr>
          <w:rFonts w:hint="eastAsia"/>
          <w:lang w:val="en-GB"/>
        </w:rPr>
        <w:t>2001</w:t>
      </w:r>
      <w:r>
        <w:rPr>
          <w:rFonts w:hint="eastAsia"/>
          <w:lang w:val="en-GB"/>
        </w:rPr>
        <w:t>年预算法</w:t>
      </w:r>
      <w:r>
        <w:rPr>
          <w:rFonts w:hint="eastAsia"/>
          <w:lang w:val="en-GB"/>
        </w:rPr>
        <w:t>(</w:t>
      </w:r>
      <w:r>
        <w:rPr>
          <w:rFonts w:hint="eastAsia"/>
          <w:lang w:val="en-GB"/>
        </w:rPr>
        <w:t>于</w:t>
      </w:r>
      <w:r>
        <w:rPr>
          <w:rFonts w:hint="eastAsia"/>
          <w:lang w:val="en-GB"/>
        </w:rPr>
        <w:t>2000</w:t>
      </w:r>
      <w:r>
        <w:rPr>
          <w:rFonts w:hint="eastAsia"/>
          <w:lang w:val="en-GB"/>
        </w:rPr>
        <w:t>年</w:t>
      </w:r>
      <w:r>
        <w:rPr>
          <w:rFonts w:hint="eastAsia"/>
          <w:lang w:val="en-GB"/>
        </w:rPr>
        <w:t>12</w:t>
      </w:r>
      <w:r>
        <w:rPr>
          <w:rFonts w:hint="eastAsia"/>
          <w:lang w:val="en-GB"/>
        </w:rPr>
        <w:t>月通过</w:t>
      </w:r>
      <w:r>
        <w:rPr>
          <w:rFonts w:hint="eastAsia"/>
          <w:lang w:val="en-GB"/>
        </w:rPr>
        <w:t>)</w:t>
      </w:r>
      <w:r>
        <w:rPr>
          <w:rFonts w:hint="eastAsia"/>
          <w:lang w:val="en-GB"/>
        </w:rPr>
        <w:t>就已经决定将该方案的试用期延长两年，直到</w:t>
      </w:r>
      <w:r>
        <w:rPr>
          <w:rFonts w:hint="eastAsia"/>
          <w:lang w:val="en-GB"/>
        </w:rPr>
        <w:t>2002</w:t>
      </w:r>
      <w:r>
        <w:rPr>
          <w:rFonts w:hint="eastAsia"/>
          <w:lang w:val="en-GB"/>
        </w:rPr>
        <w:t>年</w:t>
      </w:r>
      <w:r>
        <w:rPr>
          <w:rFonts w:hint="eastAsia"/>
          <w:lang w:val="en-GB"/>
        </w:rPr>
        <w:t>12</w:t>
      </w:r>
      <w:r>
        <w:rPr>
          <w:rFonts w:hint="eastAsia"/>
          <w:lang w:val="en-GB"/>
        </w:rPr>
        <w:t>月</w:t>
      </w:r>
      <w:r>
        <w:rPr>
          <w:rFonts w:hint="eastAsia"/>
          <w:lang w:val="en-GB"/>
        </w:rPr>
        <w:t>31</w:t>
      </w:r>
      <w:r>
        <w:rPr>
          <w:rFonts w:hint="eastAsia"/>
          <w:lang w:val="en-GB"/>
        </w:rPr>
        <w:t>日，并将为这两年总共拨款</w:t>
      </w:r>
      <w:r>
        <w:rPr>
          <w:rFonts w:hint="eastAsia"/>
          <w:lang w:val="en-GB"/>
        </w:rPr>
        <w:t>402,840,000</w:t>
      </w:r>
      <w:r>
        <w:rPr>
          <w:rFonts w:hint="eastAsia"/>
          <w:lang w:val="en-GB"/>
        </w:rPr>
        <w:t>欧元</w:t>
      </w:r>
      <w:r>
        <w:rPr>
          <w:rFonts w:hint="eastAsia"/>
          <w:lang w:val="en-GB"/>
        </w:rPr>
        <w:t>(</w:t>
      </w:r>
      <w:r>
        <w:rPr>
          <w:rFonts w:hint="eastAsia"/>
          <w:lang w:val="en-GB"/>
        </w:rPr>
        <w:t>仅</w:t>
      </w:r>
      <w:r>
        <w:rPr>
          <w:rFonts w:hint="eastAsia"/>
          <w:lang w:val="en-GB"/>
        </w:rPr>
        <w:t>2002</w:t>
      </w:r>
      <w:r>
        <w:rPr>
          <w:rFonts w:hint="eastAsia"/>
          <w:lang w:val="en-GB"/>
        </w:rPr>
        <w:t>年一年将获拨款</w:t>
      </w:r>
      <w:r>
        <w:rPr>
          <w:rFonts w:hint="eastAsia"/>
          <w:lang w:val="en-GB"/>
        </w:rPr>
        <w:t>22</w:t>
      </w:r>
      <w:r>
        <w:rPr>
          <w:lang w:val="en-GB"/>
        </w:rPr>
        <w:t>,</w:t>
      </w:r>
      <w:r>
        <w:rPr>
          <w:rFonts w:hint="eastAsia"/>
          <w:lang w:val="en-GB"/>
        </w:rPr>
        <w:t>000</w:t>
      </w:r>
      <w:r>
        <w:rPr>
          <w:rFonts w:hint="eastAsia"/>
          <w:lang w:val="en-GB"/>
        </w:rPr>
        <w:t>万欧元</w:t>
      </w:r>
      <w:r>
        <w:rPr>
          <w:rFonts w:hint="eastAsia"/>
          <w:lang w:val="en-GB"/>
        </w:rPr>
        <w:t>)</w:t>
      </w:r>
      <w:r>
        <w:rPr>
          <w:rFonts w:hint="eastAsia"/>
          <w:lang w:val="en-GB"/>
        </w:rPr>
        <w:t>。这项法律增加了试点市镇的数量，将包括到</w:t>
      </w:r>
      <w:r>
        <w:rPr>
          <w:rFonts w:hint="eastAsia"/>
          <w:lang w:val="en-GB"/>
        </w:rPr>
        <w:t>2000</w:t>
      </w:r>
      <w:r>
        <w:rPr>
          <w:rFonts w:hint="eastAsia"/>
          <w:lang w:val="en-GB"/>
        </w:rPr>
        <w:t>年</w:t>
      </w:r>
      <w:r>
        <w:rPr>
          <w:rFonts w:hint="eastAsia"/>
          <w:lang w:val="en-GB"/>
        </w:rPr>
        <w:t>6</w:t>
      </w:r>
      <w:r>
        <w:rPr>
          <w:rFonts w:hint="eastAsia"/>
          <w:lang w:val="en-GB"/>
        </w:rPr>
        <w:t>月</w:t>
      </w:r>
      <w:r>
        <w:rPr>
          <w:rFonts w:hint="eastAsia"/>
          <w:lang w:val="en-GB"/>
        </w:rPr>
        <w:t>30</w:t>
      </w:r>
      <w:r>
        <w:rPr>
          <w:rFonts w:hint="eastAsia"/>
          <w:lang w:val="en-GB"/>
        </w:rPr>
        <w:t>日为止加入那些成员中包括有最初所选</w:t>
      </w:r>
      <w:r>
        <w:rPr>
          <w:rFonts w:hint="eastAsia"/>
          <w:lang w:val="en-GB"/>
        </w:rPr>
        <w:t>39</w:t>
      </w:r>
      <w:r>
        <w:rPr>
          <w:rFonts w:hint="eastAsia"/>
          <w:lang w:val="en-GB"/>
        </w:rPr>
        <w:t>个市镇之一的地区协议的所有市镇</w:t>
      </w:r>
      <w:r>
        <w:rPr>
          <w:rFonts w:hint="eastAsia"/>
          <w:lang w:val="en-GB"/>
        </w:rPr>
        <w:t xml:space="preserve"> </w:t>
      </w:r>
      <w:r>
        <w:rPr>
          <w:rStyle w:val="EndnoteReference"/>
          <w:lang w:val="en-GB"/>
        </w:rPr>
        <w:endnoteReference w:id="7"/>
      </w:r>
      <w:r>
        <w:rPr>
          <w:rFonts w:hint="eastAsia"/>
          <w:lang w:val="en-GB"/>
        </w:rPr>
        <w:t>。之所以要把通过一项地区协议而与最初某个试点市镇连接起来的所有市镇包括在内，是因为根据设想，如果在融合方案试用地点，方案的各实施办公室、其他地方公共机关、社会伙伴和非营利组织之间已经形成完善的网络，则方案将会更加有效。这样，扩大试用方案后，将增加</w:t>
      </w:r>
      <w:r>
        <w:rPr>
          <w:rFonts w:hint="eastAsia"/>
          <w:lang w:val="en-GB"/>
        </w:rPr>
        <w:t>260</w:t>
      </w:r>
      <w:r>
        <w:rPr>
          <w:rFonts w:hint="eastAsia"/>
          <w:lang w:val="en-GB"/>
        </w:rPr>
        <w:t>多个市镇</w:t>
      </w:r>
      <w:r>
        <w:rPr>
          <w:rFonts w:hint="eastAsia"/>
          <w:lang w:val="en-GB"/>
        </w:rPr>
        <w:t>(</w:t>
      </w:r>
      <w:r>
        <w:rPr>
          <w:rFonts w:hint="eastAsia"/>
          <w:lang w:val="en-GB"/>
        </w:rPr>
        <w:t>主要在南部</w:t>
      </w:r>
      <w:r>
        <w:rPr>
          <w:rFonts w:hint="eastAsia"/>
          <w:lang w:val="en-GB"/>
        </w:rPr>
        <w:t>)</w:t>
      </w:r>
      <w:r>
        <w:rPr>
          <w:rFonts w:hint="eastAsia"/>
          <w:lang w:val="en-GB"/>
        </w:rPr>
        <w:t>，从而使试点市镇总数达到</w:t>
      </w:r>
      <w:r>
        <w:rPr>
          <w:rFonts w:hint="eastAsia"/>
          <w:lang w:val="en-GB"/>
        </w:rPr>
        <w:t>306</w:t>
      </w:r>
      <w:r>
        <w:rPr>
          <w:rFonts w:hint="eastAsia"/>
          <w:lang w:val="en-GB"/>
        </w:rPr>
        <w:t>个。两年后将对这种扩大试用进行评估，而评估的结果应当能够为上述假设提供证据。</w:t>
      </w:r>
    </w:p>
    <w:p w:rsidR="00000000" w:rsidRDefault="00000000">
      <w:pPr>
        <w:pStyle w:val="Heading4"/>
        <w:rPr>
          <w:rFonts w:hint="eastAsia"/>
          <w:lang w:val="en-GB"/>
        </w:rPr>
      </w:pPr>
      <w:r>
        <w:rPr>
          <w:rFonts w:hint="eastAsia"/>
          <w:lang w:val="en-GB"/>
        </w:rPr>
        <w:t>意大利反贫困和社会排斥现象的战略</w:t>
      </w:r>
    </w:p>
    <w:p w:rsidR="00000000" w:rsidRDefault="00000000">
      <w:pPr>
        <w:rPr>
          <w:rFonts w:hint="eastAsia"/>
          <w:lang w:val="en-GB"/>
        </w:rPr>
      </w:pPr>
      <w:r>
        <w:rPr>
          <w:rFonts w:hint="eastAsia"/>
          <w:lang w:val="en-GB"/>
        </w:rPr>
        <w:tab/>
        <w:t xml:space="preserve">148.  </w:t>
      </w:r>
      <w:r>
        <w:rPr>
          <w:rFonts w:hint="eastAsia"/>
          <w:lang w:val="en-GB"/>
        </w:rPr>
        <w:t>在意大利社会援助部门进行改革的同时，曾试图根据第</w:t>
      </w:r>
      <w:r>
        <w:rPr>
          <w:rFonts w:hint="eastAsia"/>
          <w:lang w:val="en-GB"/>
        </w:rPr>
        <w:t>328/2000</w:t>
      </w:r>
      <w:r>
        <w:rPr>
          <w:rFonts w:hint="eastAsia"/>
          <w:lang w:val="en-GB"/>
        </w:rPr>
        <w:t>号框架法中的规定，制定一项反贫困和社会排斥现象的全面总战略。该框架法通过后，</w:t>
      </w:r>
      <w:r>
        <w:rPr>
          <w:rFonts w:hint="eastAsia"/>
          <w:lang w:val="en-GB"/>
        </w:rPr>
        <w:t>2001</w:t>
      </w:r>
      <w:r>
        <w:rPr>
          <w:rFonts w:hint="eastAsia"/>
          <w:lang w:val="en-GB"/>
        </w:rPr>
        <w:t>年</w:t>
      </w:r>
      <w:r>
        <w:rPr>
          <w:rFonts w:hint="eastAsia"/>
          <w:lang w:val="en-GB"/>
        </w:rPr>
        <w:t>4</w:t>
      </w:r>
      <w:r>
        <w:rPr>
          <w:rFonts w:hint="eastAsia"/>
          <w:lang w:val="en-GB"/>
        </w:rPr>
        <w:t>月批准了一项将涵盖</w:t>
      </w:r>
      <w:r>
        <w:rPr>
          <w:rFonts w:hint="eastAsia"/>
          <w:lang w:val="en-GB"/>
        </w:rPr>
        <w:t>2001</w:t>
      </w:r>
      <w:r>
        <w:rPr>
          <w:rFonts w:hint="eastAsia"/>
          <w:lang w:val="en-GB"/>
        </w:rPr>
        <w:t>年至</w:t>
      </w:r>
      <w:r>
        <w:rPr>
          <w:rFonts w:hint="eastAsia"/>
          <w:lang w:val="en-GB"/>
        </w:rPr>
        <w:t>2003</w:t>
      </w:r>
      <w:r>
        <w:rPr>
          <w:rFonts w:hint="eastAsia"/>
          <w:lang w:val="en-GB"/>
        </w:rPr>
        <w:t>年的全面总计划</w:t>
      </w:r>
      <w:r>
        <w:rPr>
          <w:rFonts w:hint="eastAsia"/>
          <w:lang w:val="en-GB"/>
        </w:rPr>
        <w:t xml:space="preserve"> </w:t>
      </w:r>
      <w:r>
        <w:rPr>
          <w:rStyle w:val="EndnoteReference"/>
          <w:lang w:val="en-GB"/>
        </w:rPr>
        <w:endnoteReference w:id="8"/>
      </w:r>
      <w:r>
        <w:rPr>
          <w:rFonts w:hint="eastAsia"/>
          <w:lang w:val="en-GB"/>
        </w:rPr>
        <w:t>。之后框架法中宣布的战略和总计划与意大利方面开展的，体现欧盟反贫困和社会排斥现象新战略</w:t>
      </w:r>
      <w:r>
        <w:rPr>
          <w:rFonts w:hint="eastAsia"/>
        </w:rPr>
        <w:t>的</w:t>
      </w:r>
      <w:r>
        <w:rPr>
          <w:rFonts w:hint="eastAsia"/>
          <w:lang w:val="en-GB"/>
        </w:rPr>
        <w:t>社会包容进程合并，由此取得的第一项成果是意大利于</w:t>
      </w:r>
      <w:r>
        <w:rPr>
          <w:rFonts w:hint="eastAsia"/>
          <w:lang w:val="en-GB"/>
        </w:rPr>
        <w:t>2001</w:t>
      </w:r>
      <w:r>
        <w:rPr>
          <w:rFonts w:hint="eastAsia"/>
          <w:lang w:val="en-GB"/>
        </w:rPr>
        <w:t>年</w:t>
      </w:r>
      <w:r>
        <w:rPr>
          <w:rFonts w:hint="eastAsia"/>
          <w:lang w:val="en-GB"/>
        </w:rPr>
        <w:t>7</w:t>
      </w:r>
      <w:r>
        <w:rPr>
          <w:rFonts w:hint="eastAsia"/>
          <w:lang w:val="en-GB"/>
        </w:rPr>
        <w:t>月提出的国家社会包容计划</w:t>
      </w:r>
      <w:r>
        <w:rPr>
          <w:rFonts w:hint="eastAsia"/>
          <w:lang w:val="en-GB"/>
        </w:rPr>
        <w:t xml:space="preserve"> </w:t>
      </w:r>
      <w:r>
        <w:rPr>
          <w:rStyle w:val="EndnoteReference"/>
          <w:lang w:val="en-GB"/>
        </w:rPr>
        <w:endnoteReference w:id="9"/>
      </w:r>
      <w:r>
        <w:rPr>
          <w:rFonts w:hint="eastAsia"/>
          <w:lang w:val="en-GB"/>
        </w:rPr>
        <w:t>。</w:t>
      </w:r>
    </w:p>
    <w:p w:rsidR="00000000" w:rsidRDefault="00000000">
      <w:pPr>
        <w:rPr>
          <w:rFonts w:hint="eastAsia"/>
          <w:lang w:val="en-GB"/>
        </w:rPr>
      </w:pPr>
      <w:r>
        <w:rPr>
          <w:rFonts w:hint="eastAsia"/>
          <w:lang w:val="en-GB"/>
        </w:rPr>
        <w:tab/>
        <w:t xml:space="preserve">149.  </w:t>
      </w:r>
      <w:r>
        <w:rPr>
          <w:rFonts w:hint="eastAsia"/>
          <w:lang w:val="en-GB"/>
        </w:rPr>
        <w:t>意大利包容战略的宗旨是，根据框架法赖以为基础的一般原则的规定</w:t>
      </w:r>
      <w:r>
        <w:rPr>
          <w:rFonts w:hint="eastAsia"/>
          <w:spacing w:val="-50"/>
          <w:lang w:val="en-GB"/>
        </w:rPr>
        <w:t>―</w:t>
      </w:r>
      <w:r>
        <w:rPr>
          <w:rFonts w:hint="eastAsia"/>
          <w:lang w:val="en-GB"/>
        </w:rPr>
        <w:t>―即普遍获得、政策融合、伙伴关系、建立网络、监督与评估</w:t>
      </w:r>
      <w:r>
        <w:rPr>
          <w:rFonts w:hint="eastAsia"/>
          <w:spacing w:val="-50"/>
          <w:lang w:val="en-GB"/>
        </w:rPr>
        <w:t>―</w:t>
      </w:r>
      <w:r>
        <w:rPr>
          <w:rFonts w:hint="eastAsia"/>
          <w:lang w:val="en-GB"/>
        </w:rPr>
        <w:t>―来确立一种综合性社会干预与服务系统。意大利反贫困政策中具有开拓性的是普遍获得原则，该原则首先重视有经济需要和有身体及心理残疾的个人及家庭。传统上这类政策是有类别区分和非常不公正的，最有需要的人往往很容易被安全网遗漏。</w:t>
      </w:r>
    </w:p>
    <w:p w:rsidR="00000000" w:rsidRDefault="00000000">
      <w:pPr>
        <w:spacing w:after="320"/>
        <w:rPr>
          <w:rFonts w:hint="eastAsia"/>
          <w:lang w:val="en-GB"/>
        </w:rPr>
      </w:pPr>
      <w:r>
        <w:rPr>
          <w:rFonts w:hint="eastAsia"/>
          <w:lang w:val="en-GB"/>
        </w:rPr>
        <w:tab/>
        <w:t xml:space="preserve">150.  </w:t>
      </w:r>
      <w:r>
        <w:rPr>
          <w:rFonts w:hint="eastAsia"/>
          <w:lang w:val="en-GB"/>
        </w:rPr>
        <w:t>通过框架法后，意大利政策规划系统的特点是多层次、多行为者和多部门。规划进程的多层次特征体现在中央政府、行政区和市镇</w:t>
      </w:r>
      <w:r>
        <w:rPr>
          <w:rFonts w:hint="eastAsia"/>
          <w:lang w:val="en-GB"/>
        </w:rPr>
        <w:t>(</w:t>
      </w:r>
      <w:r>
        <w:rPr>
          <w:rFonts w:hint="eastAsia"/>
          <w:lang w:val="en-GB"/>
        </w:rPr>
        <w:t>或一些聚集成“片”的市镇</w:t>
      </w:r>
      <w:r>
        <w:rPr>
          <w:rFonts w:hint="eastAsia"/>
          <w:lang w:val="en-GB"/>
        </w:rPr>
        <w:t>)</w:t>
      </w:r>
      <w:r>
        <w:rPr>
          <w:rFonts w:hint="eastAsia"/>
          <w:lang w:val="en-GB"/>
        </w:rPr>
        <w:t>在责任方面的较细分工。多行为者的特征在于鼓励社会伙伴们和非政府组织参与确定重点和切实执行措施的工作。最后，多部门的特征是指意大利的社会规划中同时并存有各种层次的行动计划</w:t>
      </w:r>
      <w:r>
        <w:rPr>
          <w:rFonts w:hint="eastAsia"/>
          <w:spacing w:val="-50"/>
          <w:lang w:val="en-GB"/>
        </w:rPr>
        <w:t>―</w:t>
      </w:r>
      <w:r>
        <w:rPr>
          <w:rFonts w:hint="eastAsia"/>
          <w:lang w:val="en-GB"/>
        </w:rPr>
        <w:t>―其中主要计划有社会计划</w:t>
      </w:r>
      <w:r>
        <w:rPr>
          <w:rFonts w:hint="eastAsia"/>
          <w:lang w:val="en-GB"/>
        </w:rPr>
        <w:t>(</w:t>
      </w:r>
      <w:r>
        <w:rPr>
          <w:rFonts w:hint="eastAsia"/>
          <w:lang w:val="en-GB"/>
        </w:rPr>
        <w:t>每三年一次</w:t>
      </w:r>
      <w:r>
        <w:rPr>
          <w:rFonts w:hint="eastAsia"/>
          <w:lang w:val="en-GB"/>
        </w:rPr>
        <w:t>)</w:t>
      </w:r>
      <w:r>
        <w:rPr>
          <w:rFonts w:hint="eastAsia"/>
          <w:lang w:val="en-GB"/>
        </w:rPr>
        <w:t>、全国就业行动计划和教育计划</w:t>
      </w:r>
      <w:r>
        <w:rPr>
          <w:rFonts w:hint="eastAsia"/>
          <w:lang w:val="en-GB"/>
        </w:rPr>
        <w:t>(2000</w:t>
      </w:r>
      <w:r>
        <w:rPr>
          <w:rFonts w:hint="eastAsia"/>
          <w:lang w:val="en-GB"/>
        </w:rPr>
        <w:t>年至</w:t>
      </w:r>
      <w:r>
        <w:rPr>
          <w:rFonts w:hint="eastAsia"/>
          <w:lang w:val="en-GB"/>
        </w:rPr>
        <w:t>2006</w:t>
      </w:r>
      <w:r>
        <w:rPr>
          <w:rFonts w:hint="eastAsia"/>
          <w:lang w:val="en-GB"/>
        </w:rPr>
        <w:t>年</w:t>
      </w:r>
      <w:r>
        <w:rPr>
          <w:rFonts w:hint="eastAsia"/>
          <w:lang w:val="en-GB"/>
        </w:rPr>
        <w:t>)</w:t>
      </w:r>
      <w:r>
        <w:rPr>
          <w:rFonts w:hint="eastAsia"/>
          <w:lang w:val="en-GB"/>
        </w:rPr>
        <w:t>、卫生保健计划</w:t>
      </w:r>
      <w:r>
        <w:rPr>
          <w:rFonts w:hint="eastAsia"/>
          <w:lang w:val="en-GB"/>
        </w:rPr>
        <w:t>(</w:t>
      </w:r>
      <w:r>
        <w:rPr>
          <w:rFonts w:hint="eastAsia"/>
          <w:lang w:val="en-GB"/>
        </w:rPr>
        <w:t>每三年一次</w:t>
      </w:r>
      <w:r>
        <w:rPr>
          <w:rFonts w:hint="eastAsia"/>
          <w:lang w:val="en-GB"/>
        </w:rPr>
        <w:t>)</w:t>
      </w:r>
      <w:r>
        <w:rPr>
          <w:rFonts w:hint="eastAsia"/>
          <w:lang w:val="en-GB"/>
        </w:rPr>
        <w:t>，此外还有一系列其他更有限定性的计划</w:t>
      </w:r>
      <w:r>
        <w:rPr>
          <w:rFonts w:hint="eastAsia"/>
          <w:lang w:val="en-GB"/>
        </w:rPr>
        <w:t>(</w:t>
      </w:r>
      <w:r>
        <w:rPr>
          <w:rFonts w:hint="eastAsia"/>
          <w:lang w:val="en-GB"/>
        </w:rPr>
        <w:t>涉及残疾人、儿童和青少年、吸毒者、老年人</w:t>
      </w:r>
      <w:r>
        <w:rPr>
          <w:rFonts w:hint="eastAsia"/>
          <w:lang w:val="en-GB"/>
        </w:rPr>
        <w:t>)</w:t>
      </w:r>
      <w:r>
        <w:rPr>
          <w:rFonts w:hint="eastAsia"/>
          <w:lang w:val="en-GB"/>
        </w:rPr>
        <w:t>。所有这些计划都包含有解决社会排斥问题的措施</w:t>
      </w:r>
      <w:r>
        <w:rPr>
          <w:rFonts w:hint="eastAsia"/>
          <w:lang w:val="en-GB"/>
        </w:rPr>
        <w:t xml:space="preserve"> </w:t>
      </w:r>
      <w:r>
        <w:rPr>
          <w:rStyle w:val="EndnoteReference"/>
          <w:lang w:val="en-GB"/>
        </w:rPr>
        <w:endnoteReference w:id="10"/>
      </w:r>
      <w:r>
        <w:rPr>
          <w:rFonts w:hint="eastAsia"/>
          <w:lang w:val="en-GB"/>
        </w:rPr>
        <w:t>。其中特别有意义的是</w:t>
      </w:r>
      <w:r>
        <w:rPr>
          <w:rFonts w:hint="eastAsia"/>
          <w:lang w:val="en-GB"/>
        </w:rPr>
        <w:t>2001</w:t>
      </w:r>
      <w:r>
        <w:rPr>
          <w:rFonts w:hint="eastAsia"/>
          <w:lang w:val="en-GB"/>
        </w:rPr>
        <w:t>年</w:t>
      </w:r>
      <w:r>
        <w:rPr>
          <w:rFonts w:hint="eastAsia"/>
          <w:lang w:val="en-GB"/>
        </w:rPr>
        <w:t>4</w:t>
      </w:r>
      <w:r>
        <w:rPr>
          <w:rFonts w:hint="eastAsia"/>
          <w:lang w:val="en-GB"/>
        </w:rPr>
        <w:t>月批准的</w:t>
      </w:r>
      <w:r>
        <w:rPr>
          <w:rFonts w:hint="eastAsia"/>
          <w:lang w:val="en-GB"/>
        </w:rPr>
        <w:t>2001</w:t>
      </w:r>
      <w:r>
        <w:rPr>
          <w:rFonts w:hint="eastAsia"/>
          <w:lang w:val="en-GB"/>
        </w:rPr>
        <w:t>年至</w:t>
      </w:r>
      <w:r>
        <w:rPr>
          <w:rFonts w:hint="eastAsia"/>
          <w:lang w:val="en-GB"/>
        </w:rPr>
        <w:t>2003</w:t>
      </w:r>
      <w:r>
        <w:rPr>
          <w:rFonts w:hint="eastAsia"/>
          <w:lang w:val="en-GB"/>
        </w:rPr>
        <w:t>年社会计划</w:t>
      </w:r>
      <w:r>
        <w:rPr>
          <w:rFonts w:hint="eastAsia"/>
          <w:lang w:val="en-GB"/>
        </w:rPr>
        <w:t xml:space="preserve"> </w:t>
      </w:r>
      <w:r>
        <w:rPr>
          <w:rStyle w:val="EndnoteReference"/>
          <w:lang w:val="en-GB"/>
        </w:rPr>
        <w:endnoteReference w:id="11"/>
      </w:r>
      <w:r>
        <w:rPr>
          <w:rFonts w:hint="eastAsia"/>
          <w:lang w:val="en-GB"/>
        </w:rPr>
        <w:t>。该计划确定了五大政策重点：支持家庭责任、加强儿童权利、消除贫困现象、通过提供家务服务支持受扶养者</w:t>
      </w:r>
      <w:r>
        <w:rPr>
          <w:rFonts w:hint="eastAsia"/>
          <w:lang w:val="en-GB"/>
        </w:rPr>
        <w:t>(</w:t>
      </w:r>
      <w:r>
        <w:rPr>
          <w:rFonts w:hint="eastAsia"/>
          <w:lang w:val="en-GB"/>
        </w:rPr>
        <w:t>尤其是严重残疾者</w:t>
      </w:r>
      <w:r>
        <w:rPr>
          <w:rFonts w:hint="eastAsia"/>
          <w:lang w:val="en-GB"/>
        </w:rPr>
        <w:t>)</w:t>
      </w:r>
      <w:r>
        <w:rPr>
          <w:rFonts w:hint="eastAsia"/>
          <w:lang w:val="en-GB"/>
        </w:rPr>
        <w:t>，和鼓励包容有特定问题的群体</w:t>
      </w:r>
      <w:r>
        <w:rPr>
          <w:rFonts w:hint="eastAsia"/>
          <w:lang w:val="en-GB"/>
        </w:rPr>
        <w:t>(</w:t>
      </w:r>
      <w:r>
        <w:rPr>
          <w:rFonts w:hint="eastAsia"/>
          <w:lang w:val="en-GB"/>
        </w:rPr>
        <w:t>移民、吸毒者、青少年</w:t>
      </w:r>
      <w:r>
        <w:rPr>
          <w:rFonts w:hint="eastAsia"/>
          <w:lang w:val="en-GB"/>
        </w:rPr>
        <w:t>)</w:t>
      </w:r>
      <w:r>
        <w:rPr>
          <w:rFonts w:hint="eastAsia"/>
          <w:lang w:val="en-GB"/>
        </w:rPr>
        <w:t>。新的政策规划系统的这些特征在意大利国家社会包容计划中得到了突出。用委员会的话说，意大利的国家社会包容计划中包含了“一项国家战略的各种要素，这项战略正在得到改进，以便能够反映新的现实或能够更加协调”</w:t>
      </w:r>
      <w:r>
        <w:rPr>
          <w:rStyle w:val="EndnoteReference"/>
          <w:lang w:val="en-GB"/>
        </w:rPr>
        <w:endnoteReference w:id="12"/>
      </w:r>
      <w:r>
        <w:rPr>
          <w:rFonts w:hint="eastAsia"/>
          <w:lang w:val="en-GB"/>
        </w:rPr>
        <w:t>。</w:t>
      </w:r>
    </w:p>
    <w:p w:rsidR="00000000" w:rsidRDefault="00000000">
      <w:pPr>
        <w:pStyle w:val="Heading3"/>
        <w:rPr>
          <w:rFonts w:hint="eastAsia"/>
        </w:rPr>
      </w:pPr>
      <w:r>
        <w:rPr>
          <w:rFonts w:hint="eastAsia"/>
          <w:u w:val="none"/>
        </w:rPr>
        <w:t xml:space="preserve">F.  </w:t>
      </w:r>
      <w:r>
        <w:rPr>
          <w:rFonts w:hint="eastAsia"/>
        </w:rPr>
        <w:t>第</w:t>
      </w:r>
      <w:r>
        <w:rPr>
          <w:rFonts w:hint="eastAsia"/>
        </w:rPr>
        <w:t xml:space="preserve"> </w:t>
      </w:r>
      <w:r>
        <w:t>10</w:t>
      </w:r>
      <w:r>
        <w:rPr>
          <w:rFonts w:hint="eastAsia"/>
        </w:rPr>
        <w:t xml:space="preserve"> </w:t>
      </w:r>
      <w:r>
        <w:rPr>
          <w:rFonts w:hint="eastAsia"/>
        </w:rPr>
        <w:t>条</w:t>
      </w:r>
    </w:p>
    <w:p w:rsidR="00000000" w:rsidRDefault="00000000">
      <w:pPr>
        <w:pStyle w:val="Heading3"/>
        <w:rPr>
          <w:rFonts w:hint="eastAsia"/>
        </w:rPr>
      </w:pPr>
      <w:r>
        <w:rPr>
          <w:rFonts w:hint="eastAsia"/>
        </w:rPr>
        <w:t>保护和援助家庭</w:t>
      </w:r>
    </w:p>
    <w:p w:rsidR="00000000" w:rsidRDefault="00000000">
      <w:pPr>
        <w:rPr>
          <w:rFonts w:hint="eastAsia"/>
        </w:rPr>
      </w:pPr>
      <w:r>
        <w:rPr>
          <w:rFonts w:hint="eastAsia"/>
        </w:rPr>
        <w:tab/>
        <w:t xml:space="preserve">151.  </w:t>
      </w:r>
      <w:r>
        <w:rPr>
          <w:rFonts w:hint="eastAsia"/>
        </w:rPr>
        <w:t>近年来采取了三项新措施，包括以支助父母和准予育儿假形式为家庭提供服务；设立一项支持租房家庭的国家基金；为有至少三个子女的家庭提供津贴；颁发产妇支票和实施用于融合的最低收入方案。</w:t>
      </w:r>
    </w:p>
    <w:p w:rsidR="00000000" w:rsidRDefault="00000000">
      <w:pPr>
        <w:rPr>
          <w:rFonts w:hint="eastAsia"/>
        </w:rPr>
      </w:pPr>
      <w:r>
        <w:rPr>
          <w:rFonts w:hint="eastAsia"/>
        </w:rPr>
        <w:tab/>
        <w:t xml:space="preserve">152.  </w:t>
      </w:r>
      <w:r>
        <w:rPr>
          <w:rFonts w:hint="eastAsia"/>
        </w:rPr>
        <w:t>为有至少三个子女的家庭拨发津贴的目的是减轻大家庭的贫困现象，更准确地说是前面数据所显示的那些最有可能陷入贫困境况的家庭。这项措施于</w:t>
      </w:r>
      <w:r>
        <w:rPr>
          <w:rFonts w:hint="eastAsia"/>
        </w:rPr>
        <w:t>1999</w:t>
      </w:r>
      <w:r>
        <w:rPr>
          <w:rFonts w:hint="eastAsia"/>
        </w:rPr>
        <w:t>年推出，目标是有三个或更多子女</w:t>
      </w:r>
      <w:r>
        <w:rPr>
          <w:rFonts w:hint="eastAsia"/>
        </w:rPr>
        <w:t>(18</w:t>
      </w:r>
      <w:r>
        <w:rPr>
          <w:rFonts w:hint="eastAsia"/>
        </w:rPr>
        <w:t>岁以下</w:t>
      </w:r>
      <w:r>
        <w:rPr>
          <w:rFonts w:hint="eastAsia"/>
        </w:rPr>
        <w:t>)</w:t>
      </w:r>
      <w:r>
        <w:rPr>
          <w:rFonts w:hint="eastAsia"/>
        </w:rPr>
        <w:t>的意大利家庭</w:t>
      </w:r>
      <w:r>
        <w:rPr>
          <w:rFonts w:hint="eastAsia"/>
        </w:rPr>
        <w:t xml:space="preserve"> </w:t>
      </w:r>
      <w:r>
        <w:rPr>
          <w:rStyle w:val="EndnoteReference"/>
        </w:rPr>
        <w:endnoteReference w:id="13"/>
      </w:r>
      <w:r>
        <w:rPr>
          <w:rFonts w:hint="eastAsia"/>
        </w:rPr>
        <w:t>。</w:t>
      </w:r>
      <w:r>
        <w:rPr>
          <w:rFonts w:hint="eastAsia"/>
        </w:rPr>
        <w:t>2002</w:t>
      </w:r>
      <w:r>
        <w:rPr>
          <w:rFonts w:hint="eastAsia"/>
        </w:rPr>
        <w:t>年拨发给一户五口家庭的现金总额为每月</w:t>
      </w:r>
      <w:r>
        <w:rPr>
          <w:rFonts w:hint="eastAsia"/>
        </w:rPr>
        <w:t>110</w:t>
      </w:r>
      <w:r>
        <w:rPr>
          <w:rFonts w:hint="eastAsia"/>
        </w:rPr>
        <w:t>欧元，为期</w:t>
      </w:r>
      <w:r>
        <w:rPr>
          <w:rFonts w:hint="eastAsia"/>
        </w:rPr>
        <w:t>13</w:t>
      </w:r>
      <w:r>
        <w:rPr>
          <w:rFonts w:hint="eastAsia"/>
        </w:rPr>
        <w:t>个月并可能延长。确定一个潜在受益家庭的经济状况的办法是</w:t>
      </w:r>
      <w:r>
        <w:rPr>
          <w:rFonts w:hint="eastAsia"/>
        </w:rPr>
        <w:t>1998</w:t>
      </w:r>
      <w:r>
        <w:rPr>
          <w:rFonts w:hint="eastAsia"/>
        </w:rPr>
        <w:t>年采用的经济状况指标。该指标为这项津贴制定的最低限度</w:t>
      </w:r>
      <w:r>
        <w:rPr>
          <w:rFonts w:hint="eastAsia"/>
        </w:rPr>
        <w:t>2002</w:t>
      </w:r>
      <w:r>
        <w:rPr>
          <w:rFonts w:hint="eastAsia"/>
        </w:rPr>
        <w:t>年为</w:t>
      </w:r>
      <w:r>
        <w:rPr>
          <w:rFonts w:hint="eastAsia"/>
        </w:rPr>
        <w:t>19,904</w:t>
      </w:r>
      <w:r>
        <w:rPr>
          <w:rFonts w:hint="eastAsia"/>
        </w:rPr>
        <w:t>欧元。</w:t>
      </w:r>
      <w:r>
        <w:rPr>
          <w:rFonts w:hint="eastAsia"/>
        </w:rPr>
        <w:t>2000</w:t>
      </w:r>
      <w:r>
        <w:rPr>
          <w:rFonts w:hint="eastAsia"/>
        </w:rPr>
        <w:t>年中，总共有</w:t>
      </w:r>
      <w:r>
        <w:rPr>
          <w:rFonts w:hint="eastAsia"/>
        </w:rPr>
        <w:t>377,000</w:t>
      </w:r>
      <w:r>
        <w:rPr>
          <w:rFonts w:hint="eastAsia"/>
        </w:rPr>
        <w:t>户家庭</w:t>
      </w:r>
      <w:r>
        <w:rPr>
          <w:rFonts w:hint="eastAsia"/>
        </w:rPr>
        <w:t>(</w:t>
      </w:r>
      <w:r>
        <w:rPr>
          <w:rFonts w:hint="eastAsia"/>
        </w:rPr>
        <w:t>占意大利家庭总数的</w:t>
      </w:r>
      <w:r>
        <w:rPr>
          <w:rFonts w:hint="eastAsia"/>
        </w:rPr>
        <w:t>1.7%)</w:t>
      </w:r>
      <w:r>
        <w:rPr>
          <w:rFonts w:hint="eastAsia"/>
        </w:rPr>
        <w:t>获益于这项津贴。获益家庭主要集中在意大利南部地区</w:t>
      </w:r>
      <w:r>
        <w:rPr>
          <w:rFonts w:hint="eastAsia"/>
        </w:rPr>
        <w:t>(</w:t>
      </w:r>
      <w:r>
        <w:rPr>
          <w:rFonts w:hint="eastAsia"/>
        </w:rPr>
        <w:t>约</w:t>
      </w:r>
      <w:r>
        <w:rPr>
          <w:rFonts w:hint="eastAsia"/>
        </w:rPr>
        <w:t>80%</w:t>
      </w:r>
      <w:r>
        <w:rPr>
          <w:rFonts w:hint="eastAsia"/>
        </w:rPr>
        <w:t>的受益家庭位于下述六个行政区：</w:t>
      </w:r>
      <w:r>
        <w:rPr>
          <w:rFonts w:ascii="Arial" w:hAnsi="Arial" w:cs="Arial" w:hint="eastAsia"/>
          <w:color w:val="000000"/>
          <w:szCs w:val="18"/>
        </w:rPr>
        <w:t>坎帕尼亚</w:t>
      </w:r>
      <w:r>
        <w:rPr>
          <w:lang w:val="en-GB"/>
        </w:rPr>
        <w:t xml:space="preserve">, </w:t>
      </w:r>
      <w:r>
        <w:rPr>
          <w:rFonts w:ascii="Arial" w:hAnsi="Arial" w:cs="Arial" w:hint="eastAsia"/>
          <w:color w:val="000000"/>
          <w:szCs w:val="18"/>
        </w:rPr>
        <w:t>西西里</w:t>
      </w:r>
      <w:r>
        <w:rPr>
          <w:lang w:val="en-GB"/>
        </w:rPr>
        <w:t xml:space="preserve">, </w:t>
      </w:r>
      <w:r>
        <w:rPr>
          <w:rFonts w:ascii="Arial" w:hAnsi="Arial" w:cs="Arial" w:hint="eastAsia"/>
          <w:color w:val="000000"/>
          <w:szCs w:val="18"/>
        </w:rPr>
        <w:t>普利亚</w:t>
      </w:r>
      <w:r>
        <w:rPr>
          <w:lang w:val="en-GB"/>
        </w:rPr>
        <w:t xml:space="preserve">, </w:t>
      </w:r>
      <w:r>
        <w:rPr>
          <w:rFonts w:ascii="Arial" w:hAnsi="Arial" w:cs="Arial" w:hint="eastAsia"/>
          <w:color w:val="000000"/>
          <w:szCs w:val="18"/>
        </w:rPr>
        <w:t>卡拉布里亚</w:t>
      </w:r>
      <w:r>
        <w:rPr>
          <w:lang w:val="en-GB"/>
        </w:rPr>
        <w:t xml:space="preserve">, </w:t>
      </w:r>
      <w:r>
        <w:rPr>
          <w:rFonts w:ascii="Arial" w:hAnsi="Arial" w:cs="Arial" w:hint="eastAsia"/>
          <w:color w:val="000000"/>
          <w:szCs w:val="18"/>
        </w:rPr>
        <w:t>巴西利卡塔</w:t>
      </w:r>
      <w:r>
        <w:rPr>
          <w:lang w:val="en-GB"/>
        </w:rPr>
        <w:t xml:space="preserve"> </w:t>
      </w:r>
      <w:r>
        <w:rPr>
          <w:rFonts w:hint="eastAsia"/>
          <w:lang w:val="en-GB"/>
        </w:rPr>
        <w:t>和</w:t>
      </w:r>
      <w:r>
        <w:rPr>
          <w:lang w:val="en-GB"/>
        </w:rPr>
        <w:t xml:space="preserve"> </w:t>
      </w:r>
      <w:r>
        <w:rPr>
          <w:rFonts w:ascii="Arial" w:hAnsi="Arial" w:cs="Arial" w:hint="eastAsia"/>
          <w:color w:val="000000"/>
          <w:szCs w:val="18"/>
        </w:rPr>
        <w:t>撒丁</w:t>
      </w:r>
      <w:r>
        <w:rPr>
          <w:rFonts w:hint="eastAsia"/>
        </w:rPr>
        <w:t>)</w:t>
      </w:r>
      <w:r>
        <w:rPr>
          <w:rFonts w:hint="eastAsia"/>
        </w:rPr>
        <w:t>。如在关于贫困趋势一节中所表明的，这项措施值得称赞，因为它使</w:t>
      </w:r>
      <w:r>
        <w:rPr>
          <w:rFonts w:hint="eastAsia"/>
        </w:rPr>
        <w:t>1999</w:t>
      </w:r>
      <w:r>
        <w:rPr>
          <w:rFonts w:hint="eastAsia"/>
        </w:rPr>
        <w:t>年至</w:t>
      </w:r>
      <w:r>
        <w:rPr>
          <w:rFonts w:hint="eastAsia"/>
        </w:rPr>
        <w:t>2000</w:t>
      </w:r>
      <w:r>
        <w:rPr>
          <w:rFonts w:hint="eastAsia"/>
        </w:rPr>
        <w:t>年期间南部大家庭中的贫困率降低了</w:t>
      </w:r>
      <w:r>
        <w:rPr>
          <w:rFonts w:hint="eastAsia"/>
        </w:rPr>
        <w:t>3</w:t>
      </w:r>
      <w:r>
        <w:rPr>
          <w:rFonts w:hint="eastAsia"/>
        </w:rPr>
        <w:t>个百分点。</w:t>
      </w:r>
    </w:p>
    <w:p w:rsidR="00000000" w:rsidRDefault="00000000">
      <w:pPr>
        <w:rPr>
          <w:rFonts w:hint="eastAsia"/>
        </w:rPr>
      </w:pPr>
      <w:r>
        <w:rPr>
          <w:rFonts w:hint="eastAsia"/>
        </w:rPr>
        <w:tab/>
        <w:t xml:space="preserve">153.  </w:t>
      </w:r>
      <w:r>
        <w:rPr>
          <w:rFonts w:hint="eastAsia"/>
        </w:rPr>
        <w:t>产妇支票也由同一法律提出，作为拨给大家庭的津贴，而且无权享受基于保险的产妇津贴的母亲也可申请。此外，无论是意大利公民、欧盟国家公民还是具有意大利居留证的第三国家国民均可申请这项津贴。除了分娩情况外，收养儿童前的监护和收养儿童的情况都使人有权享受这项津贴。</w:t>
      </w:r>
      <w:r>
        <w:rPr>
          <w:rFonts w:hint="eastAsia"/>
        </w:rPr>
        <w:t>2002</w:t>
      </w:r>
      <w:r>
        <w:rPr>
          <w:rFonts w:hint="eastAsia"/>
        </w:rPr>
        <w:t>年中，每月津贴额为</w:t>
      </w:r>
      <w:r>
        <w:rPr>
          <w:rFonts w:hint="eastAsia"/>
        </w:rPr>
        <w:t>265</w:t>
      </w:r>
      <w:r>
        <w:rPr>
          <w:rFonts w:hint="eastAsia"/>
        </w:rPr>
        <w:t>欧元，支付期限五个月。拨发这项津贴时须考察收入情况：根据经济状况指标规定，只有一个子女的双亲家庭若想获得这项津贴，其收入不得超过</w:t>
      </w:r>
      <w:r>
        <w:rPr>
          <w:rFonts w:hint="eastAsia"/>
        </w:rPr>
        <w:t>27,645</w:t>
      </w:r>
      <w:r>
        <w:rPr>
          <w:rFonts w:hint="eastAsia"/>
        </w:rPr>
        <w:t>欧元。</w:t>
      </w:r>
      <w:r>
        <w:rPr>
          <w:rFonts w:hint="eastAsia"/>
        </w:rPr>
        <w:t>2000</w:t>
      </w:r>
      <w:r>
        <w:rPr>
          <w:rFonts w:hint="eastAsia"/>
        </w:rPr>
        <w:t>年中，总共有</w:t>
      </w:r>
      <w:r>
        <w:rPr>
          <w:rFonts w:hint="eastAsia"/>
        </w:rPr>
        <w:t>177,000</w:t>
      </w:r>
      <w:r>
        <w:rPr>
          <w:rFonts w:hint="eastAsia"/>
        </w:rPr>
        <w:t>名母亲申请这项津贴。</w:t>
      </w:r>
    </w:p>
    <w:p w:rsidR="00000000" w:rsidRDefault="00000000">
      <w:pPr>
        <w:spacing w:after="320"/>
        <w:rPr>
          <w:rFonts w:hint="eastAsia"/>
        </w:rPr>
      </w:pPr>
      <w:r>
        <w:rPr>
          <w:rFonts w:hint="eastAsia"/>
        </w:rPr>
        <w:tab/>
        <w:t xml:space="preserve">154.  </w:t>
      </w:r>
      <w:r>
        <w:rPr>
          <w:rFonts w:hint="eastAsia"/>
        </w:rPr>
        <w:t>下面一节介绍一些最重要立法规定中的要点。</w:t>
      </w:r>
    </w:p>
    <w:p w:rsidR="00000000" w:rsidRDefault="00000000">
      <w:pPr>
        <w:pStyle w:val="Heading4"/>
        <w:rPr>
          <w:rFonts w:hint="eastAsia"/>
        </w:rPr>
      </w:pPr>
      <w:r>
        <w:rPr>
          <w:rFonts w:hint="eastAsia"/>
        </w:rPr>
        <w:t>家庭责任</w:t>
      </w:r>
    </w:p>
    <w:p w:rsidR="00000000" w:rsidRDefault="00000000">
      <w:pPr>
        <w:pStyle w:val="Heading4"/>
        <w:rPr>
          <w:rFonts w:eastAsia="KaiTi_GB2312" w:hint="eastAsia"/>
          <w:spacing w:val="0"/>
          <w:u w:val="none"/>
        </w:rPr>
      </w:pPr>
      <w:r>
        <w:rPr>
          <w:rFonts w:eastAsia="KaiTi_GB2312" w:hint="eastAsia"/>
          <w:spacing w:val="0"/>
          <w:u w:val="none"/>
        </w:rPr>
        <w:t>第</w:t>
      </w:r>
      <w:r>
        <w:rPr>
          <w:rFonts w:eastAsia="KaiTi_GB2312" w:hint="eastAsia"/>
          <w:spacing w:val="0"/>
          <w:u w:val="none"/>
        </w:rPr>
        <w:t>151/2001</w:t>
      </w:r>
      <w:r>
        <w:rPr>
          <w:rFonts w:eastAsia="KaiTi_GB2312" w:hint="eastAsia"/>
          <w:spacing w:val="0"/>
          <w:u w:val="none"/>
        </w:rPr>
        <w:t>号立法令</w:t>
      </w:r>
      <w:r>
        <w:rPr>
          <w:rFonts w:hint="eastAsia"/>
          <w:spacing w:val="-50"/>
          <w:u w:val="none"/>
        </w:rPr>
        <w:t>―</w:t>
      </w:r>
      <w:r>
        <w:rPr>
          <w:rFonts w:hint="eastAsia"/>
          <w:u w:val="none"/>
        </w:rPr>
        <w:t>―</w:t>
      </w:r>
      <w:r>
        <w:rPr>
          <w:rFonts w:eastAsia="KaiTi_GB2312" w:hint="eastAsia"/>
          <w:spacing w:val="0"/>
          <w:u w:val="none"/>
        </w:rPr>
        <w:t>包含有关于父母责任规定的综合案文</w:t>
      </w:r>
    </w:p>
    <w:p w:rsidR="00000000" w:rsidRDefault="00000000">
      <w:pPr>
        <w:rPr>
          <w:rFonts w:hint="eastAsia"/>
        </w:rPr>
      </w:pPr>
      <w:r>
        <w:rPr>
          <w:rFonts w:hint="eastAsia"/>
        </w:rPr>
        <w:tab/>
        <w:t xml:space="preserve">155.  </w:t>
      </w:r>
      <w:r>
        <w:rPr>
          <w:rFonts w:hint="eastAsia"/>
        </w:rPr>
        <w:t>为鼓励父母双方都承担家庭责任，特别是儿童保育方面的责任，采用或更仔细地修订了下述旨在提供帮助和支持的规定：</w:t>
      </w:r>
    </w:p>
    <w:p w:rsidR="00000000" w:rsidRDefault="00000000">
      <w:pPr>
        <w:pStyle w:val="a0"/>
        <w:ind w:left="1530"/>
        <w:rPr>
          <w:rFonts w:hint="eastAsia"/>
        </w:rPr>
      </w:pPr>
      <w:r>
        <w:rPr>
          <w:rFonts w:hint="eastAsia"/>
        </w:rPr>
        <w:t>产假</w:t>
      </w:r>
      <w:r>
        <w:rPr>
          <w:rFonts w:hint="eastAsia"/>
        </w:rPr>
        <w:t>/</w:t>
      </w:r>
      <w:r>
        <w:rPr>
          <w:rFonts w:hint="eastAsia"/>
        </w:rPr>
        <w:t>陪产假，在孩子年满</w:t>
      </w:r>
      <w:r>
        <w:rPr>
          <w:rFonts w:hint="eastAsia"/>
        </w:rPr>
        <w:t>8</w:t>
      </w:r>
      <w:r>
        <w:rPr>
          <w:rFonts w:hint="eastAsia"/>
        </w:rPr>
        <w:t>岁前准予父母育儿假，父母可以因子女生病请假，可以出于家庭原因享有休息和自由支配时间</w:t>
      </w:r>
      <w:r>
        <w:rPr>
          <w:rFonts w:hint="eastAsia"/>
        </w:rPr>
        <w:t>(</w:t>
      </w:r>
      <w:r>
        <w:rPr>
          <w:rFonts w:hint="eastAsia"/>
        </w:rPr>
        <w:t>按小时计算</w:t>
      </w:r>
      <w:r>
        <w:rPr>
          <w:rFonts w:hint="eastAsia"/>
        </w:rPr>
        <w:t>)</w:t>
      </w:r>
      <w:r>
        <w:rPr>
          <w:rFonts w:hint="eastAsia"/>
        </w:rPr>
        <w:t>；</w:t>
      </w:r>
    </w:p>
    <w:p w:rsidR="00000000" w:rsidRDefault="00000000">
      <w:pPr>
        <w:pStyle w:val="a0"/>
        <w:ind w:left="1530"/>
        <w:rPr>
          <w:rFonts w:hint="eastAsia"/>
        </w:rPr>
      </w:pPr>
      <w:r>
        <w:rPr>
          <w:rFonts w:hint="eastAsia"/>
        </w:rPr>
        <w:t>禁止在妊娠期间和孩子满</w:t>
      </w:r>
      <w:r>
        <w:rPr>
          <w:rFonts w:hint="eastAsia"/>
        </w:rPr>
        <w:t>1</w:t>
      </w:r>
      <w:r>
        <w:rPr>
          <w:rFonts w:hint="eastAsia"/>
        </w:rPr>
        <w:t>岁前上夜班；出于特定家庭情况也可以避免夜班，例如家中有不满</w:t>
      </w:r>
      <w:r>
        <w:rPr>
          <w:rFonts w:hint="eastAsia"/>
        </w:rPr>
        <w:t>3</w:t>
      </w:r>
      <w:r>
        <w:rPr>
          <w:rFonts w:hint="eastAsia"/>
        </w:rPr>
        <w:t>岁的幼儿或有残疾家属需要照顾。</w:t>
      </w:r>
    </w:p>
    <w:p w:rsidR="00000000" w:rsidRDefault="00000000">
      <w:pPr>
        <w:spacing w:after="320"/>
        <w:rPr>
          <w:rFonts w:hint="eastAsia"/>
        </w:rPr>
      </w:pPr>
      <w:r>
        <w:rPr>
          <w:rFonts w:hint="eastAsia"/>
        </w:rPr>
        <w:tab/>
        <w:t xml:space="preserve">156.  </w:t>
      </w:r>
      <w:r>
        <w:rPr>
          <w:rFonts w:hint="eastAsia"/>
        </w:rPr>
        <w:t>立法令特别强调要为有残疾家属需要照顾的家庭提供支助，为此规定了一些特殊工作安排，如准予父母假期以便照顾</w:t>
      </w:r>
      <w:r>
        <w:rPr>
          <w:rFonts w:hint="eastAsia"/>
        </w:rPr>
        <w:t>3</w:t>
      </w:r>
      <w:r>
        <w:rPr>
          <w:rFonts w:hint="eastAsia"/>
        </w:rPr>
        <w:t>岁以下幼儿，按天和小时计算的假期，以及如可能，将父母或负责照顾残疾人的亲属调任到离家较近的工作地点等。</w:t>
      </w:r>
    </w:p>
    <w:p w:rsidR="00000000" w:rsidRDefault="00000000">
      <w:pPr>
        <w:pStyle w:val="Heading4"/>
        <w:rPr>
          <w:rFonts w:hint="eastAsia"/>
        </w:rPr>
      </w:pPr>
      <w:r>
        <w:rPr>
          <w:rFonts w:hint="eastAsia"/>
        </w:rPr>
        <w:t>经济支助形式</w:t>
      </w:r>
    </w:p>
    <w:p w:rsidR="00000000" w:rsidRDefault="00000000">
      <w:pPr>
        <w:rPr>
          <w:rFonts w:hint="eastAsia"/>
        </w:rPr>
      </w:pPr>
      <w:r>
        <w:rPr>
          <w:rFonts w:hint="eastAsia"/>
        </w:rPr>
        <w:tab/>
        <w:t xml:space="preserve">157.  </w:t>
      </w:r>
      <w:r>
        <w:rPr>
          <w:rFonts w:hint="eastAsia"/>
        </w:rPr>
        <w:t>这些支助包括：</w:t>
      </w:r>
    </w:p>
    <w:p w:rsidR="00000000" w:rsidRDefault="00000000">
      <w:pPr>
        <w:pStyle w:val="a0"/>
        <w:ind w:left="1530"/>
        <w:rPr>
          <w:rFonts w:hint="eastAsia"/>
        </w:rPr>
      </w:pPr>
      <w:r>
        <w:rPr>
          <w:rFonts w:hint="eastAsia"/>
        </w:rPr>
        <w:t>为大家庭拨发家庭津贴</w:t>
      </w:r>
      <w:r>
        <w:rPr>
          <w:rFonts w:hint="eastAsia"/>
        </w:rPr>
        <w:t>(</w:t>
      </w:r>
      <w:r>
        <w:rPr>
          <w:rFonts w:hint="eastAsia"/>
        </w:rPr>
        <w:t>修正后的第</w:t>
      </w:r>
      <w:r>
        <w:rPr>
          <w:rFonts w:hint="eastAsia"/>
        </w:rPr>
        <w:t>448/1998</w:t>
      </w:r>
      <w:r>
        <w:rPr>
          <w:rFonts w:hint="eastAsia"/>
        </w:rPr>
        <w:t>号法第</w:t>
      </w:r>
      <w:r>
        <w:rPr>
          <w:rFonts w:hint="eastAsia"/>
        </w:rPr>
        <w:t>65</w:t>
      </w:r>
      <w:r>
        <w:rPr>
          <w:rFonts w:hint="eastAsia"/>
        </w:rPr>
        <w:t>条</w:t>
      </w:r>
      <w:r>
        <w:rPr>
          <w:rFonts w:hint="eastAsia"/>
        </w:rPr>
        <w:t>)</w:t>
      </w:r>
      <w:r>
        <w:rPr>
          <w:rFonts w:hint="eastAsia"/>
        </w:rPr>
        <w:t>：该津贴支付给至少有</w:t>
      </w:r>
      <w:r>
        <w:rPr>
          <w:rFonts w:hint="eastAsia"/>
        </w:rPr>
        <w:t>3</w:t>
      </w:r>
      <w:r>
        <w:rPr>
          <w:rFonts w:hint="eastAsia"/>
        </w:rPr>
        <w:t>个未成年子女，而且全家收入不足</w:t>
      </w:r>
      <w:r>
        <w:rPr>
          <w:rFonts w:hint="eastAsia"/>
        </w:rPr>
        <w:t>38,540,204.352</w:t>
      </w:r>
      <w:r>
        <w:rPr>
          <w:rFonts w:hint="eastAsia"/>
        </w:rPr>
        <w:t>里拉或</w:t>
      </w:r>
      <w:r>
        <w:rPr>
          <w:rFonts w:hint="eastAsia"/>
        </w:rPr>
        <w:t>19,904.35</w:t>
      </w:r>
      <w:r>
        <w:rPr>
          <w:rFonts w:hint="eastAsia"/>
        </w:rPr>
        <w:t>欧元的意大利家庭。津贴按月支付，每年支付</w:t>
      </w:r>
      <w:r>
        <w:rPr>
          <w:rFonts w:hint="eastAsia"/>
        </w:rPr>
        <w:t>13</w:t>
      </w:r>
      <w:r>
        <w:rPr>
          <w:rFonts w:hint="eastAsia"/>
        </w:rPr>
        <w:t>次，金额为</w:t>
      </w:r>
      <w:r>
        <w:rPr>
          <w:rFonts w:hint="eastAsia"/>
        </w:rPr>
        <w:t>214,112.041</w:t>
      </w:r>
      <w:r>
        <w:rPr>
          <w:rFonts w:hint="eastAsia"/>
        </w:rPr>
        <w:t>里拉或</w:t>
      </w:r>
      <w:r>
        <w:rPr>
          <w:rFonts w:hint="eastAsia"/>
        </w:rPr>
        <w:t>110.58</w:t>
      </w:r>
      <w:r>
        <w:rPr>
          <w:rFonts w:hint="eastAsia"/>
        </w:rPr>
        <w:t>欧元；</w:t>
      </w:r>
    </w:p>
    <w:p w:rsidR="00000000" w:rsidRDefault="00000000">
      <w:pPr>
        <w:pStyle w:val="a0"/>
        <w:ind w:left="1530"/>
        <w:rPr>
          <w:rFonts w:hint="eastAsia"/>
        </w:rPr>
      </w:pPr>
      <w:r>
        <w:rPr>
          <w:rFonts w:hint="eastAsia"/>
        </w:rPr>
        <w:t>产妇津贴</w:t>
      </w:r>
      <w:r>
        <w:rPr>
          <w:rFonts w:hint="eastAsia"/>
        </w:rPr>
        <w:t>(</w:t>
      </w:r>
      <w:r>
        <w:rPr>
          <w:rFonts w:hint="eastAsia"/>
        </w:rPr>
        <w:t>第</w:t>
      </w:r>
      <w:r>
        <w:rPr>
          <w:rFonts w:hint="eastAsia"/>
        </w:rPr>
        <w:t>448/1998</w:t>
      </w:r>
      <w:r>
        <w:rPr>
          <w:rFonts w:hint="eastAsia"/>
        </w:rPr>
        <w:t>号法第</w:t>
      </w:r>
      <w:r>
        <w:rPr>
          <w:rFonts w:hint="eastAsia"/>
        </w:rPr>
        <w:t>66</w:t>
      </w:r>
      <w:r>
        <w:rPr>
          <w:rFonts w:hint="eastAsia"/>
        </w:rPr>
        <w:t>条</w:t>
      </w:r>
      <w:r>
        <w:rPr>
          <w:rFonts w:hint="eastAsia"/>
        </w:rPr>
        <w:t>)</w:t>
      </w:r>
      <w:r>
        <w:rPr>
          <w:rFonts w:hint="eastAsia"/>
        </w:rPr>
        <w:t>：金额为</w:t>
      </w:r>
      <w:r>
        <w:rPr>
          <w:rFonts w:hint="eastAsia"/>
        </w:rPr>
        <w:t>513,500</w:t>
      </w:r>
      <w:r>
        <w:rPr>
          <w:rFonts w:hint="eastAsia"/>
        </w:rPr>
        <w:t>里拉或</w:t>
      </w:r>
      <w:r>
        <w:rPr>
          <w:rFonts w:hint="eastAsia"/>
        </w:rPr>
        <w:t>265.20</w:t>
      </w:r>
      <w:r>
        <w:rPr>
          <w:rFonts w:hint="eastAsia"/>
        </w:rPr>
        <w:t>欧元，拨发期限五个月，总额达</w:t>
      </w:r>
      <w:r>
        <w:rPr>
          <w:rFonts w:hint="eastAsia"/>
        </w:rPr>
        <w:t>2,567,500</w:t>
      </w:r>
      <w:r>
        <w:rPr>
          <w:rFonts w:hint="eastAsia"/>
        </w:rPr>
        <w:t>里拉</w:t>
      </w:r>
      <w:r>
        <w:rPr>
          <w:rFonts w:hint="eastAsia"/>
        </w:rPr>
        <w:t>(1,326.00</w:t>
      </w:r>
      <w:r>
        <w:rPr>
          <w:rFonts w:hint="eastAsia"/>
        </w:rPr>
        <w:t>欧元</w:t>
      </w:r>
      <w:r>
        <w:rPr>
          <w:rFonts w:hint="eastAsia"/>
        </w:rPr>
        <w:t>)</w:t>
      </w:r>
      <w:r>
        <w:rPr>
          <w:rFonts w:hint="eastAsia"/>
        </w:rPr>
        <w:t>，对象为无职业，且家庭收入不超过</w:t>
      </w:r>
      <w:r>
        <w:rPr>
          <w:rFonts w:hint="eastAsia"/>
        </w:rPr>
        <w:t>53,528,061.6</w:t>
      </w:r>
      <w:r>
        <w:rPr>
          <w:rFonts w:hint="eastAsia"/>
        </w:rPr>
        <w:t>里拉</w:t>
      </w:r>
      <w:r>
        <w:rPr>
          <w:rFonts w:hint="eastAsia"/>
        </w:rPr>
        <w:t>(27,644.94</w:t>
      </w:r>
      <w:r>
        <w:rPr>
          <w:rFonts w:hint="eastAsia"/>
        </w:rPr>
        <w:t>欧元</w:t>
      </w:r>
      <w:r>
        <w:rPr>
          <w:rFonts w:hint="eastAsia"/>
        </w:rPr>
        <w:t>)</w:t>
      </w:r>
      <w:r>
        <w:rPr>
          <w:rFonts w:hint="eastAsia"/>
        </w:rPr>
        <w:t>的意大利、欧盟国家或有居留证的非欧盟国家的妇女。对分娩双胞胎的产妇，津贴将加倍；</w:t>
      </w:r>
    </w:p>
    <w:p w:rsidR="00000000" w:rsidRDefault="00000000">
      <w:pPr>
        <w:pStyle w:val="a0"/>
        <w:ind w:left="1530"/>
        <w:rPr>
          <w:rFonts w:hint="eastAsia"/>
        </w:rPr>
      </w:pPr>
      <w:r>
        <w:rPr>
          <w:rFonts w:hint="eastAsia"/>
        </w:rPr>
        <w:t>国家社会保障局提供和支付的产妇津贴</w:t>
      </w:r>
      <w:r>
        <w:rPr>
          <w:rFonts w:hint="eastAsia"/>
        </w:rPr>
        <w:t>(</w:t>
      </w:r>
      <w:r>
        <w:rPr>
          <w:rFonts w:hint="eastAsia"/>
        </w:rPr>
        <w:t>第</w:t>
      </w:r>
      <w:r>
        <w:rPr>
          <w:rFonts w:hint="eastAsia"/>
        </w:rPr>
        <w:t>448/1998</w:t>
      </w:r>
      <w:r>
        <w:rPr>
          <w:rFonts w:hint="eastAsia"/>
        </w:rPr>
        <w:t>号法第</w:t>
      </w:r>
      <w:r>
        <w:rPr>
          <w:rFonts w:hint="eastAsia"/>
        </w:rPr>
        <w:t>49.8</w:t>
      </w:r>
      <w:r>
        <w:rPr>
          <w:rFonts w:hint="eastAsia"/>
        </w:rPr>
        <w:t>条</w:t>
      </w:r>
      <w:r>
        <w:rPr>
          <w:rFonts w:hint="eastAsia"/>
        </w:rPr>
        <w:t>)</w:t>
      </w:r>
      <w:r>
        <w:rPr>
          <w:rFonts w:hint="eastAsia"/>
        </w:rPr>
        <w:t>：凡有过工作经验，并在</w:t>
      </w:r>
      <w:r>
        <w:rPr>
          <w:rFonts w:hint="eastAsia"/>
        </w:rPr>
        <w:t>2000</w:t>
      </w:r>
      <w:r>
        <w:rPr>
          <w:rFonts w:hint="eastAsia"/>
        </w:rPr>
        <w:t>年</w:t>
      </w:r>
      <w:r>
        <w:rPr>
          <w:rFonts w:hint="eastAsia"/>
        </w:rPr>
        <w:t>7</w:t>
      </w:r>
      <w:r>
        <w:rPr>
          <w:rFonts w:hint="eastAsia"/>
        </w:rPr>
        <w:t>月</w:t>
      </w:r>
      <w:r>
        <w:rPr>
          <w:rFonts w:hint="eastAsia"/>
        </w:rPr>
        <w:t>2</w:t>
      </w:r>
      <w:r>
        <w:rPr>
          <w:rFonts w:hint="eastAsia"/>
        </w:rPr>
        <w:t>日以后进行分娩或采取收养前照料和收养行动的意大利、欧盟国家或有居留证的非欧盟国家的妇女均可享受这项津贴，金额为</w:t>
      </w:r>
      <w:r>
        <w:rPr>
          <w:rFonts w:hint="eastAsia"/>
        </w:rPr>
        <w:t>300</w:t>
      </w:r>
      <w:r>
        <w:rPr>
          <w:rFonts w:hint="eastAsia"/>
        </w:rPr>
        <w:t>万里拉</w:t>
      </w:r>
      <w:r>
        <w:rPr>
          <w:rFonts w:hint="eastAsia"/>
        </w:rPr>
        <w:t>(1,549.70)</w:t>
      </w:r>
      <w:r>
        <w:rPr>
          <w:rFonts w:hint="eastAsia"/>
        </w:rPr>
        <w:t>。对分娩双胞胎的产妇，津贴将加倍；</w:t>
      </w:r>
    </w:p>
    <w:p w:rsidR="00000000" w:rsidRDefault="00000000">
      <w:pPr>
        <w:pStyle w:val="a0"/>
        <w:spacing w:after="320"/>
        <w:ind w:left="1530"/>
        <w:rPr>
          <w:rFonts w:hint="eastAsia"/>
        </w:rPr>
      </w:pPr>
      <w:r>
        <w:rPr>
          <w:rFonts w:hint="eastAsia"/>
        </w:rPr>
        <w:t>用于融合的最低津贴</w:t>
      </w:r>
      <w:r>
        <w:rPr>
          <w:rFonts w:hint="eastAsia"/>
        </w:rPr>
        <w:t>(</w:t>
      </w:r>
      <w:r>
        <w:rPr>
          <w:rFonts w:hint="eastAsia"/>
        </w:rPr>
        <w:t>第</w:t>
      </w:r>
      <w:r>
        <w:rPr>
          <w:rFonts w:hint="eastAsia"/>
        </w:rPr>
        <w:t>237/1998</w:t>
      </w:r>
      <w:r>
        <w:rPr>
          <w:rFonts w:hint="eastAsia"/>
        </w:rPr>
        <w:t>号立法令</w:t>
      </w:r>
      <w:r>
        <w:rPr>
          <w:rFonts w:hint="eastAsia"/>
        </w:rPr>
        <w:t>)</w:t>
      </w:r>
      <w:r>
        <w:rPr>
          <w:rFonts w:hint="eastAsia"/>
        </w:rPr>
        <w:t>：享受这项津贴的人必须没有收入或人均收入不超过</w:t>
      </w:r>
      <w:r>
        <w:rPr>
          <w:rFonts w:hint="eastAsia"/>
        </w:rPr>
        <w:t>500,000</w:t>
      </w:r>
      <w:r>
        <w:rPr>
          <w:rFonts w:hint="eastAsia"/>
        </w:rPr>
        <w:t>里拉</w:t>
      </w:r>
      <w:r>
        <w:rPr>
          <w:rFonts w:hint="eastAsia"/>
        </w:rPr>
        <w:t>(258.230</w:t>
      </w:r>
      <w:r>
        <w:rPr>
          <w:rFonts w:hint="eastAsia"/>
        </w:rPr>
        <w:t>欧元</w:t>
      </w:r>
      <w:r>
        <w:rPr>
          <w:rFonts w:hint="eastAsia"/>
        </w:rPr>
        <w:t>)</w:t>
      </w:r>
      <w:r>
        <w:rPr>
          <w:rFonts w:hint="eastAsia"/>
        </w:rPr>
        <w:t>。该津贴的金额相当于最低限额</w:t>
      </w:r>
      <w:r>
        <w:rPr>
          <w:rFonts w:hint="eastAsia"/>
        </w:rPr>
        <w:t>(</w:t>
      </w:r>
      <w:r>
        <w:rPr>
          <w:rFonts w:hint="eastAsia"/>
        </w:rPr>
        <w:t>最初定为</w:t>
      </w:r>
      <w:r>
        <w:rPr>
          <w:rFonts w:hint="eastAsia"/>
        </w:rPr>
        <w:t>500,000</w:t>
      </w:r>
      <w:r>
        <w:rPr>
          <w:rFonts w:hint="eastAsia"/>
        </w:rPr>
        <w:t>里拉，须每年进行审核</w:t>
      </w:r>
      <w:r>
        <w:rPr>
          <w:rFonts w:hint="eastAsia"/>
        </w:rPr>
        <w:t>)</w:t>
      </w:r>
      <w:r>
        <w:rPr>
          <w:rFonts w:hint="eastAsia"/>
        </w:rPr>
        <w:t>与受益人每月收入之间的差额。社会包容方案要求未成年人必须完成义务教育，并随后接受培训。</w:t>
      </w:r>
    </w:p>
    <w:p w:rsidR="00000000" w:rsidRDefault="00000000">
      <w:pPr>
        <w:pStyle w:val="Heading4"/>
        <w:rPr>
          <w:rFonts w:hint="eastAsia"/>
        </w:rPr>
      </w:pPr>
      <w:r>
        <w:rPr>
          <w:rFonts w:hint="eastAsia"/>
        </w:rPr>
        <w:t>增进儿童权利并为他们创造更多的机会</w:t>
      </w:r>
    </w:p>
    <w:p w:rsidR="00000000" w:rsidRDefault="00000000">
      <w:pPr>
        <w:spacing w:after="320"/>
        <w:rPr>
          <w:rFonts w:hint="eastAsia"/>
        </w:rPr>
      </w:pPr>
      <w:r>
        <w:rPr>
          <w:rFonts w:hint="eastAsia"/>
        </w:rPr>
        <w:tab/>
        <w:t xml:space="preserve">158.  </w:t>
      </w:r>
      <w:r>
        <w:rPr>
          <w:rFonts w:hint="eastAsia"/>
        </w:rPr>
        <w:t>第</w:t>
      </w:r>
      <w:r>
        <w:rPr>
          <w:rFonts w:hint="eastAsia"/>
        </w:rPr>
        <w:t>285/1997</w:t>
      </w:r>
      <w:r>
        <w:rPr>
          <w:rFonts w:hint="eastAsia"/>
        </w:rPr>
        <w:t>号法中处理了这个问题，规定要为旨在支持困难家庭的项目和旨在打击贫困及家庭暴力现象以及旨在鼓励未成年人融入社会和教育体系的项目提供资金。</w:t>
      </w:r>
    </w:p>
    <w:p w:rsidR="00000000" w:rsidRDefault="00000000">
      <w:pPr>
        <w:pStyle w:val="Heading4"/>
        <w:rPr>
          <w:rFonts w:hint="eastAsia"/>
        </w:rPr>
      </w:pPr>
      <w:r>
        <w:rPr>
          <w:rFonts w:hint="eastAsia"/>
        </w:rPr>
        <w:t>2001</w:t>
      </w:r>
      <w:r>
        <w:rPr>
          <w:rFonts w:hint="eastAsia"/>
        </w:rPr>
        <w:t>年至</w:t>
      </w:r>
      <w:r>
        <w:rPr>
          <w:rFonts w:hint="eastAsia"/>
        </w:rPr>
        <w:t>2003</w:t>
      </w:r>
      <w:r>
        <w:rPr>
          <w:rFonts w:hint="eastAsia"/>
        </w:rPr>
        <w:t>年国家社会行动与服务计划</w:t>
      </w:r>
    </w:p>
    <w:p w:rsidR="00000000" w:rsidRDefault="00000000">
      <w:pPr>
        <w:spacing w:after="320"/>
        <w:rPr>
          <w:rFonts w:hint="eastAsia"/>
        </w:rPr>
      </w:pPr>
      <w:r>
        <w:rPr>
          <w:rFonts w:hint="eastAsia"/>
        </w:rPr>
        <w:tab/>
        <w:t xml:space="preserve">159.  </w:t>
      </w:r>
      <w:r>
        <w:rPr>
          <w:rFonts w:hint="eastAsia"/>
        </w:rPr>
        <w:t>该计划的依据是</w:t>
      </w:r>
      <w:r>
        <w:rPr>
          <w:rFonts w:hint="eastAsia"/>
        </w:rPr>
        <w:t>2001</w:t>
      </w:r>
      <w:r>
        <w:rPr>
          <w:rFonts w:hint="eastAsia"/>
        </w:rPr>
        <w:t>年</w:t>
      </w:r>
      <w:r>
        <w:rPr>
          <w:rFonts w:hint="eastAsia"/>
        </w:rPr>
        <w:t>5</w:t>
      </w:r>
      <w:r>
        <w:rPr>
          <w:rFonts w:hint="eastAsia"/>
        </w:rPr>
        <w:t>月</w:t>
      </w:r>
      <w:r>
        <w:rPr>
          <w:rFonts w:hint="eastAsia"/>
        </w:rPr>
        <w:t>3</w:t>
      </w:r>
      <w:r>
        <w:rPr>
          <w:rFonts w:hint="eastAsia"/>
        </w:rPr>
        <w:t>日为执行第</w:t>
      </w:r>
      <w:r>
        <w:rPr>
          <w:rFonts w:hint="eastAsia"/>
        </w:rPr>
        <w:t>328/2000</w:t>
      </w:r>
      <w:r>
        <w:rPr>
          <w:rFonts w:hint="eastAsia"/>
        </w:rPr>
        <w:t>号法，即社会援助框架法而颁布的总统令。社会行动与服务综合系统为个人和家庭制定了一系列以个人化计划为基础的灵活且多样化的措施，首要目标包括加强和支持家庭责任并帮助未成年人。</w:t>
      </w:r>
    </w:p>
    <w:p w:rsidR="00000000" w:rsidRDefault="00000000">
      <w:pPr>
        <w:pStyle w:val="Heading4"/>
        <w:rPr>
          <w:rFonts w:hint="eastAsia"/>
        </w:rPr>
      </w:pPr>
      <w:r>
        <w:rPr>
          <w:rFonts w:hint="eastAsia"/>
        </w:rPr>
        <w:t>革新措施</w:t>
      </w:r>
    </w:p>
    <w:p w:rsidR="00000000" w:rsidRDefault="00000000">
      <w:pPr>
        <w:rPr>
          <w:rFonts w:hint="eastAsia"/>
        </w:rPr>
      </w:pPr>
      <w:r>
        <w:rPr>
          <w:rFonts w:hint="eastAsia"/>
        </w:rPr>
        <w:tab/>
        <w:t xml:space="preserve">160.  </w:t>
      </w:r>
      <w:r>
        <w:rPr>
          <w:rFonts w:hint="eastAsia"/>
        </w:rPr>
        <w:t>这些革新措施包括：</w:t>
      </w:r>
    </w:p>
    <w:p w:rsidR="00000000" w:rsidRDefault="00000000">
      <w:pPr>
        <w:numPr>
          <w:ilvl w:val="0"/>
          <w:numId w:val="88"/>
        </w:numPr>
        <w:rPr>
          <w:rFonts w:hint="eastAsia"/>
        </w:rPr>
      </w:pPr>
      <w:r>
        <w:rPr>
          <w:rFonts w:hint="eastAsia"/>
        </w:rPr>
        <w:t>通过中央政府、地区和地方当局以及从事社会领域工作的非营利机构、合作机构、协会和其他社会组织、基金会和公民咨询机构、自愿者协会和这方面的宗教团体的直接参与来加强纵向与横向辅助的原则；</w:t>
      </w:r>
    </w:p>
    <w:p w:rsidR="00000000" w:rsidRDefault="00000000">
      <w:pPr>
        <w:numPr>
          <w:ilvl w:val="0"/>
          <w:numId w:val="88"/>
        </w:numPr>
        <w:rPr>
          <w:rFonts w:hint="eastAsia"/>
        </w:rPr>
      </w:pPr>
      <w:r>
        <w:rPr>
          <w:rFonts w:hint="eastAsia"/>
        </w:rPr>
        <w:t>改变集中式办法，加强地方责任和家庭及家庭协会的能力；</w:t>
      </w:r>
    </w:p>
    <w:p w:rsidR="00000000" w:rsidRDefault="00000000">
      <w:pPr>
        <w:numPr>
          <w:ilvl w:val="0"/>
          <w:numId w:val="88"/>
        </w:numPr>
        <w:rPr>
          <w:rFonts w:hint="eastAsia"/>
        </w:rPr>
      </w:pPr>
      <w:r>
        <w:rPr>
          <w:rFonts w:hint="eastAsia"/>
        </w:rPr>
        <w:t>采取行动取代过去按类别提供的援助，制定一些着重个人和家庭的有区别的行动，并要体现生命周期各个阶段不断变化的需要；</w:t>
      </w:r>
    </w:p>
    <w:p w:rsidR="00000000" w:rsidRDefault="00000000">
      <w:pPr>
        <w:numPr>
          <w:ilvl w:val="0"/>
          <w:numId w:val="88"/>
        </w:numPr>
        <w:rPr>
          <w:rFonts w:hint="eastAsia"/>
        </w:rPr>
      </w:pPr>
      <w:r>
        <w:rPr>
          <w:rFonts w:hint="eastAsia"/>
        </w:rPr>
        <w:t>改变拨发资金的做法，重视包括有经济津贴和网络服务</w:t>
      </w:r>
      <w:r>
        <w:rPr>
          <w:rFonts w:hint="eastAsia"/>
        </w:rPr>
        <w:t>(</w:t>
      </w:r>
      <w:r>
        <w:rPr>
          <w:rFonts w:hint="eastAsia"/>
        </w:rPr>
        <w:t>培训、保健、社会行动、招聘、家庭问题</w:t>
      </w:r>
      <w:r>
        <w:rPr>
          <w:rFonts w:hint="eastAsia"/>
        </w:rPr>
        <w:t>)</w:t>
      </w:r>
      <w:r>
        <w:rPr>
          <w:rFonts w:hint="eastAsia"/>
        </w:rPr>
        <w:t>的综合措施；</w:t>
      </w:r>
    </w:p>
    <w:p w:rsidR="00000000" w:rsidRDefault="00000000">
      <w:pPr>
        <w:numPr>
          <w:ilvl w:val="0"/>
          <w:numId w:val="88"/>
        </w:numPr>
        <w:spacing w:after="320"/>
        <w:rPr>
          <w:rFonts w:hint="eastAsia"/>
        </w:rPr>
      </w:pPr>
      <w:r>
        <w:rPr>
          <w:rFonts w:hint="eastAsia"/>
        </w:rPr>
        <w:t>灵活和个人化的办法，这需要为地方当局制定一种质量标准，以便能使意大利各地区的所有公民享有均等的机会。</w:t>
      </w:r>
    </w:p>
    <w:p w:rsidR="00000000" w:rsidRDefault="00000000">
      <w:pPr>
        <w:pStyle w:val="Heading4"/>
        <w:rPr>
          <w:rFonts w:hint="eastAsia"/>
        </w:rPr>
      </w:pPr>
      <w:r>
        <w:rPr>
          <w:rFonts w:hint="eastAsia"/>
        </w:rPr>
        <w:t>财政支援</w:t>
      </w:r>
      <w:r>
        <w:rPr>
          <w:rFonts w:hint="eastAsia"/>
        </w:rPr>
        <w:t>/</w:t>
      </w:r>
      <w:r>
        <w:rPr>
          <w:rFonts w:hint="eastAsia"/>
        </w:rPr>
        <w:t>减税</w:t>
      </w:r>
    </w:p>
    <w:p w:rsidR="00000000" w:rsidRDefault="00000000">
      <w:pPr>
        <w:pStyle w:val="Heading4"/>
        <w:rPr>
          <w:rFonts w:eastAsia="KaiTi_GB2312" w:hint="eastAsia"/>
          <w:spacing w:val="0"/>
          <w:u w:val="none"/>
        </w:rPr>
      </w:pPr>
      <w:r>
        <w:rPr>
          <w:rFonts w:eastAsia="KaiTi_GB2312" w:hint="eastAsia"/>
          <w:spacing w:val="0"/>
          <w:u w:val="none"/>
        </w:rPr>
        <w:t>第</w:t>
      </w:r>
      <w:r>
        <w:rPr>
          <w:rFonts w:eastAsia="KaiTi_GB2312" w:hint="eastAsia"/>
          <w:spacing w:val="0"/>
          <w:u w:val="none"/>
        </w:rPr>
        <w:t>448/2001</w:t>
      </w:r>
      <w:r>
        <w:rPr>
          <w:rFonts w:eastAsia="KaiTi_GB2312" w:hint="eastAsia"/>
          <w:spacing w:val="0"/>
          <w:u w:val="none"/>
        </w:rPr>
        <w:t>号家庭所得税法第</w:t>
      </w:r>
      <w:r>
        <w:rPr>
          <w:rFonts w:eastAsia="KaiTi_GB2312" w:hint="eastAsia"/>
          <w:spacing w:val="0"/>
          <w:u w:val="none"/>
        </w:rPr>
        <w:t>2</w:t>
      </w:r>
      <w:r>
        <w:rPr>
          <w:rFonts w:eastAsia="KaiTi_GB2312" w:hint="eastAsia"/>
          <w:spacing w:val="0"/>
          <w:u w:val="none"/>
        </w:rPr>
        <w:t>条的修正案</w:t>
      </w:r>
    </w:p>
    <w:p w:rsidR="00000000" w:rsidRDefault="00000000">
      <w:pPr>
        <w:spacing w:after="320"/>
        <w:rPr>
          <w:rFonts w:hint="eastAsia"/>
        </w:rPr>
      </w:pPr>
      <w:r>
        <w:rPr>
          <w:rFonts w:hint="eastAsia"/>
        </w:rPr>
        <w:tab/>
        <w:t xml:space="preserve">161.  </w:t>
      </w:r>
      <w:r>
        <w:rPr>
          <w:rFonts w:hint="eastAsia"/>
        </w:rPr>
        <w:t>根据这项条款规定，提高了因为有子女</w:t>
      </w:r>
      <w:r>
        <w:rPr>
          <w:rFonts w:hint="eastAsia"/>
        </w:rPr>
        <w:t>(</w:t>
      </w:r>
      <w:r>
        <w:rPr>
          <w:rFonts w:hint="eastAsia"/>
        </w:rPr>
        <w:t>包括收养或寄养儿童</w:t>
      </w:r>
      <w:r>
        <w:rPr>
          <w:rFonts w:hint="eastAsia"/>
        </w:rPr>
        <w:t>)</w:t>
      </w:r>
      <w:r>
        <w:rPr>
          <w:rFonts w:hint="eastAsia"/>
        </w:rPr>
        <w:t>负担，和因为家庭收入不足</w:t>
      </w:r>
      <w:r>
        <w:rPr>
          <w:rFonts w:hint="eastAsia"/>
        </w:rPr>
        <w:t>1</w:t>
      </w:r>
      <w:r>
        <w:rPr>
          <w:rFonts w:hint="eastAsia"/>
        </w:rPr>
        <w:t>亿里拉而减免税款的额度。</w:t>
      </w:r>
    </w:p>
    <w:p w:rsidR="00000000" w:rsidRDefault="00000000">
      <w:pPr>
        <w:pStyle w:val="Heading4"/>
        <w:rPr>
          <w:rFonts w:hint="eastAsia"/>
        </w:rPr>
      </w:pPr>
      <w:r>
        <w:rPr>
          <w:rFonts w:hint="eastAsia"/>
        </w:rPr>
        <w:t>幼儿服务</w:t>
      </w:r>
    </w:p>
    <w:p w:rsidR="00000000" w:rsidRDefault="00000000">
      <w:pPr>
        <w:pStyle w:val="Heading4"/>
        <w:rPr>
          <w:rFonts w:eastAsia="KaiTi_GB2312" w:hint="eastAsia"/>
          <w:spacing w:val="0"/>
          <w:u w:val="none"/>
        </w:rPr>
      </w:pPr>
      <w:r>
        <w:rPr>
          <w:rFonts w:eastAsia="KaiTi_GB2312" w:hint="eastAsia"/>
          <w:spacing w:val="0"/>
          <w:u w:val="none"/>
        </w:rPr>
        <w:t>市立幼儿园网络</w:t>
      </w:r>
      <w:r>
        <w:rPr>
          <w:rFonts w:hint="eastAsia"/>
          <w:spacing w:val="-50"/>
          <w:u w:val="none"/>
        </w:rPr>
        <w:t>―</w:t>
      </w:r>
      <w:r>
        <w:rPr>
          <w:rFonts w:hint="eastAsia"/>
          <w:u w:val="none"/>
        </w:rPr>
        <w:t>―</w:t>
      </w:r>
      <w:r>
        <w:rPr>
          <w:rFonts w:eastAsia="KaiTi_GB2312" w:hint="eastAsia"/>
          <w:spacing w:val="0"/>
          <w:u w:val="none"/>
        </w:rPr>
        <w:t>经过修正和补充的第</w:t>
      </w:r>
      <w:r>
        <w:rPr>
          <w:rFonts w:eastAsia="KaiTi_GB2312" w:hint="eastAsia"/>
          <w:spacing w:val="0"/>
          <w:u w:val="none"/>
        </w:rPr>
        <w:t>1044/1971</w:t>
      </w:r>
      <w:r>
        <w:rPr>
          <w:rFonts w:eastAsia="KaiTi_GB2312" w:hint="eastAsia"/>
          <w:spacing w:val="0"/>
          <w:u w:val="none"/>
        </w:rPr>
        <w:t>号法</w:t>
      </w:r>
    </w:p>
    <w:p w:rsidR="00000000" w:rsidRDefault="00000000">
      <w:pPr>
        <w:spacing w:after="320"/>
        <w:rPr>
          <w:rFonts w:hint="eastAsia"/>
        </w:rPr>
      </w:pPr>
      <w:r>
        <w:rPr>
          <w:rFonts w:hint="eastAsia"/>
        </w:rPr>
        <w:tab/>
        <w:t xml:space="preserve">162.  </w:t>
      </w:r>
      <w:r>
        <w:rPr>
          <w:rFonts w:hint="eastAsia"/>
        </w:rPr>
        <w:t>目前已为</w:t>
      </w:r>
      <w:r>
        <w:rPr>
          <w:rFonts w:hint="eastAsia"/>
        </w:rPr>
        <w:t>3</w:t>
      </w:r>
      <w:r>
        <w:rPr>
          <w:rFonts w:hint="eastAsia"/>
        </w:rPr>
        <w:t>岁以下幼儿建立了一个市立幼儿园网络。但这种幼儿园的数量仍不够多，不足以满足所有等候这种服务的家庭的需要。而且，国家中北部和南部之间在幼儿园的数量方面仍存在显著差距。</w:t>
      </w:r>
    </w:p>
    <w:p w:rsidR="00000000" w:rsidRDefault="00000000">
      <w:pPr>
        <w:pStyle w:val="Heading4"/>
        <w:rPr>
          <w:rFonts w:hint="eastAsia"/>
        </w:rPr>
      </w:pPr>
      <w:r>
        <w:rPr>
          <w:rFonts w:hint="eastAsia"/>
        </w:rPr>
        <w:t>为幼儿园筹资</w:t>
      </w:r>
    </w:p>
    <w:p w:rsidR="00000000" w:rsidRDefault="00000000">
      <w:pPr>
        <w:pStyle w:val="Heading4"/>
        <w:rPr>
          <w:rFonts w:eastAsia="KaiTi_GB2312" w:hint="eastAsia"/>
          <w:spacing w:val="0"/>
          <w:u w:val="none"/>
        </w:rPr>
      </w:pPr>
      <w:r>
        <w:rPr>
          <w:rFonts w:eastAsia="KaiTi_GB2312" w:hint="eastAsia"/>
          <w:spacing w:val="0"/>
          <w:u w:val="none"/>
        </w:rPr>
        <w:t>第</w:t>
      </w:r>
      <w:r>
        <w:rPr>
          <w:rFonts w:eastAsia="KaiTi_GB2312" w:hint="eastAsia"/>
          <w:spacing w:val="0"/>
          <w:u w:val="none"/>
        </w:rPr>
        <w:t>448/2001</w:t>
      </w:r>
      <w:r>
        <w:rPr>
          <w:rFonts w:eastAsia="KaiTi_GB2312" w:hint="eastAsia"/>
          <w:spacing w:val="0"/>
          <w:u w:val="none"/>
        </w:rPr>
        <w:t>号法</w:t>
      </w:r>
      <w:r>
        <w:rPr>
          <w:rFonts w:eastAsia="KaiTi_GB2312" w:hint="eastAsia"/>
          <w:spacing w:val="0"/>
          <w:u w:val="none"/>
        </w:rPr>
        <w:t>(</w:t>
      </w:r>
      <w:r>
        <w:rPr>
          <w:rFonts w:eastAsia="KaiTi_GB2312" w:hint="eastAsia"/>
          <w:spacing w:val="0"/>
          <w:u w:val="none"/>
        </w:rPr>
        <w:t>财政法</w:t>
      </w:r>
      <w:r>
        <w:rPr>
          <w:rFonts w:eastAsia="KaiTi_GB2312" w:hint="eastAsia"/>
          <w:spacing w:val="0"/>
          <w:u w:val="none"/>
        </w:rPr>
        <w:t>)</w:t>
      </w:r>
      <w:r>
        <w:rPr>
          <w:rFonts w:eastAsia="KaiTi_GB2312" w:hint="eastAsia"/>
          <w:spacing w:val="0"/>
          <w:u w:val="none"/>
        </w:rPr>
        <w:t>，第</w:t>
      </w:r>
      <w:r>
        <w:rPr>
          <w:rFonts w:eastAsia="KaiTi_GB2312" w:hint="eastAsia"/>
          <w:spacing w:val="0"/>
          <w:u w:val="none"/>
        </w:rPr>
        <w:t>70</w:t>
      </w:r>
      <w:r>
        <w:rPr>
          <w:rFonts w:eastAsia="KaiTi_GB2312" w:hint="eastAsia"/>
          <w:spacing w:val="0"/>
          <w:u w:val="none"/>
        </w:rPr>
        <w:t>条</w:t>
      </w:r>
    </w:p>
    <w:p w:rsidR="00000000" w:rsidRDefault="00000000">
      <w:pPr>
        <w:rPr>
          <w:rFonts w:hint="eastAsia"/>
        </w:rPr>
      </w:pPr>
      <w:r>
        <w:rPr>
          <w:rFonts w:hint="eastAsia"/>
        </w:rPr>
        <w:tab/>
        <w:t xml:space="preserve">163.  </w:t>
      </w:r>
      <w:r>
        <w:rPr>
          <w:rFonts w:hint="eastAsia"/>
        </w:rPr>
        <w:t>为在全国范围内方便越来越多的家庭获得这种服务，经济和财政部设立了一项幼儿园基金，每年在各地区之间进行分配。</w:t>
      </w:r>
    </w:p>
    <w:p w:rsidR="00000000" w:rsidRDefault="00000000">
      <w:pPr>
        <w:spacing w:after="320"/>
        <w:rPr>
          <w:rFonts w:hint="eastAsia"/>
        </w:rPr>
      </w:pPr>
      <w:r>
        <w:rPr>
          <w:rFonts w:hint="eastAsia"/>
        </w:rPr>
        <w:tab/>
        <w:t xml:space="preserve">164.  </w:t>
      </w:r>
      <w:r>
        <w:rPr>
          <w:rFonts w:hint="eastAsia"/>
        </w:rPr>
        <w:t>为鼓励职业父母协调好工作与家庭的责任和需要，政府各部门及公共机构可以在其正常预算允许范围内，在工作场所建立“微型幼儿园”。运转这些幼儿园的费用可以根据经济和财政部长确定的限度由父母和雇主的所得税予以抵偿。</w:t>
      </w:r>
    </w:p>
    <w:p w:rsidR="00000000" w:rsidRDefault="00000000">
      <w:pPr>
        <w:pStyle w:val="Heading4"/>
        <w:rPr>
          <w:rFonts w:hint="eastAsia"/>
        </w:rPr>
      </w:pPr>
      <w:r>
        <w:rPr>
          <w:rFonts w:hint="eastAsia"/>
        </w:rPr>
        <w:t>地区行动</w:t>
      </w:r>
    </w:p>
    <w:p w:rsidR="00000000" w:rsidRDefault="00000000">
      <w:pPr>
        <w:spacing w:after="320"/>
        <w:rPr>
          <w:rFonts w:hint="eastAsia"/>
        </w:rPr>
      </w:pPr>
      <w:r>
        <w:rPr>
          <w:rFonts w:hint="eastAsia"/>
        </w:rPr>
        <w:tab/>
        <w:t xml:space="preserve">165.  </w:t>
      </w:r>
      <w:r>
        <w:rPr>
          <w:rFonts w:hint="eastAsia"/>
        </w:rPr>
        <w:t>各地区已经批准了一些关于家庭保护措施的法律，这些措施将由中央政府出资。</w:t>
      </w:r>
    </w:p>
    <w:p w:rsidR="00000000" w:rsidRDefault="00000000">
      <w:pPr>
        <w:pStyle w:val="Heading3"/>
      </w:pPr>
      <w:r>
        <w:rPr>
          <w:rFonts w:hint="eastAsia"/>
          <w:u w:val="none"/>
        </w:rPr>
        <w:t xml:space="preserve">G.  </w:t>
      </w:r>
      <w:r>
        <w:rPr>
          <w:rFonts w:hint="eastAsia"/>
        </w:rPr>
        <w:t>第</w:t>
      </w:r>
      <w:r>
        <w:rPr>
          <w:rFonts w:hint="eastAsia"/>
        </w:rPr>
        <w:t xml:space="preserve"> 11 </w:t>
      </w:r>
      <w:r>
        <w:rPr>
          <w:rFonts w:hint="eastAsia"/>
        </w:rPr>
        <w:t>条</w:t>
      </w:r>
    </w:p>
    <w:p w:rsidR="00000000" w:rsidRDefault="00000000">
      <w:pPr>
        <w:pStyle w:val="Heading3"/>
        <w:rPr>
          <w:rFonts w:hint="eastAsia"/>
        </w:rPr>
      </w:pPr>
      <w:r>
        <w:rPr>
          <w:rFonts w:hint="eastAsia"/>
        </w:rPr>
        <w:t>适当的生活水平</w:t>
      </w:r>
    </w:p>
    <w:p w:rsidR="00000000" w:rsidRDefault="00000000">
      <w:pPr>
        <w:pStyle w:val="Heading4"/>
        <w:rPr>
          <w:rFonts w:hint="eastAsia"/>
        </w:rPr>
      </w:pPr>
      <w:r>
        <w:rPr>
          <w:rFonts w:hint="eastAsia"/>
        </w:rPr>
        <w:t>意大利的社会包容计划</w:t>
      </w:r>
    </w:p>
    <w:p w:rsidR="00000000" w:rsidRDefault="00000000">
      <w:pPr>
        <w:spacing w:after="320"/>
        <w:rPr>
          <w:rFonts w:hint="eastAsia"/>
        </w:rPr>
      </w:pPr>
      <w:r>
        <w:rPr>
          <w:rFonts w:hint="eastAsia"/>
        </w:rPr>
        <w:tab/>
        <w:t xml:space="preserve">166.  </w:t>
      </w:r>
      <w:r>
        <w:rPr>
          <w:rFonts w:hint="eastAsia"/>
        </w:rPr>
        <w:t>《意大利的社会包容计划》于</w:t>
      </w:r>
      <w:r>
        <w:rPr>
          <w:rFonts w:hint="eastAsia"/>
        </w:rPr>
        <w:t>2001</w:t>
      </w:r>
      <w:r>
        <w:rPr>
          <w:rFonts w:hint="eastAsia"/>
        </w:rPr>
        <w:t>年</w:t>
      </w:r>
      <w:r>
        <w:rPr>
          <w:rFonts w:hint="eastAsia"/>
        </w:rPr>
        <w:t>6</w:t>
      </w:r>
      <w:r>
        <w:rPr>
          <w:rFonts w:hint="eastAsia"/>
        </w:rPr>
        <w:t>月获得通过。该计划是在</w:t>
      </w:r>
      <w:r>
        <w:rPr>
          <w:rFonts w:hint="eastAsia"/>
        </w:rPr>
        <w:t>2000</w:t>
      </w:r>
      <w:r>
        <w:rPr>
          <w:rFonts w:hint="eastAsia"/>
        </w:rPr>
        <w:t>至</w:t>
      </w:r>
      <w:r>
        <w:rPr>
          <w:rFonts w:hint="eastAsia"/>
        </w:rPr>
        <w:t>2003</w:t>
      </w:r>
      <w:r>
        <w:rPr>
          <w:rFonts w:hint="eastAsia"/>
        </w:rPr>
        <w:t>年国家、部门和地区各个计划的优先工作、行动纲领、措施和行动基础上制订的。将《计划》贯穿起来的横向因素主要涉及多方面的方法、地理差异、社会体系综合发展的前景、以及摆脱以援助为基础的包容政策。</w:t>
      </w:r>
    </w:p>
    <w:p w:rsidR="00000000" w:rsidRDefault="00000000">
      <w:pPr>
        <w:pStyle w:val="Heading4"/>
        <w:rPr>
          <w:rFonts w:hint="eastAsia"/>
        </w:rPr>
      </w:pPr>
      <w:r>
        <w:rPr>
          <w:rFonts w:hint="eastAsia"/>
        </w:rPr>
        <w:t>包容政策的多面性</w:t>
      </w:r>
    </w:p>
    <w:p w:rsidR="00000000" w:rsidRDefault="00000000">
      <w:pPr>
        <w:rPr>
          <w:rFonts w:hint="eastAsia"/>
        </w:rPr>
      </w:pPr>
      <w:r>
        <w:rPr>
          <w:rFonts w:hint="eastAsia"/>
        </w:rPr>
        <w:tab/>
        <w:t xml:space="preserve">167.  </w:t>
      </w:r>
      <w:r>
        <w:rPr>
          <w:rFonts w:hint="eastAsia"/>
        </w:rPr>
        <w:t>造成各种形式不平等的根本因素可以是客观的和主观的，例如年龄、性别、教育水平、收入、消费、对找工作的态度、社会不利状况等，或者是地方性的，与地区相联系</w:t>
      </w:r>
      <w:r>
        <w:rPr>
          <w:rFonts w:hint="eastAsia"/>
        </w:rPr>
        <w:t>(</w:t>
      </w:r>
      <w:r>
        <w:rPr>
          <w:rFonts w:hint="eastAsia"/>
        </w:rPr>
        <w:t>首先是意大利南部与中部及北部的一些城市地区</w:t>
      </w:r>
      <w:r>
        <w:rPr>
          <w:rFonts w:hint="eastAsia"/>
        </w:rPr>
        <w:t>)</w:t>
      </w:r>
      <w:r>
        <w:rPr>
          <w:rFonts w:hint="eastAsia"/>
        </w:rPr>
        <w:t>，可能会导致或阻碍社会包容。鉴此为制订该计划，将贫困和社会排外看作复杂和多方面的现象，受到各领域行动的影响，与广泛的政策相联系：那些可能称作“典型的社会援助”；消除贫困；现代社会的保护和社会文化包容政策；最弱势类别的指导、培训和就业倡议；社会经济发展政策；协调家庭生活的时间安排和需要方面的政策；网络发展；住房和社会服务发展政策；卫生、司法、文化、体育、休闲政策等；直到我们制订出知识、新信息和通信技术开发的政策。</w:t>
      </w:r>
    </w:p>
    <w:p w:rsidR="00000000" w:rsidRDefault="00000000">
      <w:pPr>
        <w:rPr>
          <w:rFonts w:hint="eastAsia"/>
        </w:rPr>
      </w:pPr>
      <w:r>
        <w:rPr>
          <w:rFonts w:hint="eastAsia"/>
        </w:rPr>
        <w:tab/>
        <w:t xml:space="preserve">168.  </w:t>
      </w:r>
      <w:r>
        <w:rPr>
          <w:rFonts w:hint="eastAsia"/>
        </w:rPr>
        <w:t>因此，根据上述分析，意大利政府的政策计划不仅解决“低收入弱势群体”的问题，而且包括所有各个方面，其中不仅包括进入劳动力市场，而且包括打击不同形式的“贫困”的规定，包括的障碍自身或其共同作用可能阻碍充分参与以下领域的活动：</w:t>
      </w:r>
    </w:p>
    <w:p w:rsidR="00000000" w:rsidRDefault="00000000">
      <w:pPr>
        <w:pStyle w:val="a0"/>
        <w:tabs>
          <w:tab w:val="num" w:pos="1550"/>
        </w:tabs>
        <w:ind w:left="1550"/>
        <w:rPr>
          <w:rFonts w:hint="eastAsia"/>
        </w:rPr>
      </w:pPr>
      <w:r>
        <w:rPr>
          <w:rFonts w:hint="eastAsia"/>
        </w:rPr>
        <w:t>收入支助；</w:t>
      </w:r>
    </w:p>
    <w:p w:rsidR="00000000" w:rsidRDefault="00000000">
      <w:pPr>
        <w:pStyle w:val="a0"/>
        <w:tabs>
          <w:tab w:val="num" w:pos="1550"/>
        </w:tabs>
        <w:ind w:left="1550"/>
        <w:rPr>
          <w:rFonts w:hint="eastAsia"/>
        </w:rPr>
      </w:pPr>
      <w:r>
        <w:rPr>
          <w:rFonts w:hint="eastAsia"/>
        </w:rPr>
        <w:t>教育和培训；</w:t>
      </w:r>
    </w:p>
    <w:p w:rsidR="00000000" w:rsidRDefault="00000000">
      <w:pPr>
        <w:pStyle w:val="a0"/>
        <w:tabs>
          <w:tab w:val="num" w:pos="1550"/>
        </w:tabs>
        <w:ind w:left="1550"/>
        <w:rPr>
          <w:rFonts w:hint="eastAsia"/>
        </w:rPr>
      </w:pPr>
      <w:r>
        <w:rPr>
          <w:rFonts w:hint="eastAsia"/>
        </w:rPr>
        <w:t>环境；</w:t>
      </w:r>
    </w:p>
    <w:p w:rsidR="00000000" w:rsidRDefault="00000000">
      <w:pPr>
        <w:pStyle w:val="a0"/>
        <w:tabs>
          <w:tab w:val="num" w:pos="1550"/>
        </w:tabs>
        <w:ind w:left="1550"/>
        <w:rPr>
          <w:rFonts w:hint="eastAsia"/>
        </w:rPr>
      </w:pPr>
      <w:r>
        <w:rPr>
          <w:rFonts w:hint="eastAsia"/>
        </w:rPr>
        <w:t>住房；</w:t>
      </w:r>
    </w:p>
    <w:p w:rsidR="00000000" w:rsidRDefault="00000000">
      <w:pPr>
        <w:pStyle w:val="a0"/>
        <w:tabs>
          <w:tab w:val="num" w:pos="1550"/>
        </w:tabs>
        <w:ind w:left="1550"/>
        <w:rPr>
          <w:rFonts w:hint="eastAsia"/>
        </w:rPr>
      </w:pPr>
      <w:r>
        <w:rPr>
          <w:rFonts w:hint="eastAsia"/>
        </w:rPr>
        <w:t>文化；</w:t>
      </w:r>
    </w:p>
    <w:p w:rsidR="00000000" w:rsidRDefault="00000000">
      <w:pPr>
        <w:pStyle w:val="a0"/>
        <w:tabs>
          <w:tab w:val="num" w:pos="1550"/>
        </w:tabs>
        <w:ind w:left="1550"/>
        <w:rPr>
          <w:rFonts w:hint="eastAsia"/>
        </w:rPr>
      </w:pPr>
      <w:r>
        <w:rPr>
          <w:rFonts w:hint="eastAsia"/>
        </w:rPr>
        <w:t>获得社会服务；</w:t>
      </w:r>
    </w:p>
    <w:p w:rsidR="00000000" w:rsidRDefault="00000000">
      <w:pPr>
        <w:pStyle w:val="a0"/>
        <w:tabs>
          <w:tab w:val="num" w:pos="1550"/>
        </w:tabs>
        <w:ind w:left="1550"/>
        <w:rPr>
          <w:rFonts w:hint="eastAsia"/>
        </w:rPr>
      </w:pPr>
      <w:r>
        <w:rPr>
          <w:rFonts w:hint="eastAsia"/>
        </w:rPr>
        <w:t>获得培训和就业机会；</w:t>
      </w:r>
    </w:p>
    <w:p w:rsidR="00000000" w:rsidRDefault="00000000">
      <w:pPr>
        <w:pStyle w:val="a0"/>
        <w:tabs>
          <w:tab w:val="num" w:pos="1550"/>
        </w:tabs>
        <w:spacing w:after="320"/>
        <w:ind w:left="1550"/>
        <w:rPr>
          <w:rFonts w:hint="eastAsia"/>
        </w:rPr>
      </w:pPr>
      <w:r>
        <w:rPr>
          <w:rFonts w:hint="eastAsia"/>
        </w:rPr>
        <w:t>获得新技术。</w:t>
      </w:r>
    </w:p>
    <w:p w:rsidR="00000000" w:rsidRDefault="00000000">
      <w:pPr>
        <w:pStyle w:val="Heading4"/>
        <w:rPr>
          <w:rFonts w:hint="eastAsia"/>
        </w:rPr>
      </w:pPr>
      <w:r>
        <w:rPr>
          <w:rFonts w:hint="eastAsia"/>
        </w:rPr>
        <w:t>地理差异</w:t>
      </w:r>
    </w:p>
    <w:p w:rsidR="00000000" w:rsidRDefault="00000000">
      <w:pPr>
        <w:rPr>
          <w:rFonts w:hint="eastAsia"/>
        </w:rPr>
      </w:pPr>
      <w:r>
        <w:rPr>
          <w:rFonts w:hint="eastAsia"/>
        </w:rPr>
        <w:tab/>
        <w:t xml:space="preserve">169.  </w:t>
      </w:r>
      <w:r>
        <w:rPr>
          <w:rFonts w:hint="eastAsia"/>
        </w:rPr>
        <w:t>地理条件决定了意大利的经济以不同的速度发展。此差异主要反映在就业上，但也反映在个人和社区服务的发展上。主要差异表现在：</w:t>
      </w:r>
    </w:p>
    <w:p w:rsidR="00000000" w:rsidRDefault="00000000">
      <w:pPr>
        <w:pStyle w:val="a0"/>
        <w:tabs>
          <w:tab w:val="num" w:pos="1550"/>
        </w:tabs>
        <w:ind w:left="1548"/>
        <w:rPr>
          <w:rFonts w:hint="eastAsia"/>
        </w:rPr>
      </w:pPr>
      <w:r>
        <w:rPr>
          <w:rFonts w:hint="eastAsia"/>
        </w:rPr>
        <w:t>就业机会主要集中在国家的特定地区；</w:t>
      </w:r>
    </w:p>
    <w:p w:rsidR="00000000" w:rsidRDefault="00000000">
      <w:pPr>
        <w:pStyle w:val="a0"/>
        <w:tabs>
          <w:tab w:val="num" w:pos="1550"/>
        </w:tabs>
        <w:ind w:left="1550"/>
        <w:rPr>
          <w:rFonts w:hint="eastAsia"/>
        </w:rPr>
      </w:pPr>
      <w:r>
        <w:rPr>
          <w:rFonts w:hint="eastAsia"/>
        </w:rPr>
        <w:t>人口不同部分之间的不平等，首先是进入和保留在劳动力市场当中的机会的巨大差异，然后是开发和获得个人服务方面的差异；</w:t>
      </w:r>
    </w:p>
    <w:p w:rsidR="00000000" w:rsidRDefault="00000000">
      <w:pPr>
        <w:pStyle w:val="a0"/>
        <w:tabs>
          <w:tab w:val="num" w:pos="1550"/>
        </w:tabs>
        <w:ind w:left="1550"/>
        <w:rPr>
          <w:rFonts w:hint="eastAsia"/>
        </w:rPr>
      </w:pPr>
      <w:r>
        <w:rPr>
          <w:rFonts w:hint="eastAsia"/>
        </w:rPr>
        <w:t>贫困集中的程度不同</w:t>
      </w:r>
      <w:r>
        <w:rPr>
          <w:rFonts w:hint="eastAsia"/>
        </w:rPr>
        <w:t>(</w:t>
      </w:r>
      <w:r>
        <w:rPr>
          <w:rFonts w:hint="eastAsia"/>
        </w:rPr>
        <w:t>约</w:t>
      </w:r>
      <w:r>
        <w:rPr>
          <w:rFonts w:hint="eastAsia"/>
        </w:rPr>
        <w:t>65%</w:t>
      </w:r>
      <w:r>
        <w:rPr>
          <w:rFonts w:hint="eastAsia"/>
        </w:rPr>
        <w:t>的贫困家庭位于意大利南部</w:t>
      </w:r>
      <w:r>
        <w:rPr>
          <w:rFonts w:hint="eastAsia"/>
        </w:rPr>
        <w:t>)</w:t>
      </w:r>
      <w:r>
        <w:rPr>
          <w:rFonts w:hint="eastAsia"/>
        </w:rPr>
        <w:t>。</w:t>
      </w:r>
    </w:p>
    <w:p w:rsidR="00000000" w:rsidRDefault="00000000">
      <w:pPr>
        <w:rPr>
          <w:rFonts w:hint="eastAsia"/>
        </w:rPr>
      </w:pPr>
      <w:r>
        <w:rPr>
          <w:rFonts w:hint="eastAsia"/>
        </w:rPr>
        <w:tab/>
        <w:t xml:space="preserve">170.  </w:t>
      </w:r>
      <w:r>
        <w:rPr>
          <w:rFonts w:hint="eastAsia"/>
        </w:rPr>
        <w:t>必须注意到就社会不利状况的最广泛意义而言，国家的不同地区的劣势具有不同形式的特点，一个地区与另一个地区之间存在差异。此外，从性别、教育水平、年龄、获得社会和文化服务的家庭网络看，同一种类型的社会排外可能具有不同的特点，并包括不同的社会群体。该计划的统计分析除考虑排外程度的质的变化以外，考虑了性别、教育水平和获得服务方面的差异。然而，正如本报告图表所显示，它们还首先强调地区间和地区内的差异，在分析和规划具体措施时这些差异被视为基本因素。</w:t>
      </w:r>
    </w:p>
    <w:p w:rsidR="00000000" w:rsidRDefault="00000000">
      <w:pPr>
        <w:spacing w:after="320"/>
        <w:rPr>
          <w:rFonts w:hint="eastAsia"/>
        </w:rPr>
      </w:pPr>
      <w:r>
        <w:rPr>
          <w:rFonts w:hint="eastAsia"/>
        </w:rPr>
        <w:tab/>
        <w:t xml:space="preserve">171.  </w:t>
      </w:r>
      <w:r>
        <w:rPr>
          <w:rFonts w:hint="eastAsia"/>
        </w:rPr>
        <w:t>鉴此，意大利根据《国家行动计划》，并且不仅在欧洲国家的基准范围内，而且以地区间基准为基础，制订一项社会发展政策至关重要。</w:t>
      </w:r>
    </w:p>
    <w:p w:rsidR="00000000" w:rsidRDefault="00000000">
      <w:pPr>
        <w:pStyle w:val="Heading4"/>
        <w:rPr>
          <w:rFonts w:hint="eastAsia"/>
        </w:rPr>
      </w:pPr>
      <w:r>
        <w:rPr>
          <w:rFonts w:hint="eastAsia"/>
        </w:rPr>
        <w:t>与主观情况和客观条件相关的相对、绝对和主观的贫困因素</w:t>
      </w:r>
    </w:p>
    <w:p w:rsidR="00000000" w:rsidRDefault="00000000">
      <w:pPr>
        <w:spacing w:after="320"/>
        <w:rPr>
          <w:rFonts w:hint="eastAsia"/>
        </w:rPr>
      </w:pPr>
      <w:r>
        <w:rPr>
          <w:rFonts w:hint="eastAsia"/>
        </w:rPr>
        <w:tab/>
        <w:t>172.  1984</w:t>
      </w:r>
      <w:r>
        <w:rPr>
          <w:rFonts w:hint="eastAsia"/>
        </w:rPr>
        <w:t>年以来，意大利一直存在一个贫困调查委员会</w:t>
      </w:r>
      <w:r>
        <w:rPr>
          <w:rFonts w:hint="eastAsia"/>
        </w:rPr>
        <w:t>(</w:t>
      </w:r>
      <w:r>
        <w:rPr>
          <w:rFonts w:hint="eastAsia"/>
        </w:rPr>
        <w:t>现在称作社会排外调查委员会</w:t>
      </w:r>
      <w:r>
        <w:rPr>
          <w:rFonts w:hint="eastAsia"/>
        </w:rPr>
        <w:t>)</w:t>
      </w:r>
      <w:r>
        <w:rPr>
          <w:rFonts w:hint="eastAsia"/>
        </w:rPr>
        <w:t>。委员会由总理任命，负责对贫困和社会排外进行研究、评估并提出政策建议。该委员会与意大利国家统计研究所合作每年进行调查，对意大利贫困的分布和严重程度作出估计，采用了相对贫困的方法，自</w:t>
      </w:r>
      <w:r>
        <w:rPr>
          <w:rFonts w:hint="eastAsia"/>
        </w:rPr>
        <w:t>1993</w:t>
      </w:r>
      <w:r>
        <w:rPr>
          <w:rFonts w:hint="eastAsia"/>
        </w:rPr>
        <w:t>年以来还采用基于一揽子基本货物和服务的绝对贫困方法。在两种情况下均采用意大利国家统计研究所每年进行的家庭消费调查；调查考虑消费，但不考虑收入。</w:t>
      </w:r>
    </w:p>
    <w:p w:rsidR="00000000" w:rsidRDefault="00000000">
      <w:pPr>
        <w:pStyle w:val="Heading4"/>
        <w:rPr>
          <w:rFonts w:hint="eastAsia"/>
        </w:rPr>
      </w:pPr>
      <w:r>
        <w:rPr>
          <w:rFonts w:hint="eastAsia"/>
        </w:rPr>
        <w:t>相对贫困</w:t>
      </w:r>
    </w:p>
    <w:p w:rsidR="00000000" w:rsidRDefault="00000000">
      <w:pPr>
        <w:rPr>
          <w:rFonts w:hint="eastAsia"/>
        </w:rPr>
      </w:pPr>
      <w:r>
        <w:rPr>
          <w:rFonts w:hint="eastAsia"/>
        </w:rPr>
        <w:tab/>
        <w:t>173.  1999</w:t>
      </w:r>
      <w:r>
        <w:rPr>
          <w:rFonts w:hint="eastAsia"/>
        </w:rPr>
        <w:t>年，总计</w:t>
      </w:r>
      <w:r>
        <w:rPr>
          <w:rFonts w:hint="eastAsia"/>
        </w:rPr>
        <w:t>2,660,000</w:t>
      </w:r>
      <w:r>
        <w:rPr>
          <w:rFonts w:hint="eastAsia"/>
        </w:rPr>
        <w:t>个意大利家庭，包括</w:t>
      </w:r>
      <w:r>
        <w:rPr>
          <w:rFonts w:hint="eastAsia"/>
        </w:rPr>
        <w:t>7,508,000</w:t>
      </w:r>
      <w:r>
        <w:rPr>
          <w:rFonts w:hint="eastAsia"/>
        </w:rPr>
        <w:t>人，生活在贫困当中。有</w:t>
      </w:r>
      <w:r>
        <w:rPr>
          <w:rFonts w:hint="eastAsia"/>
        </w:rPr>
        <w:t>11.9%</w:t>
      </w:r>
      <w:r>
        <w:rPr>
          <w:rFonts w:hint="eastAsia"/>
        </w:rPr>
        <w:t>的家庭和</w:t>
      </w:r>
      <w:r>
        <w:rPr>
          <w:rFonts w:hint="eastAsia"/>
        </w:rPr>
        <w:t>13.1%</w:t>
      </w:r>
      <w:r>
        <w:rPr>
          <w:rFonts w:hint="eastAsia"/>
        </w:rPr>
        <w:t>的个人被列为贫困，后者数字较高，因为贫困家庭中通常人口更多。</w:t>
      </w:r>
      <w:r>
        <w:rPr>
          <w:rFonts w:hint="eastAsia"/>
        </w:rPr>
        <w:t>1999</w:t>
      </w:r>
      <w:r>
        <w:rPr>
          <w:rFonts w:hint="eastAsia"/>
        </w:rPr>
        <w:t>年极端贫困的比例为</w:t>
      </w:r>
      <w:r>
        <w:rPr>
          <w:rFonts w:hint="eastAsia"/>
        </w:rPr>
        <w:t>22.9%</w:t>
      </w:r>
      <w:r>
        <w:rPr>
          <w:rFonts w:hint="eastAsia"/>
        </w:rPr>
        <w:t>。</w:t>
      </w:r>
    </w:p>
    <w:p w:rsidR="00000000" w:rsidRDefault="00000000">
      <w:pPr>
        <w:rPr>
          <w:rFonts w:hint="eastAsia"/>
        </w:rPr>
      </w:pPr>
      <w:r>
        <w:rPr>
          <w:rFonts w:hint="eastAsia"/>
        </w:rPr>
        <w:tab/>
        <w:t xml:space="preserve">174.  </w:t>
      </w:r>
      <w:r>
        <w:rPr>
          <w:rFonts w:hint="eastAsia"/>
        </w:rPr>
        <w:t>意大利贫困的决定方面是国家中部和北部地区与南部地区之间的显著不平衡。有</w:t>
      </w:r>
      <w:r>
        <w:rPr>
          <w:rFonts w:hint="eastAsia"/>
        </w:rPr>
        <w:t>67.1%</w:t>
      </w:r>
      <w:r>
        <w:rPr>
          <w:rFonts w:hint="eastAsia"/>
        </w:rPr>
        <w:t>的意大利家庭居住在前者，其中包括</w:t>
      </w:r>
      <w:r>
        <w:rPr>
          <w:rFonts w:hint="eastAsia"/>
        </w:rPr>
        <w:t>34.1%</w:t>
      </w:r>
      <w:r>
        <w:rPr>
          <w:rFonts w:hint="eastAsia"/>
        </w:rPr>
        <w:t>的贫困家庭，而</w:t>
      </w:r>
      <w:r>
        <w:rPr>
          <w:rFonts w:hint="eastAsia"/>
        </w:rPr>
        <w:t>32.9%</w:t>
      </w:r>
      <w:r>
        <w:rPr>
          <w:rFonts w:hint="eastAsia"/>
        </w:rPr>
        <w:t>的家庭居住在南方，但包括</w:t>
      </w:r>
      <w:r>
        <w:rPr>
          <w:rFonts w:hint="eastAsia"/>
        </w:rPr>
        <w:t>65.98%</w:t>
      </w:r>
      <w:r>
        <w:rPr>
          <w:rFonts w:hint="eastAsia"/>
        </w:rPr>
        <w:t>贫困家庭。</w:t>
      </w:r>
    </w:p>
    <w:p w:rsidR="00000000" w:rsidRDefault="00000000">
      <w:pPr>
        <w:rPr>
          <w:rFonts w:hint="eastAsia"/>
        </w:rPr>
      </w:pPr>
      <w:r>
        <w:rPr>
          <w:rFonts w:hint="eastAsia"/>
        </w:rPr>
        <w:tab/>
        <w:t xml:space="preserve">175.  </w:t>
      </w:r>
      <w:r>
        <w:rPr>
          <w:rFonts w:hint="eastAsia"/>
        </w:rPr>
        <w:t>对贫困家庭特点进行的研究显示，风险最大的是大家庭</w:t>
      </w:r>
      <w:r>
        <w:rPr>
          <w:rFonts w:hint="eastAsia"/>
        </w:rPr>
        <w:t>(5</w:t>
      </w:r>
      <w:r>
        <w:rPr>
          <w:rFonts w:hint="eastAsia"/>
        </w:rPr>
        <w:t>个或</w:t>
      </w:r>
      <w:r>
        <w:rPr>
          <w:rFonts w:hint="eastAsia"/>
        </w:rPr>
        <w:t>5</w:t>
      </w:r>
      <w:r>
        <w:rPr>
          <w:rFonts w:hint="eastAsia"/>
        </w:rPr>
        <w:t>个以上成员</w:t>
      </w:r>
      <w:r>
        <w:rPr>
          <w:rFonts w:hint="eastAsia"/>
        </w:rPr>
        <w:t>)</w:t>
      </w:r>
      <w:r>
        <w:rPr>
          <w:rFonts w:hint="eastAsia"/>
        </w:rPr>
        <w:t>，在全国一级的贫困比率为</w:t>
      </w:r>
      <w:r>
        <w:rPr>
          <w:rFonts w:hint="eastAsia"/>
        </w:rPr>
        <w:t>22.9%</w:t>
      </w:r>
      <w:r>
        <w:rPr>
          <w:rFonts w:hint="eastAsia"/>
        </w:rPr>
        <w:t>。</w:t>
      </w:r>
    </w:p>
    <w:p w:rsidR="00000000" w:rsidRDefault="00000000">
      <w:pPr>
        <w:rPr>
          <w:rFonts w:hint="eastAsia"/>
        </w:rPr>
      </w:pPr>
      <w:r>
        <w:rPr>
          <w:rFonts w:hint="eastAsia"/>
        </w:rPr>
        <w:tab/>
        <w:t xml:space="preserve">176.  </w:t>
      </w:r>
      <w:r>
        <w:rPr>
          <w:rFonts w:hint="eastAsia"/>
        </w:rPr>
        <w:t>家中有未成年儿童与贫困的上升有关：只有一个未成年儿童的家庭贫困比率为</w:t>
      </w:r>
      <w:r>
        <w:rPr>
          <w:rFonts w:hint="eastAsia"/>
        </w:rPr>
        <w:t>10.8%</w:t>
      </w:r>
      <w:r>
        <w:rPr>
          <w:rFonts w:hint="eastAsia"/>
        </w:rPr>
        <w:t>；有两个儿童比率为</w:t>
      </w:r>
      <w:r>
        <w:rPr>
          <w:rFonts w:hint="eastAsia"/>
        </w:rPr>
        <w:t>16.4%</w:t>
      </w:r>
      <w:r>
        <w:rPr>
          <w:rFonts w:hint="eastAsia"/>
        </w:rPr>
        <w:t>，有三个或以上儿童比率为</w:t>
      </w:r>
      <w:r>
        <w:rPr>
          <w:rFonts w:hint="eastAsia"/>
        </w:rPr>
        <w:t>27%</w:t>
      </w:r>
      <w:r>
        <w:rPr>
          <w:rFonts w:hint="eastAsia"/>
        </w:rPr>
        <w:t>。这也说明为什么未成年人中贫困的比率</w:t>
      </w:r>
      <w:r>
        <w:rPr>
          <w:rFonts w:hint="eastAsia"/>
        </w:rPr>
        <w:t>(16.2%)</w:t>
      </w:r>
      <w:r>
        <w:rPr>
          <w:rFonts w:hint="eastAsia"/>
        </w:rPr>
        <w:t>与成年人同样高，成年人是人口中的另一个高贫困风险群体</w:t>
      </w:r>
      <w:r>
        <w:rPr>
          <w:rFonts w:hint="eastAsia"/>
        </w:rPr>
        <w:t>(16.1%)</w:t>
      </w:r>
      <w:r>
        <w:rPr>
          <w:rFonts w:hint="eastAsia"/>
        </w:rPr>
        <w:t>。</w:t>
      </w:r>
    </w:p>
    <w:p w:rsidR="00000000" w:rsidRDefault="00000000">
      <w:pPr>
        <w:rPr>
          <w:rFonts w:hint="eastAsia"/>
        </w:rPr>
      </w:pPr>
      <w:r>
        <w:rPr>
          <w:rFonts w:hint="eastAsia"/>
        </w:rPr>
        <w:tab/>
        <w:t xml:space="preserve">177.  </w:t>
      </w:r>
      <w:r>
        <w:rPr>
          <w:rFonts w:hint="eastAsia"/>
        </w:rPr>
        <w:t>在家庭类型方面出现一些重要的因素。一个成员的家庭有</w:t>
      </w:r>
      <w:r>
        <w:rPr>
          <w:rFonts w:hint="eastAsia"/>
        </w:rPr>
        <w:t>10.1%</w:t>
      </w:r>
      <w:r>
        <w:rPr>
          <w:rFonts w:hint="eastAsia"/>
        </w:rPr>
        <w:t>被列为贫困家庭，但如果该家庭成员年龄为</w:t>
      </w:r>
      <w:r>
        <w:rPr>
          <w:rFonts w:hint="eastAsia"/>
        </w:rPr>
        <w:t>65</w:t>
      </w:r>
      <w:r>
        <w:rPr>
          <w:rFonts w:hint="eastAsia"/>
        </w:rPr>
        <w:t>岁以下，则数字下降为</w:t>
      </w:r>
      <w:r>
        <w:rPr>
          <w:rFonts w:hint="eastAsia"/>
        </w:rPr>
        <w:t>3.2%</w:t>
      </w:r>
      <w:r>
        <w:rPr>
          <w:rFonts w:hint="eastAsia"/>
        </w:rPr>
        <w:t>，如果年龄更大则升为</w:t>
      </w:r>
      <w:r>
        <w:rPr>
          <w:rFonts w:hint="eastAsia"/>
        </w:rPr>
        <w:t>15.4%</w:t>
      </w:r>
      <w:r>
        <w:rPr>
          <w:rFonts w:hint="eastAsia"/>
        </w:rPr>
        <w:t>。甚至对夫妻双方组成的家庭，如果作为参照者为</w:t>
      </w:r>
      <w:r>
        <w:rPr>
          <w:rFonts w:hint="eastAsia"/>
        </w:rPr>
        <w:t>65</w:t>
      </w:r>
      <w:r>
        <w:rPr>
          <w:rFonts w:hint="eastAsia"/>
        </w:rPr>
        <w:t>岁以下，则</w:t>
      </w:r>
      <w:r>
        <w:rPr>
          <w:rFonts w:hint="eastAsia"/>
        </w:rPr>
        <w:t>5.1%</w:t>
      </w:r>
      <w:r>
        <w:rPr>
          <w:rFonts w:hint="eastAsia"/>
        </w:rPr>
        <w:t>的家庭为贫困家庭，当作为参照者年龄超过</w:t>
      </w:r>
      <w:r>
        <w:rPr>
          <w:rFonts w:hint="eastAsia"/>
        </w:rPr>
        <w:t>65</w:t>
      </w:r>
      <w:r>
        <w:rPr>
          <w:rFonts w:hint="eastAsia"/>
        </w:rPr>
        <w:t>岁以上，则数字上升为</w:t>
      </w:r>
      <w:r>
        <w:rPr>
          <w:rFonts w:hint="eastAsia"/>
        </w:rPr>
        <w:t>16.1%</w:t>
      </w:r>
      <w:r>
        <w:rPr>
          <w:rFonts w:hint="eastAsia"/>
        </w:rPr>
        <w:t>。</w:t>
      </w:r>
    </w:p>
    <w:p w:rsidR="00000000" w:rsidRDefault="00000000">
      <w:pPr>
        <w:rPr>
          <w:rFonts w:hint="eastAsia"/>
        </w:rPr>
      </w:pPr>
      <w:r>
        <w:rPr>
          <w:rFonts w:hint="eastAsia"/>
        </w:rPr>
        <w:tab/>
        <w:t xml:space="preserve">178.  </w:t>
      </w:r>
      <w:r>
        <w:rPr>
          <w:rFonts w:hint="eastAsia"/>
        </w:rPr>
        <w:t>就作为参照者的年龄而言，到</w:t>
      </w:r>
      <w:r>
        <w:rPr>
          <w:rFonts w:hint="eastAsia"/>
        </w:rPr>
        <w:t>64</w:t>
      </w:r>
      <w:r>
        <w:rPr>
          <w:rFonts w:hint="eastAsia"/>
        </w:rPr>
        <w:t>岁的所有年龄组贫困风险相似，从</w:t>
      </w:r>
      <w:r>
        <w:rPr>
          <w:rFonts w:hint="eastAsia"/>
        </w:rPr>
        <w:t>8.5%</w:t>
      </w:r>
      <w:r>
        <w:rPr>
          <w:rFonts w:hint="eastAsia"/>
        </w:rPr>
        <w:t>到</w:t>
      </w:r>
      <w:r>
        <w:rPr>
          <w:rFonts w:hint="eastAsia"/>
        </w:rPr>
        <w:t>10.9%</w:t>
      </w:r>
      <w:r>
        <w:rPr>
          <w:rFonts w:hint="eastAsia"/>
        </w:rPr>
        <w:t>之间，当作为参照者的年龄更大，则大幅上升为</w:t>
      </w:r>
      <w:r>
        <w:rPr>
          <w:rFonts w:hint="eastAsia"/>
        </w:rPr>
        <w:t>16.4%</w:t>
      </w:r>
      <w:r>
        <w:rPr>
          <w:rFonts w:hint="eastAsia"/>
        </w:rPr>
        <w:t>。作为参照的家庭的成员为女性，贫困的比率略高</w:t>
      </w:r>
      <w:r>
        <w:rPr>
          <w:rFonts w:hint="eastAsia"/>
        </w:rPr>
        <w:t>(12.6%</w:t>
      </w:r>
      <w:r>
        <w:rPr>
          <w:rFonts w:hint="eastAsia"/>
        </w:rPr>
        <w:t>与</w:t>
      </w:r>
      <w:r>
        <w:rPr>
          <w:rFonts w:hint="eastAsia"/>
        </w:rPr>
        <w:t>11.7%</w:t>
      </w:r>
      <w:r>
        <w:rPr>
          <w:rFonts w:hint="eastAsia"/>
        </w:rPr>
        <w:t>相比</w:t>
      </w:r>
      <w:r>
        <w:rPr>
          <w:rFonts w:hint="eastAsia"/>
        </w:rPr>
        <w:t>)</w:t>
      </w:r>
      <w:r>
        <w:rPr>
          <w:rFonts w:hint="eastAsia"/>
        </w:rPr>
        <w:t>。我们还观察到教育素质与贫困的分布明显存在联系：随着教育水平上升，贫困的比率下降。</w:t>
      </w:r>
    </w:p>
    <w:p w:rsidR="00000000" w:rsidRDefault="00000000">
      <w:pPr>
        <w:spacing w:after="320"/>
        <w:rPr>
          <w:rFonts w:hint="eastAsia"/>
        </w:rPr>
      </w:pPr>
      <w:r>
        <w:rPr>
          <w:rFonts w:hint="eastAsia"/>
        </w:rPr>
        <w:tab/>
        <w:t xml:space="preserve">179.  </w:t>
      </w:r>
      <w:r>
        <w:rPr>
          <w:rFonts w:hint="eastAsia"/>
        </w:rPr>
        <w:t>关于职业或就业状况，作为参照者是失业者的家庭当中贫困的比率最高</w:t>
      </w:r>
      <w:r>
        <w:rPr>
          <w:rFonts w:hint="eastAsia"/>
        </w:rPr>
        <w:t>(28.7%)</w:t>
      </w:r>
      <w:r>
        <w:rPr>
          <w:rFonts w:hint="eastAsia"/>
        </w:rPr>
        <w:t>；这在意大利南部特别明显。作为参照者是退休人员的家庭也显示在全国范围贫困较高</w:t>
      </w:r>
      <w:r>
        <w:rPr>
          <w:rFonts w:hint="eastAsia"/>
        </w:rPr>
        <w:t>(13.5%)</w:t>
      </w:r>
      <w:r>
        <w:rPr>
          <w:rFonts w:hint="eastAsia"/>
        </w:rPr>
        <w:t>；这种情况在南部再次表现得更加明显。作为参照者有工作，无论是雇员还是自营职业者的家庭，则该数字较低。</w:t>
      </w:r>
    </w:p>
    <w:p w:rsidR="00000000" w:rsidRDefault="00000000">
      <w:pPr>
        <w:pStyle w:val="Heading4"/>
        <w:rPr>
          <w:rFonts w:hint="eastAsia"/>
        </w:rPr>
      </w:pPr>
      <w:r>
        <w:rPr>
          <w:rFonts w:hint="eastAsia"/>
        </w:rPr>
        <w:t>绝对贫困</w:t>
      </w:r>
    </w:p>
    <w:p w:rsidR="00000000" w:rsidRDefault="00000000">
      <w:pPr>
        <w:spacing w:after="320"/>
        <w:rPr>
          <w:rFonts w:hint="eastAsia"/>
        </w:rPr>
      </w:pPr>
      <w:r>
        <w:rPr>
          <w:rFonts w:hint="eastAsia"/>
        </w:rPr>
        <w:tab/>
        <w:t xml:space="preserve">180.  </w:t>
      </w:r>
      <w:r>
        <w:rPr>
          <w:rFonts w:hint="eastAsia"/>
        </w:rPr>
        <w:t>绝对贫困</w:t>
      </w:r>
      <w:r>
        <w:rPr>
          <w:rFonts w:hint="eastAsia"/>
          <w:spacing w:val="-50"/>
        </w:rPr>
        <w:t>―</w:t>
      </w:r>
      <w:r>
        <w:rPr>
          <w:rFonts w:hint="eastAsia"/>
        </w:rPr>
        <w:t>―根据对一揽子基本货物和服务的消费开支低于该一揽子基本货物和服务的货币价值确定</w:t>
      </w:r>
      <w:r>
        <w:rPr>
          <w:rFonts w:hint="eastAsia"/>
          <w:spacing w:val="-50"/>
        </w:rPr>
        <w:t>―</w:t>
      </w:r>
      <w:r>
        <w:rPr>
          <w:rFonts w:hint="eastAsia"/>
        </w:rPr>
        <w:t>―影响的人口比率较低，因为该类别的门槛较低。</w:t>
      </w:r>
      <w:r>
        <w:rPr>
          <w:rFonts w:hint="eastAsia"/>
        </w:rPr>
        <w:t>1999</w:t>
      </w:r>
      <w:r>
        <w:rPr>
          <w:rFonts w:hint="eastAsia"/>
        </w:rPr>
        <w:t>年有</w:t>
      </w:r>
      <w:r>
        <w:rPr>
          <w:rFonts w:hint="eastAsia"/>
        </w:rPr>
        <w:t>4.8%</w:t>
      </w:r>
      <w:r>
        <w:rPr>
          <w:rFonts w:hint="eastAsia"/>
        </w:rPr>
        <w:t>的意大利人口相当于</w:t>
      </w:r>
      <w:r>
        <w:rPr>
          <w:rFonts w:hint="eastAsia"/>
        </w:rPr>
        <w:t>1,038,000</w:t>
      </w:r>
      <w:r>
        <w:rPr>
          <w:rFonts w:hint="eastAsia"/>
        </w:rPr>
        <w:t>人生活在绝对贫困当中，与</w:t>
      </w:r>
      <w:r>
        <w:rPr>
          <w:rFonts w:hint="eastAsia"/>
        </w:rPr>
        <w:t>1998</w:t>
      </w:r>
      <w:r>
        <w:rPr>
          <w:rFonts w:hint="eastAsia"/>
        </w:rPr>
        <w:t>年数字相比增加</w:t>
      </w:r>
      <w:r>
        <w:rPr>
          <w:rFonts w:hint="eastAsia"/>
        </w:rPr>
        <w:t>70,000</w:t>
      </w:r>
      <w:r>
        <w:rPr>
          <w:rFonts w:hint="eastAsia"/>
        </w:rPr>
        <w:t>人。就极端贫困而言，再次注意到意大利南部地区密度较高，数字为</w:t>
      </w:r>
      <w:r>
        <w:rPr>
          <w:rFonts w:hint="eastAsia"/>
        </w:rPr>
        <w:t>11%</w:t>
      </w:r>
      <w:r>
        <w:rPr>
          <w:rFonts w:hint="eastAsia"/>
        </w:rPr>
        <w:t>，相比北部为</w:t>
      </w:r>
      <w:r>
        <w:rPr>
          <w:rFonts w:hint="eastAsia"/>
        </w:rPr>
        <w:t>1.4%</w:t>
      </w:r>
      <w:r>
        <w:rPr>
          <w:rFonts w:hint="eastAsia"/>
        </w:rPr>
        <w:t>，中部为</w:t>
      </w:r>
      <w:r>
        <w:rPr>
          <w:rFonts w:hint="eastAsia"/>
        </w:rPr>
        <w:t>2.6%</w:t>
      </w:r>
      <w:r>
        <w:rPr>
          <w:rFonts w:hint="eastAsia"/>
        </w:rPr>
        <w:t>。</w:t>
      </w:r>
    </w:p>
    <w:p w:rsidR="00000000" w:rsidRDefault="00000000">
      <w:pPr>
        <w:pStyle w:val="Heading4"/>
        <w:rPr>
          <w:rFonts w:hint="eastAsia"/>
        </w:rPr>
      </w:pPr>
      <w:r>
        <w:rPr>
          <w:rFonts w:hint="eastAsia"/>
        </w:rPr>
        <w:t>社会保护</w:t>
      </w:r>
    </w:p>
    <w:p w:rsidR="00000000" w:rsidRDefault="00000000">
      <w:pPr>
        <w:rPr>
          <w:rFonts w:hint="eastAsia"/>
        </w:rPr>
      </w:pPr>
      <w:r>
        <w:rPr>
          <w:rFonts w:hint="eastAsia"/>
        </w:rPr>
        <w:tab/>
        <w:t xml:space="preserve">181.  </w:t>
      </w:r>
      <w:r>
        <w:rPr>
          <w:rFonts w:hint="eastAsia"/>
        </w:rPr>
        <w:t>社会保护制度</w:t>
      </w:r>
      <w:r>
        <w:rPr>
          <w:rFonts w:hint="eastAsia"/>
        </w:rPr>
        <w:t>(</w:t>
      </w:r>
      <w:r>
        <w:rPr>
          <w:rFonts w:hint="eastAsia"/>
        </w:rPr>
        <w:t>除养老金以外</w:t>
      </w:r>
      <w:r>
        <w:rPr>
          <w:rFonts w:hint="eastAsia"/>
        </w:rPr>
        <w:t>)</w:t>
      </w:r>
      <w:r>
        <w:rPr>
          <w:rFonts w:hint="eastAsia"/>
        </w:rPr>
        <w:t>对经济处于不利地位者的收入分配发挥的作用有限。根据</w:t>
      </w:r>
      <w:r>
        <w:rPr>
          <w:rFonts w:hint="eastAsia"/>
        </w:rPr>
        <w:t>1996</w:t>
      </w:r>
      <w:r>
        <w:rPr>
          <w:rFonts w:hint="eastAsia"/>
        </w:rPr>
        <w:t>年的数据，社会保护制度</w:t>
      </w:r>
      <w:r>
        <w:rPr>
          <w:rFonts w:hint="eastAsia"/>
        </w:rPr>
        <w:t>(</w:t>
      </w:r>
      <w:r>
        <w:rPr>
          <w:rFonts w:hint="eastAsia"/>
        </w:rPr>
        <w:t>除养老金以外</w:t>
      </w:r>
      <w:r>
        <w:rPr>
          <w:rFonts w:hint="eastAsia"/>
        </w:rPr>
        <w:t>)</w:t>
      </w:r>
      <w:r>
        <w:rPr>
          <w:rFonts w:hint="eastAsia"/>
        </w:rPr>
        <w:t>进行干预后，“贫困”人口的数字从</w:t>
      </w:r>
      <w:r>
        <w:rPr>
          <w:rFonts w:hint="eastAsia"/>
        </w:rPr>
        <w:t>22%</w:t>
      </w:r>
      <w:r>
        <w:rPr>
          <w:rFonts w:hint="eastAsia"/>
        </w:rPr>
        <w:t>下降到</w:t>
      </w:r>
      <w:r>
        <w:rPr>
          <w:rFonts w:hint="eastAsia"/>
        </w:rPr>
        <w:t>19%</w:t>
      </w:r>
      <w:r>
        <w:rPr>
          <w:rFonts w:hint="eastAsia"/>
        </w:rPr>
        <w:t>。因此，养老金在收入重新分配方面发挥了非常重要的作用，其中包括年老和“年资”养老金，后者基于就业年限和缴费记录。意大利</w:t>
      </w:r>
      <w:r>
        <w:rPr>
          <w:rFonts w:hint="eastAsia"/>
        </w:rPr>
        <w:t>40%</w:t>
      </w:r>
      <w:r>
        <w:rPr>
          <w:rFonts w:hint="eastAsia"/>
        </w:rPr>
        <w:t>的家庭共有将近</w:t>
      </w:r>
      <w:r>
        <w:rPr>
          <w:rFonts w:hint="eastAsia"/>
        </w:rPr>
        <w:t>10,000,000</w:t>
      </w:r>
      <w:r>
        <w:rPr>
          <w:rFonts w:hint="eastAsia"/>
        </w:rPr>
        <w:t>退休者，退休金通常是主要的收入来源。</w:t>
      </w:r>
    </w:p>
    <w:p w:rsidR="00000000" w:rsidRDefault="00000000">
      <w:pPr>
        <w:rPr>
          <w:rFonts w:hint="eastAsia"/>
        </w:rPr>
      </w:pPr>
      <w:r>
        <w:rPr>
          <w:rFonts w:hint="eastAsia"/>
        </w:rPr>
        <w:tab/>
        <w:t xml:space="preserve">182.  </w:t>
      </w:r>
      <w:r>
        <w:rPr>
          <w:rFonts w:hint="eastAsia"/>
        </w:rPr>
        <w:t>在意大利制度下支付的其他养老金包括：向</w:t>
      </w:r>
      <w:r>
        <w:rPr>
          <w:rFonts w:hint="eastAsia"/>
        </w:rPr>
        <w:t>800,000</w:t>
      </w:r>
      <w:r>
        <w:rPr>
          <w:rFonts w:hint="eastAsia"/>
        </w:rPr>
        <w:t>名</w:t>
      </w:r>
      <w:r>
        <w:rPr>
          <w:rFonts w:hint="eastAsia"/>
        </w:rPr>
        <w:t>65</w:t>
      </w:r>
      <w:r>
        <w:rPr>
          <w:rFonts w:hint="eastAsia"/>
        </w:rPr>
        <w:t>岁以上者支付的社会养老金，作为老年人的最低收入保障；给工人支付的从补差到最低水平的养老金；残疾养老金和战争养老金。这些领域的倡议主要针对某些具体类别的人群：老年人、穷人、有残疾儿童的妇女、有被赡养儿童的家庭、以及收入低于贫困线的公民。</w:t>
      </w:r>
    </w:p>
    <w:p w:rsidR="00000000" w:rsidRDefault="00000000">
      <w:pPr>
        <w:rPr>
          <w:rFonts w:hint="eastAsia"/>
        </w:rPr>
      </w:pPr>
      <w:r>
        <w:rPr>
          <w:rFonts w:hint="eastAsia"/>
        </w:rPr>
        <w:tab/>
        <w:t xml:space="preserve">183.  </w:t>
      </w:r>
      <w:r>
        <w:rPr>
          <w:rFonts w:hint="eastAsia"/>
        </w:rPr>
        <w:t>打击贫困的社会保护手段包括：</w:t>
      </w:r>
    </w:p>
    <w:p w:rsidR="00000000" w:rsidRDefault="00000000">
      <w:pPr>
        <w:pStyle w:val="a0"/>
        <w:tabs>
          <w:tab w:val="num" w:pos="1550"/>
        </w:tabs>
        <w:ind w:left="1550"/>
        <w:rPr>
          <w:rFonts w:hint="eastAsia"/>
        </w:rPr>
      </w:pPr>
      <w:r>
        <w:rPr>
          <w:rFonts w:hint="eastAsia"/>
        </w:rPr>
        <w:t>社会养老金，支付给低收入并且领取社会保险资格不够的老年人；</w:t>
      </w:r>
    </w:p>
    <w:p w:rsidR="00000000" w:rsidRDefault="00000000">
      <w:pPr>
        <w:pStyle w:val="a0"/>
        <w:tabs>
          <w:tab w:val="num" w:pos="1550"/>
        </w:tabs>
        <w:ind w:left="1550"/>
        <w:rPr>
          <w:rFonts w:hint="eastAsia"/>
        </w:rPr>
      </w:pPr>
      <w:r>
        <w:rPr>
          <w:rFonts w:hint="eastAsia"/>
        </w:rPr>
        <w:t>最低养老金，支付给养老保险支付额不足最低水平的退休者；</w:t>
      </w:r>
    </w:p>
    <w:p w:rsidR="00000000" w:rsidRDefault="00000000">
      <w:pPr>
        <w:pStyle w:val="a0"/>
        <w:tabs>
          <w:tab w:val="num" w:pos="1550"/>
        </w:tabs>
        <w:ind w:left="1550"/>
        <w:rPr>
          <w:rFonts w:hint="eastAsia"/>
        </w:rPr>
      </w:pPr>
      <w:r>
        <w:rPr>
          <w:rFonts w:hint="eastAsia"/>
        </w:rPr>
        <w:t>“无工作能力”养老金，支付给达到缴费规定并且有严重、长期疾病无法工作者；</w:t>
      </w:r>
    </w:p>
    <w:p w:rsidR="00000000" w:rsidRDefault="00000000">
      <w:pPr>
        <w:pStyle w:val="a0"/>
        <w:tabs>
          <w:tab w:val="num" w:pos="1550"/>
        </w:tabs>
        <w:ind w:left="1550"/>
        <w:rPr>
          <w:rFonts w:hint="eastAsia"/>
        </w:rPr>
      </w:pPr>
      <w:r>
        <w:rPr>
          <w:rFonts w:hint="eastAsia"/>
        </w:rPr>
        <w:t>普通残疾养老金，支付给达到缴费规定并且有残疾长期丧失至少三分之二工作能力者；</w:t>
      </w:r>
    </w:p>
    <w:p w:rsidR="00000000" w:rsidRDefault="00000000">
      <w:pPr>
        <w:pStyle w:val="a0"/>
        <w:tabs>
          <w:tab w:val="num" w:pos="1550"/>
        </w:tabs>
        <w:ind w:left="1550"/>
        <w:rPr>
          <w:rFonts w:hint="eastAsia"/>
        </w:rPr>
      </w:pPr>
      <w:r>
        <w:rPr>
          <w:rFonts w:hint="eastAsia"/>
        </w:rPr>
        <w:t>家庭补贴，支付给有被赡养的家庭成员和达到某些收入要求的雇员，和有工作的退休人员；</w:t>
      </w:r>
    </w:p>
    <w:p w:rsidR="00000000" w:rsidRDefault="00000000">
      <w:pPr>
        <w:pStyle w:val="a0"/>
        <w:tabs>
          <w:tab w:val="num" w:pos="1550"/>
        </w:tabs>
        <w:ind w:left="1550"/>
        <w:rPr>
          <w:rFonts w:hint="eastAsia"/>
        </w:rPr>
      </w:pPr>
      <w:r>
        <w:rPr>
          <w:rFonts w:hint="eastAsia"/>
        </w:rPr>
        <w:t>自营职业工人的家庭补贴，支付给有被赡养的家庭成员并达到某些收入要求的属于自营职业国家保险计划范围内的工人；</w:t>
      </w:r>
    </w:p>
    <w:p w:rsidR="00000000" w:rsidRDefault="00000000">
      <w:pPr>
        <w:pStyle w:val="a0"/>
        <w:tabs>
          <w:tab w:val="num" w:pos="1550"/>
        </w:tabs>
        <w:ind w:left="1550"/>
      </w:pPr>
      <w:r>
        <w:rPr>
          <w:rFonts w:hint="eastAsia"/>
        </w:rPr>
        <w:t>家庭补贴，支付给有被赡养家庭成员和达到某些收入要求的属于特殊国家保险计划的农民、农业工人和退休人员</w:t>
      </w:r>
      <w:r>
        <w:t>；</w:t>
      </w:r>
    </w:p>
    <w:p w:rsidR="00000000" w:rsidRDefault="00000000">
      <w:pPr>
        <w:pStyle w:val="a0"/>
        <w:tabs>
          <w:tab w:val="num" w:pos="1550"/>
        </w:tabs>
        <w:ind w:left="1550"/>
        <w:rPr>
          <w:rFonts w:hint="eastAsia"/>
        </w:rPr>
      </w:pPr>
      <w:r>
        <w:rPr>
          <w:rFonts w:hint="eastAsia"/>
        </w:rPr>
        <w:t>用于得到出租住房的国家基金，用于收入达到或低于某些限额水平的有租房合同者；</w:t>
      </w:r>
    </w:p>
    <w:p w:rsidR="00000000" w:rsidRDefault="00000000">
      <w:pPr>
        <w:pStyle w:val="a0"/>
        <w:tabs>
          <w:tab w:val="num" w:pos="1550"/>
        </w:tabs>
        <w:ind w:left="1550"/>
        <w:rPr>
          <w:rFonts w:hint="eastAsia"/>
        </w:rPr>
      </w:pPr>
      <w:r>
        <w:rPr>
          <w:rFonts w:hint="eastAsia"/>
        </w:rPr>
        <w:t>扣减所得税，用于收入达到或低于某些限额水平的有租房合同者；</w:t>
      </w:r>
    </w:p>
    <w:p w:rsidR="00000000" w:rsidRDefault="00000000">
      <w:pPr>
        <w:pStyle w:val="a0"/>
        <w:tabs>
          <w:tab w:val="num" w:pos="1550"/>
        </w:tabs>
        <w:ind w:left="1550"/>
        <w:rPr>
          <w:rFonts w:hint="eastAsia"/>
        </w:rPr>
      </w:pPr>
      <w:r>
        <w:rPr>
          <w:rFonts w:hint="eastAsia"/>
        </w:rPr>
        <w:t>“公民”残疾补贴，用于完全残疾或</w:t>
      </w:r>
      <w:r>
        <w:rPr>
          <w:rFonts w:hint="eastAsia"/>
        </w:rPr>
        <w:t>74%</w:t>
      </w:r>
      <w:r>
        <w:rPr>
          <w:rFonts w:hint="eastAsia"/>
        </w:rPr>
        <w:t>残疾并且收入达到或低于某些限额者；</w:t>
      </w:r>
    </w:p>
    <w:p w:rsidR="00000000" w:rsidRDefault="00000000">
      <w:pPr>
        <w:pStyle w:val="a0"/>
        <w:tabs>
          <w:tab w:val="num" w:pos="1550"/>
        </w:tabs>
        <w:ind w:left="1550"/>
        <w:rPr>
          <w:rFonts w:hint="eastAsia"/>
        </w:rPr>
      </w:pPr>
      <w:r>
        <w:rPr>
          <w:rFonts w:hint="eastAsia"/>
        </w:rPr>
        <w:t>孕妇津贴，支付给不领取工资并且收入达到或低于某些限额的产妇；</w:t>
      </w:r>
    </w:p>
    <w:p w:rsidR="00000000" w:rsidRDefault="00000000">
      <w:pPr>
        <w:pStyle w:val="a0"/>
        <w:tabs>
          <w:tab w:val="num" w:pos="1550"/>
        </w:tabs>
        <w:ind w:left="1550"/>
        <w:rPr>
          <w:rFonts w:hint="eastAsia"/>
        </w:rPr>
      </w:pPr>
      <w:r>
        <w:rPr>
          <w:rFonts w:hint="eastAsia"/>
        </w:rPr>
        <w:t>至少有三个孩子的家庭的补贴，支付给至少有三个未成年儿童并且收入达到或低于某些限额的家庭；</w:t>
      </w:r>
    </w:p>
    <w:p w:rsidR="00000000" w:rsidRDefault="00000000">
      <w:pPr>
        <w:pStyle w:val="a0"/>
        <w:tabs>
          <w:tab w:val="num" w:pos="1550"/>
        </w:tabs>
        <w:ind w:left="1550"/>
        <w:rPr>
          <w:rFonts w:hint="eastAsia"/>
        </w:rPr>
      </w:pPr>
      <w:r>
        <w:rPr>
          <w:rFonts w:hint="eastAsia"/>
        </w:rPr>
        <w:t>最低包容补贴</w:t>
      </w:r>
      <w:r>
        <w:rPr>
          <w:rFonts w:hint="eastAsia"/>
        </w:rPr>
        <w:t>(</w:t>
      </w:r>
      <w:r>
        <w:rPr>
          <w:rFonts w:hint="eastAsia"/>
        </w:rPr>
        <w:t>目前在国家的一些地方在试验的基础上提供</w:t>
      </w:r>
      <w:r>
        <w:rPr>
          <w:rFonts w:hint="eastAsia"/>
        </w:rPr>
        <w:t>)</w:t>
      </w:r>
      <w:r>
        <w:rPr>
          <w:rFonts w:hint="eastAsia"/>
        </w:rPr>
        <w:t>，支付给有关地区内收入达到或低于某些限额的所有公民。</w:t>
      </w:r>
    </w:p>
    <w:p w:rsidR="00000000" w:rsidRDefault="00000000">
      <w:pPr>
        <w:spacing w:after="320"/>
        <w:rPr>
          <w:rFonts w:hint="eastAsia"/>
        </w:rPr>
      </w:pPr>
      <w:r>
        <w:rPr>
          <w:rFonts w:hint="eastAsia"/>
        </w:rPr>
        <w:tab/>
        <w:t xml:space="preserve">184.  </w:t>
      </w:r>
      <w:r>
        <w:rPr>
          <w:rFonts w:hint="eastAsia"/>
        </w:rPr>
        <w:t>在这些国家保护计划基础上，还应加上在地方一级为有需要的人员类别提供的其他形式的保障。还包括在国家一级提供的保障未包括的类别。</w:t>
      </w:r>
    </w:p>
    <w:p w:rsidR="00000000" w:rsidRDefault="00000000">
      <w:pPr>
        <w:pStyle w:val="Heading4"/>
        <w:rPr>
          <w:rFonts w:hint="eastAsia"/>
        </w:rPr>
      </w:pPr>
      <w:r>
        <w:rPr>
          <w:rFonts w:hint="eastAsia"/>
        </w:rPr>
        <w:t>最低包容补贴</w:t>
      </w:r>
    </w:p>
    <w:p w:rsidR="00000000" w:rsidRDefault="00000000">
      <w:pPr>
        <w:rPr>
          <w:rFonts w:hint="eastAsia"/>
        </w:rPr>
      </w:pPr>
      <w:r>
        <w:rPr>
          <w:rFonts w:hint="eastAsia"/>
        </w:rPr>
        <w:tab/>
        <w:t xml:space="preserve">185.  </w:t>
      </w:r>
      <w:r>
        <w:rPr>
          <w:rFonts w:hint="eastAsia"/>
        </w:rPr>
        <w:t>第</w:t>
      </w:r>
      <w:r>
        <w:rPr>
          <w:rFonts w:hint="eastAsia"/>
        </w:rPr>
        <w:t>237/1998</w:t>
      </w:r>
      <w:r>
        <w:rPr>
          <w:rFonts w:hint="eastAsia"/>
        </w:rPr>
        <w:t>号行政令在试验的基础上引入了最低包容补贴。这是一项“打击贫困和社会排外的措施”，还设想了提供个性化的方案和以资金转让的形式提供收入支助。鉴于最低包容补贴的试验性质，其应用的领域就时间和范围而言有限。虽然该计划已经扩大</w:t>
      </w:r>
      <w:r>
        <w:rPr>
          <w:rFonts w:hint="eastAsia"/>
        </w:rPr>
        <w:t>(</w:t>
      </w:r>
      <w:r>
        <w:rPr>
          <w:rFonts w:hint="eastAsia"/>
        </w:rPr>
        <w:t>再次就时间和范围而言</w:t>
      </w:r>
      <w:r>
        <w:rPr>
          <w:rFonts w:hint="eastAsia"/>
        </w:rPr>
        <w:t>)</w:t>
      </w:r>
      <w:r>
        <w:rPr>
          <w:rFonts w:hint="eastAsia"/>
        </w:rPr>
        <w:t>，但强调意大利南部地区。</w:t>
      </w:r>
    </w:p>
    <w:p w:rsidR="00000000" w:rsidRDefault="00000000">
      <w:pPr>
        <w:rPr>
          <w:rFonts w:hint="eastAsia"/>
        </w:rPr>
      </w:pPr>
      <w:r>
        <w:rPr>
          <w:rFonts w:hint="eastAsia"/>
        </w:rPr>
        <w:tab/>
        <w:t xml:space="preserve">186.  </w:t>
      </w:r>
      <w:r>
        <w:rPr>
          <w:rFonts w:hint="eastAsia"/>
        </w:rPr>
        <w:t>实施该试验计划的机构是地方当局，选择的标准包括：地区内各地方的贫困程度；覆盖的范围；地方当局愿意参加。关于提供资金以满足计划所需的费用方面，规定了运行费用由地方当局提供，而受益人收入支助费用的至少</w:t>
      </w:r>
      <w:r>
        <w:rPr>
          <w:rFonts w:hint="eastAsia"/>
        </w:rPr>
        <w:t>90%</w:t>
      </w:r>
      <w:r>
        <w:rPr>
          <w:rFonts w:hint="eastAsia"/>
        </w:rPr>
        <w:t>由国家提供。</w:t>
      </w:r>
    </w:p>
    <w:p w:rsidR="00000000" w:rsidRDefault="00000000">
      <w:pPr>
        <w:rPr>
          <w:rFonts w:hint="eastAsia"/>
        </w:rPr>
      </w:pPr>
      <w:r>
        <w:rPr>
          <w:rFonts w:hint="eastAsia"/>
        </w:rPr>
        <w:tab/>
        <w:t xml:space="preserve">187.  </w:t>
      </w:r>
      <w:r>
        <w:rPr>
          <w:rFonts w:hint="eastAsia"/>
        </w:rPr>
        <w:t>下一个步骤是确定获得最低包容补贴的标准。这些包括居住地、收入和拥有的资产，尽管法令明确承认，优先标准是给予有未成年儿童或严重残疾的被赡养人的家庭补贴。就资产而言，受益人每月收入</w:t>
      </w:r>
      <w:r>
        <w:rPr>
          <w:rFonts w:hint="eastAsia"/>
        </w:rPr>
        <w:t>(2000</w:t>
      </w:r>
      <w:r>
        <w:rPr>
          <w:rFonts w:hint="eastAsia"/>
        </w:rPr>
        <w:t>年</w:t>
      </w:r>
      <w:r>
        <w:rPr>
          <w:rFonts w:hint="eastAsia"/>
        </w:rPr>
        <w:t>)</w:t>
      </w:r>
      <w:r>
        <w:rPr>
          <w:rFonts w:hint="eastAsia"/>
        </w:rPr>
        <w:t>必须低于</w:t>
      </w:r>
      <w:r>
        <w:rPr>
          <w:rFonts w:hint="eastAsia"/>
        </w:rPr>
        <w:t>520,000</w:t>
      </w:r>
      <w:r>
        <w:rPr>
          <w:rFonts w:hint="eastAsia"/>
        </w:rPr>
        <w:t>里拉，并且除家庭住房外不能拥有不动产或个人财产，并且房产价值不应超过地方当局规定的特定标准。为考虑大家庭的情况，计算收入限额时采用了下降比额表。</w:t>
      </w:r>
    </w:p>
    <w:p w:rsidR="00000000" w:rsidRDefault="00000000">
      <w:pPr>
        <w:rPr>
          <w:rFonts w:hint="eastAsia"/>
        </w:rPr>
      </w:pPr>
      <w:r>
        <w:rPr>
          <w:rFonts w:hint="eastAsia"/>
        </w:rPr>
        <w:tab/>
        <w:t xml:space="preserve">188.  </w:t>
      </w:r>
      <w:r>
        <w:rPr>
          <w:rFonts w:hint="eastAsia"/>
        </w:rPr>
        <w:t>除收入补贴外，还有个性化的“包容计划”。地方当局应为每个受益人制订该计划，以“通过培养个人的能力和经济自立，克服个人和家庭的边缘化”。要求受益人尊重这些方案规定的承诺。</w:t>
      </w:r>
    </w:p>
    <w:p w:rsidR="00000000" w:rsidRDefault="00000000">
      <w:pPr>
        <w:rPr>
          <w:rFonts w:hint="eastAsia"/>
        </w:rPr>
      </w:pPr>
      <w:r>
        <w:rPr>
          <w:rFonts w:hint="eastAsia"/>
        </w:rPr>
        <w:tab/>
        <w:t xml:space="preserve">189.  </w:t>
      </w:r>
      <w:r>
        <w:rPr>
          <w:rFonts w:hint="eastAsia"/>
        </w:rPr>
        <w:t>第</w:t>
      </w:r>
      <w:r>
        <w:rPr>
          <w:rFonts w:hint="eastAsia"/>
        </w:rPr>
        <w:t>328/2000</w:t>
      </w:r>
      <w:r>
        <w:rPr>
          <w:rFonts w:hint="eastAsia"/>
        </w:rPr>
        <w:t>号法律</w:t>
      </w:r>
      <w:r>
        <w:rPr>
          <w:rFonts w:hint="eastAsia"/>
        </w:rPr>
        <w:t>(</w:t>
      </w:r>
      <w:r>
        <w:rPr>
          <w:rFonts w:hint="eastAsia"/>
        </w:rPr>
        <w:t>实现社会行动和服务综合制度的法律框架</w:t>
      </w:r>
      <w:r>
        <w:rPr>
          <w:rFonts w:hint="eastAsia"/>
        </w:rPr>
        <w:t>)</w:t>
      </w:r>
      <w:r>
        <w:rPr>
          <w:rFonts w:hint="eastAsia"/>
        </w:rPr>
        <w:t>规定，最低包容补贴在试验阶段结束后应在全国范围执行。然而，这将有赖于对试验结果的评估。</w:t>
      </w:r>
    </w:p>
    <w:p w:rsidR="00000000" w:rsidRDefault="00000000">
      <w:pPr>
        <w:spacing w:after="320"/>
        <w:rPr>
          <w:rFonts w:hint="eastAsia"/>
        </w:rPr>
      </w:pPr>
      <w:r>
        <w:rPr>
          <w:rFonts w:hint="eastAsia"/>
        </w:rPr>
        <w:tab/>
        <w:t>190.  2001</w:t>
      </w:r>
      <w:r>
        <w:rPr>
          <w:rFonts w:hint="eastAsia"/>
        </w:rPr>
        <w:t>年的《财政法》</w:t>
      </w:r>
      <w:r>
        <w:rPr>
          <w:rFonts w:hint="eastAsia"/>
        </w:rPr>
        <w:t>(</w:t>
      </w:r>
      <w:r>
        <w:rPr>
          <w:rFonts w:hint="eastAsia"/>
        </w:rPr>
        <w:t>第</w:t>
      </w:r>
      <w:r>
        <w:rPr>
          <w:rFonts w:hint="eastAsia"/>
        </w:rPr>
        <w:t>388/2000</w:t>
      </w:r>
      <w:r>
        <w:rPr>
          <w:rFonts w:hint="eastAsia"/>
        </w:rPr>
        <w:t>号法律</w:t>
      </w:r>
      <w:r>
        <w:rPr>
          <w:rFonts w:hint="eastAsia"/>
        </w:rPr>
        <w:t>)</w:t>
      </w:r>
      <w:r>
        <w:rPr>
          <w:rFonts w:hint="eastAsia"/>
        </w:rPr>
        <w:t>规定，在时间和地理覆盖方面扩大试验。共拨出总计</w:t>
      </w:r>
      <w:r>
        <w:rPr>
          <w:rFonts w:hint="eastAsia"/>
        </w:rPr>
        <w:t>3,500</w:t>
      </w:r>
      <w:r>
        <w:rPr>
          <w:rFonts w:hint="eastAsia"/>
        </w:rPr>
        <w:t>亿里拉用于</w:t>
      </w:r>
      <w:r>
        <w:rPr>
          <w:rFonts w:hint="eastAsia"/>
        </w:rPr>
        <w:t>2001</w:t>
      </w:r>
      <w:r>
        <w:rPr>
          <w:rFonts w:hint="eastAsia"/>
        </w:rPr>
        <w:t>年，</w:t>
      </w:r>
      <w:r>
        <w:rPr>
          <w:rFonts w:hint="eastAsia"/>
        </w:rPr>
        <w:t>4,300</w:t>
      </w:r>
      <w:r>
        <w:rPr>
          <w:rFonts w:hint="eastAsia"/>
        </w:rPr>
        <w:t>亿里拉用于</w:t>
      </w:r>
      <w:r>
        <w:rPr>
          <w:rFonts w:hint="eastAsia"/>
        </w:rPr>
        <w:t>2002</w:t>
      </w:r>
      <w:r>
        <w:rPr>
          <w:rFonts w:hint="eastAsia"/>
        </w:rPr>
        <w:t>年，并批准已经参加计划的</w:t>
      </w:r>
      <w:r>
        <w:rPr>
          <w:rFonts w:hint="eastAsia"/>
        </w:rPr>
        <w:t>39</w:t>
      </w:r>
      <w:r>
        <w:rPr>
          <w:rFonts w:hint="eastAsia"/>
        </w:rPr>
        <w:t>个市继续进行试验。到</w:t>
      </w:r>
      <w:r>
        <w:rPr>
          <w:rFonts w:hint="eastAsia"/>
        </w:rPr>
        <w:t>2000</w:t>
      </w:r>
      <w:r>
        <w:rPr>
          <w:rFonts w:hint="eastAsia"/>
        </w:rPr>
        <w:t>年</w:t>
      </w:r>
      <w:r>
        <w:rPr>
          <w:rFonts w:hint="eastAsia"/>
        </w:rPr>
        <w:t>6</w:t>
      </w:r>
      <w:r>
        <w:rPr>
          <w:rFonts w:hint="eastAsia"/>
        </w:rPr>
        <w:t>月</w:t>
      </w:r>
      <w:r>
        <w:rPr>
          <w:rFonts w:hint="eastAsia"/>
        </w:rPr>
        <w:t>30</w:t>
      </w:r>
      <w:r>
        <w:rPr>
          <w:rFonts w:hint="eastAsia"/>
        </w:rPr>
        <w:t>日已经得到批准参加《领土合同》的市也参加该计划，无论是否已经根据第</w:t>
      </w:r>
      <w:r>
        <w:rPr>
          <w:rFonts w:hint="eastAsia"/>
        </w:rPr>
        <w:t>237</w:t>
      </w:r>
      <w:r>
        <w:rPr>
          <w:rFonts w:hint="eastAsia"/>
        </w:rPr>
        <w:t>号行政令被选中或正等待筛选。</w:t>
      </w:r>
    </w:p>
    <w:p w:rsidR="00000000" w:rsidRDefault="00000000">
      <w:pPr>
        <w:pStyle w:val="Heading4"/>
        <w:rPr>
          <w:rFonts w:hint="eastAsia"/>
        </w:rPr>
      </w:pPr>
      <w:r>
        <w:rPr>
          <w:rFonts w:hint="eastAsia"/>
        </w:rPr>
        <w:t>适当食物权</w:t>
      </w:r>
    </w:p>
    <w:p w:rsidR="00000000" w:rsidRDefault="00000000">
      <w:pPr>
        <w:rPr>
          <w:rFonts w:hint="eastAsia"/>
        </w:rPr>
      </w:pPr>
      <w:r>
        <w:rPr>
          <w:rFonts w:hint="eastAsia"/>
        </w:rPr>
        <w:tab/>
        <w:t xml:space="preserve">191.  </w:t>
      </w:r>
      <w:r>
        <w:rPr>
          <w:rFonts w:hint="eastAsia"/>
        </w:rPr>
        <w:t>粮食安全的主题涉及一些不同的部门，影响到一个以上类别的利益。正如《意大利宪法》第</w:t>
      </w:r>
      <w:r>
        <w:rPr>
          <w:rFonts w:hint="eastAsia"/>
        </w:rPr>
        <w:t>32</w:t>
      </w:r>
      <w:r>
        <w:rPr>
          <w:rFonts w:hint="eastAsia"/>
        </w:rPr>
        <w:t>条作出的规定和保证，即所有公民作为消费者拥有得到完全符合健康所需的卫生和安全规定的产品的不可剥夺的权利。鉴此，必须记住最近发生的危机</w:t>
      </w:r>
      <w:r>
        <w:rPr>
          <w:rFonts w:hint="eastAsia"/>
        </w:rPr>
        <w:t>(</w:t>
      </w:r>
      <w:r>
        <w:rPr>
          <w:rFonts w:hint="eastAsia"/>
        </w:rPr>
        <w:t>特别是发现了疯牛病，涉及整个欧洲联盟</w:t>
      </w:r>
      <w:r>
        <w:rPr>
          <w:rFonts w:hint="eastAsia"/>
        </w:rPr>
        <w:t>)</w:t>
      </w:r>
      <w:r>
        <w:rPr>
          <w:rFonts w:hint="eastAsia"/>
        </w:rPr>
        <w:t>损害了公众对食品工业的能力以及公共当局保证食品安全的信任。此种情况产生的直接结果是在消费者眼中安全成为食品的最重要因素。但是食品安全不只是消费者主要关注的问题。事实上，制造商和食品部门的各个运营商也感到需要有效地保证食品的安全，考虑到该因素在现代生产体系中的根本作用。</w:t>
      </w:r>
    </w:p>
    <w:p w:rsidR="00000000" w:rsidRDefault="00000000">
      <w:pPr>
        <w:rPr>
          <w:rFonts w:hint="eastAsia"/>
        </w:rPr>
      </w:pPr>
      <w:r>
        <w:rPr>
          <w:rFonts w:hint="eastAsia"/>
        </w:rPr>
        <w:tab/>
        <w:t xml:space="preserve">192.  </w:t>
      </w:r>
      <w:r>
        <w:rPr>
          <w:rFonts w:hint="eastAsia"/>
        </w:rPr>
        <w:t>食品安全问题的出现应该看作是提高生产体制总体成熟程度的主要机遇。该领域的公共实体和私营运营商之间的互动对此种努力至关重要。由公共实体确定该体系所有运营商必须遵守的一套安全监督规则，此外，还应制订一系列附加和明显的手段和自愿规范确定生产程序，目的是达到提供高质量产品的进一步目标。必须把质量作为各种因素的最终结果，包括道德、社会关注、文化、环境和经济方面：这一系列考虑有助于具体实现《经济、社会、文化权利国际公约》第</w:t>
      </w:r>
      <w:r>
        <w:rPr>
          <w:rFonts w:hint="eastAsia"/>
        </w:rPr>
        <w:t>11</w:t>
      </w:r>
      <w:r>
        <w:rPr>
          <w:rFonts w:hint="eastAsia"/>
        </w:rPr>
        <w:t>条规定的权利。</w:t>
      </w:r>
    </w:p>
    <w:p w:rsidR="00000000" w:rsidRDefault="00000000">
      <w:pPr>
        <w:rPr>
          <w:rFonts w:hint="eastAsia"/>
        </w:rPr>
      </w:pPr>
      <w:r>
        <w:rPr>
          <w:rFonts w:hint="eastAsia"/>
        </w:rPr>
        <w:tab/>
        <w:t xml:space="preserve">193.  </w:t>
      </w:r>
      <w:r>
        <w:rPr>
          <w:rFonts w:hint="eastAsia"/>
        </w:rPr>
        <w:t>在意大利这种方法导致选择全国经济和劳动理事会作为促进、签署和监督食品工业各个专业协会之间达成的自愿协定的机构，以保证一些商业分支机构生产过程的质量和透明度。这些倡议的结果将通过适当的信息手段沟通。</w:t>
      </w:r>
    </w:p>
    <w:p w:rsidR="00000000" w:rsidRDefault="00000000">
      <w:pPr>
        <w:spacing w:after="320"/>
        <w:rPr>
          <w:rFonts w:hint="eastAsia"/>
        </w:rPr>
      </w:pPr>
      <w:r>
        <w:rPr>
          <w:rFonts w:hint="eastAsia"/>
        </w:rPr>
        <w:tab/>
        <w:t xml:space="preserve">194.  </w:t>
      </w:r>
      <w:r>
        <w:rPr>
          <w:rFonts w:hint="eastAsia"/>
        </w:rPr>
        <w:t>为此目的代表全国经济和劳动理事会的商业和独立劳动组织</w:t>
      </w:r>
      <w:r>
        <w:rPr>
          <w:rFonts w:hint="eastAsia"/>
        </w:rPr>
        <w:t>2001</w:t>
      </w:r>
      <w:r>
        <w:rPr>
          <w:rFonts w:hint="eastAsia"/>
        </w:rPr>
        <w:t>年期间与全国经济和劳动理事会本身签署了一个“目的声明”，承诺签署“工业部门自愿协议”。在全国经济和劳动理事会内作出此项倡议后，为一些工业部门组织了</w:t>
      </w:r>
      <w:r>
        <w:rPr>
          <w:rFonts w:hint="eastAsia"/>
        </w:rPr>
        <w:t>4</w:t>
      </w:r>
      <w:r>
        <w:rPr>
          <w:rFonts w:hint="eastAsia"/>
        </w:rPr>
        <w:t>次圆桌会议</w:t>
      </w:r>
      <w:r>
        <w:rPr>
          <w:rFonts w:hint="eastAsia"/>
        </w:rPr>
        <w:t>(</w:t>
      </w:r>
      <w:r>
        <w:rPr>
          <w:rFonts w:hint="eastAsia"/>
        </w:rPr>
        <w:t>目前有渔业、牛奶和奶制品、新鲜水果和蔬菜、肉类，但其他部门已经达成一致，可能成为今后协议的主题</w:t>
      </w:r>
      <w:r>
        <w:rPr>
          <w:rFonts w:hint="eastAsia"/>
        </w:rPr>
        <w:t>)</w:t>
      </w:r>
      <w:r>
        <w:rPr>
          <w:rFonts w:hint="eastAsia"/>
        </w:rPr>
        <w:t>，以制订前面提到的自愿协议。该倡议的一个进一步结果是谈判题为“食品安全和质量国家合同”的自愿协议，并应该为各个部门制订的框架协定提供总体指导，以保证产品可以“从田地和海洋追踪</w:t>
      </w:r>
      <w:r>
        <w:rPr>
          <w:rFonts w:hint="eastAsia"/>
        </w:rPr>
        <w:t>/</w:t>
      </w:r>
      <w:r>
        <w:rPr>
          <w:rFonts w:hint="eastAsia"/>
        </w:rPr>
        <w:t>再次追踪到餐桌”。</w:t>
      </w:r>
    </w:p>
    <w:p w:rsidR="00000000" w:rsidRDefault="00000000">
      <w:pPr>
        <w:pStyle w:val="Heading4"/>
        <w:rPr>
          <w:rFonts w:hint="eastAsia"/>
        </w:rPr>
      </w:pPr>
      <w:r>
        <w:rPr>
          <w:rFonts w:hint="eastAsia"/>
        </w:rPr>
        <w:t>适当住房权</w:t>
      </w:r>
    </w:p>
    <w:p w:rsidR="00000000" w:rsidRDefault="00000000">
      <w:pPr>
        <w:pStyle w:val="Heading4"/>
        <w:rPr>
          <w:rFonts w:eastAsia="KaiTi_GB2312" w:hint="eastAsia"/>
          <w:spacing w:val="0"/>
          <w:u w:val="none"/>
        </w:rPr>
      </w:pPr>
      <w:r>
        <w:rPr>
          <w:rFonts w:eastAsia="KaiTi_GB2312" w:hint="eastAsia"/>
          <w:spacing w:val="0"/>
          <w:u w:val="none"/>
        </w:rPr>
        <w:t>住</w:t>
      </w:r>
      <w:r>
        <w:rPr>
          <w:rFonts w:eastAsia="KaiTi_GB2312" w:hint="eastAsia"/>
          <w:spacing w:val="0"/>
          <w:u w:val="none"/>
        </w:rPr>
        <w:t xml:space="preserve">  </w:t>
      </w:r>
      <w:r>
        <w:rPr>
          <w:rFonts w:eastAsia="KaiTi_GB2312" w:hint="eastAsia"/>
          <w:spacing w:val="0"/>
          <w:u w:val="none"/>
        </w:rPr>
        <w:t>房</w:t>
      </w:r>
    </w:p>
    <w:p w:rsidR="00000000" w:rsidRDefault="00000000">
      <w:pPr>
        <w:spacing w:after="320"/>
        <w:rPr>
          <w:rFonts w:hint="eastAsia"/>
        </w:rPr>
      </w:pPr>
      <w:r>
        <w:rPr>
          <w:rFonts w:hint="eastAsia"/>
        </w:rPr>
        <w:tab/>
        <w:t>195.  1999</w:t>
      </w:r>
      <w:r>
        <w:rPr>
          <w:rFonts w:hint="eastAsia"/>
        </w:rPr>
        <w:t>年三分之二以上的意大利家庭拥有自己的住房。在小城镇住房所有权相对更加普遍</w:t>
      </w:r>
      <w:r>
        <w:rPr>
          <w:rFonts w:hint="eastAsia"/>
        </w:rPr>
        <w:t>(</w:t>
      </w:r>
      <w:r>
        <w:rPr>
          <w:rFonts w:hint="eastAsia"/>
        </w:rPr>
        <w:t>在居民不足</w:t>
      </w:r>
      <w:r>
        <w:rPr>
          <w:rFonts w:hint="eastAsia"/>
        </w:rPr>
        <w:t>10,000</w:t>
      </w:r>
      <w:r>
        <w:rPr>
          <w:rFonts w:hint="eastAsia"/>
        </w:rPr>
        <w:t>的城市</w:t>
      </w:r>
      <w:r>
        <w:rPr>
          <w:rFonts w:hint="eastAsia"/>
        </w:rPr>
        <w:t>70%</w:t>
      </w:r>
      <w:r>
        <w:rPr>
          <w:rFonts w:hint="eastAsia"/>
        </w:rPr>
        <w:t>以上拥有住房</w:t>
      </w:r>
      <w:r>
        <w:rPr>
          <w:rFonts w:hint="eastAsia"/>
        </w:rPr>
        <w:t>)</w:t>
      </w:r>
      <w:r>
        <w:rPr>
          <w:rFonts w:hint="eastAsia"/>
        </w:rPr>
        <w:t>。在城市地区</w:t>
      </w:r>
      <w:r>
        <w:rPr>
          <w:rFonts w:hint="eastAsia"/>
        </w:rPr>
        <w:t>57.3%</w:t>
      </w:r>
      <w:r>
        <w:rPr>
          <w:rFonts w:hint="eastAsia"/>
        </w:rPr>
        <w:t>的家庭拥有住房。认为住房费用过高的家庭比例从</w:t>
      </w:r>
      <w:r>
        <w:rPr>
          <w:rFonts w:hint="eastAsia"/>
        </w:rPr>
        <w:t>1995</w:t>
      </w:r>
      <w:r>
        <w:rPr>
          <w:rFonts w:hint="eastAsia"/>
        </w:rPr>
        <w:t>年的</w:t>
      </w:r>
      <w:r>
        <w:rPr>
          <w:rFonts w:hint="eastAsia"/>
        </w:rPr>
        <w:t>52.4%</w:t>
      </w:r>
      <w:r>
        <w:rPr>
          <w:rFonts w:hint="eastAsia"/>
        </w:rPr>
        <w:t>上升到</w:t>
      </w:r>
      <w:r>
        <w:rPr>
          <w:rFonts w:hint="eastAsia"/>
        </w:rPr>
        <w:t>1999</w:t>
      </w:r>
      <w:r>
        <w:rPr>
          <w:rFonts w:hint="eastAsia"/>
        </w:rPr>
        <w:t>年的</w:t>
      </w:r>
      <w:r>
        <w:rPr>
          <w:rFonts w:hint="eastAsia"/>
        </w:rPr>
        <w:t>58.5%</w:t>
      </w:r>
      <w:r>
        <w:rPr>
          <w:rFonts w:hint="eastAsia"/>
        </w:rPr>
        <w:t>。最严重的住房问题是质量和稳定地提供饮用水：</w:t>
      </w:r>
      <w:r>
        <w:rPr>
          <w:rFonts w:hint="eastAsia"/>
        </w:rPr>
        <w:t>46.2%</w:t>
      </w:r>
      <w:r>
        <w:rPr>
          <w:rFonts w:hint="eastAsia"/>
        </w:rPr>
        <w:t>的家庭对饮用自来水存在担心，</w:t>
      </w:r>
      <w:r>
        <w:rPr>
          <w:rFonts w:hint="eastAsia"/>
        </w:rPr>
        <w:t>14.9%</w:t>
      </w:r>
      <w:r>
        <w:rPr>
          <w:rFonts w:hint="eastAsia"/>
        </w:rPr>
        <w:t>报告供应不稳定。</w:t>
      </w:r>
    </w:p>
    <w:p w:rsidR="00000000" w:rsidRDefault="00000000">
      <w:pPr>
        <w:pStyle w:val="Heading4"/>
        <w:rPr>
          <w:rFonts w:eastAsia="KaiTi_GB2312" w:hint="eastAsia"/>
          <w:spacing w:val="0"/>
          <w:u w:val="none"/>
        </w:rPr>
      </w:pPr>
      <w:r>
        <w:rPr>
          <w:rFonts w:eastAsia="KaiTi_GB2312" w:hint="eastAsia"/>
          <w:spacing w:val="0"/>
          <w:u w:val="none"/>
        </w:rPr>
        <w:t>无家可归</w:t>
      </w:r>
    </w:p>
    <w:p w:rsidR="00000000" w:rsidRDefault="00000000">
      <w:pPr>
        <w:rPr>
          <w:rFonts w:hint="eastAsia"/>
        </w:rPr>
      </w:pPr>
      <w:r>
        <w:rPr>
          <w:rFonts w:hint="eastAsia"/>
        </w:rPr>
        <w:tab/>
        <w:t xml:space="preserve">196.  </w:t>
      </w:r>
      <w:r>
        <w:rPr>
          <w:rFonts w:hint="eastAsia"/>
        </w:rPr>
        <w:t>这种情况的显著特点是无家可归者缺乏稳定和经常的住房并且经历的边缘化形式具有多方面的性质。这意味着无家可归者的主要遭遇是缺乏住所，但他们的情况具有各种社会脆弱因素的综合特点</w:t>
      </w:r>
      <w:r>
        <w:rPr>
          <w:rFonts w:hint="eastAsia"/>
        </w:rPr>
        <w:t>(</w:t>
      </w:r>
      <w:r>
        <w:rPr>
          <w:rFonts w:hint="eastAsia"/>
        </w:rPr>
        <w:t>药物依赖、缺乏关系网、精神病问题</w:t>
      </w:r>
      <w:r>
        <w:rPr>
          <w:rFonts w:hint="eastAsia"/>
        </w:rPr>
        <w:t>)</w:t>
      </w:r>
      <w:r>
        <w:rPr>
          <w:rFonts w:hint="eastAsia"/>
        </w:rPr>
        <w:t>，是生活中的消极事件产生的后果</w:t>
      </w:r>
      <w:r>
        <w:rPr>
          <w:rFonts w:hint="eastAsia"/>
        </w:rPr>
        <w:t>(</w:t>
      </w:r>
      <w:r>
        <w:rPr>
          <w:rFonts w:hint="eastAsia"/>
        </w:rPr>
        <w:t>暴力、监禁、虐待、遗弃</w:t>
      </w:r>
      <w:r>
        <w:rPr>
          <w:rFonts w:hint="eastAsia"/>
        </w:rPr>
        <w:t>)</w:t>
      </w:r>
      <w:r>
        <w:rPr>
          <w:rFonts w:hint="eastAsia"/>
        </w:rPr>
        <w:t>。</w:t>
      </w:r>
    </w:p>
    <w:p w:rsidR="00000000" w:rsidRDefault="00000000">
      <w:pPr>
        <w:spacing w:after="320"/>
        <w:rPr>
          <w:rFonts w:hint="eastAsia"/>
        </w:rPr>
      </w:pPr>
      <w:r>
        <w:rPr>
          <w:rFonts w:hint="eastAsia"/>
        </w:rPr>
        <w:tab/>
        <w:t xml:space="preserve">197.  </w:t>
      </w:r>
      <w:r>
        <w:rPr>
          <w:rFonts w:hint="eastAsia"/>
        </w:rPr>
        <w:t>无家可归者的数字极难估计。社会排外调查委员会首次努力通过</w:t>
      </w:r>
      <w:r>
        <w:rPr>
          <w:rFonts w:hint="eastAsia"/>
        </w:rPr>
        <w:t>2000</w:t>
      </w:r>
      <w:r>
        <w:rPr>
          <w:rFonts w:hint="eastAsia"/>
        </w:rPr>
        <w:t>年的特殊调查对该现象的程度作出估计：获得的数字是全国有</w:t>
      </w:r>
      <w:r>
        <w:rPr>
          <w:rFonts w:hint="eastAsia"/>
        </w:rPr>
        <w:t>17,000</w:t>
      </w:r>
      <w:r>
        <w:rPr>
          <w:rFonts w:hint="eastAsia"/>
        </w:rPr>
        <w:t>名无家可归者。多数无家可归者</w:t>
      </w:r>
      <w:r>
        <w:rPr>
          <w:rFonts w:hint="eastAsia"/>
        </w:rPr>
        <w:t>(80%)</w:t>
      </w:r>
      <w:r>
        <w:rPr>
          <w:rFonts w:hint="eastAsia"/>
        </w:rPr>
        <w:t>是中年男性</w:t>
      </w:r>
      <w:r>
        <w:rPr>
          <w:rFonts w:hint="eastAsia"/>
        </w:rPr>
        <w:t>(54%</w:t>
      </w:r>
      <w:r>
        <w:rPr>
          <w:rFonts w:hint="eastAsia"/>
        </w:rPr>
        <w:t>年龄在</w:t>
      </w:r>
      <w:r>
        <w:rPr>
          <w:rFonts w:hint="eastAsia"/>
        </w:rPr>
        <w:t>28</w:t>
      </w:r>
      <w:r>
        <w:rPr>
          <w:rFonts w:hint="eastAsia"/>
        </w:rPr>
        <w:t>至</w:t>
      </w:r>
      <w:r>
        <w:rPr>
          <w:rFonts w:hint="eastAsia"/>
        </w:rPr>
        <w:t>47</w:t>
      </w:r>
      <w:r>
        <w:rPr>
          <w:rFonts w:hint="eastAsia"/>
        </w:rPr>
        <w:t>岁之间</w:t>
      </w:r>
      <w:r>
        <w:rPr>
          <w:rFonts w:hint="eastAsia"/>
        </w:rPr>
        <w:t>)</w:t>
      </w:r>
      <w:r>
        <w:rPr>
          <w:rFonts w:hint="eastAsia"/>
        </w:rPr>
        <w:t>；只有半数是意大利人。多数无家可归者已经这样生活了</w:t>
      </w:r>
      <w:r>
        <w:rPr>
          <w:rFonts w:hint="eastAsia"/>
        </w:rPr>
        <w:t>3</w:t>
      </w:r>
      <w:r>
        <w:rPr>
          <w:rFonts w:hint="eastAsia"/>
        </w:rPr>
        <w:t>年或不到</w:t>
      </w:r>
      <w:r>
        <w:rPr>
          <w:rFonts w:hint="eastAsia"/>
        </w:rPr>
        <w:t>3</w:t>
      </w:r>
      <w:r>
        <w:rPr>
          <w:rFonts w:hint="eastAsia"/>
        </w:rPr>
        <w:t>年，但</w:t>
      </w:r>
      <w:r>
        <w:rPr>
          <w:rFonts w:hint="eastAsia"/>
        </w:rPr>
        <w:t>12.1%</w:t>
      </w:r>
      <w:r>
        <w:rPr>
          <w:rFonts w:hint="eastAsia"/>
        </w:rPr>
        <w:t>已这样生活了</w:t>
      </w:r>
      <w:r>
        <w:rPr>
          <w:rFonts w:hint="eastAsia"/>
        </w:rPr>
        <w:t>10</w:t>
      </w:r>
      <w:r>
        <w:rPr>
          <w:rFonts w:hint="eastAsia"/>
        </w:rPr>
        <w:t>年以上。</w:t>
      </w:r>
    </w:p>
    <w:p w:rsidR="00000000" w:rsidRDefault="00000000">
      <w:pPr>
        <w:pStyle w:val="Heading4"/>
        <w:rPr>
          <w:rFonts w:eastAsia="KaiTi_GB2312" w:hint="eastAsia"/>
          <w:spacing w:val="0"/>
          <w:u w:val="none"/>
        </w:rPr>
      </w:pPr>
      <w:r>
        <w:rPr>
          <w:rFonts w:eastAsia="KaiTi_GB2312" w:hint="eastAsia"/>
          <w:spacing w:val="0"/>
          <w:u w:val="none"/>
        </w:rPr>
        <w:t>获得住房的支助措施</w:t>
      </w:r>
    </w:p>
    <w:p w:rsidR="00000000" w:rsidRDefault="00000000">
      <w:pPr>
        <w:spacing w:after="320"/>
        <w:rPr>
          <w:rFonts w:hint="eastAsia"/>
        </w:rPr>
      </w:pPr>
      <w:r>
        <w:rPr>
          <w:rFonts w:hint="eastAsia"/>
        </w:rPr>
        <w:tab/>
        <w:t xml:space="preserve">198.  </w:t>
      </w:r>
      <w:r>
        <w:rPr>
          <w:rFonts w:hint="eastAsia"/>
        </w:rPr>
        <w:t>意大利</w:t>
      </w:r>
      <w:r>
        <w:rPr>
          <w:rFonts w:hint="eastAsia"/>
        </w:rPr>
        <w:t>70%</w:t>
      </w:r>
      <w:r>
        <w:rPr>
          <w:rFonts w:hint="eastAsia"/>
        </w:rPr>
        <w:t>的人口拥有和居住在自己的住房内。然而，对于人口中的低收入者和希望离开家建立自己的家庭的年青人，能拥有或租用住房仍然是一个问题。近年批准了</w:t>
      </w:r>
      <w:r>
        <w:rPr>
          <w:rFonts w:hint="eastAsia"/>
        </w:rPr>
        <w:t>37</w:t>
      </w:r>
      <w:r>
        <w:rPr>
          <w:rFonts w:hint="eastAsia"/>
        </w:rPr>
        <w:t>项措施提供房租、购买住房和装修方面的帮助。同时，拥有“第一”所住房</w:t>
      </w:r>
      <w:r>
        <w:rPr>
          <w:rFonts w:hint="eastAsia"/>
        </w:rPr>
        <w:t>(</w:t>
      </w:r>
      <w:r>
        <w:rPr>
          <w:rFonts w:hint="eastAsia"/>
        </w:rPr>
        <w:t>即居住的住房</w:t>
      </w:r>
      <w:r>
        <w:rPr>
          <w:rFonts w:hint="eastAsia"/>
        </w:rPr>
        <w:t>)</w:t>
      </w:r>
      <w:r>
        <w:rPr>
          <w:rFonts w:hint="eastAsia"/>
        </w:rPr>
        <w:t>的税收负担下降。议会正在审议一项鼓励年青夫妇或单亲家庭租用或购买住房的法案。在意大利反对社会排外和贫困的斗争被视为是促进经济进步和就业发展的一个重要因素。</w:t>
      </w:r>
    </w:p>
    <w:p w:rsidR="00000000" w:rsidRDefault="00000000">
      <w:pPr>
        <w:pStyle w:val="Heading4"/>
        <w:rPr>
          <w:rFonts w:hint="eastAsia"/>
        </w:rPr>
      </w:pPr>
      <w:r>
        <w:rPr>
          <w:rFonts w:hint="eastAsia"/>
        </w:rPr>
        <w:t>人口的影响</w:t>
      </w:r>
    </w:p>
    <w:p w:rsidR="00000000" w:rsidRDefault="00000000">
      <w:pPr>
        <w:pStyle w:val="Heading4"/>
        <w:rPr>
          <w:rFonts w:eastAsia="KaiTi_GB2312" w:hint="eastAsia"/>
          <w:spacing w:val="0"/>
          <w:u w:val="none"/>
        </w:rPr>
      </w:pPr>
      <w:r>
        <w:rPr>
          <w:rFonts w:eastAsia="KaiTi_GB2312" w:hint="eastAsia"/>
          <w:spacing w:val="0"/>
          <w:u w:val="none"/>
        </w:rPr>
        <w:t>性别差异</w:t>
      </w:r>
    </w:p>
    <w:p w:rsidR="00000000" w:rsidRDefault="00000000">
      <w:pPr>
        <w:rPr>
          <w:rFonts w:hint="eastAsia"/>
        </w:rPr>
      </w:pPr>
      <w:r>
        <w:rPr>
          <w:rFonts w:hint="eastAsia"/>
        </w:rPr>
        <w:tab/>
        <w:t xml:space="preserve">199.  </w:t>
      </w:r>
      <w:r>
        <w:rPr>
          <w:rFonts w:hint="eastAsia"/>
        </w:rPr>
        <w:t>妇女活动和就业率的上升，是反映已婚妇女、完成照顾孩子的责任或某种形式的必休假之后返回劳动市场的妇女、以及移民妇女对劳动力市场造成的压力上升的两项指标，直到大约</w:t>
      </w:r>
      <w:r>
        <w:rPr>
          <w:rFonts w:hint="eastAsia"/>
        </w:rPr>
        <w:t>10</w:t>
      </w:r>
      <w:r>
        <w:rPr>
          <w:rFonts w:hint="eastAsia"/>
        </w:rPr>
        <w:t>年以前这些妇女都没有得到充分的代表。尽管妇女的人数上升，但在横向和竖向就业方面妇女参加经济系统结构的特点仍继续以性别区分。地理变量对妇女进入劳动力市场具有很大影响，相对男性而言她们的困难更大。</w:t>
      </w:r>
    </w:p>
    <w:p w:rsidR="00000000" w:rsidRDefault="00000000">
      <w:pPr>
        <w:rPr>
          <w:rFonts w:hint="eastAsia"/>
        </w:rPr>
      </w:pPr>
      <w:r>
        <w:rPr>
          <w:rFonts w:hint="eastAsia"/>
        </w:rPr>
        <w:tab/>
        <w:t xml:space="preserve">200.  </w:t>
      </w:r>
      <w:r>
        <w:rPr>
          <w:rFonts w:hint="eastAsia"/>
        </w:rPr>
        <w:t>意大利南部的劳动力市场特点是高失业，女性活动率约为男性的一半，由于缺乏给求职者提供的服务使招聘和介绍工作机制缺乏透明度，广泛存在边缘化和人力资源使用不足，工资水平仍然存在显著差距，担任高职位的妇女人数较少，以及妇女主要在“非正式”的劳动力市场工作。</w:t>
      </w:r>
    </w:p>
    <w:p w:rsidR="00000000" w:rsidRDefault="00000000">
      <w:pPr>
        <w:rPr>
          <w:rFonts w:hint="eastAsia"/>
        </w:rPr>
      </w:pPr>
      <w:r>
        <w:rPr>
          <w:rFonts w:hint="eastAsia"/>
        </w:rPr>
        <w:tab/>
        <w:t xml:space="preserve">201.  </w:t>
      </w:r>
      <w:r>
        <w:rPr>
          <w:rFonts w:hint="eastAsia"/>
        </w:rPr>
        <w:t>传统上“临时”的女性就业正逐渐消失：过去</w:t>
      </w:r>
      <w:r>
        <w:rPr>
          <w:rFonts w:hint="eastAsia"/>
        </w:rPr>
        <w:t>10</w:t>
      </w:r>
      <w:r>
        <w:rPr>
          <w:rFonts w:hint="eastAsia"/>
        </w:rPr>
        <w:t>年中有孩子的妇女的活动率不断上升。然而，这种上升并没有伴随更平等的分担家庭责任：在该领域无报酬的工作任务几乎主要由妇女承担，妇女有报酬或无报酬的总工作小时数平均比男性高</w:t>
      </w:r>
      <w:r>
        <w:rPr>
          <w:rFonts w:hint="eastAsia"/>
        </w:rPr>
        <w:t>28%</w:t>
      </w:r>
      <w:r>
        <w:rPr>
          <w:rFonts w:hint="eastAsia"/>
        </w:rPr>
        <w:t>。有</w:t>
      </w:r>
      <w:r>
        <w:rPr>
          <w:rFonts w:hint="eastAsia"/>
        </w:rPr>
        <w:t>35.2%</w:t>
      </w:r>
      <w:r>
        <w:rPr>
          <w:rFonts w:hint="eastAsia"/>
        </w:rPr>
        <w:t>的工作男性在家庭任务方面不花费任何时间。据此我们可以推断，承担就业和家庭双重责任的妇女寻求和选择在组织和管理工作时间方面提供尽可能大的灵活性的工作。同样，在意大利南部妇女更经常地从事非全日制工作，比例为</w:t>
      </w:r>
      <w:r>
        <w:rPr>
          <w:rFonts w:hint="eastAsia"/>
        </w:rPr>
        <w:t>11.3%</w:t>
      </w:r>
      <w:r>
        <w:rPr>
          <w:rFonts w:hint="eastAsia"/>
        </w:rPr>
        <w:t>，相比之下在中部和北部为</w:t>
      </w:r>
      <w:r>
        <w:rPr>
          <w:rFonts w:hint="eastAsia"/>
        </w:rPr>
        <w:t>14.8%</w:t>
      </w:r>
      <w:r>
        <w:rPr>
          <w:rFonts w:hint="eastAsia"/>
        </w:rPr>
        <w:t>。不同形式的合同，例如非全日制合同的发展，鼓励妇女在公共部门和个人服务领域的就业人数增加。</w:t>
      </w:r>
    </w:p>
    <w:p w:rsidR="00000000" w:rsidRDefault="00000000">
      <w:pPr>
        <w:spacing w:after="320"/>
        <w:rPr>
          <w:rFonts w:hint="eastAsia"/>
        </w:rPr>
      </w:pPr>
      <w:r>
        <w:rPr>
          <w:rFonts w:hint="eastAsia"/>
        </w:rPr>
        <w:tab/>
        <w:t xml:space="preserve">202.  </w:t>
      </w:r>
      <w:r>
        <w:rPr>
          <w:rFonts w:hint="eastAsia"/>
        </w:rPr>
        <w:t>家庭责任与从事工作的形式之间的协调问题仍然是一个关键问题。家庭责任是妇女离开工作的主要原因。即使我们只看年青一代</w:t>
      </w:r>
      <w:r>
        <w:rPr>
          <w:rFonts w:hint="eastAsia"/>
        </w:rPr>
        <w:t>(25</w:t>
      </w:r>
      <w:r>
        <w:rPr>
          <w:rFonts w:hint="eastAsia"/>
        </w:rPr>
        <w:t>至</w:t>
      </w:r>
      <w:r>
        <w:rPr>
          <w:rFonts w:hint="eastAsia"/>
        </w:rPr>
        <w:t>34</w:t>
      </w:r>
      <w:r>
        <w:rPr>
          <w:rFonts w:hint="eastAsia"/>
        </w:rPr>
        <w:t>岁</w:t>
      </w:r>
      <w:r>
        <w:rPr>
          <w:rFonts w:hint="eastAsia"/>
        </w:rPr>
        <w:t>)</w:t>
      </w:r>
      <w:r>
        <w:rPr>
          <w:rFonts w:hint="eastAsia"/>
        </w:rPr>
        <w:t>，我们可以估计有两个孩子的妇女当中每</w:t>
      </w:r>
      <w:r>
        <w:rPr>
          <w:rFonts w:hint="eastAsia"/>
        </w:rPr>
        <w:t>4</w:t>
      </w:r>
      <w:r>
        <w:rPr>
          <w:rFonts w:hint="eastAsia"/>
        </w:rPr>
        <w:t>个就有一个以上由于生育第一或第二个孩子的直接原因中断或离开工作岗位。我们只须考虑有年龄为</w:t>
      </w:r>
      <w:r>
        <w:rPr>
          <w:rFonts w:hint="eastAsia"/>
        </w:rPr>
        <w:t>1</w:t>
      </w:r>
      <w:r>
        <w:rPr>
          <w:rFonts w:hint="eastAsia"/>
        </w:rPr>
        <w:t>至</w:t>
      </w:r>
      <w:r>
        <w:rPr>
          <w:rFonts w:hint="eastAsia"/>
        </w:rPr>
        <w:t>13</w:t>
      </w:r>
      <w:r>
        <w:rPr>
          <w:rFonts w:hint="eastAsia"/>
        </w:rPr>
        <w:t>岁孩子的工作妇女</w:t>
      </w:r>
      <w:r>
        <w:rPr>
          <w:rFonts w:hint="eastAsia"/>
        </w:rPr>
        <w:t>57.7%</w:t>
      </w:r>
      <w:r>
        <w:rPr>
          <w:rFonts w:hint="eastAsia"/>
        </w:rPr>
        <w:t>每周工作</w:t>
      </w:r>
      <w:r>
        <w:rPr>
          <w:rFonts w:hint="eastAsia"/>
        </w:rPr>
        <w:t>60</w:t>
      </w:r>
      <w:r>
        <w:rPr>
          <w:rFonts w:hint="eastAsia"/>
        </w:rPr>
        <w:t>小时或以上，包括家务和有报酬的工作，相比之下在同样条件下男性为</w:t>
      </w:r>
      <w:r>
        <w:rPr>
          <w:rFonts w:hint="eastAsia"/>
        </w:rPr>
        <w:t>21.9%</w:t>
      </w:r>
      <w:r>
        <w:rPr>
          <w:rFonts w:hint="eastAsia"/>
        </w:rPr>
        <w:t>。主要由女性承担照顾的责任，包括在她们自己的家庭之外。</w:t>
      </w:r>
      <w:r>
        <w:rPr>
          <w:rFonts w:hint="eastAsia"/>
        </w:rPr>
        <w:t>1998</w:t>
      </w:r>
      <w:r>
        <w:rPr>
          <w:rFonts w:hint="eastAsia"/>
        </w:rPr>
        <w:t>年有四分之一的妇女向不属于家庭成员的其他人提供了至少某种形式的免费帮助</w:t>
      </w:r>
      <w:r>
        <w:rPr>
          <w:rFonts w:hint="eastAsia"/>
        </w:rPr>
        <w:t>(</w:t>
      </w:r>
      <w:r>
        <w:rPr>
          <w:rFonts w:hint="eastAsia"/>
        </w:rPr>
        <w:t>帮助老年人或儿童、帮助病人、公司等等</w:t>
      </w:r>
      <w:r>
        <w:rPr>
          <w:rFonts w:hint="eastAsia"/>
        </w:rPr>
        <w:t>)</w:t>
      </w:r>
      <w:r>
        <w:rPr>
          <w:rFonts w:hint="eastAsia"/>
        </w:rPr>
        <w:t>，总计全年</w:t>
      </w:r>
      <w:r>
        <w:rPr>
          <w:rFonts w:hint="eastAsia"/>
        </w:rPr>
        <w:t>28.49</w:t>
      </w:r>
      <w:r>
        <w:rPr>
          <w:rFonts w:hint="eastAsia"/>
        </w:rPr>
        <w:t>亿小时，相比之下有五分之一的男性提供此种帮助。妇女承担此项任务占总帮助小时数的三分之二。</w:t>
      </w:r>
    </w:p>
    <w:p w:rsidR="00000000" w:rsidRDefault="00000000">
      <w:pPr>
        <w:pStyle w:val="Heading4"/>
        <w:rPr>
          <w:rFonts w:hint="eastAsia"/>
        </w:rPr>
      </w:pPr>
      <w:r>
        <w:rPr>
          <w:rFonts w:hint="eastAsia"/>
        </w:rPr>
        <w:t>距离劳动力市场的远近</w:t>
      </w:r>
    </w:p>
    <w:p w:rsidR="00000000" w:rsidRDefault="00000000">
      <w:pPr>
        <w:rPr>
          <w:rFonts w:hint="eastAsia"/>
          <w:spacing w:val="0"/>
        </w:rPr>
      </w:pPr>
      <w:r>
        <w:rPr>
          <w:rFonts w:hint="eastAsia"/>
        </w:rPr>
        <w:tab/>
        <w:t xml:space="preserve">203.  </w:t>
      </w:r>
      <w:r>
        <w:rPr>
          <w:rFonts w:hint="eastAsia"/>
        </w:rPr>
        <w:t>距离市场的远近与经济处于不利地位的物质状况相关。这种不平等表现</w:t>
      </w:r>
      <w:r>
        <w:rPr>
          <w:rFonts w:hint="eastAsia"/>
          <w:spacing w:val="0"/>
        </w:rPr>
        <w:t>为进入并保持在劳动力市场当中、难以这样做的人、以及位于边缘者之间的显著差别。</w:t>
      </w:r>
    </w:p>
    <w:p w:rsidR="00000000" w:rsidRDefault="00000000">
      <w:pPr>
        <w:spacing w:after="320"/>
        <w:rPr>
          <w:rFonts w:hint="eastAsia"/>
        </w:rPr>
      </w:pPr>
      <w:r>
        <w:rPr>
          <w:rFonts w:hint="eastAsia"/>
        </w:rPr>
        <w:tab/>
        <w:t xml:space="preserve">204.  </w:t>
      </w:r>
      <w:r>
        <w:rPr>
          <w:rFonts w:hint="eastAsia"/>
        </w:rPr>
        <w:t>此外，除可以追溯到与个人的地理出身相关的就业机会不平等以外，还有一系列不平等因素，在不同程度上造成了某些社会类别的人员被排除在劳动力市场之外。这些客观因素</w:t>
      </w:r>
      <w:r>
        <w:rPr>
          <w:rFonts w:hint="eastAsia"/>
          <w:spacing w:val="-50"/>
        </w:rPr>
        <w:t>―</w:t>
      </w:r>
      <w:r>
        <w:rPr>
          <w:rFonts w:hint="eastAsia"/>
        </w:rPr>
        <w:t>―诸如性别和年龄</w:t>
      </w:r>
      <w:r>
        <w:rPr>
          <w:rFonts w:hint="eastAsia"/>
          <w:spacing w:val="-50"/>
        </w:rPr>
        <w:t>―</w:t>
      </w:r>
      <w:r>
        <w:rPr>
          <w:rFonts w:hint="eastAsia"/>
        </w:rPr>
        <w:t>―加上广泛的主观和社会因素，诸如教育水平，存在某种形式的社会不利状况等等，各种因素的不同组合决定了劳动力市场阻碍某些人群进入的程度。因此，距离市场的远近由各层不平等因素积累并达到负峰值确定，即最大距离。在一些情况下，也存在某种形式的社会不利状况，例如残疾、吸毒、囚犯、移民等，劳动力市场和工作世界对他们的抵触最大。</w:t>
      </w:r>
    </w:p>
    <w:p w:rsidR="00000000" w:rsidRDefault="00000000">
      <w:pPr>
        <w:pStyle w:val="Heading4"/>
        <w:rPr>
          <w:rFonts w:hint="eastAsia"/>
        </w:rPr>
      </w:pPr>
      <w:r>
        <w:rPr>
          <w:rFonts w:hint="eastAsia"/>
        </w:rPr>
        <w:t>获得网络服务</w:t>
      </w:r>
    </w:p>
    <w:p w:rsidR="00000000" w:rsidRDefault="00000000">
      <w:pPr>
        <w:pStyle w:val="Heading4"/>
        <w:rPr>
          <w:rFonts w:eastAsia="KaiTi_GB2312" w:hint="eastAsia"/>
          <w:spacing w:val="0"/>
          <w:u w:val="none"/>
        </w:rPr>
      </w:pPr>
      <w:r>
        <w:rPr>
          <w:rFonts w:eastAsia="KaiTi_GB2312" w:hint="eastAsia"/>
          <w:spacing w:val="0"/>
          <w:u w:val="none"/>
        </w:rPr>
        <w:t>社会福利和支助服务</w:t>
      </w:r>
    </w:p>
    <w:p w:rsidR="00000000" w:rsidRDefault="00000000">
      <w:pPr>
        <w:rPr>
          <w:rFonts w:hint="eastAsia"/>
        </w:rPr>
      </w:pPr>
      <w:r>
        <w:rPr>
          <w:rFonts w:hint="eastAsia"/>
        </w:rPr>
        <w:tab/>
        <w:t xml:space="preserve">205.  </w:t>
      </w:r>
      <w:r>
        <w:rPr>
          <w:rFonts w:hint="eastAsia"/>
        </w:rPr>
        <w:t>近年意大利对福利国家进行了大幅重新设计。这些包括改革养老制度、改革医疗服务、发展管理联邦主义、以及进行引入创新式的社会政策手段的实验。对所有类别的用户提供的服务范围均增加：对酗酒和吸毒者提供的服务增加最为显著</w:t>
      </w:r>
      <w:r>
        <w:rPr>
          <w:rFonts w:hint="eastAsia"/>
        </w:rPr>
        <w:t>(1991-1997</w:t>
      </w:r>
      <w:r>
        <w:rPr>
          <w:rFonts w:hint="eastAsia"/>
        </w:rPr>
        <w:t>年间提供的服务约增加了一倍</w:t>
      </w:r>
      <w:r>
        <w:rPr>
          <w:rFonts w:hint="eastAsia"/>
        </w:rPr>
        <w:t>)</w:t>
      </w:r>
      <w:r>
        <w:rPr>
          <w:rFonts w:hint="eastAsia"/>
        </w:rPr>
        <w:t>，还有为囚犯、前罪犯、移民、精神病患者、残疾人提供的服务</w:t>
      </w:r>
      <w:r>
        <w:rPr>
          <w:rFonts w:hint="eastAsia"/>
        </w:rPr>
        <w:t>(69%</w:t>
      </w:r>
      <w:r>
        <w:rPr>
          <w:rFonts w:hint="eastAsia"/>
        </w:rPr>
        <w:t>的城市当局提供教育支助，</w:t>
      </w:r>
      <w:r>
        <w:rPr>
          <w:rFonts w:hint="eastAsia"/>
        </w:rPr>
        <w:t>63.4%</w:t>
      </w:r>
      <w:r>
        <w:rPr>
          <w:rFonts w:hint="eastAsia"/>
        </w:rPr>
        <w:t>提供学校交通服务，</w:t>
      </w:r>
      <w:r>
        <w:rPr>
          <w:rFonts w:hint="eastAsia"/>
        </w:rPr>
        <w:t>60.4%</w:t>
      </w:r>
      <w:r>
        <w:rPr>
          <w:rFonts w:hint="eastAsia"/>
        </w:rPr>
        <w:t>提供家庭帮助和服务</w:t>
      </w:r>
      <w:r>
        <w:rPr>
          <w:rFonts w:hint="eastAsia"/>
        </w:rPr>
        <w:t>)</w:t>
      </w:r>
      <w:r>
        <w:rPr>
          <w:rFonts w:hint="eastAsia"/>
        </w:rPr>
        <w:t>。</w:t>
      </w:r>
    </w:p>
    <w:p w:rsidR="00000000" w:rsidRDefault="00000000">
      <w:pPr>
        <w:rPr>
          <w:rFonts w:hint="eastAsia"/>
        </w:rPr>
      </w:pPr>
      <w:r>
        <w:rPr>
          <w:rFonts w:hint="eastAsia"/>
        </w:rPr>
        <w:tab/>
        <w:t xml:space="preserve">206.  </w:t>
      </w:r>
      <w:r>
        <w:rPr>
          <w:rFonts w:hint="eastAsia"/>
        </w:rPr>
        <w:t>提供的最广泛服务是给老人提供的援助和家庭帮助，分别由</w:t>
      </w:r>
      <w:r>
        <w:rPr>
          <w:rFonts w:hint="eastAsia"/>
        </w:rPr>
        <w:t>84%</w:t>
      </w:r>
      <w:r>
        <w:rPr>
          <w:rFonts w:hint="eastAsia"/>
        </w:rPr>
        <w:t>和</w:t>
      </w:r>
      <w:r>
        <w:rPr>
          <w:rFonts w:hint="eastAsia"/>
        </w:rPr>
        <w:t>73.2%</w:t>
      </w:r>
      <w:r>
        <w:rPr>
          <w:rFonts w:hint="eastAsia"/>
        </w:rPr>
        <w:t>的城市提供；老人院</w:t>
      </w:r>
      <w:r>
        <w:rPr>
          <w:rFonts w:hint="eastAsia"/>
        </w:rPr>
        <w:t>(60.4%</w:t>
      </w:r>
      <w:r>
        <w:rPr>
          <w:rFonts w:hint="eastAsia"/>
        </w:rPr>
        <w:t>至</w:t>
      </w:r>
      <w:r>
        <w:rPr>
          <w:rFonts w:hint="eastAsia"/>
        </w:rPr>
        <w:t>36.3%)</w:t>
      </w:r>
      <w:r>
        <w:rPr>
          <w:rFonts w:hint="eastAsia"/>
        </w:rPr>
        <w:t>、社区中心</w:t>
      </w:r>
      <w:r>
        <w:rPr>
          <w:rFonts w:hint="eastAsia"/>
        </w:rPr>
        <w:t>(58.7%</w:t>
      </w:r>
      <w:r>
        <w:rPr>
          <w:rFonts w:hint="eastAsia"/>
        </w:rPr>
        <w:t>至</w:t>
      </w:r>
      <w:r>
        <w:rPr>
          <w:rFonts w:hint="eastAsia"/>
        </w:rPr>
        <w:t>28.5%)</w:t>
      </w:r>
      <w:r>
        <w:rPr>
          <w:rFonts w:hint="eastAsia"/>
        </w:rPr>
        <w:t>、学生餐</w:t>
      </w:r>
      <w:r>
        <w:rPr>
          <w:rFonts w:hint="eastAsia"/>
        </w:rPr>
        <w:t>(88.1%</w:t>
      </w:r>
      <w:r>
        <w:rPr>
          <w:rFonts w:hint="eastAsia"/>
        </w:rPr>
        <w:t>至</w:t>
      </w:r>
      <w:r>
        <w:rPr>
          <w:rFonts w:hint="eastAsia"/>
        </w:rPr>
        <w:t>72.5%</w:t>
      </w:r>
      <w:r>
        <w:rPr>
          <w:rFonts w:hint="eastAsia"/>
        </w:rPr>
        <w:t>的城市</w:t>
      </w:r>
      <w:r>
        <w:rPr>
          <w:rFonts w:hint="eastAsia"/>
        </w:rPr>
        <w:t>)</w:t>
      </w:r>
      <w:r>
        <w:rPr>
          <w:rFonts w:hint="eastAsia"/>
        </w:rPr>
        <w:t>、交通</w:t>
      </w:r>
      <w:r>
        <w:rPr>
          <w:rFonts w:hint="eastAsia"/>
        </w:rPr>
        <w:t>(83.2%)</w:t>
      </w:r>
      <w:r>
        <w:rPr>
          <w:rFonts w:hint="eastAsia"/>
        </w:rPr>
        <w:t>以及幼儿园</w:t>
      </w:r>
      <w:r>
        <w:rPr>
          <w:rFonts w:hint="eastAsia"/>
        </w:rPr>
        <w:t>(22.8%)</w:t>
      </w:r>
      <w:r>
        <w:rPr>
          <w:rFonts w:hint="eastAsia"/>
        </w:rPr>
        <w:t>。意大利只有</w:t>
      </w:r>
      <w:r>
        <w:rPr>
          <w:rFonts w:hint="eastAsia"/>
        </w:rPr>
        <w:t>140,000</w:t>
      </w:r>
      <w:r>
        <w:rPr>
          <w:rFonts w:hint="eastAsia"/>
        </w:rPr>
        <w:t>名儿童上幼儿园</w:t>
      </w:r>
      <w:r>
        <w:rPr>
          <w:rFonts w:hint="eastAsia"/>
        </w:rPr>
        <w:t>(</w:t>
      </w:r>
      <w:r>
        <w:rPr>
          <w:rFonts w:hint="eastAsia"/>
        </w:rPr>
        <w:t>三分之一上私立幼儿园</w:t>
      </w:r>
      <w:r>
        <w:rPr>
          <w:rFonts w:hint="eastAsia"/>
        </w:rPr>
        <w:t>)</w:t>
      </w:r>
      <w:r>
        <w:rPr>
          <w:rFonts w:hint="eastAsia"/>
        </w:rPr>
        <w:t>。该数字代表</w:t>
      </w:r>
      <w:r>
        <w:rPr>
          <w:rFonts w:hint="eastAsia"/>
        </w:rPr>
        <w:t>0</w:t>
      </w:r>
      <w:r>
        <w:rPr>
          <w:rFonts w:hint="eastAsia"/>
        </w:rPr>
        <w:t>至</w:t>
      </w:r>
      <w:r>
        <w:rPr>
          <w:rFonts w:hint="eastAsia"/>
        </w:rPr>
        <w:t>2</w:t>
      </w:r>
      <w:r>
        <w:rPr>
          <w:rFonts w:hint="eastAsia"/>
        </w:rPr>
        <w:t>岁儿童的</w:t>
      </w:r>
      <w:r>
        <w:rPr>
          <w:rFonts w:hint="eastAsia"/>
        </w:rPr>
        <w:t>6%</w:t>
      </w:r>
      <w:r>
        <w:rPr>
          <w:rFonts w:hint="eastAsia"/>
        </w:rPr>
        <w:t>。这个比例意味着很多儿童是在家庭网络或者通过私人支付报酬的服务得到照料。在该领域需采取进一步的行动。</w:t>
      </w:r>
    </w:p>
    <w:p w:rsidR="00000000" w:rsidRDefault="00000000">
      <w:pPr>
        <w:spacing w:after="320"/>
        <w:rPr>
          <w:rFonts w:hint="eastAsia"/>
        </w:rPr>
      </w:pPr>
      <w:r>
        <w:rPr>
          <w:rFonts w:hint="eastAsia"/>
        </w:rPr>
        <w:tab/>
        <w:t xml:space="preserve">207.  </w:t>
      </w:r>
      <w:r>
        <w:rPr>
          <w:rFonts w:hint="eastAsia"/>
        </w:rPr>
        <w:t>在小村镇仍然缺乏幼儿园和向学前和学龄儿童提供的服务</w:t>
      </w:r>
      <w:r>
        <w:rPr>
          <w:rFonts w:hint="eastAsia"/>
        </w:rPr>
        <w:t>(</w:t>
      </w:r>
      <w:r>
        <w:rPr>
          <w:rFonts w:hint="eastAsia"/>
        </w:rPr>
        <w:t>在</w:t>
      </w:r>
      <w:r>
        <w:rPr>
          <w:rFonts w:hint="eastAsia"/>
        </w:rPr>
        <w:t>5,000</w:t>
      </w:r>
      <w:r>
        <w:rPr>
          <w:rFonts w:hint="eastAsia"/>
        </w:rPr>
        <w:t>名居民以下的镇很少有幼儿园</w:t>
      </w:r>
      <w:r>
        <w:rPr>
          <w:rFonts w:hint="eastAsia"/>
        </w:rPr>
        <w:t>)</w:t>
      </w:r>
      <w:r>
        <w:rPr>
          <w:rFonts w:hint="eastAsia"/>
        </w:rPr>
        <w:t>。意大利中部和北部与南部地区仍然存在显著的地理差异，在较大的城镇差距才缩小。在此背景下得到非正式的帮助和支付报酬的服务网络仍然至关重要。</w:t>
      </w:r>
    </w:p>
    <w:p w:rsidR="00000000" w:rsidRDefault="00000000">
      <w:pPr>
        <w:pStyle w:val="Heading4"/>
        <w:rPr>
          <w:rFonts w:eastAsia="KaiTi_GB2312" w:hint="eastAsia"/>
          <w:spacing w:val="0"/>
          <w:u w:val="none"/>
        </w:rPr>
      </w:pPr>
      <w:r>
        <w:rPr>
          <w:rFonts w:eastAsia="KaiTi_GB2312" w:hint="eastAsia"/>
          <w:spacing w:val="0"/>
          <w:u w:val="none"/>
        </w:rPr>
        <w:t>通讯服务</w:t>
      </w:r>
    </w:p>
    <w:p w:rsidR="00000000" w:rsidRDefault="00000000">
      <w:pPr>
        <w:spacing w:after="320"/>
        <w:rPr>
          <w:rFonts w:hint="eastAsia"/>
        </w:rPr>
      </w:pPr>
      <w:r>
        <w:rPr>
          <w:rFonts w:hint="eastAsia"/>
        </w:rPr>
        <w:tab/>
        <w:t xml:space="preserve">208.  </w:t>
      </w:r>
      <w:r>
        <w:rPr>
          <w:rFonts w:hint="eastAsia"/>
        </w:rPr>
        <w:t>为执行电讯领域的欧洲联盟法令，意大利立法确立了“普遍服务”的概念，在第三条基础上，向普通用户提供基本连接。对运行和连接费用以及免费接入，紧急服务做出了特殊安排。立法规定保证，作为普遍服务就应向他们地理区域内的所有用户提供，不论其准确位置在哪，考虑到意大利普遍存在的具体条件，并且价格可以接受。对农村地区用户</w:t>
      </w:r>
      <w:r>
        <w:rPr>
          <w:rFonts w:hint="eastAsia"/>
        </w:rPr>
        <w:t>(</w:t>
      </w:r>
      <w:r>
        <w:rPr>
          <w:rFonts w:hint="eastAsia"/>
        </w:rPr>
        <w:t>就价格而言</w:t>
      </w:r>
      <w:r>
        <w:rPr>
          <w:rFonts w:hint="eastAsia"/>
        </w:rPr>
        <w:t>)</w:t>
      </w:r>
      <w:r>
        <w:rPr>
          <w:rFonts w:hint="eastAsia"/>
        </w:rPr>
        <w:t>以及弱势类别的用户，例如老年人、残疾人和其他有特殊社会需求者提供特殊的条件。虽然人口的大部分可以获得基本的通讯设施，但仍然有一些人被排除在外。虽然全国范围只有</w:t>
      </w:r>
      <w:r>
        <w:rPr>
          <w:rFonts w:hint="eastAsia"/>
        </w:rPr>
        <w:t>5.7%</w:t>
      </w:r>
      <w:r>
        <w:rPr>
          <w:rFonts w:hint="eastAsia"/>
        </w:rPr>
        <w:t>的家庭没有电话线</w:t>
      </w:r>
      <w:r>
        <w:rPr>
          <w:rFonts w:hint="eastAsia"/>
        </w:rPr>
        <w:t>(</w:t>
      </w:r>
      <w:r>
        <w:rPr>
          <w:rFonts w:hint="eastAsia"/>
        </w:rPr>
        <w:t>固定或者移动</w:t>
      </w:r>
      <w:r>
        <w:rPr>
          <w:rFonts w:hint="eastAsia"/>
        </w:rPr>
        <w:t>)</w:t>
      </w:r>
      <w:r>
        <w:rPr>
          <w:rFonts w:hint="eastAsia"/>
        </w:rPr>
        <w:t>，但在坎帕尼亚、卡拉布里亚和西西里数字达到</w:t>
      </w:r>
      <w:r>
        <w:rPr>
          <w:rFonts w:hint="eastAsia"/>
        </w:rPr>
        <w:t>10%</w:t>
      </w:r>
      <w:r>
        <w:rPr>
          <w:rFonts w:hint="eastAsia"/>
        </w:rPr>
        <w:t>。</w:t>
      </w:r>
    </w:p>
    <w:p w:rsidR="00000000" w:rsidRDefault="00000000">
      <w:pPr>
        <w:pStyle w:val="Heading4"/>
        <w:rPr>
          <w:rFonts w:eastAsia="KaiTi_GB2312" w:hint="eastAsia"/>
          <w:spacing w:val="0"/>
          <w:u w:val="none"/>
        </w:rPr>
      </w:pPr>
      <w:r>
        <w:rPr>
          <w:rFonts w:eastAsia="KaiTi_GB2312" w:hint="eastAsia"/>
          <w:spacing w:val="0"/>
          <w:u w:val="none"/>
        </w:rPr>
        <w:t>带来舒适和反映生活质量的货物和服务</w:t>
      </w:r>
    </w:p>
    <w:p w:rsidR="00000000" w:rsidRDefault="00000000">
      <w:pPr>
        <w:pStyle w:val="Heading4"/>
        <w:rPr>
          <w:rFonts w:eastAsia="KaiTi_GB2312" w:hint="eastAsia"/>
          <w:spacing w:val="0"/>
          <w:u w:val="none"/>
        </w:rPr>
      </w:pPr>
      <w:r>
        <w:rPr>
          <w:rFonts w:eastAsia="KaiTi_GB2312" w:hint="eastAsia"/>
          <w:spacing w:val="0"/>
          <w:u w:val="none"/>
        </w:rPr>
        <w:t>消费品</w:t>
      </w:r>
    </w:p>
    <w:p w:rsidR="00000000" w:rsidRDefault="00000000">
      <w:pPr>
        <w:spacing w:after="320"/>
        <w:rPr>
          <w:rFonts w:hint="eastAsia"/>
        </w:rPr>
      </w:pPr>
      <w:r>
        <w:rPr>
          <w:rFonts w:hint="eastAsia"/>
        </w:rPr>
        <w:tab/>
        <w:t xml:space="preserve">209.  </w:t>
      </w:r>
      <w:r>
        <w:rPr>
          <w:rFonts w:hint="eastAsia"/>
        </w:rPr>
        <w:t>现在相当高比例的家庭获得了主要的服务和消费品。</w:t>
      </w:r>
      <w:r>
        <w:rPr>
          <w:rFonts w:hint="eastAsia"/>
        </w:rPr>
        <w:t>1999</w:t>
      </w:r>
      <w:r>
        <w:rPr>
          <w:rFonts w:hint="eastAsia"/>
        </w:rPr>
        <w:t>年有</w:t>
      </w:r>
      <w:r>
        <w:rPr>
          <w:rFonts w:hint="eastAsia"/>
        </w:rPr>
        <w:t>96.1%</w:t>
      </w:r>
      <w:r>
        <w:rPr>
          <w:rFonts w:hint="eastAsia"/>
        </w:rPr>
        <w:t>的意大利家庭拥有一台洗衣机，</w:t>
      </w:r>
      <w:r>
        <w:rPr>
          <w:rFonts w:hint="eastAsia"/>
        </w:rPr>
        <w:t>96.4%</w:t>
      </w:r>
      <w:r>
        <w:rPr>
          <w:rFonts w:hint="eastAsia"/>
        </w:rPr>
        <w:t>拥有一台彩色电视和</w:t>
      </w:r>
      <w:r>
        <w:rPr>
          <w:rFonts w:hint="eastAsia"/>
        </w:rPr>
        <w:t>78%</w:t>
      </w:r>
      <w:r>
        <w:rPr>
          <w:rFonts w:hint="eastAsia"/>
        </w:rPr>
        <w:t>拥有至少一辆汽车</w:t>
      </w:r>
      <w:r>
        <w:rPr>
          <w:rFonts w:hint="eastAsia"/>
        </w:rPr>
        <w:t>(32.3%</w:t>
      </w:r>
      <w:r>
        <w:rPr>
          <w:rFonts w:hint="eastAsia"/>
        </w:rPr>
        <w:t>拥有两辆或以上</w:t>
      </w:r>
      <w:r>
        <w:rPr>
          <w:rFonts w:hint="eastAsia"/>
        </w:rPr>
        <w:t>)</w:t>
      </w:r>
      <w:r>
        <w:rPr>
          <w:rFonts w:hint="eastAsia"/>
        </w:rPr>
        <w:t>。拥有录像机</w:t>
      </w:r>
      <w:r>
        <w:rPr>
          <w:rFonts w:hint="eastAsia"/>
        </w:rPr>
        <w:t>(63.7%)</w:t>
      </w:r>
      <w:r>
        <w:rPr>
          <w:rFonts w:hint="eastAsia"/>
        </w:rPr>
        <w:t>和音响系统</w:t>
      </w:r>
      <w:r>
        <w:rPr>
          <w:rFonts w:hint="eastAsia"/>
        </w:rPr>
        <w:t>(50.1%)</w:t>
      </w:r>
      <w:r>
        <w:rPr>
          <w:rFonts w:hint="eastAsia"/>
        </w:rPr>
        <w:t>也很普遍，五分之一的意大利家庭目前拥有一台摄像机。</w:t>
      </w:r>
      <w:r>
        <w:rPr>
          <w:rFonts w:hint="eastAsia"/>
        </w:rPr>
        <w:t>1997</w:t>
      </w:r>
      <w:r>
        <w:rPr>
          <w:rFonts w:hint="eastAsia"/>
        </w:rPr>
        <w:t>至</w:t>
      </w:r>
      <w:r>
        <w:rPr>
          <w:rFonts w:hint="eastAsia"/>
        </w:rPr>
        <w:t>1999</w:t>
      </w:r>
      <w:r>
        <w:rPr>
          <w:rFonts w:hint="eastAsia"/>
        </w:rPr>
        <w:t>年间移动电话</w:t>
      </w:r>
      <w:r>
        <w:rPr>
          <w:rFonts w:hint="eastAsia"/>
        </w:rPr>
        <w:t>(</w:t>
      </w:r>
      <w:r>
        <w:rPr>
          <w:rFonts w:hint="eastAsia"/>
        </w:rPr>
        <w:t>从</w:t>
      </w:r>
      <w:r>
        <w:rPr>
          <w:rFonts w:hint="eastAsia"/>
        </w:rPr>
        <w:t>27.3%</w:t>
      </w:r>
      <w:r>
        <w:rPr>
          <w:rFonts w:hint="eastAsia"/>
        </w:rPr>
        <w:t>到</w:t>
      </w:r>
      <w:r>
        <w:rPr>
          <w:rFonts w:hint="eastAsia"/>
        </w:rPr>
        <w:t>55.9%</w:t>
      </w:r>
      <w:r>
        <w:rPr>
          <w:rFonts w:hint="eastAsia"/>
        </w:rPr>
        <w:t>、应答机</w:t>
      </w:r>
      <w:r>
        <w:rPr>
          <w:rFonts w:hint="eastAsia"/>
        </w:rPr>
        <w:t>(12.4%</w:t>
      </w:r>
      <w:r>
        <w:rPr>
          <w:rFonts w:hint="eastAsia"/>
        </w:rPr>
        <w:t>到</w:t>
      </w:r>
      <w:r>
        <w:rPr>
          <w:rFonts w:hint="eastAsia"/>
        </w:rPr>
        <w:t>14.5%)</w:t>
      </w:r>
      <w:r>
        <w:rPr>
          <w:rFonts w:hint="eastAsia"/>
        </w:rPr>
        <w:t>、以及传真机</w:t>
      </w:r>
      <w:r>
        <w:rPr>
          <w:rFonts w:hint="eastAsia"/>
        </w:rPr>
        <w:t>(3.8%</w:t>
      </w:r>
      <w:r>
        <w:rPr>
          <w:rFonts w:hint="eastAsia"/>
        </w:rPr>
        <w:t>到</w:t>
      </w:r>
      <w:r>
        <w:rPr>
          <w:rFonts w:hint="eastAsia"/>
        </w:rPr>
        <w:t>6%)</w:t>
      </w:r>
      <w:r>
        <w:rPr>
          <w:rFonts w:hint="eastAsia"/>
        </w:rPr>
        <w:t>的数量上升。</w:t>
      </w:r>
      <w:r>
        <w:rPr>
          <w:rFonts w:hint="eastAsia"/>
        </w:rPr>
        <w:t>1999</w:t>
      </w:r>
      <w:r>
        <w:rPr>
          <w:rFonts w:hint="eastAsia"/>
        </w:rPr>
        <w:t>年</w:t>
      </w:r>
      <w:r>
        <w:rPr>
          <w:rFonts w:hint="eastAsia"/>
        </w:rPr>
        <w:t>20.9%</w:t>
      </w:r>
      <w:r>
        <w:rPr>
          <w:rFonts w:hint="eastAsia"/>
        </w:rPr>
        <w:t>的家庭拥有一台个人电脑，相比之下</w:t>
      </w:r>
      <w:r>
        <w:rPr>
          <w:rFonts w:hint="eastAsia"/>
        </w:rPr>
        <w:t>1997</w:t>
      </w:r>
      <w:r>
        <w:rPr>
          <w:rFonts w:hint="eastAsia"/>
        </w:rPr>
        <w:t>年仅为</w:t>
      </w:r>
      <w:r>
        <w:rPr>
          <w:rFonts w:hint="eastAsia"/>
        </w:rPr>
        <w:t>16.7%</w:t>
      </w:r>
      <w:r>
        <w:rPr>
          <w:rFonts w:hint="eastAsia"/>
        </w:rPr>
        <w:t>。同期互联网注册也显著增加，从</w:t>
      </w:r>
      <w:r>
        <w:rPr>
          <w:rFonts w:hint="eastAsia"/>
        </w:rPr>
        <w:t>3.5%</w:t>
      </w:r>
      <w:r>
        <w:rPr>
          <w:rFonts w:hint="eastAsia"/>
        </w:rPr>
        <w:t>上升到</w:t>
      </w:r>
      <w:r>
        <w:rPr>
          <w:rFonts w:hint="eastAsia"/>
        </w:rPr>
        <w:t>7.6%</w:t>
      </w:r>
      <w:r>
        <w:rPr>
          <w:rFonts w:hint="eastAsia"/>
        </w:rPr>
        <w:t>。然而，不拥有至少一个日常生活必须的货物和服务</w:t>
      </w:r>
      <w:r>
        <w:rPr>
          <w:rFonts w:hint="eastAsia"/>
        </w:rPr>
        <w:t>(</w:t>
      </w:r>
      <w:r>
        <w:rPr>
          <w:rFonts w:hint="eastAsia"/>
        </w:rPr>
        <w:t>饮用水、热水、厕所、供电、冰箱和洗衣机</w:t>
      </w:r>
      <w:r>
        <w:rPr>
          <w:rFonts w:hint="eastAsia"/>
        </w:rPr>
        <w:t>)</w:t>
      </w:r>
      <w:r>
        <w:rPr>
          <w:rFonts w:hint="eastAsia"/>
        </w:rPr>
        <w:t>的意大利家庭比例是不容忽视的</w:t>
      </w:r>
      <w:r>
        <w:rPr>
          <w:rFonts w:hint="eastAsia"/>
        </w:rPr>
        <w:t>6%</w:t>
      </w:r>
      <w:r>
        <w:rPr>
          <w:rFonts w:hint="eastAsia"/>
        </w:rPr>
        <w:t>，特别是如果我们考虑到在卡拉布里亚、西西里和撒丁数字上升到</w:t>
      </w:r>
      <w:r>
        <w:rPr>
          <w:rFonts w:hint="eastAsia"/>
        </w:rPr>
        <w:t>11%</w:t>
      </w:r>
      <w:r>
        <w:rPr>
          <w:rFonts w:hint="eastAsia"/>
        </w:rPr>
        <w:t>。</w:t>
      </w:r>
    </w:p>
    <w:p w:rsidR="00000000" w:rsidRDefault="00000000">
      <w:pPr>
        <w:pStyle w:val="Heading4"/>
        <w:rPr>
          <w:rFonts w:hint="eastAsia"/>
        </w:rPr>
      </w:pPr>
      <w:r>
        <w:rPr>
          <w:rFonts w:hint="eastAsia"/>
        </w:rPr>
        <w:t>特殊类别的社会需求</w:t>
      </w:r>
    </w:p>
    <w:p w:rsidR="00000000" w:rsidRDefault="00000000">
      <w:pPr>
        <w:spacing w:after="320"/>
        <w:ind w:firstLine="539"/>
        <w:rPr>
          <w:rFonts w:hint="eastAsia"/>
        </w:rPr>
      </w:pPr>
      <w:r>
        <w:rPr>
          <w:rFonts w:hint="eastAsia"/>
        </w:rPr>
        <w:t xml:space="preserve">210.  </w:t>
      </w:r>
      <w:r>
        <w:rPr>
          <w:rFonts w:hint="eastAsia"/>
        </w:rPr>
        <w:t>一些个人对社会有需求，如果不得到满足将造成社会排外的情况。这些包括处于特别不利地位的类别，在市场上受到最大的歧视，例如残疾人、移民、吸毒者、囚犯和精神病患者。国家的每个部分都有处于不利地位的公民，但不利的类型各地区不同。例如，移民就是这种情况，在北部和中部移民人数更多。可以看出滥用药物者的趋势相似，他们也通常位于国家的中部和北部。</w:t>
      </w:r>
    </w:p>
    <w:p w:rsidR="00000000" w:rsidRDefault="00000000">
      <w:pPr>
        <w:pStyle w:val="Heading4"/>
        <w:rPr>
          <w:rFonts w:hint="eastAsia"/>
        </w:rPr>
      </w:pPr>
      <w:r>
        <w:rPr>
          <w:rFonts w:hint="eastAsia"/>
        </w:rPr>
        <w:t>不能自给自足的老年人</w:t>
      </w:r>
    </w:p>
    <w:p w:rsidR="00000000" w:rsidRDefault="00000000">
      <w:pPr>
        <w:spacing w:after="320"/>
        <w:ind w:firstLine="539"/>
        <w:rPr>
          <w:rFonts w:hint="eastAsia"/>
        </w:rPr>
      </w:pPr>
      <w:r>
        <w:rPr>
          <w:rFonts w:hint="eastAsia"/>
        </w:rPr>
        <w:t xml:space="preserve">211.  </w:t>
      </w:r>
      <w:r>
        <w:rPr>
          <w:rFonts w:hint="eastAsia"/>
        </w:rPr>
        <w:t>人均寿命上升、人口中老年人数增加、以及家庭结构的转变，共同需要“有利于”老年人的福利制度，并且能利用老年人的资源，同时通过开发社会和医疗服务满足他们的需求，特别强调不能自给自足的老年人。约有</w:t>
      </w:r>
      <w:r>
        <w:rPr>
          <w:rFonts w:hint="eastAsia"/>
        </w:rPr>
        <w:t>740</w:t>
      </w:r>
      <w:r>
        <w:rPr>
          <w:rFonts w:hint="eastAsia"/>
        </w:rPr>
        <w:t>万个家庭拥有</w:t>
      </w:r>
      <w:r>
        <w:rPr>
          <w:rFonts w:hint="eastAsia"/>
        </w:rPr>
        <w:t>1</w:t>
      </w:r>
      <w:r>
        <w:rPr>
          <w:rFonts w:hint="eastAsia"/>
        </w:rPr>
        <w:t>名老年人，而</w:t>
      </w:r>
      <w:r>
        <w:rPr>
          <w:rFonts w:hint="eastAsia"/>
        </w:rPr>
        <w:t>260</w:t>
      </w:r>
      <w:r>
        <w:rPr>
          <w:rFonts w:hint="eastAsia"/>
        </w:rPr>
        <w:t>多万</w:t>
      </w:r>
      <w:r>
        <w:rPr>
          <w:rFonts w:hint="eastAsia"/>
        </w:rPr>
        <w:t>65</w:t>
      </w:r>
      <w:r>
        <w:rPr>
          <w:rFonts w:hint="eastAsia"/>
        </w:rPr>
        <w:t>岁以上者单独生活。这些人有一些需要家庭帮助和服务、以及家庭援助和预防、照顾、康复措施形式的支助。</w:t>
      </w:r>
    </w:p>
    <w:p w:rsidR="00000000" w:rsidRDefault="00000000">
      <w:pPr>
        <w:pStyle w:val="Heading4"/>
        <w:rPr>
          <w:rFonts w:hint="eastAsia"/>
        </w:rPr>
      </w:pPr>
      <w:r>
        <w:rPr>
          <w:rFonts w:hint="eastAsia"/>
        </w:rPr>
        <w:t>残疾人</w:t>
      </w:r>
    </w:p>
    <w:p w:rsidR="00000000" w:rsidRDefault="00000000">
      <w:pPr>
        <w:ind w:firstLine="539"/>
        <w:rPr>
          <w:rFonts w:hint="eastAsia"/>
        </w:rPr>
      </w:pPr>
      <w:r>
        <w:rPr>
          <w:rFonts w:hint="eastAsia"/>
        </w:rPr>
        <w:t xml:space="preserve">212.  </w:t>
      </w:r>
      <w:r>
        <w:rPr>
          <w:rFonts w:hint="eastAsia"/>
        </w:rPr>
        <w:t>有</w:t>
      </w:r>
      <w:r>
        <w:rPr>
          <w:rFonts w:hint="eastAsia"/>
        </w:rPr>
        <w:t>2,686,000</w:t>
      </w:r>
      <w:r>
        <w:rPr>
          <w:rFonts w:hint="eastAsia"/>
        </w:rPr>
        <w:t>名残疾人生活在意大利</w:t>
      </w:r>
      <w:r>
        <w:rPr>
          <w:rFonts w:hint="eastAsia"/>
        </w:rPr>
        <w:t>(</w:t>
      </w:r>
      <w:r>
        <w:rPr>
          <w:rFonts w:hint="eastAsia"/>
        </w:rPr>
        <w:t>占</w:t>
      </w:r>
      <w:r>
        <w:rPr>
          <w:rFonts w:hint="eastAsia"/>
        </w:rPr>
        <w:t>6</w:t>
      </w:r>
      <w:r>
        <w:rPr>
          <w:rFonts w:hint="eastAsia"/>
        </w:rPr>
        <w:t>岁或以上的人口的</w:t>
      </w:r>
      <w:r>
        <w:rPr>
          <w:rFonts w:hint="eastAsia"/>
        </w:rPr>
        <w:t>5%)</w:t>
      </w:r>
      <w:r>
        <w:rPr>
          <w:rFonts w:hint="eastAsia"/>
        </w:rPr>
        <w:t>，其中</w:t>
      </w:r>
      <w:r>
        <w:rPr>
          <w:rFonts w:hint="eastAsia"/>
        </w:rPr>
        <w:t>754,000</w:t>
      </w:r>
      <w:r>
        <w:rPr>
          <w:rFonts w:hint="eastAsia"/>
        </w:rPr>
        <w:t>人单独生活。</w:t>
      </w:r>
      <w:r>
        <w:rPr>
          <w:rFonts w:hint="eastAsia"/>
        </w:rPr>
        <w:t>26.7%</w:t>
      </w:r>
      <w:r>
        <w:rPr>
          <w:rFonts w:hint="eastAsia"/>
        </w:rPr>
        <w:t>的残疾人为</w:t>
      </w:r>
      <w:r>
        <w:rPr>
          <w:rFonts w:hint="eastAsia"/>
        </w:rPr>
        <w:t>65</w:t>
      </w:r>
      <w:r>
        <w:rPr>
          <w:rFonts w:hint="eastAsia"/>
        </w:rPr>
        <w:t>岁以下，</w:t>
      </w:r>
      <w:r>
        <w:rPr>
          <w:rFonts w:hint="eastAsia"/>
        </w:rPr>
        <w:t>20%</w:t>
      </w:r>
      <w:r>
        <w:rPr>
          <w:rFonts w:hint="eastAsia"/>
        </w:rPr>
        <w:t>年龄为</w:t>
      </w:r>
      <w:r>
        <w:rPr>
          <w:rFonts w:hint="eastAsia"/>
        </w:rPr>
        <w:t>65</w:t>
      </w:r>
      <w:r>
        <w:rPr>
          <w:rFonts w:hint="eastAsia"/>
        </w:rPr>
        <w:t>至</w:t>
      </w:r>
      <w:r>
        <w:rPr>
          <w:rFonts w:hint="eastAsia"/>
        </w:rPr>
        <w:t>74</w:t>
      </w:r>
      <w:r>
        <w:rPr>
          <w:rFonts w:hint="eastAsia"/>
        </w:rPr>
        <w:t>岁，</w:t>
      </w:r>
      <w:r>
        <w:rPr>
          <w:rFonts w:hint="eastAsia"/>
        </w:rPr>
        <w:t>53.3%</w:t>
      </w:r>
      <w:r>
        <w:rPr>
          <w:rFonts w:hint="eastAsia"/>
        </w:rPr>
        <w:t>年龄为</w:t>
      </w:r>
      <w:r>
        <w:rPr>
          <w:rFonts w:hint="eastAsia"/>
        </w:rPr>
        <w:t>75</w:t>
      </w:r>
      <w:r>
        <w:rPr>
          <w:rFonts w:hint="eastAsia"/>
        </w:rPr>
        <w:t>岁或以上。约有</w:t>
      </w:r>
      <w:r>
        <w:rPr>
          <w:rFonts w:hint="eastAsia"/>
        </w:rPr>
        <w:t>30,000</w:t>
      </w:r>
      <w:r>
        <w:rPr>
          <w:rFonts w:hint="eastAsia"/>
        </w:rPr>
        <w:t>人严重残疾。这些数字占人口的很大比例，有关人员有具体的期望和需求，如果不能满足会造成边缘化和社会排外的情况。这些需要包括教育和培训、劳动力市场工作介绍、住房、体育、旅游、娱乐以及获得向个人或家庭提供帮助和协助的信息和服务。</w:t>
      </w:r>
    </w:p>
    <w:p w:rsidR="00000000" w:rsidRDefault="00000000">
      <w:pPr>
        <w:ind w:firstLine="539"/>
        <w:rPr>
          <w:rFonts w:hint="eastAsia"/>
        </w:rPr>
      </w:pPr>
      <w:r>
        <w:rPr>
          <w:rFonts w:hint="eastAsia"/>
        </w:rPr>
        <w:t xml:space="preserve">213.  </w:t>
      </w:r>
      <w:r>
        <w:rPr>
          <w:rFonts w:hint="eastAsia"/>
        </w:rPr>
        <w:t>过去几十年在意大利与其他国家一样，公共机构和公民社会日益强调残疾人和他们的需求。此因素使他们的健康、独立和社会包容状况获得显著的改善。在社会各方面，对残疾问题作出的回应在数量和质量上均有提高。摆脱了机构化和只提供援助的政策，走向能带来机会的政策和良好作法，机构、自愿协会和私营社会行动者的意识提高并承担了更大的责任。</w:t>
      </w:r>
    </w:p>
    <w:p w:rsidR="00000000" w:rsidRDefault="00000000">
      <w:pPr>
        <w:ind w:firstLine="539"/>
        <w:rPr>
          <w:rFonts w:hint="eastAsia"/>
        </w:rPr>
      </w:pPr>
      <w:r>
        <w:rPr>
          <w:rFonts w:hint="eastAsia"/>
        </w:rPr>
        <w:t xml:space="preserve">214.  </w:t>
      </w:r>
      <w:r>
        <w:rPr>
          <w:rFonts w:hint="eastAsia"/>
        </w:rPr>
        <w:t>我国充分尊重国际机构主张的原则，选择的社会政策有助于普遍提高残疾人的生活质量并使他们融入教育、就业和社会关系当中。</w:t>
      </w:r>
    </w:p>
    <w:p w:rsidR="00000000" w:rsidRDefault="00000000">
      <w:pPr>
        <w:ind w:firstLine="539"/>
        <w:rPr>
          <w:rFonts w:hint="eastAsia"/>
        </w:rPr>
      </w:pPr>
      <w:r>
        <w:rPr>
          <w:rFonts w:hint="eastAsia"/>
        </w:rPr>
        <w:t xml:space="preserve">215.  </w:t>
      </w:r>
      <w:r>
        <w:rPr>
          <w:rFonts w:hint="eastAsia"/>
        </w:rPr>
        <w:t>十年前议会批准了有关法律，该领域的意大利立法仍然以此为基础：《残疾人的援助、融入社会和权利框架法律》，第</w:t>
      </w:r>
      <w:r>
        <w:rPr>
          <w:rFonts w:hint="eastAsia"/>
        </w:rPr>
        <w:t>104/1992</w:t>
      </w:r>
      <w:r>
        <w:rPr>
          <w:rFonts w:hint="eastAsia"/>
        </w:rPr>
        <w:t>号法律。该法制定了涉及所有残疾人的原则，承认了公民权，确定应采取的行动和计划提供的服务，也促成所有残疾人的自立和参与。法律为向残疾人家庭提供支持和促进残疾人的自立规定了手段并作出了活动安排，尤其关注那些特别困难的残疾人。为实现制定的目标，将加强地方当局的责任并进行机构间协调和合作，承认家庭和自愿协会的参与可以发挥积极作用，这些被选择为优先战略。此项法律的应用在充分承认残疾人的公民权方面取得了更快的进展。然而，该过程十分复杂，包括个人需求与服务网络提供的回应之间的多方面联系。为适应我们正经历的变化过程，服务网络目前有待作出进一步适当的回应。</w:t>
      </w:r>
    </w:p>
    <w:p w:rsidR="00000000" w:rsidRDefault="00000000">
      <w:pPr>
        <w:ind w:firstLine="539"/>
        <w:rPr>
          <w:rFonts w:hint="eastAsia"/>
        </w:rPr>
      </w:pPr>
      <w:r>
        <w:rPr>
          <w:rFonts w:hint="eastAsia"/>
        </w:rPr>
        <w:t xml:space="preserve">216.  </w:t>
      </w:r>
      <w:r>
        <w:rPr>
          <w:rFonts w:hint="eastAsia"/>
        </w:rPr>
        <w:t>到目前为止取得的进展使我们在许多领域实现了重要的目标，但是在文化、立法、管理和操作方面仍然需要作出很大的努力。确定和执行更密切着重健康与残疾之间的关系的政策，不能将经过科学证明的文化概念和标准抛在一边。因此，为制定关于残疾人的令人满意的社会和卫生政策，我们须战胜目前仍存在的文化模糊性以及特别的和按部门的作法，再次把个人和他或她的需求和权利作为我们的重点。我们需要从关注病理学的具体特点转向人以及他或她的具体困难、资源和潜力。几年来残疾人社会政策的重要问题之一是审查残疾的标准。</w:t>
      </w:r>
    </w:p>
    <w:p w:rsidR="00000000" w:rsidRDefault="00000000">
      <w:pPr>
        <w:ind w:firstLine="539"/>
        <w:rPr>
          <w:rFonts w:hint="eastAsia"/>
        </w:rPr>
      </w:pPr>
      <w:r>
        <w:rPr>
          <w:rFonts w:hint="eastAsia"/>
        </w:rPr>
        <w:t xml:space="preserve">217.  </w:t>
      </w:r>
      <w:r>
        <w:rPr>
          <w:rFonts w:hint="eastAsia"/>
        </w:rPr>
        <w:t>第</w:t>
      </w:r>
      <w:r>
        <w:rPr>
          <w:rFonts w:hint="eastAsia"/>
        </w:rPr>
        <w:t>328/2000</w:t>
      </w:r>
      <w:r>
        <w:rPr>
          <w:rFonts w:hint="eastAsia"/>
        </w:rPr>
        <w:t>号法律“实现社会行动和服务综合体系的框架法律”第</w:t>
      </w:r>
      <w:r>
        <w:rPr>
          <w:rFonts w:hint="eastAsia"/>
        </w:rPr>
        <w:t>24</w:t>
      </w:r>
      <w:r>
        <w:rPr>
          <w:rFonts w:hint="eastAsia"/>
        </w:rPr>
        <w:t>条规定给予政府审查向残疾公民、盲人、聋哑人支付的津贴的权利。</w:t>
      </w:r>
    </w:p>
    <w:p w:rsidR="00000000" w:rsidRDefault="00000000">
      <w:pPr>
        <w:ind w:firstLine="539"/>
        <w:rPr>
          <w:rFonts w:hint="eastAsia"/>
        </w:rPr>
      </w:pPr>
      <w:r>
        <w:rPr>
          <w:rFonts w:hint="eastAsia"/>
        </w:rPr>
        <w:t xml:space="preserve">218.  </w:t>
      </w:r>
      <w:r>
        <w:rPr>
          <w:rFonts w:hint="eastAsia"/>
        </w:rPr>
        <w:t>国家残疾人政策状况的另一个重要和突出的因素，是以多种方法对待社会倡议和社会医疗服务的计划和运作。拥有创新目标的法律一直没有得到充分的实施。在使所有受益对象实际得到规定的服务方面缺乏保障。</w:t>
      </w:r>
    </w:p>
    <w:p w:rsidR="00000000" w:rsidRDefault="00000000">
      <w:pPr>
        <w:ind w:firstLine="539"/>
        <w:rPr>
          <w:rFonts w:hint="eastAsia"/>
        </w:rPr>
      </w:pPr>
      <w:r>
        <w:rPr>
          <w:rFonts w:hint="eastAsia"/>
        </w:rPr>
        <w:t xml:space="preserve">219.  </w:t>
      </w:r>
      <w:r>
        <w:rPr>
          <w:rFonts w:hint="eastAsia"/>
        </w:rPr>
        <w:t>在残疾人政策的制定和实施中，地方当局发挥了决定性的作用。还让它们在促进与自愿组织、私营社会经营者和公民社会的建设性对话和有效合作当中发挥更积极的作用。这个考虑还使第</w:t>
      </w:r>
      <w:r>
        <w:rPr>
          <w:rFonts w:hint="eastAsia"/>
        </w:rPr>
        <w:t>470/2001</w:t>
      </w:r>
      <w:r>
        <w:rPr>
          <w:rFonts w:hint="eastAsia"/>
        </w:rPr>
        <w:t>号部长令获得批准，载有针对严重残疾和无家庭帮助者的倡议，批准和支付资金的标准和有关安排方面的规定。这些规定设想将有关资金转交给地区，要求对打算给严重残疾并且不再有家庭提供帮助者建立地区架构的非赢利性机构批准资金作出规定。</w:t>
      </w:r>
    </w:p>
    <w:p w:rsidR="00000000" w:rsidRDefault="00000000">
      <w:pPr>
        <w:spacing w:after="320"/>
        <w:ind w:firstLine="539"/>
        <w:rPr>
          <w:rFonts w:hint="eastAsia"/>
        </w:rPr>
      </w:pPr>
      <w:r>
        <w:rPr>
          <w:rFonts w:hint="eastAsia"/>
        </w:rPr>
        <w:t xml:space="preserve">220.  </w:t>
      </w:r>
      <w:r>
        <w:rPr>
          <w:rFonts w:hint="eastAsia"/>
        </w:rPr>
        <w:t>国家继续促进和协调社会和卫生政策，还将继续提供经济帮助，以确保引入的创新行动能够充分发展。</w:t>
      </w:r>
    </w:p>
    <w:p w:rsidR="00000000" w:rsidRDefault="00000000">
      <w:pPr>
        <w:pStyle w:val="Heading4"/>
        <w:rPr>
          <w:rFonts w:hint="eastAsia"/>
        </w:rPr>
      </w:pPr>
      <w:r>
        <w:rPr>
          <w:rFonts w:hint="eastAsia"/>
        </w:rPr>
        <w:t>第</w:t>
      </w:r>
      <w:r>
        <w:rPr>
          <w:rFonts w:hint="eastAsia"/>
        </w:rPr>
        <w:t>284/1997</w:t>
      </w:r>
      <w:r>
        <w:rPr>
          <w:rFonts w:hint="eastAsia"/>
        </w:rPr>
        <w:t>号法律和第</w:t>
      </w:r>
      <w:r>
        <w:rPr>
          <w:rFonts w:hint="eastAsia"/>
        </w:rPr>
        <w:t>162/1998</w:t>
      </w:r>
      <w:r>
        <w:rPr>
          <w:rFonts w:hint="eastAsia"/>
        </w:rPr>
        <w:t>号法律：严重残疾的盲人和严重残疾者倡议</w:t>
      </w:r>
    </w:p>
    <w:p w:rsidR="00000000" w:rsidRDefault="00000000">
      <w:pPr>
        <w:spacing w:after="320"/>
        <w:ind w:firstLine="539"/>
      </w:pPr>
      <w:r>
        <w:rPr>
          <w:rFonts w:hint="eastAsia"/>
        </w:rPr>
        <w:t>221.  2001</w:t>
      </w:r>
      <w:r>
        <w:rPr>
          <w:rFonts w:hint="eastAsia"/>
        </w:rPr>
        <w:t>年为充分执行两项立法规定</w:t>
      </w:r>
      <w:r>
        <w:rPr>
          <w:rFonts w:hint="eastAsia"/>
        </w:rPr>
        <w:t>(</w:t>
      </w:r>
      <w:r>
        <w:rPr>
          <w:rFonts w:hint="eastAsia"/>
        </w:rPr>
        <w:t>第</w:t>
      </w:r>
      <w:r>
        <w:rPr>
          <w:rFonts w:hint="eastAsia"/>
        </w:rPr>
        <w:t>284/1997</w:t>
      </w:r>
      <w:r>
        <w:rPr>
          <w:rFonts w:hint="eastAsia"/>
        </w:rPr>
        <w:t>号法律和第</w:t>
      </w:r>
      <w:r>
        <w:rPr>
          <w:rFonts w:hint="eastAsia"/>
        </w:rPr>
        <w:t>162/1998</w:t>
      </w:r>
      <w:r>
        <w:rPr>
          <w:rFonts w:hint="eastAsia"/>
        </w:rPr>
        <w:t>号法律</w:t>
      </w:r>
      <w:r>
        <w:rPr>
          <w:rFonts w:hint="eastAsia"/>
        </w:rPr>
        <w:t>)</w:t>
      </w:r>
      <w:r>
        <w:rPr>
          <w:rFonts w:hint="eastAsia"/>
        </w:rPr>
        <w:t>的多年期方案和试验项目的程序已经完成，只限于</w:t>
      </w:r>
      <w:r>
        <w:rPr>
          <w:rFonts w:hint="eastAsia"/>
        </w:rPr>
        <w:t>1999</w:t>
      </w:r>
      <w:r>
        <w:rPr>
          <w:rFonts w:hint="eastAsia"/>
        </w:rPr>
        <w:t>和</w:t>
      </w:r>
      <w:r>
        <w:rPr>
          <w:rFonts w:hint="eastAsia"/>
        </w:rPr>
        <w:t>2000</w:t>
      </w:r>
      <w:r>
        <w:rPr>
          <w:rFonts w:hint="eastAsia"/>
        </w:rPr>
        <w:t>财政年度。提供资金的项目包括严重残疾的盲人的试验项目以及全国盲人联合会的资金，以及针对严重残疾者的试验项目。用于这些目的的所有资金自</w:t>
      </w:r>
      <w:r>
        <w:rPr>
          <w:rFonts w:hint="eastAsia"/>
        </w:rPr>
        <w:t>2001</w:t>
      </w:r>
      <w:r>
        <w:rPr>
          <w:rFonts w:hint="eastAsia"/>
        </w:rPr>
        <w:t>年以来一直通过社会政策全国基金的渠道，每年通过部长令分配给各地区以及</w:t>
      </w:r>
      <w:r>
        <w:rPr>
          <w:rFonts w:hint="eastAsia"/>
        </w:rPr>
        <w:t>T</w:t>
      </w:r>
      <w:r>
        <w:t>rento</w:t>
      </w:r>
      <w:r>
        <w:rPr>
          <w:rFonts w:hint="eastAsia"/>
        </w:rPr>
        <w:t>和</w:t>
      </w:r>
      <w:r>
        <w:t>Bolzano</w:t>
      </w:r>
      <w:r>
        <w:rPr>
          <w:rFonts w:hint="eastAsia"/>
        </w:rPr>
        <w:t>自治省。</w:t>
      </w:r>
    </w:p>
    <w:p w:rsidR="00000000" w:rsidRDefault="00000000">
      <w:pPr>
        <w:pStyle w:val="Heading4"/>
        <w:rPr>
          <w:rFonts w:eastAsia="KaiTi_GB2312" w:hint="eastAsia"/>
          <w:u w:val="none"/>
          <w:lang w:val="fr-CH"/>
        </w:rPr>
      </w:pPr>
      <w:r>
        <w:rPr>
          <w:rFonts w:eastAsia="KaiTi_GB2312" w:hint="eastAsia"/>
          <w:u w:val="none"/>
        </w:rPr>
        <w:t>“</w:t>
      </w:r>
      <w:r>
        <w:rPr>
          <w:rFonts w:eastAsia="KaiTi_GB2312"/>
          <w:u w:val="none"/>
          <w:lang w:val="fr-CH"/>
        </w:rPr>
        <w:t>handicapincifre</w:t>
      </w:r>
      <w:r>
        <w:rPr>
          <w:rFonts w:eastAsia="KaiTi_GB2312" w:hint="eastAsia"/>
          <w:u w:val="none"/>
        </w:rPr>
        <w:t>”网站</w:t>
      </w:r>
    </w:p>
    <w:p w:rsidR="00000000" w:rsidRDefault="00000000">
      <w:pPr>
        <w:ind w:firstLine="539"/>
        <w:rPr>
          <w:rFonts w:hint="eastAsia"/>
        </w:rPr>
      </w:pPr>
      <w:r>
        <w:rPr>
          <w:rFonts w:hint="eastAsia"/>
        </w:rPr>
        <w:t xml:space="preserve">222.  </w:t>
      </w:r>
      <w:r>
        <w:rPr>
          <w:rFonts w:hint="eastAsia"/>
        </w:rPr>
        <w:t>根据促进残疾人统计调查的第</w:t>
      </w:r>
      <w:r>
        <w:rPr>
          <w:rFonts w:hint="eastAsia"/>
        </w:rPr>
        <w:t>162/1998</w:t>
      </w:r>
      <w:r>
        <w:rPr>
          <w:rFonts w:hint="eastAsia"/>
        </w:rPr>
        <w:t>号法律的规定，与全国统计研究所达成了一项协议，就该题目建立一个信息系统。项目的目标是尽快完成一个关于残疾人的综合信息系统，基于一套手段、方法和程序，旨在各个地理和行政级别获得必要的数据，以分析残疾人的需求、社会和卫生条件；针对提供的服务作出计划、进行运作和评估；监督各机构行为者执行的倡议的数量和效率。</w:t>
      </w:r>
      <w:r>
        <w:rPr>
          <w:rFonts w:hint="eastAsia"/>
          <w:lang w:val="fr-CH"/>
        </w:rPr>
        <w:t>2001</w:t>
      </w:r>
      <w:r>
        <w:rPr>
          <w:rFonts w:hint="eastAsia"/>
        </w:rPr>
        <w:t>年建立了</w:t>
      </w:r>
      <w:r>
        <w:rPr>
          <w:rFonts w:hint="eastAsia"/>
          <w:lang w:val="fr-CH"/>
        </w:rPr>
        <w:t>“</w:t>
      </w:r>
      <w:r>
        <w:rPr>
          <w:lang w:val="fr-CH"/>
        </w:rPr>
        <w:t>handicapincifre</w:t>
      </w:r>
      <w:r>
        <w:rPr>
          <w:rFonts w:hint="eastAsia"/>
          <w:lang w:val="fr-CH"/>
        </w:rPr>
        <w:t>”网站；可以通过劳动和社会政策部的网站</w:t>
      </w:r>
      <w:hyperlink r:id="rId7" w:history="1">
        <w:r>
          <w:rPr>
            <w:rStyle w:val="Hyperlink"/>
          </w:rPr>
          <w:t>www.minwelfare.it</w:t>
        </w:r>
      </w:hyperlink>
      <w:r>
        <w:rPr>
          <w:rFonts w:hint="eastAsia"/>
        </w:rPr>
        <w:t>进入。</w:t>
      </w:r>
    </w:p>
    <w:p w:rsidR="00000000" w:rsidRDefault="00000000">
      <w:pPr>
        <w:spacing w:after="320"/>
        <w:ind w:firstLine="539"/>
        <w:rPr>
          <w:rFonts w:hint="eastAsia"/>
          <w:lang w:val="fr-CH"/>
        </w:rPr>
      </w:pPr>
      <w:r>
        <w:rPr>
          <w:rFonts w:hint="eastAsia"/>
        </w:rPr>
        <w:t xml:space="preserve">223.  </w:t>
      </w:r>
      <w:r>
        <w:rPr>
          <w:rFonts w:hint="eastAsia"/>
          <w:lang w:val="fr-CH"/>
        </w:rPr>
        <w:t>“</w:t>
      </w:r>
      <w:r>
        <w:rPr>
          <w:lang w:val="fr-CH"/>
        </w:rPr>
        <w:t>handicapincifre</w:t>
      </w:r>
      <w:r>
        <w:rPr>
          <w:rFonts w:hint="eastAsia"/>
          <w:lang w:val="fr-CH"/>
        </w:rPr>
        <w:t>”包括意大利残疾人的数据和目前全国拥有的信息来源开发的残疾人方面的数据</w:t>
      </w:r>
      <w:r>
        <w:rPr>
          <w:rFonts w:hint="eastAsia"/>
          <w:lang w:val="fr-CH"/>
        </w:rPr>
        <w:t>(</w:t>
      </w:r>
      <w:r>
        <w:rPr>
          <w:rFonts w:hint="eastAsia"/>
          <w:lang w:val="fr-CH"/>
        </w:rPr>
        <w:t>全国统计研究所的调查和各部和公共机构的档案和信息系统</w:t>
      </w:r>
      <w:r>
        <w:rPr>
          <w:rFonts w:hint="eastAsia"/>
          <w:lang w:val="fr-CH"/>
        </w:rPr>
        <w:t>)</w:t>
      </w:r>
      <w:r>
        <w:rPr>
          <w:rFonts w:hint="eastAsia"/>
          <w:lang w:val="fr-CH"/>
        </w:rPr>
        <w:t>。它还可以由残疾人使用，残疾人可以进入特别设计的图表。网站包括的数据经常进行更新，内容涉及其它问题，诸如服务业、社会卫生服务、因公或体育事故造成长期残疾、以及在学校和大学级别上的融合问题。</w:t>
      </w:r>
      <w:r>
        <w:rPr>
          <w:lang w:val="fr-CH"/>
        </w:rPr>
        <w:t>handicapincifre</w:t>
      </w:r>
      <w:r>
        <w:rPr>
          <w:rFonts w:hint="eastAsia"/>
          <w:lang w:val="fr-CH"/>
        </w:rPr>
        <w:t>网站不仅是最初设想的残疾人信息系统产品，而且是宣传关于残疾问题的准确资料的一个关键手段。</w:t>
      </w:r>
    </w:p>
    <w:p w:rsidR="00000000" w:rsidRDefault="00000000">
      <w:pPr>
        <w:pStyle w:val="Heading4"/>
        <w:rPr>
          <w:rFonts w:hint="eastAsia"/>
          <w:lang w:val="fr-CH"/>
        </w:rPr>
      </w:pPr>
      <w:r>
        <w:rPr>
          <w:rFonts w:hint="eastAsia"/>
          <w:lang w:val="fr-CH"/>
        </w:rPr>
        <w:t>第</w:t>
      </w:r>
      <w:r>
        <w:rPr>
          <w:rFonts w:hint="eastAsia"/>
          <w:lang w:val="fr-CH"/>
        </w:rPr>
        <w:t>328/2000</w:t>
      </w:r>
      <w:r>
        <w:rPr>
          <w:rFonts w:hint="eastAsia"/>
          <w:lang w:val="fr-CH"/>
        </w:rPr>
        <w:t>号法律：社会医疗倡议和执行规定</w:t>
      </w:r>
    </w:p>
    <w:p w:rsidR="00000000" w:rsidRDefault="00000000">
      <w:pPr>
        <w:ind w:firstLine="539"/>
        <w:rPr>
          <w:rFonts w:hint="eastAsia"/>
        </w:rPr>
      </w:pPr>
      <w:r>
        <w:rPr>
          <w:rFonts w:hint="eastAsia"/>
        </w:rPr>
        <w:t xml:space="preserve">224.  </w:t>
      </w:r>
      <w:r>
        <w:rPr>
          <w:rFonts w:hint="eastAsia"/>
        </w:rPr>
        <w:t>还颁布了具体着重残疾问题的社会医疗服务规定和执行“实现社会行动和服务综合系统的法律框架”的第</w:t>
      </w:r>
      <w:r>
        <w:rPr>
          <w:rFonts w:hint="eastAsia"/>
        </w:rPr>
        <w:t>328/2000</w:t>
      </w:r>
      <w:r>
        <w:rPr>
          <w:rFonts w:hint="eastAsia"/>
        </w:rPr>
        <w:t>号法律。颁布了社会医疗服务方针和协调法令。法令界定了不同类型的服务并且区分具有很大社会意义的医疗服务、具有很大医疗意义的社会服务，以及与医疗系统高度融合的社会医疗服务，说明哪些付款和费用由地方医疗机构支付，哪些由城市当局支付。法令包括一个附件，规定了包括残疾在内的干预领域的不同服务和出资标准。</w:t>
      </w:r>
    </w:p>
    <w:p w:rsidR="00000000" w:rsidRDefault="00000000">
      <w:pPr>
        <w:ind w:firstLine="539"/>
        <w:rPr>
          <w:rFonts w:hint="eastAsia"/>
        </w:rPr>
      </w:pPr>
      <w:r>
        <w:rPr>
          <w:rFonts w:hint="eastAsia"/>
        </w:rPr>
        <w:t xml:space="preserve">225.  </w:t>
      </w:r>
      <w:r>
        <w:rPr>
          <w:rFonts w:hint="eastAsia"/>
        </w:rPr>
        <w:t>另外一项规定是“</w:t>
      </w:r>
      <w:r>
        <w:rPr>
          <w:rFonts w:hint="eastAsia"/>
        </w:rPr>
        <w:t>2001</w:t>
      </w:r>
      <w:r>
        <w:rPr>
          <w:rFonts w:hint="eastAsia"/>
        </w:rPr>
        <w:t>至</w:t>
      </w:r>
      <w:r>
        <w:rPr>
          <w:rFonts w:hint="eastAsia"/>
        </w:rPr>
        <w:t>2003</w:t>
      </w:r>
      <w:r>
        <w:rPr>
          <w:rFonts w:hint="eastAsia"/>
        </w:rPr>
        <w:t>年社会行动和服务国家计划”。该计划规定了社会服务规划的标准，确定了优先目标，对社会行动和服务综合系统的发展提出了建议。它还规定了监督和评估现有进程和取得的成就的有关安排和手段。《国家社会计划》的优先目标包括为承担家庭责任提供支助，支助不能自给的老年人和严重残疾者。</w:t>
      </w:r>
    </w:p>
    <w:p w:rsidR="00000000" w:rsidRDefault="00000000">
      <w:pPr>
        <w:ind w:firstLine="539"/>
        <w:rPr>
          <w:rFonts w:hint="eastAsia"/>
        </w:rPr>
      </w:pPr>
      <w:r>
        <w:rPr>
          <w:rFonts w:hint="eastAsia"/>
        </w:rPr>
        <w:t xml:space="preserve">226.  </w:t>
      </w:r>
      <w:r>
        <w:rPr>
          <w:rFonts w:hint="eastAsia"/>
        </w:rPr>
        <w:t>颁布了“根据第</w:t>
      </w:r>
      <w:r>
        <w:rPr>
          <w:rFonts w:hint="eastAsia"/>
        </w:rPr>
        <w:t>328/2002</w:t>
      </w:r>
      <w:r>
        <w:rPr>
          <w:rFonts w:hint="eastAsia"/>
        </w:rPr>
        <w:t>号法律第</w:t>
      </w:r>
      <w:r>
        <w:rPr>
          <w:rFonts w:hint="eastAsia"/>
        </w:rPr>
        <w:t>11</w:t>
      </w:r>
      <w:r>
        <w:rPr>
          <w:rFonts w:hint="eastAsia"/>
        </w:rPr>
        <w:t>条批准住宅区和半住宅区服务和建筑结构的最低结构和组织要求”</w:t>
      </w:r>
      <w:r>
        <w:rPr>
          <w:rFonts w:hint="eastAsia"/>
        </w:rPr>
        <w:t>(</w:t>
      </w:r>
      <w:r>
        <w:rPr>
          <w:rFonts w:hint="eastAsia"/>
        </w:rPr>
        <w:t>第</w:t>
      </w:r>
      <w:r>
        <w:rPr>
          <w:rFonts w:hint="eastAsia"/>
        </w:rPr>
        <w:t>308/2001</w:t>
      </w:r>
      <w:r>
        <w:rPr>
          <w:rFonts w:hint="eastAsia"/>
        </w:rPr>
        <w:t>号法令</w:t>
      </w:r>
      <w:r>
        <w:rPr>
          <w:rFonts w:hint="eastAsia"/>
        </w:rPr>
        <w:t>)</w:t>
      </w:r>
      <w:r>
        <w:rPr>
          <w:rFonts w:hint="eastAsia"/>
        </w:rPr>
        <w:t>方面的规定，对批准已经运作或兴建的幼儿园和居民中心规定了最低结构和组织要求。服务包括针对残疾人的服务，旨在维持或恢复人的自立的社会援助或社会医疗倡议，为家庭提供的支助，以及为儿童、老年人、艾滋病患者、有精神社会问题者提供的服务。</w:t>
      </w:r>
    </w:p>
    <w:p w:rsidR="00000000" w:rsidRDefault="00000000">
      <w:pPr>
        <w:rPr>
          <w:rFonts w:hint="eastAsia"/>
        </w:rPr>
      </w:pPr>
      <w:r>
        <w:rPr>
          <w:rFonts w:hint="eastAsia"/>
        </w:rPr>
        <w:tab/>
        <w:t>227.  2001</w:t>
      </w:r>
      <w:r>
        <w:rPr>
          <w:rFonts w:hint="eastAsia"/>
        </w:rPr>
        <w:t>年针对各个问题执行了根据</w:t>
      </w:r>
      <w:r>
        <w:rPr>
          <w:rFonts w:hint="eastAsia"/>
        </w:rPr>
        <w:t>2000</w:t>
      </w:r>
      <w:r>
        <w:rPr>
          <w:rFonts w:hint="eastAsia"/>
        </w:rPr>
        <w:t>年</w:t>
      </w:r>
      <w:r>
        <w:rPr>
          <w:rFonts w:hint="eastAsia"/>
        </w:rPr>
        <w:t>12</w:t>
      </w:r>
      <w:r>
        <w:rPr>
          <w:rFonts w:hint="eastAsia"/>
        </w:rPr>
        <w:t>月</w:t>
      </w:r>
      <w:r>
        <w:rPr>
          <w:rFonts w:hint="eastAsia"/>
        </w:rPr>
        <w:t>23</w:t>
      </w:r>
      <w:r>
        <w:rPr>
          <w:rFonts w:hint="eastAsia"/>
        </w:rPr>
        <w:t>日颁布的第</w:t>
      </w:r>
      <w:r>
        <w:rPr>
          <w:rFonts w:hint="eastAsia"/>
        </w:rPr>
        <w:t>388</w:t>
      </w:r>
      <w:r>
        <w:rPr>
          <w:rFonts w:hint="eastAsia"/>
        </w:rPr>
        <w:t>号法律第</w:t>
      </w:r>
      <w:r>
        <w:rPr>
          <w:rFonts w:hint="eastAsia"/>
        </w:rPr>
        <w:t>81</w:t>
      </w:r>
      <w:r>
        <w:rPr>
          <w:rFonts w:hint="eastAsia"/>
        </w:rPr>
        <w:t>条的规定。这些规定设想使用</w:t>
      </w:r>
      <w:r>
        <w:rPr>
          <w:rFonts w:hint="eastAsia"/>
        </w:rPr>
        <w:t>1,000</w:t>
      </w:r>
      <w:r>
        <w:rPr>
          <w:rFonts w:hint="eastAsia"/>
        </w:rPr>
        <w:t>亿里拉的财政资源，制定一个由自愿协会和其他非盈利性机构为严重残疾并缺乏家庭支助的人员提供照顾和援助的倡议方案。该资金的</w:t>
      </w:r>
      <w:r>
        <w:rPr>
          <w:rFonts w:hint="eastAsia"/>
        </w:rPr>
        <w:t>20%</w:t>
      </w:r>
      <w:r>
        <w:rPr>
          <w:rFonts w:hint="eastAsia"/>
        </w:rPr>
        <w:t>将在所有地区和自治省之间平均分配，</w:t>
      </w:r>
      <w:r>
        <w:rPr>
          <w:rFonts w:hint="eastAsia"/>
        </w:rPr>
        <w:t>80%</w:t>
      </w:r>
      <w:r>
        <w:rPr>
          <w:rFonts w:hint="eastAsia"/>
        </w:rPr>
        <w:t>将根据居民人数按比例分配。根据规定，以下机构可以向地区申请资金：</w:t>
      </w:r>
      <w:r>
        <w:rPr>
          <w:rFonts w:hint="eastAsia"/>
        </w:rPr>
        <w:t>ONLUS</w:t>
      </w:r>
      <w:r>
        <w:rPr>
          <w:rFonts w:hint="eastAsia"/>
        </w:rPr>
        <w:t>、合作社、自愿组织、社会协会、基金会、公民咨询机构和其他私营机构。</w:t>
      </w:r>
    </w:p>
    <w:p w:rsidR="00000000" w:rsidRDefault="00000000">
      <w:pPr>
        <w:spacing w:after="320"/>
        <w:rPr>
          <w:rFonts w:hint="eastAsia"/>
        </w:rPr>
      </w:pPr>
      <w:r>
        <w:rPr>
          <w:rFonts w:hint="eastAsia"/>
        </w:rPr>
        <w:tab/>
        <w:t xml:space="preserve">228.  </w:t>
      </w:r>
      <w:r>
        <w:rPr>
          <w:rFonts w:hint="eastAsia"/>
        </w:rPr>
        <w:t>地区将规定提供资金项目的选择标准，资金可用于购买、翻修或租用房屋、购买设备、或者执行提供援助的倡议并持续一年的时间。建筑必须是“小型的”，以确保在“家庭式”环境中接待残疾人并使其融入，并符合普通家庭的卫生要求。得到资金的活动必须在提供资金两年之内完成。每个项目的最大款额为</w:t>
      </w:r>
      <w:r>
        <w:rPr>
          <w:rFonts w:hint="eastAsia"/>
        </w:rPr>
        <w:t>1,032,000</w:t>
      </w:r>
      <w:r>
        <w:rPr>
          <w:rFonts w:hint="eastAsia"/>
        </w:rPr>
        <w:t>欧元</w:t>
      </w:r>
      <w:r>
        <w:rPr>
          <w:rFonts w:hint="eastAsia"/>
        </w:rPr>
        <w:t>(20</w:t>
      </w:r>
      <w:r>
        <w:rPr>
          <w:rFonts w:hint="eastAsia"/>
        </w:rPr>
        <w:t>亿里拉</w:t>
      </w:r>
      <w:r>
        <w:rPr>
          <w:rFonts w:hint="eastAsia"/>
        </w:rPr>
        <w:t>)</w:t>
      </w:r>
      <w:r>
        <w:rPr>
          <w:rFonts w:hint="eastAsia"/>
        </w:rPr>
        <w:t>。</w:t>
      </w:r>
    </w:p>
    <w:p w:rsidR="00000000" w:rsidRDefault="00000000">
      <w:pPr>
        <w:pStyle w:val="Heading4"/>
        <w:rPr>
          <w:rFonts w:hint="eastAsia"/>
        </w:rPr>
      </w:pPr>
      <w:r>
        <w:rPr>
          <w:rFonts w:hint="eastAsia"/>
        </w:rPr>
        <w:t>有工作的父母照顾严重残疾者的特殊安排和休假的进一步规定</w:t>
      </w:r>
    </w:p>
    <w:p w:rsidR="00000000" w:rsidRDefault="00000000">
      <w:pPr>
        <w:spacing w:after="320"/>
        <w:rPr>
          <w:rFonts w:hint="eastAsia"/>
        </w:rPr>
      </w:pPr>
      <w:r>
        <w:rPr>
          <w:rFonts w:hint="eastAsia"/>
        </w:rPr>
        <w:tab/>
        <w:t xml:space="preserve">229.  </w:t>
      </w:r>
      <w:r>
        <w:rPr>
          <w:rFonts w:hint="eastAsia"/>
        </w:rPr>
        <w:t>第</w:t>
      </w:r>
      <w:r>
        <w:rPr>
          <w:rFonts w:hint="eastAsia"/>
        </w:rPr>
        <w:t>151/2001</w:t>
      </w:r>
      <w:r>
        <w:rPr>
          <w:rFonts w:hint="eastAsia"/>
        </w:rPr>
        <w:t>号法令的合并案文载有关于保护和支助产妇和陪产的父亲的立法规定，对照顾有残疾的家庭成员者休假和带薪假期在现有规定上增加了进一步的规定。法令第</w:t>
      </w:r>
      <w:r>
        <w:rPr>
          <w:rFonts w:hint="eastAsia"/>
        </w:rPr>
        <w:t>42</w:t>
      </w:r>
      <w:r>
        <w:rPr>
          <w:rFonts w:hint="eastAsia"/>
        </w:rPr>
        <w:t>条第</w:t>
      </w:r>
      <w:r>
        <w:rPr>
          <w:rFonts w:hint="eastAsia"/>
        </w:rPr>
        <w:t>6</w:t>
      </w:r>
      <w:r>
        <w:rPr>
          <w:rFonts w:hint="eastAsia"/>
        </w:rPr>
        <w:t>款涉及照顾严重残疾儿童的休假时间，规定在其他父母无权享受的情况下，享受这些特别条件的权利也存在。</w:t>
      </w:r>
    </w:p>
    <w:p w:rsidR="00000000" w:rsidRDefault="00000000">
      <w:pPr>
        <w:pStyle w:val="Heading4"/>
        <w:spacing w:after="320"/>
      </w:pPr>
      <w:r>
        <w:rPr>
          <w:rFonts w:hint="eastAsia"/>
        </w:rPr>
        <w:t>第</w:t>
      </w:r>
      <w:r>
        <w:rPr>
          <w:rFonts w:hint="eastAsia"/>
        </w:rPr>
        <w:t>488/2001</w:t>
      </w:r>
      <w:r>
        <w:rPr>
          <w:rFonts w:hint="eastAsia"/>
        </w:rPr>
        <w:t>号法律规定的社会养老金和其他规定</w:t>
      </w:r>
      <w:r>
        <w:rPr>
          <w:rFonts w:hint="eastAsia"/>
        </w:rPr>
        <w:t>(</w:t>
      </w:r>
      <w:r>
        <w:rPr>
          <w:rFonts w:hint="eastAsia"/>
        </w:rPr>
        <w:t>《</w:t>
      </w:r>
      <w:r>
        <w:rPr>
          <w:rFonts w:hint="eastAsia"/>
        </w:rPr>
        <w:t>2002</w:t>
      </w:r>
      <w:r>
        <w:rPr>
          <w:rFonts w:hint="eastAsia"/>
        </w:rPr>
        <w:t>年财政法》</w:t>
      </w:r>
      <w:r>
        <w:t>)</w:t>
      </w:r>
    </w:p>
    <w:p w:rsidR="00000000" w:rsidRDefault="00000000">
      <w:pPr>
        <w:rPr>
          <w:rFonts w:hint="eastAsia"/>
        </w:rPr>
      </w:pPr>
      <w:r>
        <w:rPr>
          <w:rFonts w:hint="eastAsia"/>
        </w:rPr>
        <w:tab/>
        <w:t xml:space="preserve">230.  </w:t>
      </w:r>
      <w:r>
        <w:rPr>
          <w:rFonts w:hint="eastAsia"/>
        </w:rPr>
        <w:t>载有国家年度和多年预算规定的第</w:t>
      </w:r>
      <w:r>
        <w:rPr>
          <w:rFonts w:hint="eastAsia"/>
        </w:rPr>
        <w:t>488/2001</w:t>
      </w:r>
      <w:r>
        <w:rPr>
          <w:rFonts w:hint="eastAsia"/>
        </w:rPr>
        <w:t>号法律规定，自</w:t>
      </w:r>
      <w:r>
        <w:rPr>
          <w:rFonts w:hint="eastAsia"/>
        </w:rPr>
        <w:t>2002</w:t>
      </w:r>
      <w:r>
        <w:rPr>
          <w:rFonts w:hint="eastAsia"/>
        </w:rPr>
        <w:t>年</w:t>
      </w:r>
      <w:r>
        <w:rPr>
          <w:rFonts w:hint="eastAsia"/>
        </w:rPr>
        <w:t>1</w:t>
      </w:r>
      <w:r>
        <w:rPr>
          <w:rFonts w:hint="eastAsia"/>
        </w:rPr>
        <w:t>月</w:t>
      </w:r>
      <w:r>
        <w:rPr>
          <w:rFonts w:hint="eastAsia"/>
        </w:rPr>
        <w:t>1</w:t>
      </w:r>
      <w:r>
        <w:rPr>
          <w:rFonts w:hint="eastAsia"/>
        </w:rPr>
        <w:t>日起生效，领取养老金低于</w:t>
      </w:r>
      <w:r>
        <w:rPr>
          <w:rFonts w:hint="eastAsia"/>
        </w:rPr>
        <w:t>516</w:t>
      </w:r>
      <w:r>
        <w:rPr>
          <w:rFonts w:hint="eastAsia"/>
        </w:rPr>
        <w:t>欧元者、年龄</w:t>
      </w:r>
      <w:r>
        <w:rPr>
          <w:rFonts w:hint="eastAsia"/>
        </w:rPr>
        <w:t>70</w:t>
      </w:r>
      <w:r>
        <w:rPr>
          <w:rFonts w:hint="eastAsia"/>
        </w:rPr>
        <w:t>岁以上个人收入除家庭的其他收入外低于</w:t>
      </w:r>
      <w:r>
        <w:rPr>
          <w:rFonts w:hint="eastAsia"/>
        </w:rPr>
        <w:t>6,713.</w:t>
      </w:r>
      <w:r>
        <w:t>89</w:t>
      </w:r>
      <w:r>
        <w:rPr>
          <w:rFonts w:hint="eastAsia"/>
        </w:rPr>
        <w:t>欧元者，应得到更多的养老金，使养老金达到该水平。如果领取养老金者已婚，夫妇的收入加上每年领取的社会养老金数额不应超过</w:t>
      </w:r>
      <w:r>
        <w:rPr>
          <w:rFonts w:hint="eastAsia"/>
        </w:rPr>
        <w:t>6,713.98</w:t>
      </w:r>
      <w:r>
        <w:rPr>
          <w:rFonts w:hint="eastAsia"/>
        </w:rPr>
        <w:t>欧元。第</w:t>
      </w:r>
      <w:r>
        <w:rPr>
          <w:rFonts w:hint="eastAsia"/>
        </w:rPr>
        <w:t>488/2001</w:t>
      </w:r>
      <w:r>
        <w:rPr>
          <w:rFonts w:hint="eastAsia"/>
        </w:rPr>
        <w:t>号法律还规定将支付给完全残疾者、聋哑人和完全失明者的费用增加到</w:t>
      </w:r>
      <w:r>
        <w:rPr>
          <w:rFonts w:hint="eastAsia"/>
        </w:rPr>
        <w:t>561.</w:t>
      </w:r>
      <w:r>
        <w:t>89</w:t>
      </w:r>
      <w:r>
        <w:rPr>
          <w:rFonts w:hint="eastAsia"/>
        </w:rPr>
        <w:t>欧元。对个人收入的限制相同</w:t>
      </w:r>
      <w:r>
        <w:rPr>
          <w:rFonts w:hint="eastAsia"/>
        </w:rPr>
        <w:t>(6,713.98</w:t>
      </w:r>
      <w:r>
        <w:rPr>
          <w:rFonts w:hint="eastAsia"/>
        </w:rPr>
        <w:t>欧元</w:t>
      </w:r>
      <w:r>
        <w:rPr>
          <w:rFonts w:hint="eastAsia"/>
        </w:rPr>
        <w:t>)</w:t>
      </w:r>
      <w:r>
        <w:rPr>
          <w:rFonts w:hint="eastAsia"/>
        </w:rPr>
        <w:t>，年龄限制为</w:t>
      </w:r>
      <w:r>
        <w:rPr>
          <w:rFonts w:hint="eastAsia"/>
        </w:rPr>
        <w:t>60</w:t>
      </w:r>
      <w:r>
        <w:rPr>
          <w:rFonts w:hint="eastAsia"/>
        </w:rPr>
        <w:t>岁。</w:t>
      </w:r>
    </w:p>
    <w:p w:rsidR="00000000" w:rsidRDefault="00000000">
      <w:pPr>
        <w:rPr>
          <w:rFonts w:hint="eastAsia"/>
        </w:rPr>
      </w:pPr>
      <w:r>
        <w:rPr>
          <w:rFonts w:hint="eastAsia"/>
        </w:rPr>
        <w:tab/>
        <w:t xml:space="preserve">231.  </w:t>
      </w:r>
      <w:r>
        <w:rPr>
          <w:rFonts w:hint="eastAsia"/>
        </w:rPr>
        <w:t>关于被抚养儿童的免税额，每个残疾儿童的扣减数额为</w:t>
      </w:r>
      <w:r>
        <w:rPr>
          <w:rFonts w:hint="eastAsia"/>
        </w:rPr>
        <w:t>774.69</w:t>
      </w:r>
      <w:r>
        <w:rPr>
          <w:rFonts w:hint="eastAsia"/>
        </w:rPr>
        <w:t>欧元。</w:t>
      </w:r>
    </w:p>
    <w:p w:rsidR="00000000" w:rsidRDefault="00000000">
      <w:pPr>
        <w:spacing w:after="320"/>
        <w:rPr>
          <w:rFonts w:hint="eastAsia"/>
        </w:rPr>
      </w:pPr>
      <w:r>
        <w:rPr>
          <w:rFonts w:hint="eastAsia"/>
        </w:rPr>
        <w:tab/>
        <w:t>232.  2002</w:t>
      </w:r>
      <w:r>
        <w:rPr>
          <w:rFonts w:hint="eastAsia"/>
        </w:rPr>
        <w:t>年的《财政法》还规定聋哑人口译服务费的</w:t>
      </w:r>
      <w:r>
        <w:rPr>
          <w:rFonts w:hint="eastAsia"/>
        </w:rPr>
        <w:t>19%</w:t>
      </w:r>
      <w:r>
        <w:rPr>
          <w:rFonts w:hint="eastAsia"/>
        </w:rPr>
        <w:t>可以扣减。为执行第</w:t>
      </w:r>
      <w:r>
        <w:rPr>
          <w:rFonts w:hint="eastAsia"/>
        </w:rPr>
        <w:t>388/2000</w:t>
      </w:r>
      <w:r>
        <w:rPr>
          <w:rFonts w:hint="eastAsia"/>
        </w:rPr>
        <w:t>号法律</w:t>
      </w:r>
      <w:r>
        <w:rPr>
          <w:rFonts w:hint="eastAsia"/>
        </w:rPr>
        <w:t>(</w:t>
      </w:r>
      <w:r>
        <w:rPr>
          <w:rFonts w:hint="eastAsia"/>
        </w:rPr>
        <w:t>《</w:t>
      </w:r>
      <w:r>
        <w:rPr>
          <w:rFonts w:hint="eastAsia"/>
        </w:rPr>
        <w:t>2001</w:t>
      </w:r>
      <w:r>
        <w:rPr>
          <w:rFonts w:hint="eastAsia"/>
        </w:rPr>
        <w:t>年财政法》</w:t>
      </w:r>
      <w:r>
        <w:rPr>
          <w:rFonts w:hint="eastAsia"/>
        </w:rPr>
        <w:t>)</w:t>
      </w:r>
      <w:r>
        <w:rPr>
          <w:rFonts w:hint="eastAsia"/>
        </w:rPr>
        <w:t>第</w:t>
      </w:r>
      <w:r>
        <w:rPr>
          <w:rFonts w:hint="eastAsia"/>
        </w:rPr>
        <w:t>80</w:t>
      </w:r>
      <w:r>
        <w:rPr>
          <w:rFonts w:hint="eastAsia"/>
        </w:rPr>
        <w:t>条第</w:t>
      </w:r>
      <w:r>
        <w:rPr>
          <w:rFonts w:hint="eastAsia"/>
        </w:rPr>
        <w:t>3</w:t>
      </w:r>
      <w:r>
        <w:rPr>
          <w:rFonts w:hint="eastAsia"/>
        </w:rPr>
        <w:t>款，自</w:t>
      </w:r>
      <w:r>
        <w:rPr>
          <w:rFonts w:hint="eastAsia"/>
        </w:rPr>
        <w:t>2002</w:t>
      </w:r>
      <w:r>
        <w:rPr>
          <w:rFonts w:hint="eastAsia"/>
        </w:rPr>
        <w:t>年</w:t>
      </w:r>
      <w:r>
        <w:rPr>
          <w:rFonts w:hint="eastAsia"/>
        </w:rPr>
        <w:t>1</w:t>
      </w:r>
      <w:r>
        <w:rPr>
          <w:rFonts w:hint="eastAsia"/>
        </w:rPr>
        <w:t>月</w:t>
      </w:r>
      <w:r>
        <w:rPr>
          <w:rFonts w:hint="eastAsia"/>
        </w:rPr>
        <w:t>1</w:t>
      </w:r>
      <w:r>
        <w:rPr>
          <w:rFonts w:hint="eastAsia"/>
        </w:rPr>
        <w:t>日起生效，</w:t>
      </w:r>
      <w:r>
        <w:rPr>
          <w:rFonts w:hint="eastAsia"/>
        </w:rPr>
        <w:t xml:space="preserve"> </w:t>
      </w:r>
      <w:r>
        <w:rPr>
          <w:rFonts w:hint="eastAsia"/>
        </w:rPr>
        <w:t>聋哑工人和</w:t>
      </w:r>
      <w:r>
        <w:rPr>
          <w:rFonts w:hint="eastAsia"/>
        </w:rPr>
        <w:t>74%</w:t>
      </w:r>
      <w:r>
        <w:rPr>
          <w:rFonts w:hint="eastAsia"/>
        </w:rPr>
        <w:t>以上残疾的工人可自己要求得到名义国家保险缴费期，每个实际工作年度可达两个月，最多为五年。</w:t>
      </w:r>
    </w:p>
    <w:p w:rsidR="00000000" w:rsidRDefault="00000000">
      <w:pPr>
        <w:pStyle w:val="Heading4"/>
        <w:rPr>
          <w:rFonts w:hint="eastAsia"/>
        </w:rPr>
      </w:pPr>
      <w:r>
        <w:rPr>
          <w:rFonts w:hint="eastAsia"/>
        </w:rPr>
        <w:t>目前正在进行的活动和倡议</w:t>
      </w:r>
    </w:p>
    <w:p w:rsidR="00000000" w:rsidRDefault="00000000">
      <w:pPr>
        <w:rPr>
          <w:rFonts w:hint="eastAsia"/>
        </w:rPr>
      </w:pPr>
      <w:r>
        <w:rPr>
          <w:rFonts w:hint="eastAsia"/>
        </w:rPr>
        <w:tab/>
        <w:t xml:space="preserve">233.  </w:t>
      </w:r>
      <w:r>
        <w:rPr>
          <w:rFonts w:hint="eastAsia"/>
        </w:rPr>
        <w:t>政府提出的各项倡议还包括由劳动和社会政策部提供的免费电话服务</w:t>
      </w:r>
      <w:r>
        <w:rPr>
          <w:rFonts w:hint="eastAsia"/>
        </w:rPr>
        <w:t>(</w:t>
      </w:r>
      <w:r>
        <w:rPr>
          <w:rFonts w:hint="eastAsia"/>
        </w:rPr>
        <w:t>电话号码</w:t>
      </w:r>
      <w:r>
        <w:rPr>
          <w:rFonts w:hint="eastAsia"/>
        </w:rPr>
        <w:t>840002244)</w:t>
      </w:r>
      <w:r>
        <w:rPr>
          <w:rFonts w:hint="eastAsia"/>
        </w:rPr>
        <w:t>，为公共和地方机构、协会、私营社会机构、家庭和公众个人提供咨询和其他服务。</w:t>
      </w:r>
    </w:p>
    <w:p w:rsidR="00000000" w:rsidRDefault="00000000">
      <w:pPr>
        <w:spacing w:after="320"/>
        <w:rPr>
          <w:rFonts w:hint="eastAsia"/>
        </w:rPr>
      </w:pPr>
      <w:r>
        <w:rPr>
          <w:rFonts w:hint="eastAsia"/>
        </w:rPr>
        <w:tab/>
        <w:t xml:space="preserve">234.  </w:t>
      </w:r>
      <w:r>
        <w:rPr>
          <w:rFonts w:hint="eastAsia"/>
        </w:rPr>
        <w:t>关于更严格的与就业相关和保护残疾人平等机会方面，以下规定、活动和倡议值得关注：</w:t>
      </w:r>
    </w:p>
    <w:p w:rsidR="00000000" w:rsidRDefault="00000000">
      <w:pPr>
        <w:pStyle w:val="Heading4"/>
        <w:rPr>
          <w:rFonts w:hint="eastAsia"/>
        </w:rPr>
      </w:pPr>
      <w:r>
        <w:rPr>
          <w:rFonts w:hint="eastAsia"/>
        </w:rPr>
        <w:t>规定和程序</w:t>
      </w:r>
    </w:p>
    <w:p w:rsidR="00000000" w:rsidRDefault="00000000">
      <w:pPr>
        <w:rPr>
          <w:rFonts w:hint="eastAsia"/>
        </w:rPr>
      </w:pPr>
      <w:r>
        <w:rPr>
          <w:rFonts w:hint="eastAsia"/>
        </w:rPr>
        <w:tab/>
      </w:r>
      <w:r>
        <w:rPr>
          <w:rFonts w:hint="eastAsia"/>
        </w:rPr>
        <w:t>为执行载有“关于残疾人工作权利的规定”的第</w:t>
      </w:r>
      <w:r>
        <w:rPr>
          <w:rFonts w:hint="eastAsia"/>
        </w:rPr>
        <w:t>68/1999</w:t>
      </w:r>
      <w:r>
        <w:rPr>
          <w:rFonts w:hint="eastAsia"/>
        </w:rPr>
        <w:t>号法律，颁布了以下规定：</w:t>
      </w:r>
    </w:p>
    <w:p w:rsidR="00000000" w:rsidRDefault="00000000">
      <w:pPr>
        <w:pStyle w:val="a0"/>
        <w:tabs>
          <w:tab w:val="num" w:pos="1550"/>
        </w:tabs>
        <w:ind w:left="1550"/>
        <w:rPr>
          <w:rFonts w:hint="eastAsia"/>
        </w:rPr>
      </w:pPr>
      <w:r>
        <w:rPr>
          <w:rFonts w:hint="eastAsia"/>
        </w:rPr>
        <w:t>《劳动和社会政策部、地区和</w:t>
      </w:r>
      <w:r>
        <w:t>Trento</w:t>
      </w:r>
      <w:r>
        <w:rPr>
          <w:rFonts w:hint="eastAsia"/>
        </w:rPr>
        <w:t>和</w:t>
      </w:r>
      <w:r>
        <w:t>Bolzano</w:t>
      </w:r>
      <w:r>
        <w:rPr>
          <w:rFonts w:hint="eastAsia"/>
        </w:rPr>
        <w:t>自治省、山地社区和城市就公约的规定达成的协议》；</w:t>
      </w:r>
    </w:p>
    <w:p w:rsidR="00000000" w:rsidRDefault="00000000">
      <w:pPr>
        <w:pStyle w:val="a0"/>
        <w:tabs>
          <w:tab w:val="num" w:pos="1550"/>
        </w:tabs>
        <w:spacing w:after="320"/>
        <w:ind w:left="1550"/>
        <w:rPr>
          <w:rFonts w:hint="eastAsia"/>
        </w:rPr>
      </w:pPr>
      <w:r>
        <w:rPr>
          <w:rFonts w:hint="eastAsia"/>
        </w:rPr>
        <w:t>2001</w:t>
      </w:r>
      <w:r>
        <w:rPr>
          <w:rFonts w:hint="eastAsia"/>
        </w:rPr>
        <w:t>年</w:t>
      </w:r>
      <w:r>
        <w:rPr>
          <w:rFonts w:hint="eastAsia"/>
        </w:rPr>
        <w:t>7</w:t>
      </w:r>
      <w:r>
        <w:rPr>
          <w:rFonts w:hint="eastAsia"/>
        </w:rPr>
        <w:t>月的法令载有“</w:t>
      </w:r>
      <w:r>
        <w:rPr>
          <w:rFonts w:hint="eastAsia"/>
        </w:rPr>
        <w:t>2001</w:t>
      </w:r>
      <w:r>
        <w:rPr>
          <w:rFonts w:hint="eastAsia"/>
        </w:rPr>
        <w:t>年第</w:t>
      </w:r>
      <w:r>
        <w:rPr>
          <w:rFonts w:hint="eastAsia"/>
        </w:rPr>
        <w:t>68/1999</w:t>
      </w:r>
      <w:r>
        <w:rPr>
          <w:rFonts w:hint="eastAsia"/>
        </w:rPr>
        <w:t>号法律第</w:t>
      </w:r>
      <w:r>
        <w:rPr>
          <w:rFonts w:hint="eastAsia"/>
        </w:rPr>
        <w:t>13</w:t>
      </w:r>
      <w:r>
        <w:rPr>
          <w:rFonts w:hint="eastAsia"/>
        </w:rPr>
        <w:t>条第</w:t>
      </w:r>
      <w:r>
        <w:rPr>
          <w:rFonts w:hint="eastAsia"/>
        </w:rPr>
        <w:t>4</w:t>
      </w:r>
      <w:r>
        <w:rPr>
          <w:rFonts w:hint="eastAsia"/>
        </w:rPr>
        <w:t>款规定的残疾人工作权利方面的财政资源在各地区之间的划分”。</w:t>
      </w:r>
    </w:p>
    <w:p w:rsidR="00000000" w:rsidRDefault="00000000">
      <w:pPr>
        <w:pStyle w:val="Heading4"/>
        <w:rPr>
          <w:rFonts w:hint="eastAsia"/>
        </w:rPr>
      </w:pPr>
      <w:r>
        <w:rPr>
          <w:rFonts w:hint="eastAsia"/>
        </w:rPr>
        <w:t>通</w:t>
      </w:r>
      <w:r>
        <w:rPr>
          <w:rFonts w:hint="eastAsia"/>
        </w:rPr>
        <w:t xml:space="preserve">  </w:t>
      </w:r>
      <w:r>
        <w:rPr>
          <w:rFonts w:hint="eastAsia"/>
        </w:rPr>
        <w:t>告</w:t>
      </w:r>
    </w:p>
    <w:p w:rsidR="00000000" w:rsidRDefault="00000000">
      <w:pPr>
        <w:pStyle w:val="a0"/>
        <w:tabs>
          <w:tab w:val="num" w:pos="1550"/>
        </w:tabs>
        <w:ind w:left="1550"/>
        <w:rPr>
          <w:rFonts w:hint="eastAsia"/>
        </w:rPr>
      </w:pPr>
      <w:r>
        <w:rPr>
          <w:rFonts w:hint="eastAsia"/>
        </w:rPr>
        <w:t>2001</w:t>
      </w:r>
      <w:r>
        <w:rPr>
          <w:rFonts w:hint="eastAsia"/>
        </w:rPr>
        <w:t>年</w:t>
      </w:r>
      <w:r>
        <w:rPr>
          <w:rFonts w:hint="eastAsia"/>
        </w:rPr>
        <w:t>10</w:t>
      </w:r>
      <w:r>
        <w:rPr>
          <w:rFonts w:hint="eastAsia"/>
        </w:rPr>
        <w:t>月</w:t>
      </w:r>
      <w:r>
        <w:rPr>
          <w:rFonts w:hint="eastAsia"/>
        </w:rPr>
        <w:t>11</w:t>
      </w:r>
      <w:r>
        <w:rPr>
          <w:rFonts w:hint="eastAsia"/>
        </w:rPr>
        <w:t>日关于“义务雇用。第</w:t>
      </w:r>
      <w:r>
        <w:rPr>
          <w:rFonts w:hint="eastAsia"/>
        </w:rPr>
        <w:t>68/1999</w:t>
      </w:r>
      <w:r>
        <w:rPr>
          <w:rFonts w:hint="eastAsia"/>
        </w:rPr>
        <w:t>号法律</w:t>
      </w:r>
      <w:r>
        <w:rPr>
          <w:rFonts w:hint="eastAsia"/>
          <w:spacing w:val="-50"/>
        </w:rPr>
        <w:t>―</w:t>
      </w:r>
      <w:r>
        <w:rPr>
          <w:rFonts w:hint="eastAsia"/>
        </w:rPr>
        <w:t>―申请地域补偿和部分减免”的通告；</w:t>
      </w:r>
    </w:p>
    <w:p w:rsidR="00000000" w:rsidRDefault="00000000">
      <w:pPr>
        <w:pStyle w:val="a0"/>
        <w:tabs>
          <w:tab w:val="num" w:pos="1550"/>
        </w:tabs>
        <w:ind w:left="1550"/>
        <w:rPr>
          <w:rFonts w:hint="eastAsia"/>
        </w:rPr>
      </w:pPr>
      <w:r>
        <w:rPr>
          <w:rFonts w:hint="eastAsia"/>
        </w:rPr>
        <w:t>2001</w:t>
      </w:r>
      <w:r>
        <w:rPr>
          <w:rFonts w:hint="eastAsia"/>
        </w:rPr>
        <w:t>年</w:t>
      </w:r>
      <w:r>
        <w:rPr>
          <w:rFonts w:hint="eastAsia"/>
        </w:rPr>
        <w:t>10</w:t>
      </w:r>
      <w:r>
        <w:rPr>
          <w:rFonts w:hint="eastAsia"/>
        </w:rPr>
        <w:t>月</w:t>
      </w:r>
      <w:r>
        <w:rPr>
          <w:rFonts w:hint="eastAsia"/>
        </w:rPr>
        <w:t>10</w:t>
      </w:r>
      <w:r>
        <w:rPr>
          <w:rFonts w:hint="eastAsia"/>
        </w:rPr>
        <w:t>日关于“对公约问题的回应</w:t>
      </w:r>
      <w:r>
        <w:rPr>
          <w:rFonts w:hint="eastAsia"/>
          <w:spacing w:val="-50"/>
        </w:rPr>
        <w:t>―</w:t>
      </w:r>
      <w:r>
        <w:rPr>
          <w:rFonts w:hint="eastAsia"/>
        </w:rPr>
        <w:t>―第</w:t>
      </w:r>
      <w:r>
        <w:rPr>
          <w:rFonts w:hint="eastAsia"/>
        </w:rPr>
        <w:t>68/1999</w:t>
      </w:r>
      <w:r>
        <w:rPr>
          <w:rFonts w:hint="eastAsia"/>
        </w:rPr>
        <w:t>号法律，第</w:t>
      </w:r>
      <w:r>
        <w:rPr>
          <w:rFonts w:hint="eastAsia"/>
        </w:rPr>
        <w:t>11.2</w:t>
      </w:r>
      <w:r>
        <w:rPr>
          <w:rFonts w:hint="eastAsia"/>
        </w:rPr>
        <w:t>条”的通告；</w:t>
      </w:r>
    </w:p>
    <w:p w:rsidR="00000000" w:rsidRDefault="00000000">
      <w:pPr>
        <w:pStyle w:val="a0"/>
        <w:tabs>
          <w:tab w:val="num" w:pos="1550"/>
        </w:tabs>
        <w:ind w:left="1550"/>
        <w:rPr>
          <w:rFonts w:hint="eastAsia"/>
        </w:rPr>
      </w:pPr>
      <w:r>
        <w:rPr>
          <w:rFonts w:hint="eastAsia"/>
        </w:rPr>
        <w:t>2001</w:t>
      </w:r>
      <w:r>
        <w:rPr>
          <w:rFonts w:hint="eastAsia"/>
        </w:rPr>
        <w:t>年</w:t>
      </w:r>
      <w:r>
        <w:rPr>
          <w:rFonts w:hint="eastAsia"/>
        </w:rPr>
        <w:t>8</w:t>
      </w:r>
      <w:r>
        <w:rPr>
          <w:rFonts w:hint="eastAsia"/>
        </w:rPr>
        <w:t>月</w:t>
      </w:r>
      <w:r>
        <w:rPr>
          <w:rFonts w:hint="eastAsia"/>
        </w:rPr>
        <w:t>6</w:t>
      </w:r>
      <w:r>
        <w:rPr>
          <w:rFonts w:hint="eastAsia"/>
        </w:rPr>
        <w:t>日关于“义务雇用。经营清洁服务和综合服务的公司”的第</w:t>
      </w:r>
      <w:r>
        <w:rPr>
          <w:rFonts w:hint="eastAsia"/>
        </w:rPr>
        <w:t>77</w:t>
      </w:r>
      <w:r>
        <w:rPr>
          <w:rFonts w:hint="eastAsia"/>
        </w:rPr>
        <w:t>号通告；</w:t>
      </w:r>
    </w:p>
    <w:p w:rsidR="00000000" w:rsidRDefault="00000000">
      <w:pPr>
        <w:pStyle w:val="a0"/>
        <w:tabs>
          <w:tab w:val="num" w:pos="1550"/>
        </w:tabs>
        <w:ind w:left="1550"/>
        <w:rPr>
          <w:rFonts w:hint="eastAsia"/>
        </w:rPr>
      </w:pPr>
      <w:r>
        <w:rPr>
          <w:rFonts w:hint="eastAsia"/>
        </w:rPr>
        <w:t>2001</w:t>
      </w:r>
      <w:r>
        <w:rPr>
          <w:rFonts w:hint="eastAsia"/>
        </w:rPr>
        <w:t>年</w:t>
      </w:r>
      <w:r>
        <w:rPr>
          <w:rFonts w:hint="eastAsia"/>
        </w:rPr>
        <w:t>7</w:t>
      </w:r>
      <w:r>
        <w:rPr>
          <w:rFonts w:hint="eastAsia"/>
        </w:rPr>
        <w:t>月</w:t>
      </w:r>
      <w:r>
        <w:rPr>
          <w:rFonts w:hint="eastAsia"/>
        </w:rPr>
        <w:t>20</w:t>
      </w:r>
      <w:r>
        <w:rPr>
          <w:rFonts w:hint="eastAsia"/>
        </w:rPr>
        <w:t>日关于“第</w:t>
      </w:r>
      <w:r>
        <w:rPr>
          <w:rFonts w:hint="eastAsia"/>
        </w:rPr>
        <w:t>68/1999</w:t>
      </w:r>
      <w:r>
        <w:rPr>
          <w:rFonts w:hint="eastAsia"/>
        </w:rPr>
        <w:t>号法律第</w:t>
      </w:r>
      <w:r>
        <w:rPr>
          <w:rFonts w:hint="eastAsia"/>
        </w:rPr>
        <w:t>68</w:t>
      </w:r>
      <w:r>
        <w:rPr>
          <w:rFonts w:hint="eastAsia"/>
        </w:rPr>
        <w:t>号第</w:t>
      </w:r>
      <w:r>
        <w:rPr>
          <w:rFonts w:hint="eastAsia"/>
        </w:rPr>
        <w:t>4</w:t>
      </w:r>
      <w:r>
        <w:rPr>
          <w:rFonts w:hint="eastAsia"/>
        </w:rPr>
        <w:t>条</w:t>
      </w:r>
      <w:r>
        <w:rPr>
          <w:rFonts w:hint="eastAsia"/>
          <w:spacing w:val="-50"/>
        </w:rPr>
        <w:t>―</w:t>
      </w:r>
      <w:r>
        <w:rPr>
          <w:rFonts w:hint="eastAsia"/>
        </w:rPr>
        <w:t>―私营保安机构”的通告；</w:t>
      </w:r>
    </w:p>
    <w:p w:rsidR="00000000" w:rsidRDefault="00000000">
      <w:pPr>
        <w:pStyle w:val="a0"/>
        <w:tabs>
          <w:tab w:val="num" w:pos="1550"/>
        </w:tabs>
        <w:ind w:left="1550"/>
        <w:rPr>
          <w:rFonts w:hint="eastAsia"/>
        </w:rPr>
      </w:pPr>
      <w:r>
        <w:rPr>
          <w:rFonts w:hint="eastAsia"/>
        </w:rPr>
        <w:t>2001</w:t>
      </w:r>
      <w:r>
        <w:rPr>
          <w:rFonts w:hint="eastAsia"/>
        </w:rPr>
        <w:t>年</w:t>
      </w:r>
      <w:r>
        <w:rPr>
          <w:rFonts w:hint="eastAsia"/>
        </w:rPr>
        <w:t>7</w:t>
      </w:r>
      <w:r>
        <w:rPr>
          <w:rFonts w:hint="eastAsia"/>
        </w:rPr>
        <w:t>月</w:t>
      </w:r>
      <w:r>
        <w:rPr>
          <w:rFonts w:hint="eastAsia"/>
        </w:rPr>
        <w:t>10</w:t>
      </w:r>
      <w:r>
        <w:rPr>
          <w:rFonts w:hint="eastAsia"/>
        </w:rPr>
        <w:t>日关于“义务雇用。体检和无工作能力补贴操作指南”的第</w:t>
      </w:r>
      <w:r>
        <w:rPr>
          <w:rFonts w:hint="eastAsia"/>
        </w:rPr>
        <w:t>66</w:t>
      </w:r>
      <w:r>
        <w:rPr>
          <w:rFonts w:hint="eastAsia"/>
        </w:rPr>
        <w:t>号通告；</w:t>
      </w:r>
    </w:p>
    <w:p w:rsidR="00000000" w:rsidRDefault="00000000">
      <w:pPr>
        <w:pStyle w:val="a0"/>
        <w:tabs>
          <w:tab w:val="num" w:pos="1550"/>
        </w:tabs>
        <w:ind w:left="1550"/>
        <w:rPr>
          <w:rFonts w:hint="eastAsia"/>
        </w:rPr>
      </w:pPr>
      <w:r>
        <w:rPr>
          <w:rFonts w:hint="eastAsia"/>
        </w:rPr>
        <w:t>2001</w:t>
      </w:r>
      <w:r>
        <w:rPr>
          <w:rFonts w:hint="eastAsia"/>
        </w:rPr>
        <w:t>年</w:t>
      </w:r>
      <w:r>
        <w:rPr>
          <w:rFonts w:hint="eastAsia"/>
        </w:rPr>
        <w:t>5</w:t>
      </w:r>
      <w:r>
        <w:rPr>
          <w:rFonts w:hint="eastAsia"/>
        </w:rPr>
        <w:t>月</w:t>
      </w:r>
      <w:r>
        <w:rPr>
          <w:rFonts w:hint="eastAsia"/>
        </w:rPr>
        <w:t>28</w:t>
      </w:r>
      <w:r>
        <w:rPr>
          <w:rFonts w:hint="eastAsia"/>
        </w:rPr>
        <w:t>日关于“第</w:t>
      </w:r>
      <w:r>
        <w:rPr>
          <w:rFonts w:hint="eastAsia"/>
        </w:rPr>
        <w:t>113/1985</w:t>
      </w:r>
      <w:r>
        <w:rPr>
          <w:rFonts w:hint="eastAsia"/>
        </w:rPr>
        <w:t>号法律</w:t>
      </w:r>
      <w:r>
        <w:rPr>
          <w:rFonts w:hint="eastAsia"/>
          <w:spacing w:val="-50"/>
        </w:rPr>
        <w:t>―</w:t>
      </w:r>
      <w:r>
        <w:rPr>
          <w:rFonts w:hint="eastAsia"/>
        </w:rPr>
        <w:t>―义务雇用盲人电话接线员”的通告函；</w:t>
      </w:r>
    </w:p>
    <w:p w:rsidR="00000000" w:rsidRDefault="00000000">
      <w:pPr>
        <w:pStyle w:val="a0"/>
        <w:tabs>
          <w:tab w:val="num" w:pos="1550"/>
        </w:tabs>
        <w:ind w:left="1550"/>
        <w:rPr>
          <w:rFonts w:hint="eastAsia"/>
        </w:rPr>
      </w:pPr>
      <w:r>
        <w:rPr>
          <w:rFonts w:hint="eastAsia"/>
        </w:rPr>
        <w:t>2001</w:t>
      </w:r>
      <w:r>
        <w:rPr>
          <w:rFonts w:hint="eastAsia"/>
        </w:rPr>
        <w:t>年</w:t>
      </w:r>
      <w:r>
        <w:rPr>
          <w:rFonts w:hint="eastAsia"/>
        </w:rPr>
        <w:t>5</w:t>
      </w:r>
      <w:r>
        <w:rPr>
          <w:rFonts w:hint="eastAsia"/>
        </w:rPr>
        <w:t>月</w:t>
      </w:r>
      <w:r>
        <w:rPr>
          <w:rFonts w:hint="eastAsia"/>
        </w:rPr>
        <w:t>8</w:t>
      </w:r>
      <w:r>
        <w:rPr>
          <w:rFonts w:hint="eastAsia"/>
        </w:rPr>
        <w:t>日关于“第</w:t>
      </w:r>
      <w:r>
        <w:rPr>
          <w:rFonts w:hint="eastAsia"/>
        </w:rPr>
        <w:t>468/1997</w:t>
      </w:r>
      <w:r>
        <w:rPr>
          <w:rFonts w:hint="eastAsia"/>
        </w:rPr>
        <w:t>号法令，第</w:t>
      </w:r>
      <w:r>
        <w:rPr>
          <w:rFonts w:hint="eastAsia"/>
        </w:rPr>
        <w:t>2</w:t>
      </w:r>
      <w:r>
        <w:rPr>
          <w:rFonts w:hint="eastAsia"/>
        </w:rPr>
        <w:t>条</w:t>
      </w:r>
      <w:r>
        <w:rPr>
          <w:rFonts w:hint="eastAsia"/>
          <w:spacing w:val="-50"/>
        </w:rPr>
        <w:t>―</w:t>
      </w:r>
      <w:r>
        <w:rPr>
          <w:rFonts w:hint="eastAsia"/>
        </w:rPr>
        <w:t>―第</w:t>
      </w:r>
      <w:r>
        <w:rPr>
          <w:rFonts w:hint="eastAsia"/>
        </w:rPr>
        <w:t>68/1999</w:t>
      </w:r>
      <w:r>
        <w:rPr>
          <w:rFonts w:hint="eastAsia"/>
        </w:rPr>
        <w:t>号法律，第</w:t>
      </w:r>
      <w:r>
        <w:rPr>
          <w:rFonts w:hint="eastAsia"/>
        </w:rPr>
        <w:t>6</w:t>
      </w:r>
      <w:r>
        <w:rPr>
          <w:rFonts w:hint="eastAsia"/>
        </w:rPr>
        <w:t>条。招聘残疾人的委员会的组成”的通告；</w:t>
      </w:r>
    </w:p>
    <w:p w:rsidR="00000000" w:rsidRDefault="00000000">
      <w:pPr>
        <w:pStyle w:val="a0"/>
        <w:tabs>
          <w:tab w:val="num" w:pos="1550"/>
        </w:tabs>
        <w:ind w:left="1550"/>
        <w:rPr>
          <w:rFonts w:hint="eastAsia"/>
        </w:rPr>
      </w:pPr>
      <w:r>
        <w:rPr>
          <w:rFonts w:hint="eastAsia"/>
        </w:rPr>
        <w:t>2001</w:t>
      </w:r>
      <w:r>
        <w:rPr>
          <w:rFonts w:hint="eastAsia"/>
        </w:rPr>
        <w:t>年</w:t>
      </w:r>
      <w:r>
        <w:rPr>
          <w:rFonts w:hint="eastAsia"/>
        </w:rPr>
        <w:t>4</w:t>
      </w:r>
      <w:r>
        <w:rPr>
          <w:rFonts w:hint="eastAsia"/>
        </w:rPr>
        <w:t>月</w:t>
      </w:r>
      <w:r>
        <w:rPr>
          <w:rFonts w:hint="eastAsia"/>
        </w:rPr>
        <w:t>23</w:t>
      </w:r>
      <w:r>
        <w:rPr>
          <w:rFonts w:hint="eastAsia"/>
        </w:rPr>
        <w:t>日关于“第</w:t>
      </w:r>
      <w:r>
        <w:rPr>
          <w:rFonts w:hint="eastAsia"/>
        </w:rPr>
        <w:t>468/1997</w:t>
      </w:r>
      <w:r>
        <w:rPr>
          <w:rFonts w:hint="eastAsia"/>
        </w:rPr>
        <w:t>号法令，第</w:t>
      </w:r>
      <w:r>
        <w:rPr>
          <w:rFonts w:hint="eastAsia"/>
        </w:rPr>
        <w:t>6.2</w:t>
      </w:r>
      <w:r>
        <w:rPr>
          <w:rFonts w:hint="eastAsia"/>
        </w:rPr>
        <w:t>条</w:t>
      </w:r>
      <w:r>
        <w:rPr>
          <w:rFonts w:hint="eastAsia"/>
          <w:spacing w:val="-50"/>
        </w:rPr>
        <w:t>―</w:t>
      </w:r>
      <w:r>
        <w:rPr>
          <w:rFonts w:hint="eastAsia"/>
        </w:rPr>
        <w:t>―第</w:t>
      </w:r>
      <w:r>
        <w:rPr>
          <w:rFonts w:hint="eastAsia"/>
        </w:rPr>
        <w:t>68/1999</w:t>
      </w:r>
      <w:r>
        <w:rPr>
          <w:rFonts w:hint="eastAsia"/>
        </w:rPr>
        <w:t>号法律，第</w:t>
      </w:r>
      <w:r>
        <w:rPr>
          <w:rFonts w:hint="eastAsia"/>
        </w:rPr>
        <w:t>6</w:t>
      </w:r>
      <w:r>
        <w:rPr>
          <w:rFonts w:hint="eastAsia"/>
        </w:rPr>
        <w:t>条。招聘残疾人的委员会的组成”的通告；</w:t>
      </w:r>
    </w:p>
    <w:p w:rsidR="00000000" w:rsidRDefault="00000000">
      <w:pPr>
        <w:pStyle w:val="a0"/>
        <w:tabs>
          <w:tab w:val="num" w:pos="1550"/>
        </w:tabs>
        <w:ind w:left="1550"/>
        <w:rPr>
          <w:rFonts w:hint="eastAsia"/>
        </w:rPr>
      </w:pPr>
      <w:r>
        <w:rPr>
          <w:rFonts w:hint="eastAsia"/>
        </w:rPr>
        <w:t>2001</w:t>
      </w:r>
      <w:r>
        <w:rPr>
          <w:rFonts w:hint="eastAsia"/>
        </w:rPr>
        <w:t>年</w:t>
      </w:r>
      <w:r>
        <w:rPr>
          <w:rFonts w:hint="eastAsia"/>
        </w:rPr>
        <w:t>4</w:t>
      </w:r>
      <w:r>
        <w:rPr>
          <w:rFonts w:hint="eastAsia"/>
        </w:rPr>
        <w:t>月</w:t>
      </w:r>
      <w:r>
        <w:rPr>
          <w:rFonts w:hint="eastAsia"/>
        </w:rPr>
        <w:t>23</w:t>
      </w:r>
      <w:r>
        <w:rPr>
          <w:rFonts w:hint="eastAsia"/>
        </w:rPr>
        <w:t>日关于“第</w:t>
      </w:r>
      <w:r>
        <w:rPr>
          <w:rFonts w:hint="eastAsia"/>
        </w:rPr>
        <w:t>357/2000</w:t>
      </w:r>
      <w:r>
        <w:rPr>
          <w:rFonts w:hint="eastAsia"/>
        </w:rPr>
        <w:t>号规定。部分减免。关于口译问题的答复”的通告；</w:t>
      </w:r>
    </w:p>
    <w:p w:rsidR="00000000" w:rsidRDefault="00000000">
      <w:pPr>
        <w:pStyle w:val="a0"/>
        <w:tabs>
          <w:tab w:val="num" w:pos="1550"/>
        </w:tabs>
        <w:ind w:left="1550"/>
        <w:rPr>
          <w:rFonts w:hint="eastAsia"/>
        </w:rPr>
      </w:pPr>
      <w:r>
        <w:rPr>
          <w:rFonts w:hint="eastAsia"/>
        </w:rPr>
        <w:t>2001</w:t>
      </w:r>
      <w:r>
        <w:rPr>
          <w:rFonts w:hint="eastAsia"/>
        </w:rPr>
        <w:t>年</w:t>
      </w:r>
      <w:r>
        <w:rPr>
          <w:rFonts w:hint="eastAsia"/>
        </w:rPr>
        <w:t>4</w:t>
      </w:r>
      <w:r>
        <w:rPr>
          <w:rFonts w:hint="eastAsia"/>
        </w:rPr>
        <w:t>月</w:t>
      </w:r>
      <w:r>
        <w:rPr>
          <w:rFonts w:hint="eastAsia"/>
        </w:rPr>
        <w:t>3</w:t>
      </w:r>
      <w:r>
        <w:rPr>
          <w:rFonts w:hint="eastAsia"/>
        </w:rPr>
        <w:t>日关于“第</w:t>
      </w:r>
      <w:r>
        <w:rPr>
          <w:rFonts w:hint="eastAsia"/>
        </w:rPr>
        <w:t>68/1999</w:t>
      </w:r>
      <w:r>
        <w:rPr>
          <w:rFonts w:hint="eastAsia"/>
        </w:rPr>
        <w:t>号法律</w:t>
      </w:r>
      <w:r>
        <w:rPr>
          <w:rFonts w:hint="eastAsia"/>
          <w:spacing w:val="-50"/>
        </w:rPr>
        <w:t>―</w:t>
      </w:r>
      <w:r>
        <w:rPr>
          <w:rFonts w:hint="eastAsia"/>
        </w:rPr>
        <w:t>―第</w:t>
      </w:r>
      <w:r>
        <w:rPr>
          <w:rFonts w:hint="eastAsia"/>
        </w:rPr>
        <w:t>5.3</w:t>
      </w:r>
      <w:r>
        <w:rPr>
          <w:rFonts w:hint="eastAsia"/>
        </w:rPr>
        <w:t>条</w:t>
      </w:r>
      <w:r>
        <w:rPr>
          <w:rFonts w:hint="eastAsia"/>
          <w:spacing w:val="-50"/>
        </w:rPr>
        <w:t>―</w:t>
      </w:r>
      <w:r>
        <w:rPr>
          <w:rFonts w:hint="eastAsia"/>
        </w:rPr>
        <w:t>―部分减免</w:t>
      </w:r>
      <w:r>
        <w:rPr>
          <w:rFonts w:hint="eastAsia"/>
          <w:spacing w:val="-50"/>
        </w:rPr>
        <w:t>―</w:t>
      </w:r>
      <w:r>
        <w:rPr>
          <w:rFonts w:hint="eastAsia"/>
        </w:rPr>
        <w:t>―雇用</w:t>
      </w:r>
      <w:r>
        <w:rPr>
          <w:rFonts w:hint="eastAsia"/>
        </w:rPr>
        <w:t>15</w:t>
      </w:r>
      <w:r>
        <w:rPr>
          <w:rFonts w:hint="eastAsia"/>
        </w:rPr>
        <w:t>至</w:t>
      </w:r>
      <w:r>
        <w:rPr>
          <w:rFonts w:hint="eastAsia"/>
        </w:rPr>
        <w:t>35</w:t>
      </w:r>
      <w:r>
        <w:rPr>
          <w:rFonts w:hint="eastAsia"/>
        </w:rPr>
        <w:t>个雇员的雇主”的通告；</w:t>
      </w:r>
    </w:p>
    <w:p w:rsidR="00000000" w:rsidRDefault="00000000">
      <w:pPr>
        <w:pStyle w:val="a0"/>
        <w:tabs>
          <w:tab w:val="num" w:pos="1550"/>
        </w:tabs>
        <w:ind w:left="1550"/>
        <w:rPr>
          <w:rFonts w:hint="eastAsia"/>
        </w:rPr>
      </w:pPr>
      <w:r>
        <w:rPr>
          <w:rFonts w:hint="eastAsia"/>
        </w:rPr>
        <w:t>2001</w:t>
      </w:r>
      <w:r>
        <w:rPr>
          <w:rFonts w:hint="eastAsia"/>
        </w:rPr>
        <w:t>年</w:t>
      </w:r>
      <w:r>
        <w:rPr>
          <w:rFonts w:hint="eastAsia"/>
        </w:rPr>
        <w:t>2</w:t>
      </w:r>
      <w:r>
        <w:rPr>
          <w:rFonts w:hint="eastAsia"/>
        </w:rPr>
        <w:t>月</w:t>
      </w:r>
      <w:r>
        <w:rPr>
          <w:rFonts w:hint="eastAsia"/>
        </w:rPr>
        <w:t>16</w:t>
      </w:r>
      <w:r>
        <w:rPr>
          <w:rFonts w:hint="eastAsia"/>
        </w:rPr>
        <w:t>日关于“残疾人的工作权利规定</w:t>
      </w:r>
      <w:r>
        <w:rPr>
          <w:rFonts w:hint="eastAsia"/>
        </w:rPr>
        <w:t>(</w:t>
      </w:r>
      <w:r>
        <w:rPr>
          <w:rFonts w:hint="eastAsia"/>
        </w:rPr>
        <w:t>第</w:t>
      </w:r>
      <w:r>
        <w:rPr>
          <w:rFonts w:hint="eastAsia"/>
        </w:rPr>
        <w:t>68/1999</w:t>
      </w:r>
      <w:r>
        <w:rPr>
          <w:rFonts w:hint="eastAsia"/>
        </w:rPr>
        <w:t>号法律</w:t>
      </w:r>
      <w:r>
        <w:rPr>
          <w:rFonts w:hint="eastAsia"/>
        </w:rPr>
        <w:t>)</w:t>
      </w:r>
      <w:r>
        <w:rPr>
          <w:rFonts w:hint="eastAsia"/>
        </w:rPr>
        <w:t>和有关执行规定</w:t>
      </w:r>
      <w:r>
        <w:rPr>
          <w:rFonts w:hint="eastAsia"/>
        </w:rPr>
        <w:t>(</w:t>
      </w:r>
      <w:r>
        <w:rPr>
          <w:rFonts w:hint="eastAsia"/>
        </w:rPr>
        <w:t>第</w:t>
      </w:r>
      <w:r>
        <w:rPr>
          <w:rFonts w:hint="eastAsia"/>
        </w:rPr>
        <w:t>333/2000</w:t>
      </w:r>
      <w:r>
        <w:rPr>
          <w:rFonts w:hint="eastAsia"/>
        </w:rPr>
        <w:t>号总统令</w:t>
      </w:r>
      <w:r>
        <w:rPr>
          <w:rFonts w:hint="eastAsia"/>
        </w:rPr>
        <w:t>)</w:t>
      </w:r>
      <w:r>
        <w:rPr>
          <w:rFonts w:hint="eastAsia"/>
        </w:rPr>
        <w:t>：处罚方面。操作方面的澄清”的通告；</w:t>
      </w:r>
    </w:p>
    <w:p w:rsidR="00000000" w:rsidRDefault="00000000">
      <w:pPr>
        <w:pStyle w:val="a0"/>
        <w:tabs>
          <w:tab w:val="num" w:pos="1550"/>
        </w:tabs>
        <w:spacing w:after="320"/>
        <w:ind w:left="1550"/>
        <w:rPr>
          <w:rFonts w:hint="eastAsia"/>
        </w:rPr>
      </w:pPr>
      <w:r>
        <w:rPr>
          <w:rFonts w:hint="eastAsia"/>
        </w:rPr>
        <w:t>2001</w:t>
      </w:r>
      <w:r>
        <w:rPr>
          <w:rFonts w:hint="eastAsia"/>
        </w:rPr>
        <w:t>年</w:t>
      </w:r>
      <w:r>
        <w:rPr>
          <w:rFonts w:hint="eastAsia"/>
        </w:rPr>
        <w:t>2</w:t>
      </w:r>
      <w:r>
        <w:rPr>
          <w:rFonts w:hint="eastAsia"/>
        </w:rPr>
        <w:t>月</w:t>
      </w:r>
      <w:r>
        <w:rPr>
          <w:rFonts w:hint="eastAsia"/>
        </w:rPr>
        <w:t>12</w:t>
      </w:r>
      <w:r>
        <w:rPr>
          <w:rFonts w:hint="eastAsia"/>
        </w:rPr>
        <w:t>日关于“第</w:t>
      </w:r>
      <w:r>
        <w:rPr>
          <w:rFonts w:hint="eastAsia"/>
        </w:rPr>
        <w:t>68/1999</w:t>
      </w:r>
      <w:r>
        <w:rPr>
          <w:rFonts w:hint="eastAsia"/>
        </w:rPr>
        <w:t>号法律。城市警察。储备额的计算”的通告函。</w:t>
      </w:r>
    </w:p>
    <w:p w:rsidR="00000000" w:rsidRDefault="00000000">
      <w:pPr>
        <w:pStyle w:val="Heading4"/>
        <w:rPr>
          <w:rFonts w:hint="eastAsia"/>
        </w:rPr>
      </w:pPr>
      <w:r>
        <w:rPr>
          <w:rFonts w:hint="eastAsia"/>
        </w:rPr>
        <w:t>残疾人的工作权利基金</w:t>
      </w:r>
    </w:p>
    <w:p w:rsidR="00000000" w:rsidRDefault="00000000">
      <w:pPr>
        <w:spacing w:after="320"/>
        <w:rPr>
          <w:rFonts w:hint="eastAsia"/>
        </w:rPr>
      </w:pPr>
      <w:r>
        <w:rPr>
          <w:rFonts w:hint="eastAsia"/>
        </w:rPr>
        <w:tab/>
        <w:t xml:space="preserve">235.  </w:t>
      </w:r>
      <w:r>
        <w:rPr>
          <w:rFonts w:hint="eastAsia"/>
        </w:rPr>
        <w:t>第</w:t>
      </w:r>
      <w:r>
        <w:rPr>
          <w:rFonts w:hint="eastAsia"/>
        </w:rPr>
        <w:t>68/1999</w:t>
      </w:r>
      <w:r>
        <w:rPr>
          <w:rFonts w:hint="eastAsia"/>
        </w:rPr>
        <w:t>号法律第</w:t>
      </w:r>
      <w:r>
        <w:rPr>
          <w:rFonts w:hint="eastAsia"/>
        </w:rPr>
        <w:t>13</w:t>
      </w:r>
      <w:r>
        <w:rPr>
          <w:rFonts w:hint="eastAsia"/>
        </w:rPr>
        <w:t>条第</w:t>
      </w:r>
      <w:r>
        <w:rPr>
          <w:rFonts w:hint="eastAsia"/>
        </w:rPr>
        <w:t>4</w:t>
      </w:r>
      <w:r>
        <w:rPr>
          <w:rFonts w:hint="eastAsia"/>
        </w:rPr>
        <w:t>款规定为残疾人的工作权利建立一个基金。基金数额达</w:t>
      </w:r>
      <w:r>
        <w:rPr>
          <w:rFonts w:hint="eastAsia"/>
        </w:rPr>
        <w:t>600</w:t>
      </w:r>
      <w:r>
        <w:rPr>
          <w:rFonts w:hint="eastAsia"/>
        </w:rPr>
        <w:t>亿里拉，每年</w:t>
      </w:r>
      <w:r>
        <w:rPr>
          <w:rFonts w:hint="eastAsia"/>
        </w:rPr>
        <w:t>3</w:t>
      </w:r>
      <w:r>
        <w:rPr>
          <w:rFonts w:hint="eastAsia"/>
        </w:rPr>
        <w:t>月</w:t>
      </w:r>
      <w:r>
        <w:rPr>
          <w:rFonts w:hint="eastAsia"/>
        </w:rPr>
        <w:t>1</w:t>
      </w:r>
      <w:r>
        <w:rPr>
          <w:rFonts w:hint="eastAsia"/>
        </w:rPr>
        <w:t>日前由各地区分摊。共有</w:t>
      </w:r>
      <w:r>
        <w:rPr>
          <w:rFonts w:hint="eastAsia"/>
        </w:rPr>
        <w:t>1,697</w:t>
      </w:r>
      <w:r>
        <w:rPr>
          <w:rFonts w:hint="eastAsia"/>
        </w:rPr>
        <w:t>名残疾工人通过专门的招聘方案被雇用，雇主因此获得了全部或部分减免社会保险费的权利。</w:t>
      </w:r>
    </w:p>
    <w:p w:rsidR="00000000" w:rsidRDefault="00000000">
      <w:pPr>
        <w:pStyle w:val="Heading4"/>
        <w:rPr>
          <w:rFonts w:hint="eastAsia"/>
        </w:rPr>
      </w:pPr>
      <w:r>
        <w:rPr>
          <w:rFonts w:hint="eastAsia"/>
        </w:rPr>
        <w:t>融入就业</w:t>
      </w:r>
    </w:p>
    <w:p w:rsidR="00000000" w:rsidRDefault="00000000">
      <w:pPr>
        <w:spacing w:after="240"/>
        <w:rPr>
          <w:rFonts w:hint="eastAsia"/>
        </w:rPr>
      </w:pPr>
      <w:r>
        <w:rPr>
          <w:rFonts w:hint="eastAsia"/>
        </w:rPr>
        <w:tab/>
        <w:t xml:space="preserve">236.  </w:t>
      </w:r>
      <w:r>
        <w:rPr>
          <w:rFonts w:hint="eastAsia"/>
        </w:rPr>
        <w:t>应注意到为执行第</w:t>
      </w:r>
      <w:r>
        <w:rPr>
          <w:rFonts w:hint="eastAsia"/>
        </w:rPr>
        <w:t>104/1992</w:t>
      </w:r>
      <w:r>
        <w:rPr>
          <w:rFonts w:hint="eastAsia"/>
        </w:rPr>
        <w:t>号法律第</w:t>
      </w:r>
      <w:r>
        <w:rPr>
          <w:rFonts w:hint="eastAsia"/>
        </w:rPr>
        <w:t>19</w:t>
      </w:r>
      <w:r>
        <w:rPr>
          <w:rFonts w:hint="eastAsia"/>
        </w:rPr>
        <w:t>条到</w:t>
      </w:r>
      <w:r>
        <w:rPr>
          <w:rFonts w:hint="eastAsia"/>
        </w:rPr>
        <w:t>2001</w:t>
      </w:r>
      <w:r>
        <w:rPr>
          <w:rFonts w:hint="eastAsia"/>
        </w:rPr>
        <w:t>年</w:t>
      </w:r>
      <w:r>
        <w:rPr>
          <w:rFonts w:hint="eastAsia"/>
        </w:rPr>
        <w:t>12</w:t>
      </w:r>
      <w:r>
        <w:rPr>
          <w:rFonts w:hint="eastAsia"/>
        </w:rPr>
        <w:t>月</w:t>
      </w:r>
      <w:r>
        <w:rPr>
          <w:rFonts w:hint="eastAsia"/>
        </w:rPr>
        <w:t>31</w:t>
      </w:r>
      <w:r>
        <w:rPr>
          <w:rFonts w:hint="eastAsia"/>
        </w:rPr>
        <w:t>日有</w:t>
      </w:r>
      <w:r>
        <w:rPr>
          <w:rFonts w:hint="eastAsia"/>
        </w:rPr>
        <w:t>40,908</w:t>
      </w:r>
      <w:r>
        <w:rPr>
          <w:rFonts w:hint="eastAsia"/>
        </w:rPr>
        <w:t>名残疾雇员根据关于专门招聘的新立法</w:t>
      </w:r>
      <w:r>
        <w:rPr>
          <w:rFonts w:hint="eastAsia"/>
        </w:rPr>
        <w:t>(</w:t>
      </w:r>
      <w:r>
        <w:rPr>
          <w:rFonts w:hint="eastAsia"/>
        </w:rPr>
        <w:t>第</w:t>
      </w:r>
      <w:r>
        <w:rPr>
          <w:rFonts w:hint="eastAsia"/>
        </w:rPr>
        <w:t>68/1999</w:t>
      </w:r>
      <w:r>
        <w:rPr>
          <w:rFonts w:hint="eastAsia"/>
        </w:rPr>
        <w:t>号法律</w:t>
      </w:r>
      <w:r>
        <w:rPr>
          <w:rFonts w:hint="eastAsia"/>
        </w:rPr>
        <w:t>)</w:t>
      </w:r>
      <w:r>
        <w:rPr>
          <w:rFonts w:hint="eastAsia"/>
        </w:rPr>
        <w:t>被雇用。还应指出，为</w:t>
      </w:r>
      <w:r>
        <w:rPr>
          <w:rFonts w:hint="eastAsia"/>
          <w:spacing w:val="0"/>
        </w:rPr>
        <w:t>数字的完整性，每年在地区级别对属于被保护类别的工人的就业状况数据进行调查。</w:t>
      </w:r>
    </w:p>
    <w:p w:rsidR="00000000" w:rsidRDefault="00000000">
      <w:pPr>
        <w:pStyle w:val="Heading4"/>
        <w:rPr>
          <w:rFonts w:hint="eastAsia"/>
        </w:rPr>
      </w:pPr>
      <w:r>
        <w:rPr>
          <w:rFonts w:hint="eastAsia"/>
        </w:rPr>
        <w:t>欧盟的倡议</w:t>
      </w:r>
    </w:p>
    <w:p w:rsidR="00000000" w:rsidRDefault="00000000">
      <w:pPr>
        <w:spacing w:after="240"/>
        <w:rPr>
          <w:rFonts w:hint="eastAsia"/>
        </w:rPr>
      </w:pPr>
      <w:r>
        <w:rPr>
          <w:rFonts w:hint="eastAsia"/>
        </w:rPr>
        <w:tab/>
        <w:t xml:space="preserve">237.  </w:t>
      </w:r>
      <w:r>
        <w:rPr>
          <w:rFonts w:hint="eastAsia"/>
        </w:rPr>
        <w:t>意大利政府参加了向工作年龄的残疾人提供支助和融合政策的研究项目。该项目由经济和社会合作组织推动，目标是推动对参加项目的国家促进残疾人的积极政策进行比较研究。研究结束时制定了一份最后文件，将于</w:t>
      </w:r>
      <w:r>
        <w:rPr>
          <w:rFonts w:hint="eastAsia"/>
        </w:rPr>
        <w:t>2003</w:t>
      </w:r>
      <w:r>
        <w:rPr>
          <w:rFonts w:hint="eastAsia"/>
        </w:rPr>
        <w:t>年国际残疾人年提交。</w:t>
      </w:r>
    </w:p>
    <w:p w:rsidR="00000000" w:rsidRDefault="00000000">
      <w:pPr>
        <w:pStyle w:val="Heading4"/>
        <w:rPr>
          <w:rFonts w:hint="eastAsia"/>
        </w:rPr>
      </w:pPr>
      <w:r>
        <w:rPr>
          <w:rFonts w:hint="eastAsia"/>
        </w:rPr>
        <w:t>统计数据</w:t>
      </w:r>
    </w:p>
    <w:p w:rsidR="00000000" w:rsidRDefault="00000000">
      <w:pPr>
        <w:spacing w:after="240"/>
        <w:rPr>
          <w:rFonts w:hint="eastAsia"/>
        </w:rPr>
      </w:pPr>
      <w:r>
        <w:rPr>
          <w:rFonts w:hint="eastAsia"/>
        </w:rPr>
        <w:tab/>
        <w:t xml:space="preserve">238.  </w:t>
      </w:r>
      <w:r>
        <w:rPr>
          <w:rFonts w:hint="eastAsia"/>
        </w:rPr>
        <w:t>特别提及目前因专门招聘的新立法生效后发生的变化影响到残疾问题和残疾人，并考虑到需制定残疾工人就业状况的定性和定量的参考标准，正在研究在</w:t>
      </w:r>
      <w:r>
        <w:t>www.minwelfare.it</w:t>
      </w:r>
      <w:r>
        <w:rPr>
          <w:rFonts w:hint="eastAsia"/>
        </w:rPr>
        <w:t>网站内建立一个部分，能够电子化的进入与上述立法相关的最感兴趣领域的一套统计数据。</w:t>
      </w:r>
    </w:p>
    <w:p w:rsidR="00000000" w:rsidRDefault="00000000">
      <w:pPr>
        <w:pStyle w:val="Heading4"/>
        <w:rPr>
          <w:rFonts w:hint="eastAsia"/>
        </w:rPr>
      </w:pPr>
      <w:r>
        <w:rPr>
          <w:rFonts w:hint="eastAsia"/>
        </w:rPr>
        <w:t>意见和建议</w:t>
      </w:r>
    </w:p>
    <w:p w:rsidR="00000000" w:rsidRDefault="00000000">
      <w:pPr>
        <w:rPr>
          <w:rFonts w:hint="eastAsia"/>
        </w:rPr>
      </w:pPr>
      <w:r>
        <w:rPr>
          <w:rFonts w:hint="eastAsia"/>
        </w:rPr>
        <w:tab/>
        <w:t xml:space="preserve">239.  </w:t>
      </w:r>
      <w:r>
        <w:rPr>
          <w:rFonts w:hint="eastAsia"/>
        </w:rPr>
        <w:t>根据专门招聘领域的新的立法框架，考虑到在就业服务方面的行政下放权力的规定以及电讯领域出现的巨大技术进步，有必要对第</w:t>
      </w:r>
      <w:r>
        <w:rPr>
          <w:rFonts w:hint="eastAsia"/>
        </w:rPr>
        <w:t>113/1985</w:t>
      </w:r>
      <w:r>
        <w:rPr>
          <w:rFonts w:hint="eastAsia"/>
        </w:rPr>
        <w:t>号法律进行修订，将涉及到雇用盲人电话接线员，将对规定进行更新并更有效的予以执行，以满足今天劳动力市场的需求。在此方面，应研究和分析在上述情况下出现的最重要因素，因为第</w:t>
      </w:r>
      <w:r>
        <w:rPr>
          <w:rFonts w:hint="eastAsia"/>
        </w:rPr>
        <w:t>113/1985</w:t>
      </w:r>
      <w:r>
        <w:rPr>
          <w:rFonts w:hint="eastAsia"/>
        </w:rPr>
        <w:t>号法律将继续在此背景下实施。将与代表盲人的最具代表性的协会和地方机构共同并且经常地确定这些因素。该审查将特别提及：</w:t>
      </w:r>
    </w:p>
    <w:p w:rsidR="00000000" w:rsidRDefault="00000000">
      <w:pPr>
        <w:pStyle w:val="a0"/>
        <w:tabs>
          <w:tab w:val="num" w:pos="1550"/>
        </w:tabs>
        <w:ind w:left="1550"/>
        <w:rPr>
          <w:rFonts w:hint="eastAsia"/>
        </w:rPr>
      </w:pPr>
      <w:r>
        <w:rPr>
          <w:rFonts w:hint="eastAsia"/>
        </w:rPr>
        <w:t>就列入全国专业人员名单和地方机构名单问题，对盲人电话接线员的能力进行重新界定；</w:t>
      </w:r>
    </w:p>
    <w:p w:rsidR="00000000" w:rsidRDefault="00000000">
      <w:pPr>
        <w:pStyle w:val="a0"/>
        <w:tabs>
          <w:tab w:val="num" w:pos="1550"/>
        </w:tabs>
        <w:ind w:left="1550"/>
        <w:rPr>
          <w:rFonts w:hint="eastAsia"/>
        </w:rPr>
      </w:pPr>
      <w:r>
        <w:rPr>
          <w:rFonts w:hint="eastAsia"/>
        </w:rPr>
        <w:t>还根据在《官方公告》</w:t>
      </w:r>
      <w:r>
        <w:rPr>
          <w:rFonts w:hint="eastAsia"/>
        </w:rPr>
        <w:t>(2000</w:t>
      </w:r>
      <w:r>
        <w:rPr>
          <w:rFonts w:hint="eastAsia"/>
        </w:rPr>
        <w:t>年</w:t>
      </w:r>
      <w:r>
        <w:rPr>
          <w:rFonts w:hint="eastAsia"/>
        </w:rPr>
        <w:t>2</w:t>
      </w:r>
      <w:r>
        <w:rPr>
          <w:rFonts w:hint="eastAsia"/>
        </w:rPr>
        <w:t>月</w:t>
      </w:r>
      <w:r>
        <w:rPr>
          <w:rFonts w:hint="eastAsia"/>
        </w:rPr>
        <w:t>15</w:t>
      </w:r>
      <w:r>
        <w:rPr>
          <w:rFonts w:hint="eastAsia"/>
        </w:rPr>
        <w:t>日第</w:t>
      </w:r>
      <w:r>
        <w:rPr>
          <w:rFonts w:hint="eastAsia"/>
        </w:rPr>
        <w:t>37</w:t>
      </w:r>
      <w:r>
        <w:rPr>
          <w:rFonts w:hint="eastAsia"/>
        </w:rPr>
        <w:t>号</w:t>
      </w:r>
      <w:r>
        <w:rPr>
          <w:rFonts w:hint="eastAsia"/>
        </w:rPr>
        <w:t>)</w:t>
      </w:r>
      <w:r>
        <w:rPr>
          <w:rFonts w:hint="eastAsia"/>
        </w:rPr>
        <w:t>上发表的</w:t>
      </w:r>
      <w:r>
        <w:rPr>
          <w:rFonts w:hint="eastAsia"/>
        </w:rPr>
        <w:t>2000</w:t>
      </w:r>
      <w:r>
        <w:rPr>
          <w:rFonts w:hint="eastAsia"/>
        </w:rPr>
        <w:t>年</w:t>
      </w:r>
      <w:r>
        <w:rPr>
          <w:rFonts w:hint="eastAsia"/>
        </w:rPr>
        <w:t>1</w:t>
      </w:r>
      <w:r>
        <w:rPr>
          <w:rFonts w:hint="eastAsia"/>
        </w:rPr>
        <w:t>月</w:t>
      </w:r>
      <w:r>
        <w:rPr>
          <w:rFonts w:hint="eastAsia"/>
        </w:rPr>
        <w:t>10</w:t>
      </w:r>
      <w:r>
        <w:rPr>
          <w:rFonts w:hint="eastAsia"/>
        </w:rPr>
        <w:t>日的部长令规定的承认新的同等资格，对电话接线员地区审查机构的组成进行审查；</w:t>
      </w:r>
    </w:p>
    <w:p w:rsidR="00000000" w:rsidRDefault="00000000">
      <w:pPr>
        <w:pStyle w:val="a0"/>
        <w:tabs>
          <w:tab w:val="num" w:pos="1550"/>
        </w:tabs>
        <w:ind w:left="1550"/>
        <w:rPr>
          <w:rFonts w:hint="eastAsia"/>
        </w:rPr>
      </w:pPr>
      <w:r>
        <w:rPr>
          <w:rFonts w:hint="eastAsia"/>
        </w:rPr>
        <w:t>对招聘义务的定义标准进行审查，因为电话市场的开放电话公司在该领域已经不再具有垄断地位，不再是唯一的电话服务运营商。</w:t>
      </w:r>
    </w:p>
    <w:p w:rsidR="00000000" w:rsidRDefault="00000000">
      <w:pPr>
        <w:spacing w:after="320"/>
        <w:rPr>
          <w:rFonts w:hint="eastAsia"/>
        </w:rPr>
      </w:pPr>
      <w:r>
        <w:rPr>
          <w:rFonts w:hint="eastAsia"/>
        </w:rPr>
        <w:tab/>
        <w:t xml:space="preserve">240.  </w:t>
      </w:r>
      <w:r>
        <w:rPr>
          <w:rFonts w:hint="eastAsia"/>
        </w:rPr>
        <w:t>为更统一和系统地对待义务招聘盲人的规定，对第</w:t>
      </w:r>
      <w:r>
        <w:rPr>
          <w:rFonts w:hint="eastAsia"/>
        </w:rPr>
        <w:t>686/1961</w:t>
      </w:r>
      <w:r>
        <w:rPr>
          <w:rFonts w:hint="eastAsia"/>
        </w:rPr>
        <w:t>号关于招聘盲人按摩师或按摩</w:t>
      </w:r>
      <w:r>
        <w:rPr>
          <w:rFonts w:hint="eastAsia"/>
        </w:rPr>
        <w:t>/</w:t>
      </w:r>
      <w:r>
        <w:rPr>
          <w:rFonts w:hint="eastAsia"/>
        </w:rPr>
        <w:t>物理疗法师的法律，也应及时采取类似的行动。</w:t>
      </w:r>
    </w:p>
    <w:p w:rsidR="00000000" w:rsidRDefault="00000000">
      <w:pPr>
        <w:pStyle w:val="Heading4"/>
        <w:rPr>
          <w:rFonts w:hint="eastAsia"/>
        </w:rPr>
      </w:pPr>
      <w:r>
        <w:rPr>
          <w:rFonts w:hint="eastAsia"/>
        </w:rPr>
        <w:t>执行载有“残疾人工作权利的规定”的第</w:t>
      </w:r>
      <w:r>
        <w:rPr>
          <w:rFonts w:hint="eastAsia"/>
        </w:rPr>
        <w:t>68/1999</w:t>
      </w:r>
      <w:r>
        <w:rPr>
          <w:rFonts w:hint="eastAsia"/>
        </w:rPr>
        <w:t>号法律的地区性法律的进展情况</w:t>
      </w:r>
    </w:p>
    <w:p w:rsidR="00000000" w:rsidRDefault="00000000">
      <w:pPr>
        <w:spacing w:after="320"/>
        <w:rPr>
          <w:rFonts w:hint="eastAsia"/>
        </w:rPr>
      </w:pPr>
      <w:r>
        <w:rPr>
          <w:rFonts w:hint="eastAsia"/>
        </w:rPr>
        <w:tab/>
        <w:t xml:space="preserve">241.  </w:t>
      </w:r>
      <w:r>
        <w:rPr>
          <w:rFonts w:hint="eastAsia"/>
        </w:rPr>
        <w:t>关于残疾人工作权利的新的改革不仅制定了一个立法参考框架，与上一个相比具有创新性和多样性，而且还考虑到关于行政下放权力的第</w:t>
      </w:r>
      <w:r>
        <w:rPr>
          <w:rFonts w:hint="eastAsia"/>
        </w:rPr>
        <w:t>469/1997</w:t>
      </w:r>
      <w:r>
        <w:rPr>
          <w:rFonts w:hint="eastAsia"/>
        </w:rPr>
        <w:t>号法令的规定，也规定地区行政机构应采取行动建立管理专门招聘程序的新的地方机构。在此方面，该部门经常就要求地区和省机构为执行第</w:t>
      </w:r>
      <w:r>
        <w:rPr>
          <w:rFonts w:hint="eastAsia"/>
        </w:rPr>
        <w:t>68/1999</w:t>
      </w:r>
      <w:r>
        <w:rPr>
          <w:rFonts w:hint="eastAsia"/>
        </w:rPr>
        <w:t>号法律颁布的立法规定的进展情况开展监督活动</w:t>
      </w:r>
      <w:r>
        <w:rPr>
          <w:rFonts w:hint="eastAsia"/>
        </w:rPr>
        <w:t>(</w:t>
      </w:r>
      <w:r>
        <w:rPr>
          <w:rFonts w:hint="eastAsia"/>
        </w:rPr>
        <w:t>总结见附图</w:t>
      </w:r>
      <w:r>
        <w:rPr>
          <w:rFonts w:hint="eastAsia"/>
        </w:rPr>
        <w:t>)</w:t>
      </w:r>
      <w:r>
        <w:rPr>
          <w:rFonts w:hint="eastAsia"/>
        </w:rPr>
        <w:t>。</w:t>
      </w:r>
    </w:p>
    <w:p w:rsidR="00000000" w:rsidRDefault="00000000">
      <w:pPr>
        <w:pStyle w:val="Heading4"/>
        <w:rPr>
          <w:rFonts w:hint="eastAsia"/>
        </w:rPr>
      </w:pPr>
      <w:r>
        <w:rPr>
          <w:rFonts w:hint="eastAsia"/>
        </w:rPr>
        <w:t>国家和地方资源</w:t>
      </w:r>
    </w:p>
    <w:p w:rsidR="00000000" w:rsidRDefault="00000000">
      <w:pPr>
        <w:rPr>
          <w:rFonts w:hint="eastAsia"/>
        </w:rPr>
      </w:pPr>
      <w:r>
        <w:rPr>
          <w:rFonts w:hint="eastAsia"/>
        </w:rPr>
        <w:tab/>
      </w:r>
      <w:r>
        <w:t>242.  1995-1999</w:t>
      </w:r>
      <w:r>
        <w:rPr>
          <w:rFonts w:hint="eastAsia"/>
        </w:rPr>
        <w:t>年期间，社会支出在国内生产总值中的比例增长了一个百分点，养老金的增长平均比例很小，医疗方面的增长略高。福利支出在过去十年相对保持不变之后，</w:t>
      </w:r>
      <w:r>
        <w:rPr>
          <w:rFonts w:hint="eastAsia"/>
        </w:rPr>
        <w:t>2000-2002</w:t>
      </w:r>
      <w:r>
        <w:rPr>
          <w:rFonts w:hint="eastAsia"/>
        </w:rPr>
        <w:t>年间显著增长。在该类别中支出的类型出现一些重大变化：资金的转移下降，但我们看到更严格的与支助相关的项目开支上升。关于社会支助的框架法律生效后，这些一定还会继续上升。</w:t>
      </w:r>
    </w:p>
    <w:p w:rsidR="00000000" w:rsidRDefault="00000000">
      <w:pPr>
        <w:rPr>
          <w:rFonts w:hint="eastAsia"/>
        </w:rPr>
      </w:pPr>
      <w:r>
        <w:rPr>
          <w:rFonts w:hint="eastAsia"/>
        </w:rPr>
        <w:tab/>
        <w:t xml:space="preserve">243.  </w:t>
      </w:r>
      <w:r>
        <w:rPr>
          <w:rFonts w:hint="eastAsia"/>
        </w:rPr>
        <w:t>自</w:t>
      </w:r>
      <w:r>
        <w:rPr>
          <w:rFonts w:hint="eastAsia"/>
        </w:rPr>
        <w:t>1996</w:t>
      </w:r>
      <w:r>
        <w:rPr>
          <w:rFonts w:hint="eastAsia"/>
        </w:rPr>
        <w:t>年以来，三个部门</w:t>
      </w:r>
      <w:r>
        <w:rPr>
          <w:rFonts w:hint="eastAsia"/>
        </w:rPr>
        <w:t>(</w:t>
      </w:r>
      <w:r>
        <w:rPr>
          <w:rFonts w:hint="eastAsia"/>
        </w:rPr>
        <w:t>医疗、社会保险、支助</w:t>
      </w:r>
      <w:r>
        <w:rPr>
          <w:rFonts w:hint="eastAsia"/>
        </w:rPr>
        <w:t>)</w:t>
      </w:r>
      <w:r>
        <w:rPr>
          <w:rFonts w:hint="eastAsia"/>
        </w:rPr>
        <w:t>每个总支出在国内生产总值中基本稳定，位于欧盟平均值以下几个百分点。社会保险占主要份额，养老金支付占整个类别的</w:t>
      </w:r>
      <w:r>
        <w:rPr>
          <w:rFonts w:hint="eastAsia"/>
        </w:rPr>
        <w:t>70%</w:t>
      </w:r>
      <w:r>
        <w:rPr>
          <w:rFonts w:hint="eastAsia"/>
        </w:rPr>
        <w:t>，几乎占社会保险支出的全部。该特点是意大利社会保障制度中最明显的不正常情况，显示出向养老金支出倾斜的明显不平衡，损害了社会支助开支</w:t>
      </w:r>
      <w:r>
        <w:rPr>
          <w:rFonts w:hint="eastAsia"/>
        </w:rPr>
        <w:t>(</w:t>
      </w:r>
      <w:r>
        <w:rPr>
          <w:rFonts w:hint="eastAsia"/>
        </w:rPr>
        <w:t>向家庭和老年人提供帮助、收入支持、住房政策、社会包容政策</w:t>
      </w:r>
      <w:r>
        <w:rPr>
          <w:rFonts w:hint="eastAsia"/>
        </w:rPr>
        <w:t>)</w:t>
      </w:r>
      <w:r>
        <w:rPr>
          <w:rFonts w:hint="eastAsia"/>
        </w:rPr>
        <w:t>。虽然正在审查的五年期间福利开支基本保持不变，但组成部分的相对加权值出现一些变化。理由首先是没有任何收入的</w:t>
      </w:r>
      <w:r>
        <w:rPr>
          <w:rFonts w:hint="eastAsia"/>
        </w:rPr>
        <w:t>65</w:t>
      </w:r>
      <w:r>
        <w:rPr>
          <w:rFonts w:hint="eastAsia"/>
        </w:rPr>
        <w:t>岁以上意大利公民社会补贴和养老金数额增加。第二，自</w:t>
      </w:r>
      <w:r>
        <w:rPr>
          <w:rFonts w:hint="eastAsia"/>
        </w:rPr>
        <w:t>1999</w:t>
      </w:r>
      <w:r>
        <w:rPr>
          <w:rFonts w:hint="eastAsia"/>
        </w:rPr>
        <w:t>年以来一系列行动逐渐开始运作，涉及儿童和青少年基金、最低包容津贴、产妇津贴、有三个被抚养儿童的家庭津贴，我们也看到战争养老金和残疾人养老金形式的资金支付的相对重要性下降</w:t>
      </w:r>
      <w:r>
        <w:rPr>
          <w:rFonts w:hint="eastAsia"/>
        </w:rPr>
        <w:t>(1996</w:t>
      </w:r>
      <w:r>
        <w:rPr>
          <w:rFonts w:hint="eastAsia"/>
        </w:rPr>
        <w:t>年这些达福利支出的</w:t>
      </w:r>
      <w:r>
        <w:rPr>
          <w:rFonts w:hint="eastAsia"/>
        </w:rPr>
        <w:t>66%)</w:t>
      </w:r>
      <w:r>
        <w:rPr>
          <w:rFonts w:hint="eastAsia"/>
        </w:rPr>
        <w:t>。同时，我们看到引入了更直接着重于社会支助的开支子项目。今后该趋势应进一步增长，因为父母休假的规定和关于实现社会行动和服务综合系统的框架法律将完全生效。</w:t>
      </w:r>
    </w:p>
    <w:p w:rsidR="00000000" w:rsidRDefault="00000000">
      <w:pPr>
        <w:rPr>
          <w:rFonts w:hint="eastAsia"/>
          <w:spacing w:val="0"/>
        </w:rPr>
      </w:pPr>
      <w:r>
        <w:rPr>
          <w:rFonts w:hint="eastAsia"/>
        </w:rPr>
        <w:tab/>
        <w:t xml:space="preserve">244.  </w:t>
      </w:r>
      <w:r>
        <w:rPr>
          <w:rFonts w:hint="eastAsia"/>
        </w:rPr>
        <w:t>地方当局以服务形式提供的支助开支</w:t>
      </w:r>
      <w:r>
        <w:rPr>
          <w:rFonts w:hint="eastAsia"/>
          <w:spacing w:val="-50"/>
        </w:rPr>
        <w:t>―</w:t>
      </w:r>
      <w:r>
        <w:rPr>
          <w:rFonts w:hint="eastAsia"/>
        </w:rPr>
        <w:t>―主要为儿童和老年人</w:t>
      </w:r>
      <w:r>
        <w:rPr>
          <w:rFonts w:hint="eastAsia"/>
          <w:spacing w:val="-50"/>
        </w:rPr>
        <w:t>―</w:t>
      </w:r>
      <w:r>
        <w:rPr>
          <w:rFonts w:hint="eastAsia"/>
        </w:rPr>
        <w:t>―不是资金的划拨，并基本保持不变。就绝对额而言，</w:t>
      </w:r>
      <w:r>
        <w:rPr>
          <w:rFonts w:hint="eastAsia"/>
        </w:rPr>
        <w:t>2000</w:t>
      </w:r>
      <w:r>
        <w:rPr>
          <w:rFonts w:hint="eastAsia"/>
        </w:rPr>
        <w:t>年支助开支总额为</w:t>
      </w:r>
      <w:r>
        <w:rPr>
          <w:rFonts w:hint="eastAsia"/>
        </w:rPr>
        <w:t>340,000</w:t>
      </w:r>
      <w:r>
        <w:rPr>
          <w:rFonts w:hint="eastAsia"/>
        </w:rPr>
        <w:t>亿里拉。总额约五分之一在地方一级是资金划拨的形式，虽然该数字是间接得出的，因</w:t>
      </w:r>
      <w:r>
        <w:rPr>
          <w:rFonts w:hint="eastAsia"/>
          <w:spacing w:val="0"/>
        </w:rPr>
        <w:t>为城市当局的特别付款经常列在其他支出项目下，难以准确地定量，也需要考虑进去。</w:t>
      </w:r>
    </w:p>
    <w:p w:rsidR="00000000" w:rsidRDefault="00000000">
      <w:pPr>
        <w:spacing w:after="240"/>
        <w:rPr>
          <w:rFonts w:hint="eastAsia"/>
          <w:spacing w:val="0"/>
        </w:rPr>
      </w:pPr>
      <w:r>
        <w:rPr>
          <w:rFonts w:hint="eastAsia"/>
        </w:rPr>
        <w:tab/>
        <w:t xml:space="preserve">245.  </w:t>
      </w:r>
      <w:r>
        <w:rPr>
          <w:rFonts w:hint="eastAsia"/>
        </w:rPr>
        <w:t>人均支出的情况显示出很强的地区不平衡；研究显示意大利北部的一些省比南部的一些地区人均支出水平可以高四倍。这主要是由于北部的一些地区在使用中央政府划拨的资源上有活动余地，用于向特定类别的处于社会不利地位的人</w:t>
      </w:r>
      <w:r>
        <w:rPr>
          <w:rFonts w:hint="eastAsia"/>
        </w:rPr>
        <w:t>(</w:t>
      </w:r>
      <w:r>
        <w:rPr>
          <w:rFonts w:hint="eastAsia"/>
        </w:rPr>
        <w:t>例如被赡养的老人</w:t>
      </w:r>
      <w:r>
        <w:rPr>
          <w:rFonts w:hint="eastAsia"/>
        </w:rPr>
        <w:t>)</w:t>
      </w:r>
      <w:r>
        <w:rPr>
          <w:rFonts w:hint="eastAsia"/>
        </w:rPr>
        <w:t>提供额外的服务。如果我们考虑社会支出的现行趋势，这些不平衡</w:t>
      </w:r>
      <w:r>
        <w:rPr>
          <w:rFonts w:hint="eastAsia"/>
          <w:spacing w:val="0"/>
        </w:rPr>
        <w:t>未显示下降的迹象；的确，社会支出的趋势通常对已经落在最后面的地区和省最不利。</w:t>
      </w:r>
    </w:p>
    <w:p w:rsidR="00000000" w:rsidRDefault="00000000">
      <w:pPr>
        <w:pStyle w:val="Heading4"/>
        <w:rPr>
          <w:rFonts w:hint="eastAsia"/>
        </w:rPr>
      </w:pPr>
      <w:r>
        <w:rPr>
          <w:rFonts w:hint="eastAsia"/>
        </w:rPr>
        <w:t>非营利部门的资源</w:t>
      </w:r>
    </w:p>
    <w:p w:rsidR="00000000" w:rsidRDefault="00000000">
      <w:pPr>
        <w:rPr>
          <w:rFonts w:hint="eastAsia"/>
          <w:spacing w:val="0"/>
        </w:rPr>
      </w:pPr>
      <w:r>
        <w:rPr>
          <w:rFonts w:hint="eastAsia"/>
        </w:rPr>
        <w:tab/>
        <w:t xml:space="preserve">246.  </w:t>
      </w:r>
      <w:r>
        <w:rPr>
          <w:rFonts w:hint="eastAsia"/>
        </w:rPr>
        <w:t>在公共账户项下列的资金划拨上，我们需加上进一步实质性的几组资金</w:t>
      </w:r>
      <w:r>
        <w:rPr>
          <w:rFonts w:hint="eastAsia"/>
          <w:spacing w:val="0"/>
        </w:rPr>
        <w:t>划拨以及同等服务的划拨。这主要涉及银行基金会的出资、捐款和第三产业提供的服务。</w:t>
      </w:r>
    </w:p>
    <w:p w:rsidR="00000000" w:rsidRDefault="00000000">
      <w:pPr>
        <w:rPr>
          <w:rFonts w:hint="eastAsia"/>
        </w:rPr>
      </w:pPr>
      <w:r>
        <w:rPr>
          <w:rFonts w:hint="eastAsia"/>
        </w:rPr>
        <w:tab/>
        <w:t xml:space="preserve">247.  </w:t>
      </w:r>
      <w:r>
        <w:rPr>
          <w:rFonts w:hint="eastAsia"/>
        </w:rPr>
        <w:t>在该领域的以下数据十分说明问题：</w:t>
      </w:r>
    </w:p>
    <w:p w:rsidR="00000000" w:rsidRDefault="00000000">
      <w:pPr>
        <w:pStyle w:val="a0"/>
        <w:tabs>
          <w:tab w:val="num" w:pos="1680"/>
        </w:tabs>
        <w:ind w:left="1680" w:hanging="420"/>
        <w:rPr>
          <w:rFonts w:hint="eastAsia"/>
        </w:rPr>
      </w:pPr>
      <w:r>
        <w:rPr>
          <w:rFonts w:hint="eastAsia"/>
        </w:rPr>
        <w:t>自愿组织的总收入从</w:t>
      </w:r>
      <w:r>
        <w:rPr>
          <w:rFonts w:hint="eastAsia"/>
        </w:rPr>
        <w:t>1997</w:t>
      </w:r>
      <w:r>
        <w:rPr>
          <w:rFonts w:hint="eastAsia"/>
        </w:rPr>
        <w:t>年的</w:t>
      </w:r>
      <w:r>
        <w:rPr>
          <w:rFonts w:hint="eastAsia"/>
        </w:rPr>
        <w:t>13,060</w:t>
      </w:r>
      <w:r>
        <w:rPr>
          <w:rFonts w:hint="eastAsia"/>
        </w:rPr>
        <w:t>亿里拉上升到</w:t>
      </w:r>
      <w:r>
        <w:rPr>
          <w:rFonts w:hint="eastAsia"/>
        </w:rPr>
        <w:t>1999</w:t>
      </w:r>
      <w:r>
        <w:rPr>
          <w:rFonts w:hint="eastAsia"/>
        </w:rPr>
        <w:t>年</w:t>
      </w:r>
      <w:r>
        <w:rPr>
          <w:rFonts w:hint="eastAsia"/>
        </w:rPr>
        <w:t>18,400</w:t>
      </w:r>
      <w:r>
        <w:rPr>
          <w:rFonts w:hint="eastAsia"/>
        </w:rPr>
        <w:t>亿里拉</w:t>
      </w:r>
      <w:r>
        <w:rPr>
          <w:rFonts w:hint="eastAsia"/>
        </w:rPr>
        <w:t>(</w:t>
      </w:r>
      <w:r>
        <w:rPr>
          <w:rFonts w:hint="eastAsia"/>
        </w:rPr>
        <w:t>增长</w:t>
      </w:r>
      <w:r>
        <w:rPr>
          <w:rFonts w:hint="eastAsia"/>
        </w:rPr>
        <w:t>40.9%)</w:t>
      </w:r>
      <w:r>
        <w:rPr>
          <w:rFonts w:hint="eastAsia"/>
        </w:rPr>
        <w:t>；公共项目更多的专门或主要使用私人资金</w:t>
      </w:r>
      <w:r>
        <w:rPr>
          <w:rFonts w:hint="eastAsia"/>
        </w:rPr>
        <w:t>(</w:t>
      </w:r>
      <w:r>
        <w:rPr>
          <w:rFonts w:hint="eastAsia"/>
        </w:rPr>
        <w:t>这些组织约有</w:t>
      </w:r>
      <w:r>
        <w:rPr>
          <w:rFonts w:hint="eastAsia"/>
        </w:rPr>
        <w:t>60%</w:t>
      </w:r>
      <w:r>
        <w:rPr>
          <w:rFonts w:hint="eastAsia"/>
        </w:rPr>
        <w:t>使用这种类型的收入，只有</w:t>
      </w:r>
      <w:r>
        <w:rPr>
          <w:rFonts w:hint="eastAsia"/>
        </w:rPr>
        <w:t>8%</w:t>
      </w:r>
      <w:r>
        <w:rPr>
          <w:rFonts w:hint="eastAsia"/>
        </w:rPr>
        <w:t>完全依靠公共资金</w:t>
      </w:r>
      <w:r>
        <w:rPr>
          <w:rFonts w:hint="eastAsia"/>
        </w:rPr>
        <w:t>)</w:t>
      </w:r>
      <w:r>
        <w:rPr>
          <w:rFonts w:hint="eastAsia"/>
        </w:rPr>
        <w:t>；</w:t>
      </w:r>
    </w:p>
    <w:p w:rsidR="00000000" w:rsidRDefault="00000000">
      <w:pPr>
        <w:pStyle w:val="a0"/>
        <w:tabs>
          <w:tab w:val="num" w:pos="1680"/>
        </w:tabs>
        <w:ind w:left="1680" w:hanging="420"/>
        <w:rPr>
          <w:rFonts w:hint="eastAsia"/>
          <w:spacing w:val="0"/>
        </w:rPr>
      </w:pPr>
      <w:r>
        <w:rPr>
          <w:rFonts w:hint="eastAsia"/>
          <w:spacing w:val="0"/>
        </w:rPr>
        <w:t>据估计对社会有意义的倡议和自愿组织的捐款总额为</w:t>
      </w:r>
      <w:r>
        <w:rPr>
          <w:rFonts w:hint="eastAsia"/>
          <w:spacing w:val="0"/>
        </w:rPr>
        <w:t>20,000</w:t>
      </w:r>
      <w:r>
        <w:rPr>
          <w:rFonts w:hint="eastAsia"/>
          <w:spacing w:val="0"/>
        </w:rPr>
        <w:t>亿里拉；</w:t>
      </w:r>
    </w:p>
    <w:p w:rsidR="00000000" w:rsidRDefault="00000000">
      <w:pPr>
        <w:pStyle w:val="a0"/>
        <w:tabs>
          <w:tab w:val="num" w:pos="1680"/>
        </w:tabs>
        <w:ind w:left="1680" w:hanging="420"/>
        <w:rPr>
          <w:rFonts w:hint="eastAsia"/>
        </w:rPr>
      </w:pPr>
      <w:r>
        <w:rPr>
          <w:rFonts w:hint="eastAsia"/>
        </w:rPr>
        <w:t>银行基金用于资助社会有益的活动，特别是自愿部门的服务中心的资金划拨总额也上升。</w:t>
      </w:r>
    </w:p>
    <w:p w:rsidR="00000000" w:rsidRDefault="00000000">
      <w:pPr>
        <w:rPr>
          <w:rFonts w:hint="eastAsia"/>
        </w:rPr>
      </w:pPr>
      <w:r>
        <w:rPr>
          <w:rFonts w:hint="eastAsia"/>
        </w:rPr>
        <w:tab/>
        <w:t xml:space="preserve">248.  </w:t>
      </w:r>
      <w:r>
        <w:rPr>
          <w:rFonts w:hint="eastAsia"/>
        </w:rPr>
        <w:t>不应低估第三产业的总体贡献：最近的研究估计，该产业的雇员总人数为</w:t>
      </w:r>
      <w:r>
        <w:rPr>
          <w:rFonts w:hint="eastAsia"/>
        </w:rPr>
        <w:t>750,000</w:t>
      </w:r>
      <w:r>
        <w:rPr>
          <w:rFonts w:hint="eastAsia"/>
        </w:rPr>
        <w:t>人</w:t>
      </w:r>
      <w:r>
        <w:rPr>
          <w:rFonts w:hint="eastAsia"/>
        </w:rPr>
        <w:t>(1998</w:t>
      </w:r>
      <w:r>
        <w:rPr>
          <w:rFonts w:hint="eastAsia"/>
        </w:rPr>
        <w:t>年占全体雇员人数的</w:t>
      </w:r>
      <w:r>
        <w:rPr>
          <w:rFonts w:hint="eastAsia"/>
        </w:rPr>
        <w:t>3.5%</w:t>
      </w:r>
      <w:r>
        <w:rPr>
          <w:rFonts w:hint="eastAsia"/>
        </w:rPr>
        <w:t>，其中</w:t>
      </w:r>
      <w:r>
        <w:rPr>
          <w:rFonts w:hint="eastAsia"/>
        </w:rPr>
        <w:t>5.1%</w:t>
      </w:r>
      <w:r>
        <w:rPr>
          <w:rFonts w:hint="eastAsia"/>
        </w:rPr>
        <w:t>在服务业工作</w:t>
      </w:r>
      <w:r>
        <w:rPr>
          <w:rFonts w:hint="eastAsia"/>
        </w:rPr>
        <w:t>)</w:t>
      </w:r>
      <w:r>
        <w:rPr>
          <w:rFonts w:hint="eastAsia"/>
        </w:rPr>
        <w:t>，</w:t>
      </w:r>
      <w:r>
        <w:rPr>
          <w:rFonts w:hint="eastAsia"/>
        </w:rPr>
        <w:t>1998</w:t>
      </w:r>
      <w:r>
        <w:rPr>
          <w:rFonts w:hint="eastAsia"/>
        </w:rPr>
        <w:t>年营业额约为</w:t>
      </w:r>
      <w:r>
        <w:rPr>
          <w:rFonts w:hint="eastAsia"/>
        </w:rPr>
        <w:t>750,000</w:t>
      </w:r>
      <w:r>
        <w:rPr>
          <w:rFonts w:hint="eastAsia"/>
        </w:rPr>
        <w:t>亿里拉或占国内生产总值的</w:t>
      </w:r>
      <w:r>
        <w:rPr>
          <w:rFonts w:hint="eastAsia"/>
        </w:rPr>
        <w:t>2.7%</w:t>
      </w:r>
      <w:r>
        <w:rPr>
          <w:rFonts w:hint="eastAsia"/>
        </w:rPr>
        <w:t>。</w:t>
      </w:r>
    </w:p>
    <w:p w:rsidR="00000000" w:rsidRDefault="00000000">
      <w:pPr>
        <w:rPr>
          <w:rFonts w:hint="eastAsia"/>
        </w:rPr>
      </w:pPr>
      <w:r>
        <w:rPr>
          <w:rFonts w:hint="eastAsia"/>
        </w:rPr>
        <w:tab/>
        <w:t xml:space="preserve">249.  </w:t>
      </w:r>
      <w:r>
        <w:rPr>
          <w:rFonts w:hint="eastAsia"/>
        </w:rPr>
        <w:t>这些数字共同指出了财政资源计划的一个新方式；对“社区基金”机制进行试验，规定公共和私营机构共同在地方级别就来自私营部门的资源的分配进行谈判至关重要。地方应该是这些倡议的目标领域和资金来源。在此提及“社会工资”在意大利发挥作用至关重要，通过它们发挥的杠杆作用对福利制度进行了重新设计，以动员经营机构、提高其技能、以及创造新的倡议。</w:t>
      </w:r>
    </w:p>
    <w:p w:rsidR="00000000" w:rsidRDefault="00000000">
      <w:pPr>
        <w:spacing w:after="240"/>
        <w:rPr>
          <w:rFonts w:hint="eastAsia"/>
        </w:rPr>
      </w:pPr>
      <w:r>
        <w:rPr>
          <w:rFonts w:hint="eastAsia"/>
        </w:rPr>
        <w:tab/>
        <w:t xml:space="preserve">250.  </w:t>
      </w:r>
      <w:r>
        <w:rPr>
          <w:rFonts w:hint="eastAsia"/>
        </w:rPr>
        <w:t>经营第三产业的集团可以与这些公司富有成果地结合起来，以促进社会方案，树立一个新的范例，对设想、技术和投资的发展作出长期规划。地方和地区规划机制最近的发展，也对社会领域发展可以运作的自治，提供了新的富有前景的领域。在过去几年中出现了要求在全面体制现代化基础上的更大的决策自治权；可以操作的自治，在于发展在公共领域可以独立地承担一系列任务和新的责任的职能机构</w:t>
      </w:r>
      <w:r>
        <w:rPr>
          <w:rFonts w:hint="eastAsia"/>
        </w:rPr>
        <w:t>(</w:t>
      </w:r>
      <w:r>
        <w:rPr>
          <w:rFonts w:hint="eastAsia"/>
        </w:rPr>
        <w:t>例如银行基金会、新的地方医疗机构、新的教育自治</w:t>
      </w:r>
      <w:r>
        <w:rPr>
          <w:rFonts w:hint="eastAsia"/>
        </w:rPr>
        <w:t>)</w:t>
      </w:r>
      <w:r>
        <w:rPr>
          <w:rFonts w:hint="eastAsia"/>
        </w:rPr>
        <w:t>。</w:t>
      </w:r>
    </w:p>
    <w:p w:rsidR="00000000" w:rsidRDefault="00000000">
      <w:pPr>
        <w:pStyle w:val="Heading3"/>
        <w:spacing w:after="240"/>
      </w:pPr>
      <w:r>
        <w:rPr>
          <w:rFonts w:hint="eastAsia"/>
          <w:u w:val="none"/>
        </w:rPr>
        <w:t xml:space="preserve">H.  </w:t>
      </w:r>
      <w:r>
        <w:rPr>
          <w:rFonts w:hint="eastAsia"/>
        </w:rPr>
        <w:t>第</w:t>
      </w:r>
      <w:r>
        <w:rPr>
          <w:rFonts w:hint="eastAsia"/>
        </w:rPr>
        <w:t xml:space="preserve"> 12 </w:t>
      </w:r>
      <w:r>
        <w:rPr>
          <w:rFonts w:hint="eastAsia"/>
        </w:rPr>
        <w:t>条</w:t>
      </w:r>
    </w:p>
    <w:p w:rsidR="00000000" w:rsidRDefault="00000000">
      <w:pPr>
        <w:pStyle w:val="Heading3"/>
        <w:spacing w:after="240"/>
        <w:rPr>
          <w:rFonts w:hint="eastAsia"/>
        </w:rPr>
      </w:pPr>
      <w:r>
        <w:rPr>
          <w:rFonts w:hint="eastAsia"/>
        </w:rPr>
        <w:t>身心健康</w:t>
      </w:r>
    </w:p>
    <w:p w:rsidR="00000000" w:rsidRDefault="00000000">
      <w:pPr>
        <w:spacing w:after="160"/>
      </w:pPr>
      <w:r>
        <w:rPr>
          <w:rFonts w:hint="eastAsia"/>
        </w:rPr>
        <w:tab/>
        <w:t>251.  1998</w:t>
      </w:r>
      <w:r>
        <w:rPr>
          <w:rFonts w:hint="eastAsia"/>
        </w:rPr>
        <w:t>年人均公共卫生开支在</w:t>
      </w:r>
      <w:r>
        <w:t>Trentino Alto Adige</w:t>
      </w:r>
      <w:r>
        <w:rPr>
          <w:rFonts w:hint="eastAsia"/>
        </w:rPr>
        <w:t>地区最高，是</w:t>
      </w:r>
      <w:r>
        <w:rPr>
          <w:rFonts w:hint="eastAsia"/>
        </w:rPr>
        <w:t>2,350,000</w:t>
      </w:r>
      <w:r>
        <w:rPr>
          <w:rFonts w:hint="eastAsia"/>
        </w:rPr>
        <w:t>里拉，在</w:t>
      </w:r>
      <w:r>
        <w:t>Puglia</w:t>
      </w:r>
      <w:r>
        <w:rPr>
          <w:rFonts w:hint="eastAsia"/>
        </w:rPr>
        <w:t>地区最低，为</w:t>
      </w:r>
      <w:r>
        <w:rPr>
          <w:rFonts w:hint="eastAsia"/>
        </w:rPr>
        <w:t>1,712,000</w:t>
      </w:r>
      <w:r>
        <w:rPr>
          <w:rFonts w:hint="eastAsia"/>
        </w:rPr>
        <w:t>里拉。在公立医院和相关的护理中心的床位总数</w:t>
      </w:r>
      <w:r>
        <w:rPr>
          <w:rFonts w:hint="eastAsia"/>
        </w:rPr>
        <w:t>1998</w:t>
      </w:r>
      <w:r>
        <w:rPr>
          <w:rFonts w:hint="eastAsia"/>
        </w:rPr>
        <w:t>年为</w:t>
      </w:r>
      <w:r>
        <w:rPr>
          <w:rFonts w:hint="eastAsia"/>
        </w:rPr>
        <w:t>33,453</w:t>
      </w:r>
      <w:r>
        <w:rPr>
          <w:rFonts w:hint="eastAsia"/>
        </w:rPr>
        <w:t>张，该数字可以细分为在意大利北部地区每千个居民</w:t>
      </w:r>
      <w:r>
        <w:rPr>
          <w:rFonts w:hint="eastAsia"/>
        </w:rPr>
        <w:t>5.4</w:t>
      </w:r>
      <w:r>
        <w:rPr>
          <w:rFonts w:hint="eastAsia"/>
        </w:rPr>
        <w:t>张，中部</w:t>
      </w:r>
      <w:r>
        <w:rPr>
          <w:rFonts w:hint="eastAsia"/>
        </w:rPr>
        <w:t>5.7</w:t>
      </w:r>
      <w:r>
        <w:rPr>
          <w:rFonts w:hint="eastAsia"/>
        </w:rPr>
        <w:t>张，南部</w:t>
      </w:r>
      <w:r>
        <w:rPr>
          <w:rFonts w:hint="eastAsia"/>
        </w:rPr>
        <w:t>4.7</w:t>
      </w:r>
      <w:r>
        <w:rPr>
          <w:rFonts w:hint="eastAsia"/>
        </w:rPr>
        <w:t>张。</w:t>
      </w:r>
    </w:p>
    <w:p w:rsidR="00000000" w:rsidRDefault="00000000">
      <w:pPr>
        <w:pStyle w:val="Heading3"/>
        <w:spacing w:after="160"/>
      </w:pPr>
      <w:r>
        <w:rPr>
          <w:rFonts w:hint="eastAsia"/>
          <w:u w:val="none"/>
        </w:rPr>
        <w:t xml:space="preserve">I.  </w:t>
      </w:r>
      <w:r>
        <w:rPr>
          <w:rFonts w:hint="eastAsia"/>
        </w:rPr>
        <w:t>第</w:t>
      </w:r>
      <w:r>
        <w:rPr>
          <w:rFonts w:hint="eastAsia"/>
        </w:rPr>
        <w:t xml:space="preserve"> 13 </w:t>
      </w:r>
      <w:r>
        <w:rPr>
          <w:rFonts w:hint="eastAsia"/>
        </w:rPr>
        <w:t>条</w:t>
      </w:r>
    </w:p>
    <w:p w:rsidR="00000000" w:rsidRDefault="00000000">
      <w:pPr>
        <w:pStyle w:val="Heading3"/>
        <w:spacing w:after="240"/>
      </w:pPr>
      <w:r>
        <w:rPr>
          <w:rFonts w:hint="eastAsia"/>
        </w:rPr>
        <w:t>教</w:t>
      </w:r>
      <w:r>
        <w:rPr>
          <w:rFonts w:hint="eastAsia"/>
        </w:rPr>
        <w:t xml:space="preserve">  </w:t>
      </w:r>
      <w:r>
        <w:rPr>
          <w:rFonts w:hint="eastAsia"/>
        </w:rPr>
        <w:t>育</w:t>
      </w:r>
    </w:p>
    <w:p w:rsidR="00000000" w:rsidRDefault="00000000">
      <w:pPr>
        <w:pStyle w:val="Heading4"/>
        <w:rPr>
          <w:rFonts w:hint="eastAsia"/>
        </w:rPr>
      </w:pPr>
      <w:r>
        <w:rPr>
          <w:rFonts w:hint="eastAsia"/>
        </w:rPr>
        <w:t>教育权</w:t>
      </w:r>
    </w:p>
    <w:p w:rsidR="00000000" w:rsidRDefault="00000000">
      <w:pPr>
        <w:rPr>
          <w:rFonts w:hint="eastAsia"/>
        </w:rPr>
      </w:pPr>
      <w:r>
        <w:rPr>
          <w:rFonts w:hint="eastAsia"/>
        </w:rPr>
        <w:tab/>
        <w:t>252.  1990</w:t>
      </w:r>
      <w:r>
        <w:rPr>
          <w:rFonts w:hint="eastAsia"/>
        </w:rPr>
        <w:t>年代末基础教育对几乎所有意大利人已经成为现实。事实上，今天</w:t>
      </w:r>
      <w:r>
        <w:rPr>
          <w:rFonts w:hint="eastAsia"/>
        </w:rPr>
        <w:t>95%</w:t>
      </w:r>
      <w:r>
        <w:rPr>
          <w:rFonts w:hint="eastAsia"/>
        </w:rPr>
        <w:t>的小学前年龄的幼儿接受某种形式的教育和照料，约</w:t>
      </w:r>
      <w:r>
        <w:rPr>
          <w:rFonts w:hint="eastAsia"/>
        </w:rPr>
        <w:t>100%</w:t>
      </w:r>
      <w:r>
        <w:rPr>
          <w:rFonts w:hint="eastAsia"/>
        </w:rPr>
        <w:t>的</w:t>
      </w:r>
      <w:r>
        <w:rPr>
          <w:rFonts w:hint="eastAsia"/>
        </w:rPr>
        <w:t>6</w:t>
      </w:r>
      <w:r>
        <w:rPr>
          <w:rFonts w:hint="eastAsia"/>
        </w:rPr>
        <w:t>至</w:t>
      </w:r>
      <w:r>
        <w:rPr>
          <w:rFonts w:hint="eastAsia"/>
        </w:rPr>
        <w:t>14</w:t>
      </w:r>
      <w:r>
        <w:rPr>
          <w:rFonts w:hint="eastAsia"/>
        </w:rPr>
        <w:t>岁的儿童在小学和初中接受正式教育。普及基础教育主要是过去十年采取的教育政策的结果。</w:t>
      </w:r>
      <w:r>
        <w:rPr>
          <w:rFonts w:hint="eastAsia"/>
        </w:rPr>
        <w:t>1990</w:t>
      </w:r>
      <w:r>
        <w:rPr>
          <w:rFonts w:hint="eastAsia"/>
        </w:rPr>
        <w:t>年代后期基础教育政策着重于三个主要目标，最重要的是制止学校的失败，特别是辍学现象。</w:t>
      </w:r>
    </w:p>
    <w:p w:rsidR="00000000" w:rsidRDefault="00000000">
      <w:pPr>
        <w:spacing w:after="240"/>
        <w:rPr>
          <w:rFonts w:hint="eastAsia"/>
        </w:rPr>
      </w:pPr>
      <w:r>
        <w:rPr>
          <w:rFonts w:hint="eastAsia"/>
        </w:rPr>
        <w:tab/>
        <w:t xml:space="preserve">253.  </w:t>
      </w:r>
      <w:r>
        <w:rPr>
          <w:rFonts w:hint="eastAsia"/>
        </w:rPr>
        <w:t>至于</w:t>
      </w:r>
      <w:r>
        <w:rPr>
          <w:rFonts w:hint="eastAsia"/>
        </w:rPr>
        <w:t>0-3</w:t>
      </w:r>
      <w:r>
        <w:rPr>
          <w:rFonts w:hint="eastAsia"/>
        </w:rPr>
        <w:t>岁的幼儿，</w:t>
      </w:r>
      <w:r>
        <w:rPr>
          <w:rFonts w:hint="eastAsia"/>
        </w:rPr>
        <w:t>1997</w:t>
      </w:r>
      <w:r>
        <w:rPr>
          <w:rFonts w:hint="eastAsia"/>
        </w:rPr>
        <w:t>年</w:t>
      </w:r>
      <w:r>
        <w:rPr>
          <w:rFonts w:hint="eastAsia"/>
        </w:rPr>
        <w:t>8</w:t>
      </w:r>
      <w:r>
        <w:rPr>
          <w:rFonts w:hint="eastAsia"/>
        </w:rPr>
        <w:t>月</w:t>
      </w:r>
      <w:r>
        <w:rPr>
          <w:rFonts w:hint="eastAsia"/>
        </w:rPr>
        <w:t>28</w:t>
      </w:r>
      <w:r>
        <w:rPr>
          <w:rFonts w:hint="eastAsia"/>
        </w:rPr>
        <w:t>日的第</w:t>
      </w:r>
      <w:r>
        <w:rPr>
          <w:rFonts w:hint="eastAsia"/>
        </w:rPr>
        <w:t>285</w:t>
      </w:r>
      <w:r>
        <w:rPr>
          <w:rFonts w:hint="eastAsia"/>
        </w:rPr>
        <w:t>号法令在</w:t>
      </w:r>
      <w:r>
        <w:rPr>
          <w:rFonts w:hint="eastAsia"/>
        </w:rPr>
        <w:t>A</w:t>
      </w:r>
      <w:r>
        <w:t>sili</w:t>
      </w:r>
      <w:r>
        <w:rPr>
          <w:rFonts w:hint="eastAsia"/>
        </w:rPr>
        <w:t xml:space="preserve"> N</w:t>
      </w:r>
      <w:r>
        <w:t>ido (</w:t>
      </w:r>
      <w:r>
        <w:rPr>
          <w:rFonts w:hint="eastAsia"/>
        </w:rPr>
        <w:t>幼儿园</w:t>
      </w:r>
      <w:r>
        <w:rPr>
          <w:rFonts w:hint="eastAsia"/>
        </w:rPr>
        <w:t>)</w:t>
      </w:r>
      <w:r>
        <w:rPr>
          <w:rFonts w:hint="eastAsia"/>
        </w:rPr>
        <w:t>基础上，增加了新型的社会教育服务，可以由家庭自己、协会以及私营和机构组织提供。此种倡议在特殊的全国儿童基金框架内受益于公共资金支持。到</w:t>
      </w:r>
      <w:r>
        <w:rPr>
          <w:rFonts w:hint="eastAsia"/>
        </w:rPr>
        <w:t>2000</w:t>
      </w:r>
      <w:r>
        <w:rPr>
          <w:rFonts w:hint="eastAsia"/>
        </w:rPr>
        <w:t>年几乎所有</w:t>
      </w:r>
      <w:r>
        <w:rPr>
          <w:rFonts w:hint="eastAsia"/>
        </w:rPr>
        <w:t>3</w:t>
      </w:r>
      <w:r>
        <w:rPr>
          <w:rFonts w:hint="eastAsia"/>
        </w:rPr>
        <w:t>至</w:t>
      </w:r>
      <w:r>
        <w:rPr>
          <w:rFonts w:hint="eastAsia"/>
        </w:rPr>
        <w:t>5</w:t>
      </w:r>
      <w:r>
        <w:rPr>
          <w:rFonts w:hint="eastAsia"/>
        </w:rPr>
        <w:t>岁的儿童接受学前教育或者去儿童照料机构</w:t>
      </w:r>
      <w:r>
        <w:rPr>
          <w:rFonts w:hint="eastAsia"/>
        </w:rPr>
        <w:t>(1998</w:t>
      </w:r>
      <w:r>
        <w:rPr>
          <w:rFonts w:hint="eastAsia"/>
        </w:rPr>
        <w:t>年的比例为</w:t>
      </w:r>
      <w:r>
        <w:rPr>
          <w:rFonts w:hint="eastAsia"/>
        </w:rPr>
        <w:t>95.1%)</w:t>
      </w:r>
      <w:r>
        <w:rPr>
          <w:rFonts w:hint="eastAsia"/>
        </w:rPr>
        <w:t>，小学和初中的辍学率几乎完全得到控制。</w:t>
      </w:r>
      <w:r>
        <w:rPr>
          <w:rFonts w:hint="eastAsia"/>
        </w:rPr>
        <w:t>1999</w:t>
      </w:r>
      <w:r>
        <w:rPr>
          <w:rFonts w:hint="eastAsia"/>
        </w:rPr>
        <w:t>年义务教育的年龄延长至</w:t>
      </w:r>
      <w:r>
        <w:rPr>
          <w:rFonts w:hint="eastAsia"/>
        </w:rPr>
        <w:t>15</w:t>
      </w:r>
      <w:r>
        <w:rPr>
          <w:rFonts w:hint="eastAsia"/>
        </w:rPr>
        <w:t>岁，也就是为期九年</w:t>
      </w:r>
      <w:r>
        <w:rPr>
          <w:rFonts w:hint="eastAsia"/>
        </w:rPr>
        <w:t>(1999</w:t>
      </w:r>
      <w:r>
        <w:rPr>
          <w:rFonts w:hint="eastAsia"/>
        </w:rPr>
        <w:t>年</w:t>
      </w:r>
      <w:r>
        <w:rPr>
          <w:rFonts w:hint="eastAsia"/>
        </w:rPr>
        <w:t>1</w:t>
      </w:r>
      <w:r>
        <w:rPr>
          <w:rFonts w:hint="eastAsia"/>
        </w:rPr>
        <w:t>月</w:t>
      </w:r>
      <w:r>
        <w:rPr>
          <w:rFonts w:hint="eastAsia"/>
        </w:rPr>
        <w:t>20</w:t>
      </w:r>
      <w:r>
        <w:rPr>
          <w:rFonts w:hint="eastAsia"/>
        </w:rPr>
        <w:t>日的第</w:t>
      </w:r>
      <w:r>
        <w:rPr>
          <w:rFonts w:hint="eastAsia"/>
        </w:rPr>
        <w:t>9</w:t>
      </w:r>
      <w:r>
        <w:rPr>
          <w:rFonts w:hint="eastAsia"/>
        </w:rPr>
        <w:t>号法律</w:t>
      </w:r>
      <w:r>
        <w:rPr>
          <w:rFonts w:hint="eastAsia"/>
        </w:rPr>
        <w:t>)</w:t>
      </w:r>
      <w:r>
        <w:rPr>
          <w:rFonts w:hint="eastAsia"/>
        </w:rPr>
        <w:t>。同时为那些完成了义务教育后不再继续正式教育的学生引入了义务职业培训和学徒，直至</w:t>
      </w:r>
      <w:r>
        <w:rPr>
          <w:rFonts w:hint="eastAsia"/>
        </w:rPr>
        <w:t>18</w:t>
      </w:r>
      <w:r>
        <w:rPr>
          <w:rFonts w:hint="eastAsia"/>
        </w:rPr>
        <w:t>岁</w:t>
      </w:r>
      <w:r>
        <w:rPr>
          <w:rFonts w:hint="eastAsia"/>
        </w:rPr>
        <w:t>(1999</w:t>
      </w:r>
      <w:r>
        <w:rPr>
          <w:rFonts w:hint="eastAsia"/>
        </w:rPr>
        <w:t>年</w:t>
      </w:r>
      <w:r>
        <w:rPr>
          <w:rFonts w:hint="eastAsia"/>
        </w:rPr>
        <w:t>5</w:t>
      </w:r>
      <w:r>
        <w:rPr>
          <w:rFonts w:hint="eastAsia"/>
        </w:rPr>
        <w:t>月</w:t>
      </w:r>
      <w:r>
        <w:rPr>
          <w:rFonts w:hint="eastAsia"/>
        </w:rPr>
        <w:t>17</w:t>
      </w:r>
      <w:r>
        <w:rPr>
          <w:rFonts w:hint="eastAsia"/>
        </w:rPr>
        <w:t>日的第</w:t>
      </w:r>
      <w:r>
        <w:rPr>
          <w:rFonts w:hint="eastAsia"/>
        </w:rPr>
        <w:t>144</w:t>
      </w:r>
      <w:r>
        <w:rPr>
          <w:rFonts w:hint="eastAsia"/>
        </w:rPr>
        <w:t>号法律</w:t>
      </w:r>
      <w:r>
        <w:rPr>
          <w:rFonts w:hint="eastAsia"/>
        </w:rPr>
        <w:t>)</w:t>
      </w:r>
      <w:r>
        <w:rPr>
          <w:rFonts w:hint="eastAsia"/>
        </w:rPr>
        <w:t>。</w:t>
      </w:r>
    </w:p>
    <w:p w:rsidR="00000000" w:rsidRDefault="00000000">
      <w:pPr>
        <w:pStyle w:val="Heading3"/>
        <w:spacing w:after="240"/>
        <w:rPr>
          <w:rFonts w:hint="eastAsia"/>
        </w:rPr>
      </w:pPr>
      <w:r>
        <w:rPr>
          <w:rFonts w:hint="eastAsia"/>
        </w:rPr>
        <w:t>提高各级教育的质量</w:t>
      </w:r>
    </w:p>
    <w:p w:rsidR="00000000" w:rsidRDefault="00000000">
      <w:pPr>
        <w:spacing w:after="240"/>
        <w:rPr>
          <w:rFonts w:hint="eastAsia"/>
        </w:rPr>
      </w:pPr>
      <w:r>
        <w:rPr>
          <w:rFonts w:hint="eastAsia"/>
        </w:rPr>
        <w:tab/>
        <w:t xml:space="preserve">254.  </w:t>
      </w:r>
      <w:r>
        <w:rPr>
          <w:rFonts w:hint="eastAsia"/>
        </w:rPr>
        <w:t>通过以下概述的倡议实施此项优先工作。</w:t>
      </w:r>
    </w:p>
    <w:p w:rsidR="00000000" w:rsidRDefault="00000000">
      <w:pPr>
        <w:pStyle w:val="Heading4"/>
        <w:rPr>
          <w:rFonts w:hint="eastAsia"/>
        </w:rPr>
      </w:pPr>
      <w:r>
        <w:rPr>
          <w:rFonts w:hint="eastAsia"/>
        </w:rPr>
        <w:t>改革学校的架构和课程设置</w:t>
      </w:r>
    </w:p>
    <w:p w:rsidR="00000000" w:rsidRDefault="00000000">
      <w:pPr>
        <w:rPr>
          <w:rFonts w:hint="eastAsia"/>
        </w:rPr>
      </w:pPr>
      <w:r>
        <w:rPr>
          <w:rFonts w:hint="eastAsia"/>
        </w:rPr>
        <w:tab/>
        <w:t>255.  1997</w:t>
      </w:r>
      <w:r>
        <w:rPr>
          <w:rFonts w:hint="eastAsia"/>
        </w:rPr>
        <w:t>年</w:t>
      </w:r>
      <w:r>
        <w:rPr>
          <w:rFonts w:hint="eastAsia"/>
        </w:rPr>
        <w:t>3</w:t>
      </w:r>
      <w:r>
        <w:rPr>
          <w:rFonts w:hint="eastAsia"/>
        </w:rPr>
        <w:t>月</w:t>
      </w:r>
      <w:r>
        <w:rPr>
          <w:rFonts w:hint="eastAsia"/>
        </w:rPr>
        <w:t>5</w:t>
      </w:r>
      <w:r>
        <w:rPr>
          <w:rFonts w:hint="eastAsia"/>
        </w:rPr>
        <w:t>日的第</w:t>
      </w:r>
      <w:r>
        <w:rPr>
          <w:rFonts w:hint="eastAsia"/>
        </w:rPr>
        <w:t>59</w:t>
      </w:r>
      <w:r>
        <w:rPr>
          <w:rFonts w:hint="eastAsia"/>
        </w:rPr>
        <w:t>号法律规定了学校的自治原则，给予每个教育机构法律地位，享有教育和组织自治。</w:t>
      </w:r>
      <w:r>
        <w:rPr>
          <w:rFonts w:hint="eastAsia"/>
        </w:rPr>
        <w:t>1999</w:t>
      </w:r>
      <w:r>
        <w:rPr>
          <w:rFonts w:hint="eastAsia"/>
        </w:rPr>
        <w:t>年</w:t>
      </w:r>
      <w:r>
        <w:rPr>
          <w:rFonts w:hint="eastAsia"/>
        </w:rPr>
        <w:t>3</w:t>
      </w:r>
      <w:r>
        <w:rPr>
          <w:rFonts w:hint="eastAsia"/>
        </w:rPr>
        <w:t>月颁布的规定使该法律生效。学校自治的主要目标是允许学校的课程设置具有更大的灵活性并适应社区的实际需求。在此框架内教育机构彼此并且与地方当局进行互动，促进个人需求和潜力与国家教育体制的目标之间的更密切的联系。</w:t>
      </w:r>
    </w:p>
    <w:p w:rsidR="00000000" w:rsidRDefault="00000000">
      <w:pPr>
        <w:spacing w:after="240"/>
        <w:rPr>
          <w:rFonts w:hint="eastAsia"/>
        </w:rPr>
      </w:pPr>
      <w:r>
        <w:rPr>
          <w:rFonts w:hint="eastAsia"/>
        </w:rPr>
        <w:tab/>
        <w:t xml:space="preserve">256.  </w:t>
      </w:r>
      <w:r>
        <w:rPr>
          <w:rFonts w:hint="eastAsia"/>
        </w:rPr>
        <w:t>上一届议会于</w:t>
      </w:r>
      <w:r>
        <w:rPr>
          <w:rFonts w:hint="eastAsia"/>
        </w:rPr>
        <w:t>2000</w:t>
      </w:r>
      <w:r>
        <w:rPr>
          <w:rFonts w:hint="eastAsia"/>
        </w:rPr>
        <w:t>年</w:t>
      </w:r>
      <w:r>
        <w:rPr>
          <w:rFonts w:hint="eastAsia"/>
        </w:rPr>
        <w:t>2</w:t>
      </w:r>
      <w:r>
        <w:rPr>
          <w:rFonts w:hint="eastAsia"/>
        </w:rPr>
        <w:t>月批准的教育周期改革</w:t>
      </w:r>
      <w:r>
        <w:rPr>
          <w:rFonts w:hint="eastAsia"/>
        </w:rPr>
        <w:t>(</w:t>
      </w:r>
      <w:r>
        <w:rPr>
          <w:rFonts w:hint="eastAsia"/>
        </w:rPr>
        <w:t>七年基础教育周期，然后是五年中等教育周期</w:t>
      </w:r>
      <w:r>
        <w:rPr>
          <w:rFonts w:hint="eastAsia"/>
        </w:rPr>
        <w:t>)</w:t>
      </w:r>
      <w:r>
        <w:rPr>
          <w:rFonts w:hint="eastAsia"/>
        </w:rPr>
        <w:t>，</w:t>
      </w:r>
      <w:r>
        <w:rPr>
          <w:rFonts w:hint="eastAsia"/>
        </w:rPr>
        <w:t>2001</w:t>
      </w:r>
      <w:r>
        <w:rPr>
          <w:rFonts w:hint="eastAsia"/>
        </w:rPr>
        <w:t>年</w:t>
      </w:r>
      <w:r>
        <w:rPr>
          <w:rFonts w:hint="eastAsia"/>
        </w:rPr>
        <w:t>6</w:t>
      </w:r>
      <w:r>
        <w:rPr>
          <w:rFonts w:hint="eastAsia"/>
        </w:rPr>
        <w:t>月大选后成立的新政府应该进行大幅修改。新的改革项目应该保留五年小学教育和三年初中教育的旧架构，将高中教育由五年减为四年，并引入在</w:t>
      </w:r>
      <w:r>
        <w:rPr>
          <w:rFonts w:hint="eastAsia"/>
        </w:rPr>
        <w:t>14</w:t>
      </w:r>
      <w:r>
        <w:rPr>
          <w:rFonts w:hint="eastAsia"/>
        </w:rPr>
        <w:t>岁时强制性的在正常和职业教育之间作出了选择。</w:t>
      </w:r>
    </w:p>
    <w:p w:rsidR="00000000" w:rsidRDefault="00000000">
      <w:pPr>
        <w:pStyle w:val="Heading4"/>
        <w:rPr>
          <w:rFonts w:hint="eastAsia"/>
        </w:rPr>
      </w:pPr>
      <w:r>
        <w:rPr>
          <w:rFonts w:hint="eastAsia"/>
        </w:rPr>
        <w:t>新的教师培训计划</w:t>
      </w:r>
    </w:p>
    <w:p w:rsidR="00000000" w:rsidRDefault="00000000">
      <w:pPr>
        <w:rPr>
          <w:rFonts w:hint="eastAsia"/>
        </w:rPr>
      </w:pPr>
      <w:r>
        <w:rPr>
          <w:rFonts w:hint="eastAsia"/>
        </w:rPr>
        <w:tab/>
        <w:t xml:space="preserve">257.  </w:t>
      </w:r>
      <w:r>
        <w:rPr>
          <w:rFonts w:hint="eastAsia"/>
        </w:rPr>
        <w:t>根据</w:t>
      </w:r>
      <w:r>
        <w:rPr>
          <w:rFonts w:hint="eastAsia"/>
        </w:rPr>
        <w:t>1996</w:t>
      </w:r>
      <w:r>
        <w:rPr>
          <w:rFonts w:hint="eastAsia"/>
        </w:rPr>
        <w:t>年</w:t>
      </w:r>
      <w:r>
        <w:rPr>
          <w:rFonts w:hint="eastAsia"/>
        </w:rPr>
        <w:t>7</w:t>
      </w:r>
      <w:r>
        <w:rPr>
          <w:rFonts w:hint="eastAsia"/>
        </w:rPr>
        <w:t>月</w:t>
      </w:r>
      <w:r>
        <w:rPr>
          <w:rFonts w:hint="eastAsia"/>
        </w:rPr>
        <w:t>31</w:t>
      </w:r>
      <w:r>
        <w:rPr>
          <w:rFonts w:hint="eastAsia"/>
        </w:rPr>
        <w:t>日的第</w:t>
      </w:r>
      <w:r>
        <w:rPr>
          <w:rFonts w:hint="eastAsia"/>
        </w:rPr>
        <w:t>471</w:t>
      </w:r>
      <w:r>
        <w:rPr>
          <w:rFonts w:hint="eastAsia"/>
        </w:rPr>
        <w:t>号共和国总统令和</w:t>
      </w:r>
      <w:r>
        <w:rPr>
          <w:rFonts w:hint="eastAsia"/>
        </w:rPr>
        <w:t>1997</w:t>
      </w:r>
      <w:r>
        <w:rPr>
          <w:rFonts w:hint="eastAsia"/>
        </w:rPr>
        <w:t>年</w:t>
      </w:r>
      <w:r>
        <w:rPr>
          <w:rFonts w:hint="eastAsia"/>
        </w:rPr>
        <w:t>3</w:t>
      </w:r>
      <w:r>
        <w:rPr>
          <w:rFonts w:hint="eastAsia"/>
        </w:rPr>
        <w:t>月</w:t>
      </w:r>
      <w:r>
        <w:rPr>
          <w:rFonts w:hint="eastAsia"/>
        </w:rPr>
        <w:t>10</w:t>
      </w:r>
      <w:r>
        <w:rPr>
          <w:rFonts w:hint="eastAsia"/>
        </w:rPr>
        <w:t>日的部门间法令，从</w:t>
      </w:r>
      <w:r>
        <w:rPr>
          <w:rFonts w:hint="eastAsia"/>
        </w:rPr>
        <w:t>1998/99</w:t>
      </w:r>
      <w:r>
        <w:rPr>
          <w:rFonts w:hint="eastAsia"/>
        </w:rPr>
        <w:t>学年度已经制定和执行新的幼儿和小学教师培训制度。幼儿和小学教师必须学习特殊的四年大学课程。同一项法律还为中学教师的培训引入了新的原则，主要是今后的教师必须在获得他们希望教的科目的大学学位后，学习两年的专业研究生课程，课程结束时颁发学位，使他们有资格参加公立学校合格教师职位的公开竞争。</w:t>
      </w:r>
    </w:p>
    <w:p w:rsidR="00000000" w:rsidRDefault="00000000">
      <w:pPr>
        <w:spacing w:after="240"/>
        <w:rPr>
          <w:rFonts w:hint="eastAsia"/>
        </w:rPr>
      </w:pPr>
      <w:r>
        <w:rPr>
          <w:rFonts w:hint="eastAsia"/>
        </w:rPr>
        <w:tab/>
        <w:t>258.  1998</w:t>
      </w:r>
      <w:r>
        <w:rPr>
          <w:rFonts w:hint="eastAsia"/>
        </w:rPr>
        <w:t>年发起了一个名为站立区域中心的全国计划，旨在给成年文盲一个获得基础教育、提高基本知识、技能和能力的机会。</w:t>
      </w:r>
    </w:p>
    <w:p w:rsidR="00000000" w:rsidRDefault="00000000">
      <w:pPr>
        <w:pStyle w:val="Heading4"/>
        <w:rPr>
          <w:rFonts w:hint="eastAsia"/>
        </w:rPr>
      </w:pPr>
      <w:r>
        <w:rPr>
          <w:rFonts w:hint="eastAsia"/>
        </w:rPr>
        <w:t>教育投资</w:t>
      </w:r>
    </w:p>
    <w:p w:rsidR="00000000" w:rsidRDefault="00000000">
      <w:pPr>
        <w:rPr>
          <w:rFonts w:hint="eastAsia"/>
        </w:rPr>
      </w:pPr>
      <w:r>
        <w:rPr>
          <w:rFonts w:hint="eastAsia"/>
        </w:rPr>
        <w:tab/>
        <w:t>259.  1990</w:t>
      </w:r>
      <w:r>
        <w:rPr>
          <w:rFonts w:hint="eastAsia"/>
        </w:rPr>
        <w:t>年代意大利的教育制度深受一些因素的影响，其中包括人口和经济发展对教育政策的巨大影响。</w:t>
      </w:r>
    </w:p>
    <w:p w:rsidR="00000000" w:rsidRDefault="00000000">
      <w:pPr>
        <w:rPr>
          <w:rFonts w:hint="eastAsia"/>
        </w:rPr>
      </w:pPr>
      <w:r>
        <w:rPr>
          <w:rFonts w:hint="eastAsia"/>
        </w:rPr>
        <w:tab/>
        <w:t xml:space="preserve">260.  </w:t>
      </w:r>
      <w:r>
        <w:rPr>
          <w:rFonts w:hint="eastAsia"/>
        </w:rPr>
        <w:t>出生率下降对学校制度产生的影响</w:t>
      </w:r>
      <w:r>
        <w:rPr>
          <w:rFonts w:hint="eastAsia"/>
        </w:rPr>
        <w:t>1990</w:t>
      </w:r>
      <w:r>
        <w:rPr>
          <w:rFonts w:hint="eastAsia"/>
        </w:rPr>
        <w:t>年代明显地表现出来，年轻人的人数显著下降，特别是学前、小学和初中学生。该趋势尚未结束，因为十年间生育率继续下降，</w:t>
      </w:r>
      <w:r>
        <w:rPr>
          <w:rFonts w:hint="eastAsia"/>
        </w:rPr>
        <w:t>1999</w:t>
      </w:r>
      <w:r>
        <w:rPr>
          <w:rFonts w:hint="eastAsia"/>
        </w:rPr>
        <w:t>年达</w:t>
      </w:r>
      <w:r>
        <w:rPr>
          <w:rFonts w:hint="eastAsia"/>
        </w:rPr>
        <w:t>1.19</w:t>
      </w:r>
      <w:r>
        <w:rPr>
          <w:rFonts w:hint="eastAsia"/>
        </w:rPr>
        <w:t>。学生人数下降在各级教育中都很明显，特别是小学义务教育</w:t>
      </w:r>
      <w:r>
        <w:rPr>
          <w:rFonts w:hint="eastAsia"/>
        </w:rPr>
        <w:t>(1990/91</w:t>
      </w:r>
      <w:r>
        <w:rPr>
          <w:rFonts w:hint="eastAsia"/>
        </w:rPr>
        <w:t>至</w:t>
      </w:r>
      <w:r>
        <w:rPr>
          <w:rFonts w:hint="eastAsia"/>
        </w:rPr>
        <w:t>1997/98</w:t>
      </w:r>
      <w:r>
        <w:rPr>
          <w:rFonts w:hint="eastAsia"/>
        </w:rPr>
        <w:t>学年为</w:t>
      </w:r>
      <w:r>
        <w:rPr>
          <w:rFonts w:hint="eastAsia"/>
        </w:rPr>
        <w:t>-8.3%)</w:t>
      </w:r>
      <w:r>
        <w:rPr>
          <w:rFonts w:hint="eastAsia"/>
        </w:rPr>
        <w:t>初中</w:t>
      </w:r>
      <w:r>
        <w:rPr>
          <w:rFonts w:hint="eastAsia"/>
        </w:rPr>
        <w:t>(</w:t>
      </w:r>
      <w:r>
        <w:rPr>
          <w:rFonts w:hint="eastAsia"/>
        </w:rPr>
        <w:t>同期为</w:t>
      </w:r>
      <w:r>
        <w:rPr>
          <w:rFonts w:hint="eastAsia"/>
        </w:rPr>
        <w:t>-20.1%)</w:t>
      </w:r>
      <w:r>
        <w:rPr>
          <w:rFonts w:hint="eastAsia"/>
        </w:rPr>
        <w:t>。与学生人数下降平行，学校、班级和教师数字显著下降。</w:t>
      </w:r>
      <w:r>
        <w:rPr>
          <w:rFonts w:hint="eastAsia"/>
        </w:rPr>
        <w:t>1990</w:t>
      </w:r>
      <w:r>
        <w:rPr>
          <w:rFonts w:hint="eastAsia"/>
        </w:rPr>
        <w:t>至</w:t>
      </w:r>
      <w:r>
        <w:rPr>
          <w:rFonts w:hint="eastAsia"/>
        </w:rPr>
        <w:t>1998</w:t>
      </w:r>
      <w:r>
        <w:rPr>
          <w:rFonts w:hint="eastAsia"/>
        </w:rPr>
        <w:t>年间学校数字下降</w:t>
      </w:r>
      <w:r>
        <w:rPr>
          <w:rFonts w:hint="eastAsia"/>
        </w:rPr>
        <w:t>14.7%</w:t>
      </w:r>
      <w:r>
        <w:rPr>
          <w:rFonts w:hint="eastAsia"/>
        </w:rPr>
        <w:t>，班级数字下降</w:t>
      </w:r>
      <w:r>
        <w:rPr>
          <w:rFonts w:hint="eastAsia"/>
        </w:rPr>
        <w:t>16%</w:t>
      </w:r>
      <w:r>
        <w:rPr>
          <w:rFonts w:hint="eastAsia"/>
        </w:rPr>
        <w:t>，教师数字下降</w:t>
      </w:r>
      <w:r>
        <w:rPr>
          <w:rFonts w:hint="eastAsia"/>
        </w:rPr>
        <w:t>6.6%</w:t>
      </w:r>
      <w:r>
        <w:rPr>
          <w:rFonts w:hint="eastAsia"/>
        </w:rPr>
        <w:t>。学校、班级和教师数字逐渐下降也与</w:t>
      </w:r>
      <w:r>
        <w:rPr>
          <w:rFonts w:hint="eastAsia"/>
        </w:rPr>
        <w:t>1998</w:t>
      </w:r>
      <w:r>
        <w:rPr>
          <w:rFonts w:hint="eastAsia"/>
        </w:rPr>
        <w:t>年</w:t>
      </w:r>
      <w:r>
        <w:rPr>
          <w:rFonts w:hint="eastAsia"/>
        </w:rPr>
        <w:t>7</w:t>
      </w:r>
      <w:r>
        <w:rPr>
          <w:rFonts w:hint="eastAsia"/>
        </w:rPr>
        <w:t>月</w:t>
      </w:r>
      <w:r>
        <w:rPr>
          <w:rFonts w:hint="eastAsia"/>
        </w:rPr>
        <w:t>24</w:t>
      </w:r>
      <w:r>
        <w:rPr>
          <w:rFonts w:hint="eastAsia"/>
        </w:rPr>
        <w:t>日的部长令制定的目前政策相关。该政策旨在使学校网络“合理化”，将小的学校合并，提高教室</w:t>
      </w:r>
      <w:r>
        <w:rPr>
          <w:rFonts w:hint="eastAsia"/>
        </w:rPr>
        <w:t>/</w:t>
      </w:r>
      <w:r>
        <w:rPr>
          <w:rFonts w:hint="eastAsia"/>
        </w:rPr>
        <w:t>学生的比例，从而减少教师的数字。</w:t>
      </w:r>
    </w:p>
    <w:p w:rsidR="00000000" w:rsidRDefault="00000000">
      <w:pPr>
        <w:rPr>
          <w:rFonts w:hint="eastAsia"/>
        </w:rPr>
      </w:pPr>
      <w:r>
        <w:rPr>
          <w:rFonts w:hint="eastAsia"/>
        </w:rPr>
        <w:tab/>
        <w:t xml:space="preserve">261.  </w:t>
      </w:r>
      <w:r>
        <w:rPr>
          <w:rFonts w:hint="eastAsia"/>
        </w:rPr>
        <w:t>根据上述学生数字的变化，本十年期教育的公共开支结构正发生变化。例如，学校建设从预算项目中消失，代之以现有校舍的改造和调整，更新家具和学校设备，提供信息和中心技术，丰富学校的图书馆等。最后，小学和中学用于教学和非教学人员以及其他经常开支的比例正发生显著变化</w:t>
      </w:r>
      <w:r>
        <w:rPr>
          <w:rFonts w:hint="eastAsia"/>
        </w:rPr>
        <w:t>(1992</w:t>
      </w:r>
      <w:r>
        <w:rPr>
          <w:rFonts w:hint="eastAsia"/>
        </w:rPr>
        <w:t>年工作人员为</w:t>
      </w:r>
      <w:r>
        <w:rPr>
          <w:rFonts w:hint="eastAsia"/>
        </w:rPr>
        <w:t>94.6%</w:t>
      </w:r>
      <w:r>
        <w:rPr>
          <w:rFonts w:hint="eastAsia"/>
        </w:rPr>
        <w:t>，其他经常开支为</w:t>
      </w:r>
      <w:r>
        <w:rPr>
          <w:rFonts w:hint="eastAsia"/>
        </w:rPr>
        <w:t>5.4%</w:t>
      </w:r>
      <w:r>
        <w:rPr>
          <w:rFonts w:hint="eastAsia"/>
        </w:rPr>
        <w:t>，而</w:t>
      </w:r>
      <w:r>
        <w:rPr>
          <w:rFonts w:hint="eastAsia"/>
        </w:rPr>
        <w:t>1998</w:t>
      </w:r>
      <w:r>
        <w:rPr>
          <w:rFonts w:hint="eastAsia"/>
        </w:rPr>
        <w:t>年分别为</w:t>
      </w:r>
      <w:r>
        <w:rPr>
          <w:rFonts w:hint="eastAsia"/>
        </w:rPr>
        <w:t>89%</w:t>
      </w:r>
      <w:r>
        <w:rPr>
          <w:rFonts w:hint="eastAsia"/>
        </w:rPr>
        <w:t>和</w:t>
      </w:r>
      <w:r>
        <w:rPr>
          <w:rFonts w:hint="eastAsia"/>
        </w:rPr>
        <w:t>11%)</w:t>
      </w:r>
      <w:r>
        <w:rPr>
          <w:rFonts w:hint="eastAsia"/>
        </w:rPr>
        <w:t>。这意味着拨出更多的资源用于非教学活动，如教师的在岗培训、试验、教材和设备等。</w:t>
      </w:r>
    </w:p>
    <w:p w:rsidR="00000000" w:rsidRDefault="00000000">
      <w:pPr>
        <w:spacing w:after="320"/>
        <w:rPr>
          <w:rFonts w:hint="eastAsia"/>
        </w:rPr>
      </w:pPr>
      <w:r>
        <w:rPr>
          <w:rFonts w:hint="eastAsia"/>
        </w:rPr>
        <w:tab/>
        <w:t xml:space="preserve">262.  </w:t>
      </w:r>
      <w:r>
        <w:rPr>
          <w:rFonts w:hint="eastAsia"/>
        </w:rPr>
        <w:t>至于课本，部长理事会主席令</w:t>
      </w:r>
      <w:r>
        <w:rPr>
          <w:rFonts w:hint="eastAsia"/>
        </w:rPr>
        <w:t>(1999</w:t>
      </w:r>
      <w:r>
        <w:rPr>
          <w:rFonts w:hint="eastAsia"/>
        </w:rPr>
        <w:t>年</w:t>
      </w:r>
      <w:r>
        <w:rPr>
          <w:rFonts w:hint="eastAsia"/>
        </w:rPr>
        <w:t>8</w:t>
      </w:r>
      <w:r>
        <w:rPr>
          <w:rFonts w:hint="eastAsia"/>
        </w:rPr>
        <w:t>月</w:t>
      </w:r>
      <w:r>
        <w:rPr>
          <w:rFonts w:hint="eastAsia"/>
        </w:rPr>
        <w:t>27</w:t>
      </w:r>
      <w:r>
        <w:rPr>
          <w:rFonts w:hint="eastAsia"/>
        </w:rPr>
        <w:t>日</w:t>
      </w:r>
      <w:r>
        <w:rPr>
          <w:rFonts w:hint="eastAsia"/>
        </w:rPr>
        <w:t>)</w:t>
      </w:r>
      <w:r>
        <w:rPr>
          <w:rFonts w:hint="eastAsia"/>
        </w:rPr>
        <w:t>为</w:t>
      </w:r>
      <w:r>
        <w:rPr>
          <w:rFonts w:hint="eastAsia"/>
        </w:rPr>
        <w:t>1999/2000</w:t>
      </w:r>
      <w:r>
        <w:rPr>
          <w:rFonts w:hint="eastAsia"/>
        </w:rPr>
        <w:t>学年拨出</w:t>
      </w:r>
      <w:r>
        <w:rPr>
          <w:rFonts w:hint="eastAsia"/>
        </w:rPr>
        <w:t>2000</w:t>
      </w:r>
      <w:r>
        <w:rPr>
          <w:rFonts w:hint="eastAsia"/>
        </w:rPr>
        <w:t>亿里拉</w:t>
      </w:r>
      <w:r>
        <w:rPr>
          <w:rFonts w:hint="eastAsia"/>
        </w:rPr>
        <w:t>(</w:t>
      </w:r>
      <w:r>
        <w:rPr>
          <w:rFonts w:hint="eastAsia"/>
        </w:rPr>
        <w:t>约</w:t>
      </w:r>
      <w:r>
        <w:rPr>
          <w:rFonts w:hint="eastAsia"/>
        </w:rPr>
        <w:t>1</w:t>
      </w:r>
      <w:r>
        <w:rPr>
          <w:rFonts w:hint="eastAsia"/>
        </w:rPr>
        <w:t>亿欧元</w:t>
      </w:r>
      <w:r>
        <w:rPr>
          <w:rFonts w:hint="eastAsia"/>
        </w:rPr>
        <w:t>)</w:t>
      </w:r>
      <w:r>
        <w:rPr>
          <w:rFonts w:hint="eastAsia"/>
        </w:rPr>
        <w:t>作为给年收入低于</w:t>
      </w:r>
      <w:r>
        <w:rPr>
          <w:rFonts w:hint="eastAsia"/>
        </w:rPr>
        <w:t>3,000</w:t>
      </w:r>
      <w:r>
        <w:rPr>
          <w:rFonts w:hint="eastAsia"/>
        </w:rPr>
        <w:t>万里拉</w:t>
      </w:r>
      <w:r>
        <w:rPr>
          <w:rFonts w:hint="eastAsia"/>
        </w:rPr>
        <w:t>(</w:t>
      </w:r>
      <w:r>
        <w:rPr>
          <w:rFonts w:hint="eastAsia"/>
        </w:rPr>
        <w:t>约</w:t>
      </w:r>
      <w:r>
        <w:rPr>
          <w:rFonts w:hint="eastAsia"/>
        </w:rPr>
        <w:t>15,000</w:t>
      </w:r>
      <w:r>
        <w:rPr>
          <w:rFonts w:hint="eastAsia"/>
        </w:rPr>
        <w:t>欧元</w:t>
      </w:r>
      <w:r>
        <w:rPr>
          <w:rFonts w:hint="eastAsia"/>
        </w:rPr>
        <w:t>)</w:t>
      </w:r>
      <w:r>
        <w:rPr>
          <w:rFonts w:hint="eastAsia"/>
        </w:rPr>
        <w:t>的贫困家庭的补贴。该补贴旨在帮助贫困家庭上义务初中和高中第一年的孩子购买课本</w:t>
      </w:r>
      <w:r>
        <w:rPr>
          <w:rFonts w:hint="eastAsia"/>
        </w:rPr>
        <w:t>(</w:t>
      </w:r>
      <w:r>
        <w:rPr>
          <w:rFonts w:hint="eastAsia"/>
        </w:rPr>
        <w:t>通常向所有上小学的儿童免费提供课本</w:t>
      </w:r>
      <w:r>
        <w:rPr>
          <w:rFonts w:hint="eastAsia"/>
        </w:rPr>
        <w:t>)</w:t>
      </w:r>
      <w:r>
        <w:rPr>
          <w:rFonts w:hint="eastAsia"/>
        </w:rPr>
        <w:t>。</w:t>
      </w:r>
    </w:p>
    <w:p w:rsidR="00000000" w:rsidRDefault="00000000">
      <w:pPr>
        <w:pStyle w:val="Heading3"/>
        <w:spacing w:after="240"/>
        <w:rPr>
          <w:rFonts w:hint="eastAsia"/>
          <w:u w:val="none"/>
        </w:rPr>
      </w:pPr>
      <w:r>
        <w:rPr>
          <w:rFonts w:hint="eastAsia"/>
          <w:u w:val="none"/>
        </w:rPr>
        <w:t>表</w:t>
      </w:r>
      <w:r>
        <w:rPr>
          <w:rFonts w:hint="eastAsia"/>
          <w:u w:val="none"/>
        </w:rPr>
        <w:t xml:space="preserve">2.  </w:t>
      </w:r>
      <w:r>
        <w:rPr>
          <w:rFonts w:hint="eastAsia"/>
        </w:rPr>
        <w:t>国家预算－教育公共开支</w:t>
      </w:r>
      <w:r>
        <w:br/>
      </w:r>
      <w:r>
        <w:rPr>
          <w:rFonts w:hint="eastAsia"/>
          <w:u w:val="none"/>
        </w:rPr>
        <w:t xml:space="preserve">      (</w:t>
      </w:r>
      <w:r>
        <w:rPr>
          <w:rFonts w:hint="eastAsia"/>
        </w:rPr>
        <w:t>1990-1997</w:t>
      </w:r>
      <w:r>
        <w:rPr>
          <w:rFonts w:hint="eastAsia"/>
        </w:rPr>
        <w:t>年的综合平衡表</w:t>
      </w:r>
      <w:r>
        <w:rPr>
          <w:rFonts w:hint="eastAsia"/>
          <w:u w: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CellMar>
          <w:left w:w="54" w:type="dxa"/>
          <w:bottom w:w="113" w:type="dxa"/>
          <w:right w:w="54" w:type="dxa"/>
        </w:tblCellMar>
        <w:tblLook w:val="0000" w:firstRow="0" w:lastRow="0" w:firstColumn="0" w:lastColumn="0" w:noHBand="0" w:noVBand="0"/>
      </w:tblPr>
      <w:tblGrid>
        <w:gridCol w:w="2365"/>
        <w:gridCol w:w="2365"/>
        <w:gridCol w:w="2366"/>
        <w:gridCol w:w="2366"/>
      </w:tblGrid>
      <w:tr w:rsidR="00000000">
        <w:tblPrEx>
          <w:tblCellMar>
            <w:top w:w="0" w:type="dxa"/>
          </w:tblCellMar>
        </w:tblPrEx>
        <w:tc>
          <w:tcPr>
            <w:tcW w:w="1250" w:type="pct"/>
            <w:tcBorders>
              <w:bottom w:val="nil"/>
            </w:tcBorders>
          </w:tcPr>
          <w:p w:rsidR="00000000" w:rsidRDefault="00000000">
            <w:pPr>
              <w:pStyle w:val="a2"/>
              <w:spacing w:before="40" w:line="264" w:lineRule="auto"/>
              <w:jc w:val="center"/>
              <w:rPr>
                <w:rFonts w:hint="eastAsia"/>
                <w:snapToGrid/>
                <w:sz w:val="20"/>
                <w:u w:val="single"/>
              </w:rPr>
            </w:pPr>
            <w:r>
              <w:rPr>
                <w:rFonts w:hint="eastAsia"/>
                <w:snapToGrid/>
                <w:sz w:val="20"/>
                <w:u w:val="single"/>
              </w:rPr>
              <w:t>年</w:t>
            </w:r>
          </w:p>
        </w:tc>
        <w:tc>
          <w:tcPr>
            <w:tcW w:w="1250" w:type="pct"/>
            <w:tcBorders>
              <w:bottom w:val="nil"/>
            </w:tcBorders>
          </w:tcPr>
          <w:p w:rsidR="00000000" w:rsidRDefault="00000000">
            <w:pPr>
              <w:pStyle w:val="a2"/>
              <w:spacing w:before="40" w:line="264" w:lineRule="auto"/>
              <w:jc w:val="center"/>
              <w:rPr>
                <w:rFonts w:hint="eastAsia"/>
                <w:snapToGrid/>
                <w:sz w:val="20"/>
                <w:u w:val="single"/>
              </w:rPr>
            </w:pPr>
            <w:r>
              <w:rPr>
                <w:rFonts w:hint="eastAsia"/>
                <w:snapToGrid/>
                <w:sz w:val="20"/>
                <w:u w:val="single"/>
              </w:rPr>
              <w:t>教育公共开支</w:t>
            </w:r>
          </w:p>
        </w:tc>
        <w:tc>
          <w:tcPr>
            <w:tcW w:w="1250" w:type="pct"/>
            <w:tcBorders>
              <w:bottom w:val="nil"/>
            </w:tcBorders>
          </w:tcPr>
          <w:p w:rsidR="00000000" w:rsidRDefault="00000000">
            <w:pPr>
              <w:pStyle w:val="a2"/>
              <w:tabs>
                <w:tab w:val="decimal" w:pos="1631"/>
              </w:tabs>
              <w:spacing w:before="40" w:line="264" w:lineRule="auto"/>
              <w:jc w:val="center"/>
              <w:rPr>
                <w:sz w:val="20"/>
                <w:u w:val="single"/>
              </w:rPr>
            </w:pPr>
            <w:r>
              <w:rPr>
                <w:rFonts w:hint="eastAsia"/>
                <w:snapToGrid/>
                <w:sz w:val="20"/>
                <w:u w:val="single"/>
              </w:rPr>
              <w:t>国家预算</w:t>
            </w:r>
            <w:r>
              <w:rPr>
                <w:snapToGrid/>
                <w:sz w:val="20"/>
                <w:u w:val="single"/>
              </w:rPr>
              <w:t>(</w:t>
            </w:r>
            <w:r>
              <w:rPr>
                <w:rFonts w:hint="eastAsia"/>
                <w:snapToGrid/>
                <w:sz w:val="20"/>
                <w:u w:val="single"/>
              </w:rPr>
              <w:t>10</w:t>
            </w:r>
            <w:r>
              <w:rPr>
                <w:rFonts w:hint="eastAsia"/>
                <w:snapToGrid/>
                <w:sz w:val="20"/>
                <w:u w:val="single"/>
              </w:rPr>
              <w:t>亿里拉</w:t>
            </w:r>
            <w:r>
              <w:rPr>
                <w:snapToGrid/>
                <w:sz w:val="20"/>
                <w:u w:val="single"/>
              </w:rPr>
              <w:t>)</w:t>
            </w:r>
          </w:p>
        </w:tc>
        <w:tc>
          <w:tcPr>
            <w:tcW w:w="1250" w:type="pct"/>
            <w:tcBorders>
              <w:bottom w:val="nil"/>
            </w:tcBorders>
          </w:tcPr>
          <w:p w:rsidR="00000000" w:rsidRDefault="00000000">
            <w:pPr>
              <w:pStyle w:val="a2"/>
              <w:tabs>
                <w:tab w:val="decimal" w:pos="1085"/>
              </w:tabs>
              <w:spacing w:before="40" w:line="264" w:lineRule="auto"/>
              <w:jc w:val="center"/>
              <w:rPr>
                <w:sz w:val="20"/>
                <w:u w:val="single"/>
              </w:rPr>
            </w:pPr>
            <w:r>
              <w:rPr>
                <w:rFonts w:hint="eastAsia"/>
                <w:snapToGrid/>
                <w:sz w:val="20"/>
                <w:u w:val="single"/>
              </w:rPr>
              <w:t>开支占国民生产</w:t>
            </w:r>
            <w:r>
              <w:rPr>
                <w:snapToGrid/>
                <w:sz w:val="20"/>
                <w:u w:val="single"/>
              </w:rPr>
              <w:br/>
            </w:r>
            <w:r>
              <w:rPr>
                <w:rFonts w:hint="eastAsia"/>
                <w:snapToGrid/>
                <w:sz w:val="20"/>
                <w:u w:val="single"/>
              </w:rPr>
              <w:t>总值的百分比</w:t>
            </w:r>
            <w:r>
              <w:rPr>
                <w:rFonts w:hint="eastAsia"/>
                <w:snapToGrid/>
                <w:sz w:val="20"/>
                <w:u w:val="single"/>
              </w:rPr>
              <w:t>(%)</w:t>
            </w:r>
          </w:p>
        </w:tc>
      </w:tr>
      <w:tr w:rsidR="00000000">
        <w:tblPrEx>
          <w:tblCellMar>
            <w:top w:w="0" w:type="dxa"/>
          </w:tblCellMar>
        </w:tblPrEx>
        <w:tc>
          <w:tcPr>
            <w:tcW w:w="1250" w:type="pct"/>
            <w:tcBorders>
              <w:bottom w:val="nil"/>
            </w:tcBorders>
          </w:tcPr>
          <w:p w:rsidR="00000000" w:rsidRDefault="00000000">
            <w:pPr>
              <w:pStyle w:val="a2"/>
              <w:spacing w:line="264" w:lineRule="auto"/>
              <w:jc w:val="center"/>
              <w:rPr>
                <w:sz w:val="20"/>
              </w:rPr>
            </w:pPr>
            <w:r>
              <w:rPr>
                <w:sz w:val="20"/>
              </w:rPr>
              <w:t>1990</w:t>
            </w:r>
          </w:p>
        </w:tc>
        <w:tc>
          <w:tcPr>
            <w:tcW w:w="1250" w:type="pct"/>
            <w:tcBorders>
              <w:bottom w:val="nil"/>
            </w:tcBorders>
          </w:tcPr>
          <w:p w:rsidR="00000000" w:rsidRDefault="00000000">
            <w:pPr>
              <w:pStyle w:val="a2"/>
              <w:tabs>
                <w:tab w:val="decimal" w:pos="1631"/>
              </w:tabs>
              <w:spacing w:line="264" w:lineRule="auto"/>
              <w:rPr>
                <w:sz w:val="20"/>
              </w:rPr>
            </w:pPr>
            <w:r>
              <w:rPr>
                <w:sz w:val="20"/>
              </w:rPr>
              <w:t>64,358,860</w:t>
            </w:r>
          </w:p>
        </w:tc>
        <w:tc>
          <w:tcPr>
            <w:tcW w:w="1250" w:type="pct"/>
            <w:tcBorders>
              <w:bottom w:val="nil"/>
            </w:tcBorders>
          </w:tcPr>
          <w:p w:rsidR="00000000" w:rsidRDefault="00000000">
            <w:pPr>
              <w:pStyle w:val="a2"/>
              <w:tabs>
                <w:tab w:val="decimal" w:pos="1631"/>
              </w:tabs>
              <w:spacing w:line="264" w:lineRule="auto"/>
              <w:rPr>
                <w:sz w:val="20"/>
              </w:rPr>
            </w:pPr>
            <w:r>
              <w:rPr>
                <w:sz w:val="20"/>
              </w:rPr>
              <w:t>1,300,438,000</w:t>
            </w:r>
          </w:p>
        </w:tc>
        <w:tc>
          <w:tcPr>
            <w:tcW w:w="1250" w:type="pct"/>
            <w:tcBorders>
              <w:bottom w:val="nil"/>
            </w:tcBorders>
          </w:tcPr>
          <w:p w:rsidR="00000000" w:rsidRDefault="00000000">
            <w:pPr>
              <w:pStyle w:val="a2"/>
              <w:tabs>
                <w:tab w:val="decimal" w:pos="1085"/>
              </w:tabs>
              <w:spacing w:line="264" w:lineRule="auto"/>
              <w:rPr>
                <w:sz w:val="20"/>
              </w:rPr>
            </w:pPr>
            <w:r>
              <w:rPr>
                <w:sz w:val="20"/>
              </w:rPr>
              <w:t>4.95</w:t>
            </w:r>
          </w:p>
        </w:tc>
      </w:tr>
      <w:tr w:rsidR="00000000">
        <w:tblPrEx>
          <w:tblCellMar>
            <w:top w:w="0" w:type="dxa"/>
          </w:tblCellMar>
        </w:tblPrEx>
        <w:tc>
          <w:tcPr>
            <w:tcW w:w="1250" w:type="pct"/>
            <w:tcBorders>
              <w:top w:val="nil"/>
              <w:bottom w:val="nil"/>
            </w:tcBorders>
          </w:tcPr>
          <w:p w:rsidR="00000000" w:rsidRDefault="00000000">
            <w:pPr>
              <w:pStyle w:val="a2"/>
              <w:spacing w:line="264" w:lineRule="auto"/>
              <w:jc w:val="center"/>
              <w:rPr>
                <w:sz w:val="20"/>
              </w:rPr>
            </w:pPr>
            <w:r>
              <w:rPr>
                <w:sz w:val="20"/>
              </w:rPr>
              <w:t>1994</w:t>
            </w:r>
          </w:p>
        </w:tc>
        <w:tc>
          <w:tcPr>
            <w:tcW w:w="1250" w:type="pct"/>
            <w:tcBorders>
              <w:top w:val="nil"/>
              <w:bottom w:val="nil"/>
            </w:tcBorders>
          </w:tcPr>
          <w:p w:rsidR="00000000" w:rsidRDefault="00000000">
            <w:pPr>
              <w:pStyle w:val="a2"/>
              <w:tabs>
                <w:tab w:val="decimal" w:pos="1631"/>
              </w:tabs>
              <w:spacing w:line="264" w:lineRule="auto"/>
              <w:rPr>
                <w:sz w:val="20"/>
              </w:rPr>
            </w:pPr>
            <w:r>
              <w:rPr>
                <w:sz w:val="20"/>
              </w:rPr>
              <w:t>78,650,613</w:t>
            </w:r>
          </w:p>
        </w:tc>
        <w:tc>
          <w:tcPr>
            <w:tcW w:w="1250" w:type="pct"/>
            <w:tcBorders>
              <w:top w:val="nil"/>
              <w:bottom w:val="nil"/>
            </w:tcBorders>
          </w:tcPr>
          <w:p w:rsidR="00000000" w:rsidRDefault="00000000">
            <w:pPr>
              <w:pStyle w:val="a2"/>
              <w:tabs>
                <w:tab w:val="decimal" w:pos="1631"/>
              </w:tabs>
              <w:spacing w:line="264" w:lineRule="auto"/>
              <w:rPr>
                <w:sz w:val="20"/>
              </w:rPr>
            </w:pPr>
            <w:r>
              <w:rPr>
                <w:sz w:val="20"/>
              </w:rPr>
              <w:t>1,621,445,000</w:t>
            </w:r>
          </w:p>
        </w:tc>
        <w:tc>
          <w:tcPr>
            <w:tcW w:w="1250" w:type="pct"/>
            <w:tcBorders>
              <w:top w:val="nil"/>
              <w:bottom w:val="nil"/>
            </w:tcBorders>
          </w:tcPr>
          <w:p w:rsidR="00000000" w:rsidRDefault="00000000">
            <w:pPr>
              <w:pStyle w:val="a2"/>
              <w:tabs>
                <w:tab w:val="decimal" w:pos="1085"/>
              </w:tabs>
              <w:spacing w:line="264" w:lineRule="auto"/>
              <w:rPr>
                <w:sz w:val="20"/>
              </w:rPr>
            </w:pPr>
            <w:r>
              <w:rPr>
                <w:sz w:val="20"/>
              </w:rPr>
              <w:t>4.85</w:t>
            </w:r>
          </w:p>
        </w:tc>
      </w:tr>
      <w:tr w:rsidR="00000000">
        <w:tblPrEx>
          <w:tblCellMar>
            <w:top w:w="0" w:type="dxa"/>
          </w:tblCellMar>
        </w:tblPrEx>
        <w:tc>
          <w:tcPr>
            <w:tcW w:w="1250" w:type="pct"/>
            <w:tcBorders>
              <w:top w:val="nil"/>
              <w:bottom w:val="nil"/>
            </w:tcBorders>
          </w:tcPr>
          <w:p w:rsidR="00000000" w:rsidRDefault="00000000">
            <w:pPr>
              <w:pStyle w:val="a2"/>
              <w:spacing w:line="264" w:lineRule="auto"/>
              <w:jc w:val="center"/>
              <w:rPr>
                <w:sz w:val="20"/>
              </w:rPr>
            </w:pPr>
            <w:r>
              <w:rPr>
                <w:sz w:val="20"/>
              </w:rPr>
              <w:t>1995</w:t>
            </w:r>
          </w:p>
        </w:tc>
        <w:tc>
          <w:tcPr>
            <w:tcW w:w="1250" w:type="pct"/>
            <w:tcBorders>
              <w:top w:val="nil"/>
              <w:bottom w:val="nil"/>
            </w:tcBorders>
          </w:tcPr>
          <w:p w:rsidR="00000000" w:rsidRDefault="00000000">
            <w:pPr>
              <w:pStyle w:val="a2"/>
              <w:tabs>
                <w:tab w:val="decimal" w:pos="1631"/>
              </w:tabs>
              <w:spacing w:line="264" w:lineRule="auto"/>
              <w:rPr>
                <w:sz w:val="20"/>
              </w:rPr>
            </w:pPr>
            <w:r>
              <w:rPr>
                <w:sz w:val="20"/>
              </w:rPr>
              <w:t>82,710,706</w:t>
            </w:r>
          </w:p>
        </w:tc>
        <w:tc>
          <w:tcPr>
            <w:tcW w:w="1250" w:type="pct"/>
            <w:tcBorders>
              <w:top w:val="nil"/>
              <w:bottom w:val="nil"/>
            </w:tcBorders>
          </w:tcPr>
          <w:p w:rsidR="00000000" w:rsidRDefault="00000000">
            <w:pPr>
              <w:pStyle w:val="a2"/>
              <w:tabs>
                <w:tab w:val="decimal" w:pos="1631"/>
              </w:tabs>
              <w:spacing w:line="264" w:lineRule="auto"/>
              <w:rPr>
                <w:sz w:val="20"/>
              </w:rPr>
            </w:pPr>
            <w:r>
              <w:rPr>
                <w:sz w:val="20"/>
              </w:rPr>
              <w:t>1,756,933,000</w:t>
            </w:r>
          </w:p>
        </w:tc>
        <w:tc>
          <w:tcPr>
            <w:tcW w:w="1250" w:type="pct"/>
            <w:tcBorders>
              <w:top w:val="nil"/>
              <w:bottom w:val="nil"/>
            </w:tcBorders>
          </w:tcPr>
          <w:p w:rsidR="00000000" w:rsidRDefault="00000000">
            <w:pPr>
              <w:pStyle w:val="a2"/>
              <w:tabs>
                <w:tab w:val="decimal" w:pos="1085"/>
              </w:tabs>
              <w:spacing w:line="264" w:lineRule="auto"/>
              <w:rPr>
                <w:sz w:val="20"/>
              </w:rPr>
            </w:pPr>
            <w:r>
              <w:rPr>
                <w:sz w:val="20"/>
              </w:rPr>
              <w:t>4.71</w:t>
            </w:r>
          </w:p>
        </w:tc>
      </w:tr>
      <w:tr w:rsidR="00000000">
        <w:tblPrEx>
          <w:tblCellMar>
            <w:top w:w="0" w:type="dxa"/>
          </w:tblCellMar>
        </w:tblPrEx>
        <w:tc>
          <w:tcPr>
            <w:tcW w:w="1250" w:type="pct"/>
            <w:tcBorders>
              <w:top w:val="nil"/>
              <w:bottom w:val="nil"/>
            </w:tcBorders>
          </w:tcPr>
          <w:p w:rsidR="00000000" w:rsidRDefault="00000000">
            <w:pPr>
              <w:pStyle w:val="a2"/>
              <w:spacing w:line="264" w:lineRule="auto"/>
              <w:jc w:val="center"/>
              <w:rPr>
                <w:sz w:val="20"/>
              </w:rPr>
            </w:pPr>
            <w:r>
              <w:rPr>
                <w:sz w:val="20"/>
              </w:rPr>
              <w:t>1996</w:t>
            </w:r>
          </w:p>
        </w:tc>
        <w:tc>
          <w:tcPr>
            <w:tcW w:w="1250" w:type="pct"/>
            <w:tcBorders>
              <w:top w:val="nil"/>
              <w:bottom w:val="nil"/>
            </w:tcBorders>
          </w:tcPr>
          <w:p w:rsidR="00000000" w:rsidRDefault="00000000">
            <w:pPr>
              <w:pStyle w:val="a2"/>
              <w:tabs>
                <w:tab w:val="decimal" w:pos="1631"/>
              </w:tabs>
              <w:spacing w:line="264" w:lineRule="auto"/>
              <w:rPr>
                <w:sz w:val="20"/>
              </w:rPr>
            </w:pPr>
            <w:r>
              <w:rPr>
                <w:sz w:val="20"/>
              </w:rPr>
              <w:t>90,148,554</w:t>
            </w:r>
          </w:p>
        </w:tc>
        <w:tc>
          <w:tcPr>
            <w:tcW w:w="1250" w:type="pct"/>
            <w:tcBorders>
              <w:top w:val="nil"/>
              <w:bottom w:val="nil"/>
            </w:tcBorders>
          </w:tcPr>
          <w:p w:rsidR="00000000" w:rsidRDefault="00000000">
            <w:pPr>
              <w:pStyle w:val="a2"/>
              <w:tabs>
                <w:tab w:val="decimal" w:pos="1631"/>
              </w:tabs>
              <w:spacing w:line="264" w:lineRule="auto"/>
              <w:rPr>
                <w:sz w:val="20"/>
              </w:rPr>
            </w:pPr>
            <w:r>
              <w:rPr>
                <w:sz w:val="20"/>
              </w:rPr>
              <w:t>1,896,022,000</w:t>
            </w:r>
          </w:p>
        </w:tc>
        <w:tc>
          <w:tcPr>
            <w:tcW w:w="1250" w:type="pct"/>
            <w:tcBorders>
              <w:top w:val="nil"/>
              <w:bottom w:val="nil"/>
            </w:tcBorders>
          </w:tcPr>
          <w:p w:rsidR="00000000" w:rsidRDefault="00000000">
            <w:pPr>
              <w:pStyle w:val="a2"/>
              <w:tabs>
                <w:tab w:val="decimal" w:pos="1085"/>
              </w:tabs>
              <w:spacing w:line="264" w:lineRule="auto"/>
              <w:rPr>
                <w:sz w:val="20"/>
              </w:rPr>
            </w:pPr>
            <w:r>
              <w:rPr>
                <w:sz w:val="20"/>
              </w:rPr>
              <w:t>4.75</w:t>
            </w:r>
          </w:p>
        </w:tc>
      </w:tr>
      <w:tr w:rsidR="00000000">
        <w:tblPrEx>
          <w:tblCellMar>
            <w:top w:w="0" w:type="dxa"/>
          </w:tblCellMar>
        </w:tblPrEx>
        <w:tc>
          <w:tcPr>
            <w:tcW w:w="1250" w:type="pct"/>
            <w:tcBorders>
              <w:top w:val="nil"/>
              <w:bottom w:val="nil"/>
            </w:tcBorders>
          </w:tcPr>
          <w:p w:rsidR="00000000" w:rsidRDefault="00000000">
            <w:pPr>
              <w:pStyle w:val="a2"/>
              <w:spacing w:line="264" w:lineRule="auto"/>
              <w:jc w:val="center"/>
              <w:rPr>
                <w:sz w:val="20"/>
              </w:rPr>
            </w:pPr>
            <w:r>
              <w:rPr>
                <w:sz w:val="20"/>
              </w:rPr>
              <w:t>1997</w:t>
            </w:r>
          </w:p>
        </w:tc>
        <w:tc>
          <w:tcPr>
            <w:tcW w:w="1250" w:type="pct"/>
            <w:tcBorders>
              <w:top w:val="nil"/>
              <w:bottom w:val="nil"/>
            </w:tcBorders>
          </w:tcPr>
          <w:p w:rsidR="00000000" w:rsidRDefault="00000000">
            <w:pPr>
              <w:pStyle w:val="a2"/>
              <w:tabs>
                <w:tab w:val="decimal" w:pos="1631"/>
              </w:tabs>
              <w:spacing w:line="264" w:lineRule="auto"/>
              <w:rPr>
                <w:sz w:val="20"/>
              </w:rPr>
            </w:pPr>
            <w:r>
              <w:rPr>
                <w:sz w:val="20"/>
              </w:rPr>
              <w:t>90,721,823</w:t>
            </w:r>
          </w:p>
        </w:tc>
        <w:tc>
          <w:tcPr>
            <w:tcW w:w="1250" w:type="pct"/>
            <w:tcBorders>
              <w:top w:val="nil"/>
              <w:bottom w:val="nil"/>
            </w:tcBorders>
          </w:tcPr>
          <w:p w:rsidR="00000000" w:rsidRDefault="00000000">
            <w:pPr>
              <w:pStyle w:val="a2"/>
              <w:tabs>
                <w:tab w:val="decimal" w:pos="1631"/>
              </w:tabs>
              <w:spacing w:line="264" w:lineRule="auto"/>
              <w:rPr>
                <w:sz w:val="20"/>
              </w:rPr>
            </w:pPr>
            <w:r>
              <w:rPr>
                <w:sz w:val="20"/>
              </w:rPr>
              <w:t>2,034,380,000</w:t>
            </w:r>
          </w:p>
        </w:tc>
        <w:tc>
          <w:tcPr>
            <w:tcW w:w="1250" w:type="pct"/>
            <w:tcBorders>
              <w:top w:val="nil"/>
              <w:bottom w:val="nil"/>
            </w:tcBorders>
          </w:tcPr>
          <w:p w:rsidR="00000000" w:rsidRDefault="00000000">
            <w:pPr>
              <w:pStyle w:val="a2"/>
              <w:tabs>
                <w:tab w:val="decimal" w:pos="1085"/>
              </w:tabs>
              <w:spacing w:line="264" w:lineRule="auto"/>
              <w:rPr>
                <w:sz w:val="20"/>
              </w:rPr>
            </w:pPr>
            <w:r>
              <w:rPr>
                <w:sz w:val="20"/>
              </w:rPr>
              <w:t>4.46</w:t>
            </w:r>
          </w:p>
        </w:tc>
      </w:tr>
      <w:tr w:rsidR="00000000">
        <w:tblPrEx>
          <w:tblCellMar>
            <w:top w:w="0" w:type="dxa"/>
          </w:tblCellMar>
        </w:tblPrEx>
        <w:tc>
          <w:tcPr>
            <w:tcW w:w="1250" w:type="pct"/>
            <w:tcBorders>
              <w:top w:val="nil"/>
            </w:tcBorders>
          </w:tcPr>
          <w:p w:rsidR="00000000" w:rsidRDefault="00000000">
            <w:pPr>
              <w:pStyle w:val="a2"/>
              <w:spacing w:line="264" w:lineRule="auto"/>
              <w:jc w:val="center"/>
              <w:rPr>
                <w:sz w:val="20"/>
              </w:rPr>
            </w:pPr>
            <w:r>
              <w:rPr>
                <w:sz w:val="20"/>
              </w:rPr>
              <w:t>2000</w:t>
            </w:r>
          </w:p>
        </w:tc>
        <w:tc>
          <w:tcPr>
            <w:tcW w:w="1250" w:type="pct"/>
            <w:tcBorders>
              <w:top w:val="nil"/>
            </w:tcBorders>
          </w:tcPr>
          <w:p w:rsidR="00000000" w:rsidRDefault="00000000">
            <w:pPr>
              <w:pStyle w:val="a2"/>
              <w:tabs>
                <w:tab w:val="decimal" w:pos="1631"/>
              </w:tabs>
              <w:spacing w:line="264" w:lineRule="auto"/>
              <w:rPr>
                <w:sz w:val="20"/>
              </w:rPr>
            </w:pPr>
            <w:r>
              <w:rPr>
                <w:sz w:val="20"/>
              </w:rPr>
              <w:t>63,015,741</w:t>
            </w:r>
          </w:p>
        </w:tc>
        <w:tc>
          <w:tcPr>
            <w:tcW w:w="1250" w:type="pct"/>
            <w:tcBorders>
              <w:top w:val="nil"/>
            </w:tcBorders>
          </w:tcPr>
          <w:p w:rsidR="00000000" w:rsidRDefault="00000000">
            <w:pPr>
              <w:spacing w:line="264" w:lineRule="auto"/>
              <w:jc w:val="center"/>
              <w:rPr>
                <w:sz w:val="20"/>
              </w:rPr>
            </w:pPr>
            <w:r>
              <w:rPr>
                <w:sz w:val="20"/>
              </w:rPr>
              <w:t>-</w:t>
            </w:r>
          </w:p>
        </w:tc>
        <w:tc>
          <w:tcPr>
            <w:tcW w:w="1250" w:type="pct"/>
            <w:tcBorders>
              <w:top w:val="nil"/>
            </w:tcBorders>
          </w:tcPr>
          <w:p w:rsidR="00000000" w:rsidRDefault="00000000">
            <w:pPr>
              <w:spacing w:line="264" w:lineRule="auto"/>
              <w:jc w:val="center"/>
              <w:rPr>
                <w:sz w:val="20"/>
              </w:rPr>
            </w:pPr>
            <w:r>
              <w:rPr>
                <w:sz w:val="20"/>
              </w:rPr>
              <w:t>-</w:t>
            </w:r>
          </w:p>
        </w:tc>
      </w:tr>
    </w:tbl>
    <w:p w:rsidR="00000000" w:rsidRDefault="00000000">
      <w:pPr>
        <w:spacing w:before="240" w:after="320" w:line="264" w:lineRule="auto"/>
        <w:ind w:firstLine="539"/>
        <w:rPr>
          <w:rFonts w:eastAsia="KaiTi_GB2312" w:hint="eastAsia"/>
          <w:spacing w:val="0"/>
          <w:sz w:val="20"/>
        </w:rPr>
      </w:pPr>
      <w:r>
        <w:rPr>
          <w:rFonts w:eastAsia="KaiTi_GB2312" w:hint="eastAsia"/>
          <w:spacing w:val="0"/>
          <w:sz w:val="20"/>
          <w:u w:val="single"/>
        </w:rPr>
        <w:t>资料来源</w:t>
      </w:r>
      <w:r>
        <w:rPr>
          <w:rFonts w:eastAsia="KaiTi_GB2312" w:hint="eastAsia"/>
          <w:spacing w:val="0"/>
          <w:sz w:val="20"/>
        </w:rPr>
        <w:t>：</w:t>
      </w:r>
      <w:r>
        <w:rPr>
          <w:rFonts w:eastAsia="KaiTi_GB2312" w:hint="eastAsia"/>
          <w:spacing w:val="0"/>
          <w:sz w:val="20"/>
        </w:rPr>
        <w:t>MPI-U</w:t>
      </w:r>
      <w:r>
        <w:rPr>
          <w:rFonts w:eastAsia="KaiTi_GB2312"/>
          <w:spacing w:val="0"/>
          <w:sz w:val="20"/>
        </w:rPr>
        <w:t>fficio SISTAN</w:t>
      </w:r>
      <w:r>
        <w:rPr>
          <w:rFonts w:eastAsia="KaiTi_GB2312" w:hint="eastAsia"/>
          <w:spacing w:val="0"/>
          <w:sz w:val="20"/>
        </w:rPr>
        <w:t>。</w:t>
      </w:r>
    </w:p>
    <w:p w:rsidR="00000000" w:rsidRDefault="00000000">
      <w:pPr>
        <w:pStyle w:val="Heading4"/>
        <w:spacing w:after="160"/>
        <w:rPr>
          <w:rFonts w:hint="eastAsia"/>
        </w:rPr>
      </w:pPr>
      <w:r>
        <w:rPr>
          <w:rFonts w:hint="eastAsia"/>
        </w:rPr>
        <w:t>教育权</w:t>
      </w:r>
    </w:p>
    <w:p w:rsidR="00000000" w:rsidRDefault="00000000">
      <w:pPr>
        <w:ind w:firstLine="539"/>
        <w:rPr>
          <w:rFonts w:hint="eastAsia"/>
        </w:rPr>
      </w:pPr>
      <w:r>
        <w:rPr>
          <w:rFonts w:hint="eastAsia"/>
        </w:rPr>
        <w:t>263.  1998</w:t>
      </w:r>
      <w:r>
        <w:rPr>
          <w:rFonts w:hint="eastAsia"/>
        </w:rPr>
        <w:t>和</w:t>
      </w:r>
      <w:r>
        <w:rPr>
          <w:rFonts w:hint="eastAsia"/>
        </w:rPr>
        <w:t>1999</w:t>
      </w:r>
      <w:r>
        <w:rPr>
          <w:rFonts w:hint="eastAsia"/>
        </w:rPr>
        <w:t>年的综合财务报表尚未收到，因为最后记录开支的时间表尚未到期。</w:t>
      </w:r>
      <w:r>
        <w:rPr>
          <w:rFonts w:hint="eastAsia"/>
        </w:rPr>
        <w:t>2000</w:t>
      </w:r>
      <w:r>
        <w:rPr>
          <w:rFonts w:hint="eastAsia"/>
        </w:rPr>
        <w:t>年的帐目与综合财务报表的数据不能直接可比。这种情况的一个原因是各个项目的计算方法发生了变化。然而，数据显示教育开支的绝对值在国家预算中是最大的项目，占总预算的</w:t>
      </w:r>
      <w:r>
        <w:rPr>
          <w:rFonts w:hint="eastAsia"/>
        </w:rPr>
        <w:t>8.72%</w:t>
      </w:r>
      <w:r>
        <w:rPr>
          <w:rFonts w:hint="eastAsia"/>
        </w:rPr>
        <w:t>和中央政府预算总额</w:t>
      </w:r>
      <w:r>
        <w:rPr>
          <w:rFonts w:hint="eastAsia"/>
        </w:rPr>
        <w:t>(</w:t>
      </w:r>
      <w:r>
        <w:rPr>
          <w:rFonts w:hint="eastAsia"/>
        </w:rPr>
        <w:t>各个部</w:t>
      </w:r>
      <w:r>
        <w:rPr>
          <w:rFonts w:hint="eastAsia"/>
        </w:rPr>
        <w:t>)</w:t>
      </w:r>
      <w:r>
        <w:rPr>
          <w:rFonts w:hint="eastAsia"/>
        </w:rPr>
        <w:t>的</w:t>
      </w:r>
      <w:r>
        <w:rPr>
          <w:rFonts w:hint="eastAsia"/>
        </w:rPr>
        <w:t>46.7%</w:t>
      </w:r>
      <w:r>
        <w:rPr>
          <w:rFonts w:hint="eastAsia"/>
        </w:rPr>
        <w:t>，相比数额最大的为国防部，分别占</w:t>
      </w:r>
      <w:r>
        <w:rPr>
          <w:rFonts w:hint="eastAsia"/>
        </w:rPr>
        <w:t>3.4%</w:t>
      </w:r>
      <w:r>
        <w:rPr>
          <w:rFonts w:hint="eastAsia"/>
        </w:rPr>
        <w:t>和</w:t>
      </w:r>
      <w:r>
        <w:rPr>
          <w:rFonts w:hint="eastAsia"/>
        </w:rPr>
        <w:t>18.22%</w:t>
      </w:r>
      <w:r>
        <w:rPr>
          <w:rFonts w:hint="eastAsia"/>
        </w:rPr>
        <w:t>。</w:t>
      </w:r>
    </w:p>
    <w:p w:rsidR="00000000" w:rsidRDefault="00000000">
      <w:pPr>
        <w:spacing w:after="160"/>
        <w:ind w:firstLine="539"/>
        <w:rPr>
          <w:rFonts w:hint="eastAsia"/>
        </w:rPr>
      </w:pPr>
      <w:r>
        <w:rPr>
          <w:rFonts w:hint="eastAsia"/>
        </w:rPr>
        <w:t xml:space="preserve">264.  </w:t>
      </w:r>
      <w:r>
        <w:rPr>
          <w:rFonts w:hint="eastAsia"/>
        </w:rPr>
        <w:t>教育公共开支也包括地方政府为教育和培训拨出的资源，如下表所示。</w:t>
      </w:r>
    </w:p>
    <w:p w:rsidR="00000000" w:rsidRDefault="00000000">
      <w:pPr>
        <w:pStyle w:val="Heading3"/>
        <w:spacing w:after="160"/>
        <w:rPr>
          <w:rFonts w:hint="eastAsia"/>
          <w:u w:val="none"/>
        </w:rPr>
      </w:pPr>
      <w:r>
        <w:rPr>
          <w:rFonts w:hint="eastAsia"/>
          <w:u w:val="none"/>
        </w:rPr>
        <w:t>表</w:t>
      </w:r>
      <w:r>
        <w:rPr>
          <w:rFonts w:hint="eastAsia"/>
          <w:u w:val="none"/>
        </w:rPr>
        <w:t xml:space="preserve">3.  </w:t>
      </w:r>
      <w:r>
        <w:rPr>
          <w:rFonts w:hint="eastAsia"/>
        </w:rPr>
        <w:t>1993-1997</w:t>
      </w:r>
      <w:r>
        <w:rPr>
          <w:rFonts w:hint="eastAsia"/>
        </w:rPr>
        <w:t>年的教育公共开支</w:t>
      </w:r>
      <w:r>
        <w:br/>
      </w:r>
      <w:r>
        <w:rPr>
          <w:rFonts w:hint="eastAsia"/>
          <w:u w:val="none"/>
        </w:rPr>
        <w:t>(</w:t>
      </w:r>
      <w:r>
        <w:rPr>
          <w:rFonts w:hint="eastAsia"/>
        </w:rPr>
        <w:t>10</w:t>
      </w:r>
      <w:r>
        <w:rPr>
          <w:rFonts w:hint="eastAsia"/>
        </w:rPr>
        <w:t>亿里拉</w:t>
      </w:r>
      <w:r>
        <w:rPr>
          <w:rFonts w:hint="eastAsia"/>
          <w:u w:val="none"/>
        </w:rPr>
        <w:t>)</w:t>
      </w:r>
    </w:p>
    <w:tbl>
      <w:tblPr>
        <w:tblW w:w="5000" w:type="pct"/>
        <w:tblCellMar>
          <w:left w:w="31" w:type="dxa"/>
          <w:right w:w="31" w:type="dxa"/>
        </w:tblCellMar>
        <w:tblLook w:val="0000" w:firstRow="0" w:lastRow="0" w:firstColumn="0" w:lastColumn="0" w:noHBand="0" w:noVBand="0"/>
      </w:tblPr>
      <w:tblGrid>
        <w:gridCol w:w="2650"/>
        <w:gridCol w:w="1354"/>
        <w:gridCol w:w="1354"/>
        <w:gridCol w:w="1354"/>
        <w:gridCol w:w="1354"/>
        <w:gridCol w:w="1350"/>
      </w:tblGrid>
      <w:tr w:rsidR="00000000">
        <w:tblPrEx>
          <w:tblCellMar>
            <w:top w:w="0" w:type="dxa"/>
            <w:bottom w:w="0" w:type="dxa"/>
          </w:tblCellMar>
        </w:tblPrEx>
        <w:trPr>
          <w:trHeight w:val="340"/>
        </w:trPr>
        <w:tc>
          <w:tcPr>
            <w:tcW w:w="1407" w:type="pct"/>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40" w:line="280" w:lineRule="exact"/>
              <w:jc w:val="center"/>
              <w:rPr>
                <w:rFonts w:hint="eastAsia"/>
                <w:u w:val="single"/>
              </w:rPr>
            </w:pPr>
            <w:r>
              <w:rPr>
                <w:rFonts w:hint="eastAsia"/>
                <w:u w:val="single"/>
              </w:rPr>
              <w:t>地方政府</w:t>
            </w:r>
          </w:p>
        </w:tc>
        <w:tc>
          <w:tcPr>
            <w:tcW w:w="719" w:type="pct"/>
            <w:tcBorders>
              <w:top w:val="single" w:sz="4" w:space="0" w:color="auto"/>
              <w:left w:val="single" w:sz="4" w:space="0" w:color="auto"/>
              <w:bottom w:val="single" w:sz="4" w:space="0" w:color="000000"/>
              <w:right w:val="single" w:sz="6" w:space="0" w:color="000000"/>
            </w:tcBorders>
          </w:tcPr>
          <w:p w:rsidR="00000000" w:rsidRDefault="00000000">
            <w:pPr>
              <w:pStyle w:val="a2"/>
              <w:spacing w:before="60" w:after="40" w:line="280" w:lineRule="exact"/>
              <w:jc w:val="center"/>
              <w:rPr>
                <w:u w:val="single"/>
              </w:rPr>
            </w:pPr>
            <w:r>
              <w:rPr>
                <w:u w:val="single"/>
              </w:rPr>
              <w:t>1993</w:t>
            </w:r>
          </w:p>
        </w:tc>
        <w:tc>
          <w:tcPr>
            <w:tcW w:w="719" w:type="pct"/>
            <w:tcBorders>
              <w:top w:val="single" w:sz="4" w:space="0" w:color="auto"/>
              <w:left w:val="single" w:sz="6" w:space="0" w:color="000000"/>
              <w:bottom w:val="single" w:sz="4" w:space="0" w:color="000000"/>
              <w:right w:val="single" w:sz="6" w:space="0" w:color="000000"/>
            </w:tcBorders>
          </w:tcPr>
          <w:p w:rsidR="00000000" w:rsidRDefault="00000000">
            <w:pPr>
              <w:pStyle w:val="a2"/>
              <w:spacing w:before="60" w:after="40" w:line="280" w:lineRule="exact"/>
              <w:jc w:val="center"/>
              <w:rPr>
                <w:u w:val="single"/>
              </w:rPr>
            </w:pPr>
            <w:r>
              <w:rPr>
                <w:u w:val="single"/>
              </w:rPr>
              <w:t>1994</w:t>
            </w:r>
          </w:p>
        </w:tc>
        <w:tc>
          <w:tcPr>
            <w:tcW w:w="719" w:type="pct"/>
            <w:tcBorders>
              <w:top w:val="single" w:sz="4" w:space="0" w:color="auto"/>
              <w:left w:val="single" w:sz="6" w:space="0" w:color="000000"/>
              <w:bottom w:val="single" w:sz="4" w:space="0" w:color="000000"/>
              <w:right w:val="single" w:sz="6" w:space="0" w:color="000000"/>
            </w:tcBorders>
          </w:tcPr>
          <w:p w:rsidR="00000000" w:rsidRDefault="00000000">
            <w:pPr>
              <w:pStyle w:val="a2"/>
              <w:spacing w:before="60" w:after="40" w:line="280" w:lineRule="exact"/>
              <w:jc w:val="center"/>
              <w:rPr>
                <w:u w:val="single"/>
              </w:rPr>
            </w:pPr>
            <w:r>
              <w:rPr>
                <w:u w:val="single"/>
              </w:rPr>
              <w:t>1995</w:t>
            </w:r>
          </w:p>
        </w:tc>
        <w:tc>
          <w:tcPr>
            <w:tcW w:w="719" w:type="pct"/>
            <w:tcBorders>
              <w:top w:val="single" w:sz="4" w:space="0" w:color="auto"/>
              <w:left w:val="single" w:sz="6" w:space="0" w:color="000000"/>
              <w:bottom w:val="single" w:sz="4" w:space="0" w:color="000000"/>
              <w:right w:val="single" w:sz="6" w:space="0" w:color="000000"/>
            </w:tcBorders>
          </w:tcPr>
          <w:p w:rsidR="00000000" w:rsidRDefault="00000000">
            <w:pPr>
              <w:pStyle w:val="a2"/>
              <w:spacing w:before="60" w:after="40" w:line="280" w:lineRule="exact"/>
              <w:jc w:val="center"/>
              <w:rPr>
                <w:u w:val="single"/>
              </w:rPr>
            </w:pPr>
            <w:r>
              <w:rPr>
                <w:u w:val="single"/>
              </w:rPr>
              <w:t>1996</w:t>
            </w:r>
          </w:p>
        </w:tc>
        <w:tc>
          <w:tcPr>
            <w:tcW w:w="719" w:type="pct"/>
            <w:tcBorders>
              <w:top w:val="single" w:sz="4" w:space="0" w:color="auto"/>
              <w:left w:val="single" w:sz="6" w:space="0" w:color="000000"/>
              <w:bottom w:val="single" w:sz="4" w:space="0" w:color="000000"/>
              <w:right w:val="single" w:sz="4" w:space="0" w:color="auto"/>
            </w:tcBorders>
          </w:tcPr>
          <w:p w:rsidR="00000000" w:rsidRDefault="00000000">
            <w:pPr>
              <w:pStyle w:val="a2"/>
              <w:spacing w:before="60" w:after="40" w:line="280" w:lineRule="exact"/>
              <w:jc w:val="center"/>
              <w:rPr>
                <w:u w:val="single"/>
              </w:rPr>
            </w:pPr>
            <w:r>
              <w:rPr>
                <w:u w:val="single"/>
              </w:rPr>
              <w:t>1997</w:t>
            </w:r>
          </w:p>
        </w:tc>
      </w:tr>
      <w:tr w:rsidR="00000000">
        <w:tblPrEx>
          <w:tblCellMar>
            <w:top w:w="0" w:type="dxa"/>
            <w:bottom w:w="0" w:type="dxa"/>
          </w:tblCellMar>
        </w:tblPrEx>
        <w:trPr>
          <w:trHeight w:val="340"/>
        </w:trPr>
        <w:tc>
          <w:tcPr>
            <w:tcW w:w="1407" w:type="pct"/>
            <w:tcBorders>
              <w:top w:val="single" w:sz="4" w:space="0" w:color="auto"/>
              <w:left w:val="single" w:sz="4" w:space="0" w:color="auto"/>
              <w:right w:val="single" w:sz="4" w:space="0" w:color="auto"/>
            </w:tcBorders>
          </w:tcPr>
          <w:p w:rsidR="00000000" w:rsidRDefault="00000000">
            <w:pPr>
              <w:pStyle w:val="a2"/>
              <w:spacing w:line="280" w:lineRule="exact"/>
              <w:ind w:left="170"/>
            </w:pPr>
            <w:r>
              <w:rPr>
                <w:rFonts w:hint="eastAsia"/>
              </w:rPr>
              <w:t>地区和自治省</w:t>
            </w:r>
          </w:p>
        </w:tc>
        <w:tc>
          <w:tcPr>
            <w:tcW w:w="719" w:type="pct"/>
            <w:tcBorders>
              <w:top w:val="single" w:sz="4" w:space="0" w:color="000000"/>
              <w:left w:val="single" w:sz="4" w:space="0" w:color="auto"/>
              <w:right w:val="single" w:sz="6" w:space="0" w:color="000000"/>
            </w:tcBorders>
          </w:tcPr>
          <w:p w:rsidR="00000000" w:rsidRDefault="00000000">
            <w:pPr>
              <w:pStyle w:val="a2"/>
              <w:tabs>
                <w:tab w:val="decimal" w:pos="846"/>
              </w:tabs>
              <w:spacing w:line="280" w:lineRule="exact"/>
              <w:rPr>
                <w:rFonts w:hint="eastAsia"/>
              </w:rPr>
            </w:pPr>
            <w:r>
              <w:t>4,353.1</w:t>
            </w:r>
          </w:p>
        </w:tc>
        <w:tc>
          <w:tcPr>
            <w:tcW w:w="719" w:type="pct"/>
            <w:tcBorders>
              <w:top w:val="single" w:sz="4" w:space="0" w:color="000000"/>
              <w:left w:val="single" w:sz="6" w:space="0" w:color="000000"/>
              <w:right w:val="single" w:sz="6" w:space="0" w:color="000000"/>
            </w:tcBorders>
          </w:tcPr>
          <w:p w:rsidR="00000000" w:rsidRDefault="00000000">
            <w:pPr>
              <w:pStyle w:val="a2"/>
              <w:tabs>
                <w:tab w:val="decimal" w:pos="846"/>
              </w:tabs>
              <w:spacing w:line="280" w:lineRule="exact"/>
              <w:rPr>
                <w:rFonts w:hint="eastAsia"/>
              </w:rPr>
            </w:pPr>
            <w:r>
              <w:t>4,483.8</w:t>
            </w:r>
          </w:p>
        </w:tc>
        <w:tc>
          <w:tcPr>
            <w:tcW w:w="719" w:type="pct"/>
            <w:tcBorders>
              <w:top w:val="single" w:sz="4" w:space="0" w:color="000000"/>
              <w:left w:val="single" w:sz="6" w:space="0" w:color="000000"/>
              <w:right w:val="single" w:sz="6" w:space="0" w:color="000000"/>
            </w:tcBorders>
          </w:tcPr>
          <w:p w:rsidR="00000000" w:rsidRDefault="00000000">
            <w:pPr>
              <w:pStyle w:val="a2"/>
              <w:tabs>
                <w:tab w:val="decimal" w:pos="846"/>
              </w:tabs>
              <w:spacing w:line="280" w:lineRule="exact"/>
              <w:rPr>
                <w:rFonts w:hint="eastAsia"/>
              </w:rPr>
            </w:pPr>
            <w:r>
              <w:t>3,880.7</w:t>
            </w:r>
          </w:p>
        </w:tc>
        <w:tc>
          <w:tcPr>
            <w:tcW w:w="719" w:type="pct"/>
            <w:tcBorders>
              <w:top w:val="single" w:sz="4" w:space="0" w:color="000000"/>
              <w:left w:val="single" w:sz="6" w:space="0" w:color="000000"/>
              <w:right w:val="single" w:sz="6" w:space="0" w:color="000000"/>
            </w:tcBorders>
          </w:tcPr>
          <w:p w:rsidR="00000000" w:rsidRDefault="00000000">
            <w:pPr>
              <w:pStyle w:val="a2"/>
              <w:tabs>
                <w:tab w:val="decimal" w:pos="846"/>
              </w:tabs>
              <w:spacing w:line="280" w:lineRule="exact"/>
              <w:rPr>
                <w:rFonts w:hint="eastAsia"/>
              </w:rPr>
            </w:pPr>
            <w:r>
              <w:t>4,814.7</w:t>
            </w:r>
          </w:p>
        </w:tc>
        <w:tc>
          <w:tcPr>
            <w:tcW w:w="719" w:type="pct"/>
            <w:tcBorders>
              <w:top w:val="single" w:sz="4" w:space="0" w:color="000000"/>
              <w:left w:val="single" w:sz="6" w:space="0" w:color="000000"/>
              <w:right w:val="single" w:sz="4" w:space="0" w:color="auto"/>
            </w:tcBorders>
          </w:tcPr>
          <w:p w:rsidR="00000000" w:rsidRDefault="00000000">
            <w:pPr>
              <w:pStyle w:val="a2"/>
              <w:tabs>
                <w:tab w:val="decimal" w:pos="846"/>
              </w:tabs>
              <w:spacing w:line="280" w:lineRule="exact"/>
              <w:rPr>
                <w:rFonts w:hint="eastAsia"/>
              </w:rPr>
            </w:pPr>
            <w:r>
              <w:t>5,225.2</w:t>
            </w:r>
          </w:p>
        </w:tc>
      </w:tr>
      <w:tr w:rsidR="00000000">
        <w:tblPrEx>
          <w:tblCellMar>
            <w:top w:w="0" w:type="dxa"/>
            <w:bottom w:w="0" w:type="dxa"/>
          </w:tblCellMar>
        </w:tblPrEx>
        <w:trPr>
          <w:trHeight w:val="340"/>
        </w:trPr>
        <w:tc>
          <w:tcPr>
            <w:tcW w:w="1407" w:type="pct"/>
            <w:tcBorders>
              <w:left w:val="single" w:sz="4" w:space="0" w:color="auto"/>
              <w:right w:val="single" w:sz="4" w:space="0" w:color="auto"/>
            </w:tcBorders>
          </w:tcPr>
          <w:p w:rsidR="00000000" w:rsidRDefault="00000000">
            <w:pPr>
              <w:pStyle w:val="a2"/>
              <w:spacing w:line="280" w:lineRule="exact"/>
              <w:ind w:left="170"/>
              <w:rPr>
                <w:rFonts w:hint="eastAsia"/>
              </w:rPr>
            </w:pPr>
            <w:r>
              <w:rPr>
                <w:rFonts w:hint="eastAsia"/>
              </w:rPr>
              <w:t>省</w:t>
            </w:r>
          </w:p>
        </w:tc>
        <w:tc>
          <w:tcPr>
            <w:tcW w:w="719" w:type="pct"/>
            <w:tcBorders>
              <w:left w:val="single" w:sz="4" w:space="0" w:color="auto"/>
              <w:right w:val="single" w:sz="6" w:space="0" w:color="000000"/>
            </w:tcBorders>
          </w:tcPr>
          <w:p w:rsidR="00000000" w:rsidRDefault="00000000">
            <w:pPr>
              <w:pStyle w:val="a2"/>
              <w:tabs>
                <w:tab w:val="decimal" w:pos="846"/>
              </w:tabs>
              <w:spacing w:line="280" w:lineRule="exact"/>
              <w:rPr>
                <w:rFonts w:hint="eastAsia"/>
              </w:rPr>
            </w:pPr>
            <w:r>
              <w:t>3,162.1</w:t>
            </w:r>
          </w:p>
        </w:tc>
        <w:tc>
          <w:tcPr>
            <w:tcW w:w="719" w:type="pct"/>
            <w:tcBorders>
              <w:left w:val="single" w:sz="6" w:space="0" w:color="000000"/>
              <w:right w:val="single" w:sz="6" w:space="0" w:color="000000"/>
            </w:tcBorders>
          </w:tcPr>
          <w:p w:rsidR="00000000" w:rsidRDefault="00000000">
            <w:pPr>
              <w:pStyle w:val="a2"/>
              <w:tabs>
                <w:tab w:val="decimal" w:pos="846"/>
              </w:tabs>
              <w:spacing w:line="280" w:lineRule="exact"/>
              <w:rPr>
                <w:rFonts w:hint="eastAsia"/>
              </w:rPr>
            </w:pPr>
            <w:r>
              <w:t>3,298.1</w:t>
            </w:r>
          </w:p>
        </w:tc>
        <w:tc>
          <w:tcPr>
            <w:tcW w:w="719" w:type="pct"/>
            <w:tcBorders>
              <w:left w:val="single" w:sz="6" w:space="0" w:color="000000"/>
              <w:right w:val="single" w:sz="6" w:space="0" w:color="000000"/>
            </w:tcBorders>
          </w:tcPr>
          <w:p w:rsidR="00000000" w:rsidRDefault="00000000">
            <w:pPr>
              <w:pStyle w:val="a2"/>
              <w:tabs>
                <w:tab w:val="decimal" w:pos="846"/>
              </w:tabs>
              <w:spacing w:line="280" w:lineRule="exact"/>
              <w:rPr>
                <w:rFonts w:hint="eastAsia"/>
              </w:rPr>
            </w:pPr>
            <w:r>
              <w:t>3,223.9</w:t>
            </w:r>
          </w:p>
        </w:tc>
        <w:tc>
          <w:tcPr>
            <w:tcW w:w="719" w:type="pct"/>
            <w:tcBorders>
              <w:left w:val="single" w:sz="6" w:space="0" w:color="000000"/>
              <w:right w:val="single" w:sz="6" w:space="0" w:color="000000"/>
            </w:tcBorders>
          </w:tcPr>
          <w:p w:rsidR="00000000" w:rsidRDefault="00000000">
            <w:pPr>
              <w:pStyle w:val="a2"/>
              <w:tabs>
                <w:tab w:val="decimal" w:pos="846"/>
              </w:tabs>
              <w:spacing w:line="280" w:lineRule="exact"/>
              <w:rPr>
                <w:rFonts w:hint="eastAsia"/>
              </w:rPr>
            </w:pPr>
            <w:r>
              <w:t>3,251.3</w:t>
            </w:r>
          </w:p>
        </w:tc>
        <w:tc>
          <w:tcPr>
            <w:tcW w:w="719" w:type="pct"/>
            <w:tcBorders>
              <w:left w:val="single" w:sz="6" w:space="0" w:color="000000"/>
              <w:right w:val="single" w:sz="4" w:space="0" w:color="auto"/>
            </w:tcBorders>
          </w:tcPr>
          <w:p w:rsidR="00000000" w:rsidRDefault="00000000">
            <w:pPr>
              <w:pStyle w:val="a2"/>
              <w:tabs>
                <w:tab w:val="decimal" w:pos="846"/>
              </w:tabs>
              <w:spacing w:line="280" w:lineRule="exact"/>
              <w:rPr>
                <w:rFonts w:hint="eastAsia"/>
              </w:rPr>
            </w:pPr>
            <w:r>
              <w:t>3,789.7</w:t>
            </w:r>
          </w:p>
        </w:tc>
      </w:tr>
      <w:tr w:rsidR="00000000">
        <w:tblPrEx>
          <w:tblCellMar>
            <w:top w:w="0" w:type="dxa"/>
            <w:left w:w="30" w:type="dxa"/>
            <w:bottom w:w="0" w:type="dxa"/>
            <w:right w:w="30" w:type="dxa"/>
          </w:tblCellMar>
        </w:tblPrEx>
        <w:trPr>
          <w:trHeight w:val="340"/>
        </w:trPr>
        <w:tc>
          <w:tcPr>
            <w:tcW w:w="1407" w:type="pct"/>
            <w:tcBorders>
              <w:left w:val="single" w:sz="4" w:space="0" w:color="auto"/>
              <w:bottom w:val="single" w:sz="4" w:space="0" w:color="000000"/>
              <w:right w:val="single" w:sz="4" w:space="0" w:color="auto"/>
            </w:tcBorders>
          </w:tcPr>
          <w:p w:rsidR="00000000" w:rsidRDefault="00000000">
            <w:pPr>
              <w:pStyle w:val="a2"/>
              <w:spacing w:line="280" w:lineRule="exact"/>
              <w:ind w:left="170"/>
              <w:rPr>
                <w:rFonts w:hint="eastAsia"/>
              </w:rPr>
            </w:pPr>
            <w:r>
              <w:rPr>
                <w:rFonts w:hint="eastAsia"/>
              </w:rPr>
              <w:t>镇</w:t>
            </w:r>
          </w:p>
        </w:tc>
        <w:tc>
          <w:tcPr>
            <w:tcW w:w="719" w:type="pct"/>
            <w:tcBorders>
              <w:left w:val="single" w:sz="4" w:space="0" w:color="auto"/>
              <w:bottom w:val="single" w:sz="4" w:space="0" w:color="000000"/>
              <w:right w:val="single" w:sz="6" w:space="0" w:color="000000"/>
            </w:tcBorders>
          </w:tcPr>
          <w:p w:rsidR="00000000" w:rsidRDefault="00000000">
            <w:pPr>
              <w:pStyle w:val="a2"/>
              <w:tabs>
                <w:tab w:val="decimal" w:pos="846"/>
              </w:tabs>
              <w:spacing w:line="280" w:lineRule="exact"/>
              <w:rPr>
                <w:rFonts w:hint="eastAsia"/>
              </w:rPr>
            </w:pPr>
            <w:r>
              <w:t>12,618.0</w:t>
            </w:r>
          </w:p>
        </w:tc>
        <w:tc>
          <w:tcPr>
            <w:tcW w:w="719" w:type="pct"/>
            <w:tcBorders>
              <w:left w:val="single" w:sz="6" w:space="0" w:color="000000"/>
              <w:bottom w:val="single" w:sz="4" w:space="0" w:color="000000"/>
              <w:right w:val="single" w:sz="6" w:space="0" w:color="000000"/>
            </w:tcBorders>
          </w:tcPr>
          <w:p w:rsidR="00000000" w:rsidRDefault="00000000">
            <w:pPr>
              <w:pStyle w:val="a2"/>
              <w:tabs>
                <w:tab w:val="decimal" w:pos="846"/>
              </w:tabs>
              <w:spacing w:line="280" w:lineRule="exact"/>
              <w:rPr>
                <w:rFonts w:hint="eastAsia"/>
              </w:rPr>
            </w:pPr>
            <w:r>
              <w:t>13,024.4</w:t>
            </w:r>
          </w:p>
        </w:tc>
        <w:tc>
          <w:tcPr>
            <w:tcW w:w="719" w:type="pct"/>
            <w:tcBorders>
              <w:left w:val="single" w:sz="6" w:space="0" w:color="000000"/>
              <w:bottom w:val="single" w:sz="4" w:space="0" w:color="000000"/>
              <w:right w:val="single" w:sz="6" w:space="0" w:color="000000"/>
            </w:tcBorders>
          </w:tcPr>
          <w:p w:rsidR="00000000" w:rsidRDefault="00000000">
            <w:pPr>
              <w:pStyle w:val="a2"/>
              <w:tabs>
                <w:tab w:val="decimal" w:pos="846"/>
              </w:tabs>
              <w:spacing w:line="280" w:lineRule="exact"/>
              <w:rPr>
                <w:rFonts w:hint="eastAsia"/>
              </w:rPr>
            </w:pPr>
            <w:r>
              <w:t>13,045.2</w:t>
            </w:r>
          </w:p>
        </w:tc>
        <w:tc>
          <w:tcPr>
            <w:tcW w:w="719" w:type="pct"/>
            <w:tcBorders>
              <w:left w:val="single" w:sz="6" w:space="0" w:color="000000"/>
              <w:bottom w:val="single" w:sz="4" w:space="0" w:color="000000"/>
              <w:right w:val="single" w:sz="6" w:space="0" w:color="000000"/>
            </w:tcBorders>
          </w:tcPr>
          <w:p w:rsidR="00000000" w:rsidRDefault="00000000">
            <w:pPr>
              <w:pStyle w:val="a2"/>
              <w:tabs>
                <w:tab w:val="decimal" w:pos="846"/>
              </w:tabs>
              <w:spacing w:line="280" w:lineRule="exact"/>
              <w:rPr>
                <w:rFonts w:hint="eastAsia"/>
              </w:rPr>
            </w:pPr>
            <w:r>
              <w:t>13,268.0</w:t>
            </w:r>
          </w:p>
        </w:tc>
        <w:tc>
          <w:tcPr>
            <w:tcW w:w="719" w:type="pct"/>
            <w:tcBorders>
              <w:left w:val="single" w:sz="6" w:space="0" w:color="000000"/>
              <w:bottom w:val="single" w:sz="4" w:space="0" w:color="000000"/>
              <w:right w:val="single" w:sz="4" w:space="0" w:color="auto"/>
            </w:tcBorders>
          </w:tcPr>
          <w:p w:rsidR="00000000" w:rsidRDefault="00000000">
            <w:pPr>
              <w:pStyle w:val="a2"/>
              <w:tabs>
                <w:tab w:val="decimal" w:pos="846"/>
              </w:tabs>
              <w:spacing w:line="280" w:lineRule="exact"/>
              <w:rPr>
                <w:rFonts w:hint="eastAsia"/>
              </w:rPr>
            </w:pPr>
            <w:r>
              <w:t>15,071.8</w:t>
            </w:r>
          </w:p>
        </w:tc>
      </w:tr>
      <w:tr w:rsidR="00000000">
        <w:tblPrEx>
          <w:tblCellMar>
            <w:top w:w="0" w:type="dxa"/>
            <w:left w:w="30" w:type="dxa"/>
            <w:bottom w:w="0" w:type="dxa"/>
            <w:right w:w="30" w:type="dxa"/>
          </w:tblCellMar>
        </w:tblPrEx>
        <w:trPr>
          <w:trHeight w:val="340"/>
        </w:trPr>
        <w:tc>
          <w:tcPr>
            <w:tcW w:w="1407" w:type="pct"/>
            <w:tcBorders>
              <w:top w:val="single" w:sz="4" w:space="0" w:color="000000"/>
              <w:left w:val="single" w:sz="4" w:space="0" w:color="auto"/>
              <w:bottom w:val="single" w:sz="4" w:space="0" w:color="auto"/>
              <w:right w:val="single" w:sz="4" w:space="0" w:color="auto"/>
            </w:tcBorders>
          </w:tcPr>
          <w:p w:rsidR="00000000" w:rsidRDefault="00000000">
            <w:pPr>
              <w:pStyle w:val="a2"/>
              <w:spacing w:line="280" w:lineRule="exact"/>
              <w:rPr>
                <w:rFonts w:hint="eastAsia"/>
                <w:u w:val="single"/>
              </w:rPr>
            </w:pPr>
            <w:r>
              <w:tab/>
            </w:r>
            <w:r>
              <w:rPr>
                <w:rFonts w:hint="eastAsia"/>
                <w:u w:val="single"/>
              </w:rPr>
              <w:t>总</w:t>
            </w:r>
            <w:r>
              <w:rPr>
                <w:rFonts w:hint="eastAsia"/>
                <w:u w:val="single"/>
              </w:rPr>
              <w:t xml:space="preserve">  </w:t>
            </w:r>
            <w:r>
              <w:rPr>
                <w:rFonts w:hint="eastAsia"/>
                <w:u w:val="single"/>
              </w:rPr>
              <w:t>额</w:t>
            </w:r>
          </w:p>
        </w:tc>
        <w:tc>
          <w:tcPr>
            <w:tcW w:w="719" w:type="pct"/>
            <w:tcBorders>
              <w:top w:val="single" w:sz="4" w:space="0" w:color="000000"/>
              <w:left w:val="single" w:sz="4" w:space="0" w:color="auto"/>
              <w:bottom w:val="single" w:sz="4" w:space="0" w:color="auto"/>
              <w:right w:val="single" w:sz="6" w:space="0" w:color="000000"/>
            </w:tcBorders>
          </w:tcPr>
          <w:p w:rsidR="00000000" w:rsidRDefault="00000000">
            <w:pPr>
              <w:pStyle w:val="a2"/>
              <w:tabs>
                <w:tab w:val="decimal" w:pos="846"/>
              </w:tabs>
              <w:spacing w:line="280" w:lineRule="exact"/>
              <w:rPr>
                <w:rFonts w:hint="eastAsia"/>
              </w:rPr>
            </w:pPr>
            <w:r>
              <w:t>20,133.2</w:t>
            </w:r>
          </w:p>
        </w:tc>
        <w:tc>
          <w:tcPr>
            <w:tcW w:w="719" w:type="pct"/>
            <w:tcBorders>
              <w:top w:val="single" w:sz="4" w:space="0" w:color="000000"/>
              <w:left w:val="single" w:sz="6" w:space="0" w:color="000000"/>
              <w:bottom w:val="single" w:sz="4" w:space="0" w:color="auto"/>
              <w:right w:val="single" w:sz="6" w:space="0" w:color="000000"/>
            </w:tcBorders>
          </w:tcPr>
          <w:p w:rsidR="00000000" w:rsidRDefault="00000000">
            <w:pPr>
              <w:pStyle w:val="a2"/>
              <w:tabs>
                <w:tab w:val="decimal" w:pos="846"/>
              </w:tabs>
              <w:spacing w:line="280" w:lineRule="exact"/>
              <w:rPr>
                <w:rFonts w:hint="eastAsia"/>
              </w:rPr>
            </w:pPr>
            <w:r>
              <w:t>20,806.3</w:t>
            </w:r>
          </w:p>
        </w:tc>
        <w:tc>
          <w:tcPr>
            <w:tcW w:w="719" w:type="pct"/>
            <w:tcBorders>
              <w:top w:val="single" w:sz="4" w:space="0" w:color="000000"/>
              <w:left w:val="single" w:sz="6" w:space="0" w:color="000000"/>
              <w:bottom w:val="single" w:sz="4" w:space="0" w:color="auto"/>
              <w:right w:val="single" w:sz="6" w:space="0" w:color="000000"/>
            </w:tcBorders>
          </w:tcPr>
          <w:p w:rsidR="00000000" w:rsidRDefault="00000000">
            <w:pPr>
              <w:pStyle w:val="a2"/>
              <w:tabs>
                <w:tab w:val="decimal" w:pos="846"/>
              </w:tabs>
              <w:spacing w:line="280" w:lineRule="exact"/>
              <w:rPr>
                <w:rFonts w:hint="eastAsia"/>
              </w:rPr>
            </w:pPr>
            <w:r>
              <w:t>20,149.8</w:t>
            </w:r>
          </w:p>
        </w:tc>
        <w:tc>
          <w:tcPr>
            <w:tcW w:w="719" w:type="pct"/>
            <w:tcBorders>
              <w:top w:val="single" w:sz="4" w:space="0" w:color="000000"/>
              <w:left w:val="single" w:sz="6" w:space="0" w:color="000000"/>
              <w:bottom w:val="single" w:sz="4" w:space="0" w:color="auto"/>
              <w:right w:val="single" w:sz="6" w:space="0" w:color="000000"/>
            </w:tcBorders>
          </w:tcPr>
          <w:p w:rsidR="00000000" w:rsidRDefault="00000000">
            <w:pPr>
              <w:pStyle w:val="a2"/>
              <w:tabs>
                <w:tab w:val="decimal" w:pos="846"/>
              </w:tabs>
              <w:spacing w:line="280" w:lineRule="exact"/>
              <w:rPr>
                <w:rFonts w:hint="eastAsia"/>
              </w:rPr>
            </w:pPr>
            <w:r>
              <w:t>21</w:t>
            </w:r>
            <w:r>
              <w:rPr>
                <w:rFonts w:hint="eastAsia"/>
              </w:rPr>
              <w:t>,</w:t>
            </w:r>
            <w:r>
              <w:t>334.0</w:t>
            </w:r>
          </w:p>
        </w:tc>
        <w:tc>
          <w:tcPr>
            <w:tcW w:w="719" w:type="pct"/>
            <w:tcBorders>
              <w:top w:val="single" w:sz="4" w:space="0" w:color="000000"/>
              <w:left w:val="single" w:sz="6" w:space="0" w:color="000000"/>
              <w:bottom w:val="single" w:sz="4" w:space="0" w:color="auto"/>
              <w:right w:val="single" w:sz="4" w:space="0" w:color="auto"/>
            </w:tcBorders>
          </w:tcPr>
          <w:p w:rsidR="00000000" w:rsidRDefault="00000000">
            <w:pPr>
              <w:pStyle w:val="a2"/>
              <w:tabs>
                <w:tab w:val="decimal" w:pos="846"/>
              </w:tabs>
              <w:spacing w:line="280" w:lineRule="exact"/>
              <w:rPr>
                <w:rFonts w:hint="eastAsia"/>
              </w:rPr>
            </w:pPr>
            <w:r>
              <w:t>24,086.7</w:t>
            </w:r>
          </w:p>
        </w:tc>
      </w:tr>
    </w:tbl>
    <w:p w:rsidR="00000000" w:rsidRDefault="00000000">
      <w:pPr>
        <w:spacing w:after="160"/>
        <w:ind w:firstLine="539"/>
        <w:rPr>
          <w:rFonts w:eastAsia="KaiTi_GB2312" w:hint="eastAsia"/>
          <w:spacing w:val="0"/>
        </w:rPr>
      </w:pPr>
      <w:r>
        <w:rPr>
          <w:rFonts w:eastAsia="KaiTi_GB2312" w:hint="eastAsia"/>
          <w:spacing w:val="0"/>
          <w:u w:val="single"/>
        </w:rPr>
        <w:t>资料来源</w:t>
      </w:r>
      <w:r>
        <w:rPr>
          <w:rFonts w:eastAsia="KaiTi_GB2312" w:hint="eastAsia"/>
          <w:spacing w:val="0"/>
        </w:rPr>
        <w:t>：</w:t>
      </w:r>
      <w:r>
        <w:rPr>
          <w:rFonts w:eastAsia="KaiTi_GB2312"/>
          <w:spacing w:val="0"/>
        </w:rPr>
        <w:t>Elaborazione MPI su Censis-Rapporto 1999</w:t>
      </w:r>
      <w:r>
        <w:rPr>
          <w:rFonts w:eastAsia="KaiTi_GB2312" w:hint="eastAsia"/>
          <w:spacing w:val="0"/>
        </w:rPr>
        <w:t>。</w:t>
      </w:r>
    </w:p>
    <w:p w:rsidR="00000000" w:rsidRDefault="00000000">
      <w:pPr>
        <w:pStyle w:val="Heading3"/>
        <w:spacing w:after="160"/>
        <w:rPr>
          <w:rFonts w:hint="eastAsia"/>
        </w:rPr>
      </w:pPr>
      <w:r>
        <w:rPr>
          <w:rFonts w:hint="eastAsia"/>
          <w:u w:val="none"/>
        </w:rPr>
        <w:t>表</w:t>
      </w:r>
      <w:r>
        <w:rPr>
          <w:rFonts w:hint="eastAsia"/>
          <w:u w:val="none"/>
        </w:rPr>
        <w:t xml:space="preserve">4.  </w:t>
      </w:r>
      <w:r>
        <w:rPr>
          <w:rFonts w:hint="eastAsia"/>
        </w:rPr>
        <w:t>按学校级别和学生性别统计的学生人数</w:t>
      </w:r>
    </w:p>
    <w:tbl>
      <w:tblPr>
        <w:tblW w:w="5000" w:type="pct"/>
        <w:tblBorders>
          <w:top w:val="single" w:sz="2" w:space="0" w:color="auto"/>
          <w:left w:val="single" w:sz="2" w:space="0" w:color="auto"/>
          <w:bottom w:val="single" w:sz="2" w:space="0" w:color="auto"/>
          <w:right w:val="single" w:sz="2" w:space="0" w:color="auto"/>
        </w:tblBorders>
        <w:tblCellMar>
          <w:left w:w="54" w:type="dxa"/>
          <w:bottom w:w="113" w:type="dxa"/>
          <w:right w:w="54" w:type="dxa"/>
        </w:tblCellMar>
        <w:tblLook w:val="0000" w:firstRow="0" w:lastRow="0" w:firstColumn="0" w:lastColumn="0" w:noHBand="0" w:noVBand="0"/>
      </w:tblPr>
      <w:tblGrid>
        <w:gridCol w:w="1579"/>
        <w:gridCol w:w="971"/>
        <w:gridCol w:w="1728"/>
        <w:gridCol w:w="1728"/>
        <w:gridCol w:w="1728"/>
        <w:gridCol w:w="1728"/>
      </w:tblGrid>
      <w:tr w:rsidR="00000000">
        <w:tblPrEx>
          <w:tblCellMar>
            <w:top w:w="0" w:type="dxa"/>
          </w:tblCellMar>
        </w:tblPrEx>
        <w:tc>
          <w:tcPr>
            <w:tcW w:w="835" w:type="pct"/>
            <w:tcBorders>
              <w:top w:val="single" w:sz="2" w:space="0" w:color="auto"/>
              <w:bottom w:val="single" w:sz="2" w:space="0" w:color="auto"/>
              <w:right w:val="single" w:sz="2" w:space="0" w:color="auto"/>
            </w:tcBorders>
          </w:tcPr>
          <w:p w:rsidR="00000000" w:rsidRDefault="00000000">
            <w:pPr>
              <w:pStyle w:val="a2"/>
              <w:spacing w:before="40" w:line="240" w:lineRule="atLeast"/>
              <w:jc w:val="center"/>
              <w:rPr>
                <w:rFonts w:hint="eastAsia"/>
                <w:u w:val="single"/>
              </w:rPr>
            </w:pPr>
            <w:r>
              <w:rPr>
                <w:rFonts w:hint="eastAsia"/>
                <w:u w:val="single"/>
              </w:rPr>
              <w:t>学</w:t>
            </w:r>
            <w:r>
              <w:rPr>
                <w:rFonts w:hint="eastAsia"/>
                <w:u w:val="single"/>
              </w:rPr>
              <w:t xml:space="preserve">  </w:t>
            </w:r>
            <w:r>
              <w:rPr>
                <w:rFonts w:hint="eastAsia"/>
                <w:u w:val="single"/>
              </w:rPr>
              <w:t>校</w:t>
            </w:r>
          </w:p>
        </w:tc>
        <w:tc>
          <w:tcPr>
            <w:tcW w:w="513" w:type="pct"/>
            <w:tcBorders>
              <w:top w:val="single" w:sz="2" w:space="0" w:color="auto"/>
              <w:left w:val="single" w:sz="2" w:space="0" w:color="auto"/>
              <w:bottom w:val="single" w:sz="2" w:space="0" w:color="auto"/>
              <w:right w:val="single" w:sz="2" w:space="0" w:color="auto"/>
            </w:tcBorders>
          </w:tcPr>
          <w:p w:rsidR="00000000" w:rsidRDefault="00000000">
            <w:pPr>
              <w:pStyle w:val="a2"/>
              <w:spacing w:before="40" w:line="240" w:lineRule="atLeast"/>
              <w:jc w:val="center"/>
              <w:rPr>
                <w:u w:val="single"/>
              </w:rPr>
            </w:pPr>
          </w:p>
        </w:tc>
        <w:tc>
          <w:tcPr>
            <w:tcW w:w="913" w:type="pct"/>
            <w:tcBorders>
              <w:top w:val="single" w:sz="2" w:space="0" w:color="auto"/>
              <w:left w:val="single" w:sz="2" w:space="0" w:color="auto"/>
              <w:bottom w:val="single" w:sz="2" w:space="0" w:color="auto"/>
              <w:right w:val="single" w:sz="2" w:space="0" w:color="auto"/>
            </w:tcBorders>
          </w:tcPr>
          <w:p w:rsidR="00000000" w:rsidRDefault="00000000">
            <w:pPr>
              <w:pStyle w:val="a2"/>
              <w:spacing w:before="40" w:line="240" w:lineRule="atLeast"/>
              <w:jc w:val="center"/>
              <w:rPr>
                <w:rFonts w:hint="eastAsia"/>
                <w:u w:val="single"/>
              </w:rPr>
            </w:pPr>
            <w:r>
              <w:rPr>
                <w:u w:val="single"/>
              </w:rPr>
              <w:t>1990/91</w:t>
            </w:r>
            <w:r>
              <w:rPr>
                <w:rFonts w:hint="eastAsia"/>
                <w:u w:val="single"/>
              </w:rPr>
              <w:t>年</w:t>
            </w:r>
          </w:p>
        </w:tc>
        <w:tc>
          <w:tcPr>
            <w:tcW w:w="913" w:type="pct"/>
            <w:tcBorders>
              <w:top w:val="single" w:sz="2" w:space="0" w:color="auto"/>
              <w:left w:val="single" w:sz="2" w:space="0" w:color="auto"/>
              <w:bottom w:val="single" w:sz="2" w:space="0" w:color="auto"/>
              <w:right w:val="single" w:sz="2" w:space="0" w:color="auto"/>
            </w:tcBorders>
          </w:tcPr>
          <w:p w:rsidR="00000000" w:rsidRDefault="00000000">
            <w:pPr>
              <w:pStyle w:val="a2"/>
              <w:spacing w:before="40" w:line="240" w:lineRule="atLeast"/>
              <w:jc w:val="center"/>
              <w:rPr>
                <w:rFonts w:hint="eastAsia"/>
                <w:u w:val="single"/>
              </w:rPr>
            </w:pPr>
            <w:r>
              <w:rPr>
                <w:u w:val="single"/>
              </w:rPr>
              <w:t>1995/96</w:t>
            </w:r>
            <w:r>
              <w:rPr>
                <w:rFonts w:hint="eastAsia"/>
                <w:u w:val="single"/>
              </w:rPr>
              <w:t>年</w:t>
            </w:r>
          </w:p>
        </w:tc>
        <w:tc>
          <w:tcPr>
            <w:tcW w:w="913" w:type="pct"/>
            <w:tcBorders>
              <w:top w:val="single" w:sz="2" w:space="0" w:color="auto"/>
              <w:left w:val="single" w:sz="2" w:space="0" w:color="auto"/>
              <w:bottom w:val="single" w:sz="2" w:space="0" w:color="auto"/>
              <w:right w:val="single" w:sz="2" w:space="0" w:color="auto"/>
            </w:tcBorders>
          </w:tcPr>
          <w:p w:rsidR="00000000" w:rsidRDefault="00000000">
            <w:pPr>
              <w:pStyle w:val="a2"/>
              <w:spacing w:before="40" w:line="240" w:lineRule="atLeast"/>
              <w:jc w:val="center"/>
              <w:rPr>
                <w:rFonts w:hint="eastAsia"/>
                <w:u w:val="single"/>
              </w:rPr>
            </w:pPr>
            <w:r>
              <w:rPr>
                <w:u w:val="single"/>
              </w:rPr>
              <w:t>1997/98</w:t>
            </w:r>
            <w:r>
              <w:rPr>
                <w:rFonts w:hint="eastAsia"/>
                <w:u w:val="single"/>
              </w:rPr>
              <w:t>年</w:t>
            </w:r>
          </w:p>
        </w:tc>
        <w:tc>
          <w:tcPr>
            <w:tcW w:w="913" w:type="pct"/>
            <w:tcBorders>
              <w:top w:val="single" w:sz="2" w:space="0" w:color="auto"/>
              <w:left w:val="single" w:sz="2" w:space="0" w:color="auto"/>
              <w:bottom w:val="single" w:sz="2" w:space="0" w:color="auto"/>
            </w:tcBorders>
          </w:tcPr>
          <w:p w:rsidR="00000000" w:rsidRDefault="00000000">
            <w:pPr>
              <w:pStyle w:val="a2"/>
              <w:spacing w:before="40" w:line="240" w:lineRule="atLeast"/>
              <w:jc w:val="center"/>
              <w:rPr>
                <w:u w:val="single"/>
              </w:rPr>
            </w:pPr>
            <w:r>
              <w:rPr>
                <w:u w:val="single"/>
              </w:rPr>
              <w:t>1999/2000</w:t>
            </w:r>
            <w:r>
              <w:rPr>
                <w:rFonts w:hint="eastAsia"/>
                <w:u w:val="single"/>
              </w:rPr>
              <w:t>年</w:t>
            </w:r>
            <w:r>
              <w:rPr>
                <w:u w:val="single"/>
              </w:rPr>
              <w:t>(*)</w:t>
            </w:r>
          </w:p>
        </w:tc>
      </w:tr>
      <w:tr w:rsidR="00000000">
        <w:tblPrEx>
          <w:tblCellMar>
            <w:top w:w="0" w:type="dxa"/>
          </w:tblCellMar>
        </w:tblPrEx>
        <w:tc>
          <w:tcPr>
            <w:tcW w:w="835" w:type="pct"/>
            <w:tcBorders>
              <w:top w:val="single" w:sz="2" w:space="0" w:color="auto"/>
              <w:right w:val="single" w:sz="2" w:space="0" w:color="auto"/>
            </w:tcBorders>
          </w:tcPr>
          <w:p w:rsidR="00000000" w:rsidRDefault="00000000">
            <w:pPr>
              <w:pStyle w:val="a2"/>
              <w:spacing w:line="240" w:lineRule="atLeast"/>
              <w:rPr>
                <w:rFonts w:hint="eastAsia"/>
              </w:rPr>
            </w:pPr>
            <w:r>
              <w:rPr>
                <w:rFonts w:hint="eastAsia"/>
              </w:rPr>
              <w:t>学</w:t>
            </w:r>
            <w:r>
              <w:rPr>
                <w:rFonts w:hint="eastAsia"/>
              </w:rPr>
              <w:t xml:space="preserve">  </w:t>
            </w:r>
            <w:r>
              <w:rPr>
                <w:rFonts w:hint="eastAsia"/>
              </w:rPr>
              <w:t>前</w:t>
            </w:r>
          </w:p>
        </w:tc>
        <w:tc>
          <w:tcPr>
            <w:tcW w:w="513" w:type="pct"/>
            <w:tcBorders>
              <w:top w:val="single" w:sz="2" w:space="0" w:color="auto"/>
              <w:left w:val="single" w:sz="2" w:space="0" w:color="auto"/>
              <w:right w:val="single" w:sz="2" w:space="0" w:color="auto"/>
            </w:tcBorders>
          </w:tcPr>
          <w:p w:rsidR="00000000" w:rsidRDefault="00000000">
            <w:pPr>
              <w:pStyle w:val="a2"/>
              <w:spacing w:line="240" w:lineRule="atLeast"/>
              <w:jc w:val="center"/>
              <w:rPr>
                <w:rFonts w:hint="eastAsia"/>
              </w:rPr>
            </w:pPr>
            <w:r>
              <w:rPr>
                <w:rFonts w:hint="eastAsia"/>
              </w:rPr>
              <w:t>男</w:t>
            </w:r>
            <w:r>
              <w:t>/</w:t>
            </w:r>
            <w:r>
              <w:rPr>
                <w:rFonts w:hint="eastAsia"/>
              </w:rPr>
              <w:t>女</w:t>
            </w:r>
          </w:p>
        </w:tc>
        <w:tc>
          <w:tcPr>
            <w:tcW w:w="913" w:type="pct"/>
            <w:tcBorders>
              <w:top w:val="single" w:sz="2" w:space="0" w:color="auto"/>
              <w:left w:val="single" w:sz="2" w:space="0" w:color="auto"/>
              <w:right w:val="single" w:sz="2" w:space="0" w:color="auto"/>
            </w:tcBorders>
          </w:tcPr>
          <w:p w:rsidR="00000000" w:rsidRDefault="00000000">
            <w:pPr>
              <w:pStyle w:val="a2"/>
              <w:tabs>
                <w:tab w:val="decimal" w:pos="1311"/>
              </w:tabs>
              <w:spacing w:line="240" w:lineRule="atLeast"/>
            </w:pPr>
            <w:r>
              <w:t>1,575,234</w:t>
            </w:r>
          </w:p>
        </w:tc>
        <w:tc>
          <w:tcPr>
            <w:tcW w:w="913" w:type="pct"/>
            <w:tcBorders>
              <w:top w:val="single" w:sz="2" w:space="0" w:color="auto"/>
              <w:left w:val="single" w:sz="2" w:space="0" w:color="auto"/>
              <w:right w:val="single" w:sz="2" w:space="0" w:color="auto"/>
            </w:tcBorders>
          </w:tcPr>
          <w:p w:rsidR="00000000" w:rsidRDefault="00000000">
            <w:pPr>
              <w:pStyle w:val="a2"/>
              <w:tabs>
                <w:tab w:val="decimal" w:pos="1311"/>
              </w:tabs>
              <w:spacing w:line="240" w:lineRule="atLeast"/>
            </w:pPr>
            <w:r>
              <w:t>1,582,020</w:t>
            </w:r>
          </w:p>
        </w:tc>
        <w:tc>
          <w:tcPr>
            <w:tcW w:w="913" w:type="pct"/>
            <w:tcBorders>
              <w:top w:val="single" w:sz="2" w:space="0" w:color="auto"/>
              <w:left w:val="single" w:sz="2" w:space="0" w:color="auto"/>
              <w:right w:val="single" w:sz="2" w:space="0" w:color="auto"/>
            </w:tcBorders>
          </w:tcPr>
          <w:p w:rsidR="00000000" w:rsidRDefault="00000000">
            <w:pPr>
              <w:pStyle w:val="a2"/>
              <w:tabs>
                <w:tab w:val="decimal" w:pos="1311"/>
              </w:tabs>
              <w:spacing w:line="240" w:lineRule="atLeast"/>
            </w:pPr>
            <w:r>
              <w:t>1,588,020</w:t>
            </w:r>
          </w:p>
        </w:tc>
        <w:tc>
          <w:tcPr>
            <w:tcW w:w="913" w:type="pct"/>
            <w:tcBorders>
              <w:top w:val="single" w:sz="2" w:space="0" w:color="auto"/>
              <w:left w:val="single" w:sz="2" w:space="0" w:color="auto"/>
            </w:tcBorders>
          </w:tcPr>
          <w:p w:rsidR="00000000" w:rsidRDefault="00000000">
            <w:pPr>
              <w:pStyle w:val="a2"/>
              <w:tabs>
                <w:tab w:val="decimal" w:pos="1311"/>
              </w:tabs>
              <w:spacing w:line="240" w:lineRule="atLeast"/>
            </w:pPr>
            <w:r>
              <w:t>915,011</w:t>
            </w:r>
          </w:p>
        </w:tc>
      </w:tr>
      <w:tr w:rsidR="00000000">
        <w:tblPrEx>
          <w:tblCellMar>
            <w:top w:w="0" w:type="dxa"/>
          </w:tblCellMar>
        </w:tblPrEx>
        <w:tc>
          <w:tcPr>
            <w:tcW w:w="835" w:type="pct"/>
            <w:tcBorders>
              <w:right w:val="single" w:sz="2" w:space="0" w:color="auto"/>
            </w:tcBorders>
          </w:tcPr>
          <w:p w:rsidR="00000000" w:rsidRDefault="00000000">
            <w:pPr>
              <w:pStyle w:val="a2"/>
              <w:spacing w:line="240" w:lineRule="atLeast"/>
            </w:pPr>
          </w:p>
        </w:tc>
        <w:tc>
          <w:tcPr>
            <w:tcW w:w="513" w:type="pct"/>
            <w:tcBorders>
              <w:left w:val="single" w:sz="2" w:space="0" w:color="auto"/>
              <w:right w:val="single" w:sz="2" w:space="0" w:color="auto"/>
            </w:tcBorders>
          </w:tcPr>
          <w:p w:rsidR="00000000" w:rsidRDefault="00000000">
            <w:pPr>
              <w:pStyle w:val="a2"/>
              <w:spacing w:line="240" w:lineRule="atLeast"/>
              <w:jc w:val="center"/>
              <w:rPr>
                <w:rFonts w:hint="eastAsia"/>
              </w:rPr>
            </w:pPr>
            <w:r>
              <w:rPr>
                <w:rFonts w:hint="eastAsia"/>
              </w:rPr>
              <w:t>女</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788,832</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757,931</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765,426</w:t>
            </w:r>
          </w:p>
        </w:tc>
        <w:tc>
          <w:tcPr>
            <w:tcW w:w="913" w:type="pct"/>
            <w:tcBorders>
              <w:left w:val="single" w:sz="2" w:space="0" w:color="auto"/>
            </w:tcBorders>
          </w:tcPr>
          <w:p w:rsidR="00000000" w:rsidRDefault="00000000">
            <w:pPr>
              <w:pStyle w:val="a2"/>
              <w:tabs>
                <w:tab w:val="decimal" w:pos="1311"/>
              </w:tabs>
              <w:spacing w:line="240" w:lineRule="atLeast"/>
            </w:pPr>
            <w:r>
              <w:t>441,035</w:t>
            </w:r>
          </w:p>
        </w:tc>
      </w:tr>
      <w:tr w:rsidR="00000000">
        <w:tblPrEx>
          <w:tblCellMar>
            <w:top w:w="0" w:type="dxa"/>
          </w:tblCellMar>
        </w:tblPrEx>
        <w:trPr>
          <w:trHeight w:val="270"/>
        </w:trPr>
        <w:tc>
          <w:tcPr>
            <w:tcW w:w="835" w:type="pct"/>
            <w:tcBorders>
              <w:right w:val="single" w:sz="2" w:space="0" w:color="auto"/>
            </w:tcBorders>
          </w:tcPr>
          <w:p w:rsidR="00000000" w:rsidRDefault="00000000">
            <w:pPr>
              <w:pStyle w:val="a2"/>
              <w:spacing w:line="240" w:lineRule="atLeast"/>
            </w:pPr>
          </w:p>
        </w:tc>
        <w:tc>
          <w:tcPr>
            <w:tcW w:w="513" w:type="pct"/>
            <w:tcBorders>
              <w:left w:val="single" w:sz="2" w:space="0" w:color="auto"/>
              <w:right w:val="single" w:sz="2" w:space="0" w:color="auto"/>
            </w:tcBorders>
          </w:tcPr>
          <w:p w:rsidR="00000000" w:rsidRDefault="00000000">
            <w:pPr>
              <w:pStyle w:val="a2"/>
              <w:spacing w:line="240" w:lineRule="atLeast"/>
              <w:jc w:val="center"/>
              <w:rPr>
                <w:rFonts w:hint="eastAsia"/>
              </w:rPr>
            </w:pPr>
            <w:r>
              <w:t>%</w:t>
            </w:r>
            <w:r>
              <w:rPr>
                <w:rFonts w:hint="eastAsia"/>
              </w:rPr>
              <w:t>女</w:t>
            </w:r>
            <w:r>
              <w:t>/</w:t>
            </w:r>
            <w:r>
              <w:rPr>
                <w:rFonts w:hint="eastAsia"/>
              </w:rPr>
              <w:t>男</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48.8</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47.9</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48.2</w:t>
            </w:r>
          </w:p>
        </w:tc>
        <w:tc>
          <w:tcPr>
            <w:tcW w:w="913" w:type="pct"/>
            <w:tcBorders>
              <w:left w:val="single" w:sz="2" w:space="0" w:color="auto"/>
            </w:tcBorders>
          </w:tcPr>
          <w:p w:rsidR="00000000" w:rsidRDefault="00000000">
            <w:pPr>
              <w:pStyle w:val="a2"/>
              <w:tabs>
                <w:tab w:val="decimal" w:pos="1311"/>
              </w:tabs>
              <w:spacing w:line="240" w:lineRule="atLeast"/>
            </w:pPr>
            <w:r>
              <w:t>48.2</w:t>
            </w:r>
          </w:p>
        </w:tc>
      </w:tr>
      <w:tr w:rsidR="00000000">
        <w:tblPrEx>
          <w:tblCellMar>
            <w:top w:w="0" w:type="dxa"/>
          </w:tblCellMar>
        </w:tblPrEx>
        <w:tc>
          <w:tcPr>
            <w:tcW w:w="835" w:type="pct"/>
            <w:tcBorders>
              <w:right w:val="single" w:sz="2" w:space="0" w:color="auto"/>
            </w:tcBorders>
          </w:tcPr>
          <w:p w:rsidR="00000000" w:rsidRDefault="00000000">
            <w:pPr>
              <w:pStyle w:val="a2"/>
              <w:spacing w:line="240" w:lineRule="atLeast"/>
              <w:rPr>
                <w:rFonts w:hint="eastAsia"/>
              </w:rPr>
            </w:pPr>
            <w:r>
              <w:rPr>
                <w:rFonts w:hint="eastAsia"/>
              </w:rPr>
              <w:t>小</w:t>
            </w:r>
            <w:r>
              <w:rPr>
                <w:rFonts w:hint="eastAsia"/>
              </w:rPr>
              <w:t xml:space="preserve">  </w:t>
            </w:r>
            <w:r>
              <w:rPr>
                <w:rFonts w:hint="eastAsia"/>
              </w:rPr>
              <w:t>学</w:t>
            </w:r>
          </w:p>
        </w:tc>
        <w:tc>
          <w:tcPr>
            <w:tcW w:w="513" w:type="pct"/>
            <w:tcBorders>
              <w:left w:val="single" w:sz="2" w:space="0" w:color="auto"/>
              <w:right w:val="single" w:sz="2" w:space="0" w:color="auto"/>
            </w:tcBorders>
          </w:tcPr>
          <w:p w:rsidR="00000000" w:rsidRDefault="00000000">
            <w:pPr>
              <w:pStyle w:val="a2"/>
              <w:spacing w:line="240" w:lineRule="atLeast"/>
              <w:jc w:val="center"/>
              <w:rPr>
                <w:rFonts w:hint="eastAsia"/>
              </w:rPr>
            </w:pPr>
            <w:r>
              <w:rPr>
                <w:rFonts w:hint="eastAsia"/>
              </w:rPr>
              <w:t>男</w:t>
            </w:r>
            <w:r>
              <w:t>/</w:t>
            </w:r>
            <w:r>
              <w:rPr>
                <w:rFonts w:hint="eastAsia"/>
              </w:rPr>
              <w:t>女</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3,069,767</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2,816,128</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2,820,919</w:t>
            </w:r>
          </w:p>
        </w:tc>
        <w:tc>
          <w:tcPr>
            <w:tcW w:w="913" w:type="pct"/>
            <w:tcBorders>
              <w:left w:val="single" w:sz="2" w:space="0" w:color="auto"/>
            </w:tcBorders>
          </w:tcPr>
          <w:p w:rsidR="00000000" w:rsidRDefault="00000000">
            <w:pPr>
              <w:pStyle w:val="a2"/>
              <w:tabs>
                <w:tab w:val="decimal" w:pos="1311"/>
              </w:tabs>
              <w:spacing w:line="240" w:lineRule="atLeast"/>
            </w:pPr>
            <w:r>
              <w:t>2,570,064</w:t>
            </w:r>
          </w:p>
        </w:tc>
      </w:tr>
      <w:tr w:rsidR="00000000">
        <w:tblPrEx>
          <w:tblCellMar>
            <w:top w:w="0" w:type="dxa"/>
          </w:tblCellMar>
        </w:tblPrEx>
        <w:tc>
          <w:tcPr>
            <w:tcW w:w="835" w:type="pct"/>
            <w:tcBorders>
              <w:right w:val="single" w:sz="2" w:space="0" w:color="auto"/>
            </w:tcBorders>
          </w:tcPr>
          <w:p w:rsidR="00000000" w:rsidRDefault="00000000">
            <w:pPr>
              <w:pStyle w:val="a2"/>
              <w:spacing w:line="240" w:lineRule="atLeast"/>
            </w:pPr>
          </w:p>
        </w:tc>
        <w:tc>
          <w:tcPr>
            <w:tcW w:w="513" w:type="pct"/>
            <w:tcBorders>
              <w:left w:val="single" w:sz="2" w:space="0" w:color="auto"/>
              <w:right w:val="single" w:sz="2" w:space="0" w:color="auto"/>
            </w:tcBorders>
          </w:tcPr>
          <w:p w:rsidR="00000000" w:rsidRDefault="00000000">
            <w:pPr>
              <w:pStyle w:val="a2"/>
              <w:spacing w:line="240" w:lineRule="atLeast"/>
              <w:jc w:val="center"/>
              <w:rPr>
                <w:rFonts w:hint="eastAsia"/>
              </w:rPr>
            </w:pPr>
            <w:r>
              <w:rPr>
                <w:rFonts w:hint="eastAsia"/>
              </w:rPr>
              <w:t>女</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1,493,325</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1,360,754</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1,362,504</w:t>
            </w:r>
          </w:p>
        </w:tc>
        <w:tc>
          <w:tcPr>
            <w:tcW w:w="913" w:type="pct"/>
            <w:tcBorders>
              <w:left w:val="single" w:sz="2" w:space="0" w:color="auto"/>
            </w:tcBorders>
          </w:tcPr>
          <w:p w:rsidR="00000000" w:rsidRDefault="00000000">
            <w:pPr>
              <w:pStyle w:val="a2"/>
              <w:tabs>
                <w:tab w:val="decimal" w:pos="1311"/>
              </w:tabs>
              <w:spacing w:line="240" w:lineRule="atLeast"/>
            </w:pPr>
            <w:r>
              <w:t>1,241,341</w:t>
            </w:r>
          </w:p>
        </w:tc>
      </w:tr>
      <w:tr w:rsidR="00000000">
        <w:tblPrEx>
          <w:tblCellMar>
            <w:top w:w="0" w:type="dxa"/>
          </w:tblCellMar>
        </w:tblPrEx>
        <w:trPr>
          <w:trHeight w:val="270"/>
        </w:trPr>
        <w:tc>
          <w:tcPr>
            <w:tcW w:w="835" w:type="pct"/>
            <w:tcBorders>
              <w:right w:val="single" w:sz="2" w:space="0" w:color="auto"/>
            </w:tcBorders>
          </w:tcPr>
          <w:p w:rsidR="00000000" w:rsidRDefault="00000000">
            <w:pPr>
              <w:pStyle w:val="a2"/>
              <w:spacing w:line="240" w:lineRule="atLeast"/>
            </w:pPr>
          </w:p>
        </w:tc>
        <w:tc>
          <w:tcPr>
            <w:tcW w:w="513" w:type="pct"/>
            <w:tcBorders>
              <w:left w:val="single" w:sz="2" w:space="0" w:color="auto"/>
              <w:right w:val="single" w:sz="2" w:space="0" w:color="auto"/>
            </w:tcBorders>
          </w:tcPr>
          <w:p w:rsidR="00000000" w:rsidRDefault="00000000">
            <w:pPr>
              <w:pStyle w:val="a2"/>
              <w:spacing w:line="240" w:lineRule="atLeast"/>
              <w:jc w:val="center"/>
              <w:rPr>
                <w:rFonts w:hint="eastAsia"/>
              </w:rPr>
            </w:pPr>
            <w:r>
              <w:t>%</w:t>
            </w:r>
            <w:r>
              <w:rPr>
                <w:rFonts w:hint="eastAsia"/>
              </w:rPr>
              <w:t>女</w:t>
            </w:r>
            <w:r>
              <w:t>/</w:t>
            </w:r>
            <w:r>
              <w:rPr>
                <w:rFonts w:hint="eastAsia"/>
              </w:rPr>
              <w:t>男</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48.6</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48.3</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48.3</w:t>
            </w:r>
          </w:p>
        </w:tc>
        <w:tc>
          <w:tcPr>
            <w:tcW w:w="913" w:type="pct"/>
            <w:tcBorders>
              <w:left w:val="single" w:sz="2" w:space="0" w:color="auto"/>
            </w:tcBorders>
          </w:tcPr>
          <w:p w:rsidR="00000000" w:rsidRDefault="00000000">
            <w:pPr>
              <w:pStyle w:val="a2"/>
              <w:tabs>
                <w:tab w:val="decimal" w:pos="1311"/>
              </w:tabs>
              <w:spacing w:line="240" w:lineRule="atLeast"/>
            </w:pPr>
            <w:r>
              <w:t>48.3</w:t>
            </w:r>
          </w:p>
        </w:tc>
      </w:tr>
      <w:tr w:rsidR="00000000">
        <w:tblPrEx>
          <w:tblCellMar>
            <w:top w:w="0" w:type="dxa"/>
          </w:tblCellMar>
        </w:tblPrEx>
        <w:tc>
          <w:tcPr>
            <w:tcW w:w="835" w:type="pct"/>
            <w:tcBorders>
              <w:right w:val="single" w:sz="2" w:space="0" w:color="auto"/>
            </w:tcBorders>
          </w:tcPr>
          <w:p w:rsidR="00000000" w:rsidRDefault="00000000">
            <w:pPr>
              <w:pStyle w:val="a2"/>
              <w:spacing w:line="240" w:lineRule="atLeast"/>
              <w:rPr>
                <w:rFonts w:hint="eastAsia"/>
              </w:rPr>
            </w:pPr>
            <w:r>
              <w:rPr>
                <w:rFonts w:hint="eastAsia"/>
              </w:rPr>
              <w:t>中</w:t>
            </w:r>
            <w:r>
              <w:rPr>
                <w:rFonts w:hint="eastAsia"/>
              </w:rPr>
              <w:t xml:space="preserve">  </w:t>
            </w:r>
            <w:r>
              <w:rPr>
                <w:rFonts w:hint="eastAsia"/>
              </w:rPr>
              <w:t>学</w:t>
            </w:r>
          </w:p>
        </w:tc>
        <w:tc>
          <w:tcPr>
            <w:tcW w:w="513" w:type="pct"/>
            <w:tcBorders>
              <w:left w:val="single" w:sz="2" w:space="0" w:color="auto"/>
              <w:right w:val="single" w:sz="2" w:space="0" w:color="auto"/>
            </w:tcBorders>
          </w:tcPr>
          <w:p w:rsidR="00000000" w:rsidRDefault="00000000">
            <w:pPr>
              <w:pStyle w:val="a2"/>
              <w:spacing w:line="240" w:lineRule="atLeast"/>
              <w:jc w:val="center"/>
              <w:rPr>
                <w:rFonts w:hint="eastAsia"/>
              </w:rPr>
            </w:pPr>
            <w:r>
              <w:rPr>
                <w:rFonts w:hint="eastAsia"/>
              </w:rPr>
              <w:t>男</w:t>
            </w:r>
            <w:r>
              <w:t>/</w:t>
            </w:r>
            <w:r>
              <w:rPr>
                <w:rFonts w:hint="eastAsia"/>
              </w:rPr>
              <w:t>女</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2,261,569</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1,901,208</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1,809,059</w:t>
            </w:r>
          </w:p>
        </w:tc>
        <w:tc>
          <w:tcPr>
            <w:tcW w:w="913" w:type="pct"/>
            <w:tcBorders>
              <w:left w:val="single" w:sz="2" w:space="0" w:color="auto"/>
            </w:tcBorders>
          </w:tcPr>
          <w:p w:rsidR="00000000" w:rsidRDefault="00000000">
            <w:pPr>
              <w:pStyle w:val="a2"/>
              <w:tabs>
                <w:tab w:val="decimal" w:pos="1311"/>
              </w:tabs>
              <w:spacing w:line="240" w:lineRule="atLeast"/>
            </w:pPr>
            <w:r>
              <w:t>1,686,408</w:t>
            </w:r>
          </w:p>
        </w:tc>
      </w:tr>
      <w:tr w:rsidR="00000000">
        <w:tblPrEx>
          <w:tblCellMar>
            <w:top w:w="0" w:type="dxa"/>
          </w:tblCellMar>
        </w:tblPrEx>
        <w:tc>
          <w:tcPr>
            <w:tcW w:w="835" w:type="pct"/>
            <w:tcBorders>
              <w:right w:val="single" w:sz="2" w:space="0" w:color="auto"/>
            </w:tcBorders>
          </w:tcPr>
          <w:p w:rsidR="00000000" w:rsidRDefault="00000000">
            <w:pPr>
              <w:pStyle w:val="a2"/>
              <w:spacing w:line="240" w:lineRule="atLeast"/>
            </w:pPr>
          </w:p>
        </w:tc>
        <w:tc>
          <w:tcPr>
            <w:tcW w:w="513" w:type="pct"/>
            <w:tcBorders>
              <w:left w:val="single" w:sz="2" w:space="0" w:color="auto"/>
              <w:right w:val="single" w:sz="2" w:space="0" w:color="auto"/>
            </w:tcBorders>
          </w:tcPr>
          <w:p w:rsidR="00000000" w:rsidRDefault="00000000">
            <w:pPr>
              <w:pStyle w:val="a2"/>
              <w:spacing w:line="240" w:lineRule="atLeast"/>
              <w:jc w:val="center"/>
              <w:rPr>
                <w:rFonts w:hint="eastAsia"/>
              </w:rPr>
            </w:pPr>
            <w:r>
              <w:rPr>
                <w:rFonts w:hint="eastAsia"/>
              </w:rPr>
              <w:t>女</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1,072,024</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901,207</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855,685</w:t>
            </w:r>
          </w:p>
        </w:tc>
        <w:tc>
          <w:tcPr>
            <w:tcW w:w="913" w:type="pct"/>
            <w:tcBorders>
              <w:left w:val="single" w:sz="2" w:space="0" w:color="auto"/>
            </w:tcBorders>
          </w:tcPr>
          <w:p w:rsidR="00000000" w:rsidRDefault="00000000">
            <w:pPr>
              <w:pStyle w:val="a2"/>
              <w:tabs>
                <w:tab w:val="decimal" w:pos="1311"/>
              </w:tabs>
              <w:spacing w:line="240" w:lineRule="atLeast"/>
            </w:pPr>
            <w:r>
              <w:t>797,671</w:t>
            </w:r>
          </w:p>
        </w:tc>
      </w:tr>
      <w:tr w:rsidR="00000000">
        <w:tblPrEx>
          <w:tblCellMar>
            <w:top w:w="0" w:type="dxa"/>
          </w:tblCellMar>
        </w:tblPrEx>
        <w:trPr>
          <w:trHeight w:val="270"/>
        </w:trPr>
        <w:tc>
          <w:tcPr>
            <w:tcW w:w="835" w:type="pct"/>
            <w:tcBorders>
              <w:right w:val="single" w:sz="2" w:space="0" w:color="auto"/>
            </w:tcBorders>
          </w:tcPr>
          <w:p w:rsidR="00000000" w:rsidRDefault="00000000">
            <w:pPr>
              <w:pStyle w:val="a2"/>
              <w:spacing w:line="240" w:lineRule="atLeast"/>
            </w:pPr>
          </w:p>
        </w:tc>
        <w:tc>
          <w:tcPr>
            <w:tcW w:w="513" w:type="pct"/>
            <w:tcBorders>
              <w:left w:val="single" w:sz="2" w:space="0" w:color="auto"/>
              <w:right w:val="single" w:sz="2" w:space="0" w:color="auto"/>
            </w:tcBorders>
          </w:tcPr>
          <w:p w:rsidR="00000000" w:rsidRDefault="00000000">
            <w:pPr>
              <w:pStyle w:val="a2"/>
              <w:spacing w:line="240" w:lineRule="atLeast"/>
              <w:jc w:val="center"/>
              <w:rPr>
                <w:rFonts w:hint="eastAsia"/>
              </w:rPr>
            </w:pPr>
            <w:r>
              <w:t>%</w:t>
            </w:r>
            <w:r>
              <w:rPr>
                <w:rFonts w:hint="eastAsia"/>
              </w:rPr>
              <w:t>女</w:t>
            </w:r>
            <w:r>
              <w:t>/</w:t>
            </w:r>
            <w:r>
              <w:rPr>
                <w:rFonts w:hint="eastAsia"/>
              </w:rPr>
              <w:t>男</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47.4</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47.4</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47.3</w:t>
            </w:r>
          </w:p>
        </w:tc>
        <w:tc>
          <w:tcPr>
            <w:tcW w:w="913" w:type="pct"/>
            <w:tcBorders>
              <w:left w:val="single" w:sz="2" w:space="0" w:color="auto"/>
            </w:tcBorders>
          </w:tcPr>
          <w:p w:rsidR="00000000" w:rsidRDefault="00000000">
            <w:pPr>
              <w:pStyle w:val="a2"/>
              <w:tabs>
                <w:tab w:val="decimal" w:pos="1311"/>
              </w:tabs>
              <w:spacing w:line="240" w:lineRule="atLeast"/>
            </w:pPr>
            <w:r>
              <w:t>47.3</w:t>
            </w:r>
          </w:p>
        </w:tc>
      </w:tr>
      <w:tr w:rsidR="00000000">
        <w:tblPrEx>
          <w:tblCellMar>
            <w:top w:w="0" w:type="dxa"/>
          </w:tblCellMar>
        </w:tblPrEx>
        <w:tc>
          <w:tcPr>
            <w:tcW w:w="835" w:type="pct"/>
            <w:tcBorders>
              <w:right w:val="single" w:sz="2" w:space="0" w:color="auto"/>
            </w:tcBorders>
          </w:tcPr>
          <w:p w:rsidR="00000000" w:rsidRDefault="00000000">
            <w:pPr>
              <w:pStyle w:val="a2"/>
              <w:spacing w:line="240" w:lineRule="atLeast"/>
            </w:pPr>
            <w:r>
              <w:rPr>
                <w:rFonts w:hint="eastAsia"/>
              </w:rPr>
              <w:t>高</w:t>
            </w:r>
            <w:r>
              <w:rPr>
                <w:rFonts w:hint="eastAsia"/>
              </w:rPr>
              <w:t xml:space="preserve">  </w:t>
            </w:r>
            <w:r>
              <w:rPr>
                <w:rFonts w:hint="eastAsia"/>
              </w:rPr>
              <w:t>中</w:t>
            </w:r>
          </w:p>
        </w:tc>
        <w:tc>
          <w:tcPr>
            <w:tcW w:w="513" w:type="pct"/>
            <w:tcBorders>
              <w:left w:val="single" w:sz="2" w:space="0" w:color="auto"/>
              <w:right w:val="single" w:sz="2" w:space="0" w:color="auto"/>
            </w:tcBorders>
          </w:tcPr>
          <w:p w:rsidR="00000000" w:rsidRDefault="00000000">
            <w:pPr>
              <w:pStyle w:val="a2"/>
              <w:spacing w:line="240" w:lineRule="atLeast"/>
              <w:jc w:val="center"/>
              <w:rPr>
                <w:rFonts w:hint="eastAsia"/>
              </w:rPr>
            </w:pPr>
            <w:r>
              <w:rPr>
                <w:rFonts w:hint="eastAsia"/>
              </w:rPr>
              <w:t>男</w:t>
            </w:r>
            <w:r>
              <w:t>/</w:t>
            </w:r>
            <w:r>
              <w:rPr>
                <w:rFonts w:hint="eastAsia"/>
              </w:rPr>
              <w:t>女</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2,856,328</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2,693,328</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2,597,449</w:t>
            </w:r>
          </w:p>
        </w:tc>
        <w:tc>
          <w:tcPr>
            <w:tcW w:w="913" w:type="pct"/>
            <w:tcBorders>
              <w:left w:val="single" w:sz="2" w:space="0" w:color="auto"/>
            </w:tcBorders>
          </w:tcPr>
          <w:p w:rsidR="00000000" w:rsidRDefault="00000000">
            <w:pPr>
              <w:pStyle w:val="a2"/>
              <w:tabs>
                <w:tab w:val="decimal" w:pos="1311"/>
              </w:tabs>
              <w:spacing w:line="240" w:lineRule="atLeast"/>
            </w:pPr>
            <w:r>
              <w:t>2,419,409</w:t>
            </w:r>
          </w:p>
        </w:tc>
      </w:tr>
      <w:tr w:rsidR="00000000">
        <w:tblPrEx>
          <w:tblCellMar>
            <w:top w:w="0" w:type="dxa"/>
          </w:tblCellMar>
        </w:tblPrEx>
        <w:tc>
          <w:tcPr>
            <w:tcW w:w="835" w:type="pct"/>
            <w:tcBorders>
              <w:right w:val="single" w:sz="2" w:space="0" w:color="auto"/>
            </w:tcBorders>
          </w:tcPr>
          <w:p w:rsidR="00000000" w:rsidRDefault="00000000">
            <w:pPr>
              <w:pStyle w:val="a2"/>
              <w:spacing w:line="240" w:lineRule="atLeast"/>
            </w:pPr>
          </w:p>
        </w:tc>
        <w:tc>
          <w:tcPr>
            <w:tcW w:w="513" w:type="pct"/>
            <w:tcBorders>
              <w:left w:val="single" w:sz="2" w:space="0" w:color="auto"/>
              <w:right w:val="single" w:sz="2" w:space="0" w:color="auto"/>
            </w:tcBorders>
          </w:tcPr>
          <w:p w:rsidR="00000000" w:rsidRDefault="00000000">
            <w:pPr>
              <w:pStyle w:val="a2"/>
              <w:spacing w:line="240" w:lineRule="atLeast"/>
              <w:jc w:val="center"/>
              <w:rPr>
                <w:rFonts w:hint="eastAsia"/>
              </w:rPr>
            </w:pPr>
            <w:r>
              <w:rPr>
                <w:rFonts w:hint="eastAsia"/>
              </w:rPr>
              <w:t>女</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1,426,347</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1,343,578</w:t>
            </w:r>
          </w:p>
        </w:tc>
        <w:tc>
          <w:tcPr>
            <w:tcW w:w="913" w:type="pct"/>
            <w:tcBorders>
              <w:left w:val="single" w:sz="2" w:space="0" w:color="auto"/>
              <w:right w:val="single" w:sz="2" w:space="0" w:color="auto"/>
            </w:tcBorders>
          </w:tcPr>
          <w:p w:rsidR="00000000" w:rsidRDefault="00000000">
            <w:pPr>
              <w:pStyle w:val="a2"/>
              <w:tabs>
                <w:tab w:val="decimal" w:pos="1311"/>
              </w:tabs>
              <w:spacing w:line="240" w:lineRule="atLeast"/>
            </w:pPr>
            <w:r>
              <w:t>1,290,932</w:t>
            </w:r>
          </w:p>
        </w:tc>
        <w:tc>
          <w:tcPr>
            <w:tcW w:w="913" w:type="pct"/>
            <w:tcBorders>
              <w:left w:val="single" w:sz="2" w:space="0" w:color="auto"/>
            </w:tcBorders>
          </w:tcPr>
          <w:p w:rsidR="00000000" w:rsidRDefault="00000000">
            <w:pPr>
              <w:pStyle w:val="a2"/>
              <w:tabs>
                <w:tab w:val="decimal" w:pos="1311"/>
              </w:tabs>
              <w:spacing w:line="240" w:lineRule="atLeast"/>
            </w:pPr>
            <w:r>
              <w:t>1,202,446</w:t>
            </w:r>
          </w:p>
        </w:tc>
      </w:tr>
      <w:tr w:rsidR="00000000">
        <w:tblPrEx>
          <w:tblCellMar>
            <w:top w:w="0" w:type="dxa"/>
          </w:tblCellMar>
        </w:tblPrEx>
        <w:trPr>
          <w:trHeight w:val="270"/>
        </w:trPr>
        <w:tc>
          <w:tcPr>
            <w:tcW w:w="835" w:type="pct"/>
            <w:tcBorders>
              <w:bottom w:val="single" w:sz="2" w:space="0" w:color="auto"/>
              <w:right w:val="single" w:sz="2" w:space="0" w:color="auto"/>
            </w:tcBorders>
          </w:tcPr>
          <w:p w:rsidR="00000000" w:rsidRDefault="00000000">
            <w:pPr>
              <w:pStyle w:val="a2"/>
              <w:spacing w:line="240" w:lineRule="atLeast"/>
            </w:pPr>
          </w:p>
        </w:tc>
        <w:tc>
          <w:tcPr>
            <w:tcW w:w="513" w:type="pct"/>
            <w:tcBorders>
              <w:left w:val="single" w:sz="2" w:space="0" w:color="auto"/>
              <w:bottom w:val="single" w:sz="2" w:space="0" w:color="auto"/>
              <w:right w:val="single" w:sz="2" w:space="0" w:color="auto"/>
            </w:tcBorders>
          </w:tcPr>
          <w:p w:rsidR="00000000" w:rsidRDefault="00000000">
            <w:pPr>
              <w:pStyle w:val="a2"/>
              <w:spacing w:line="240" w:lineRule="atLeast"/>
              <w:jc w:val="center"/>
              <w:rPr>
                <w:rFonts w:hint="eastAsia"/>
              </w:rPr>
            </w:pPr>
            <w:r>
              <w:t>%</w:t>
            </w:r>
            <w:r>
              <w:rPr>
                <w:rFonts w:hint="eastAsia"/>
              </w:rPr>
              <w:t>女</w:t>
            </w:r>
            <w:r>
              <w:t>/</w:t>
            </w:r>
            <w:r>
              <w:rPr>
                <w:rFonts w:hint="eastAsia"/>
              </w:rPr>
              <w:t>男</w:t>
            </w:r>
          </w:p>
        </w:tc>
        <w:tc>
          <w:tcPr>
            <w:tcW w:w="913" w:type="pct"/>
            <w:tcBorders>
              <w:left w:val="single" w:sz="2" w:space="0" w:color="auto"/>
              <w:bottom w:val="single" w:sz="2" w:space="0" w:color="auto"/>
              <w:right w:val="single" w:sz="2" w:space="0" w:color="auto"/>
            </w:tcBorders>
          </w:tcPr>
          <w:p w:rsidR="00000000" w:rsidRDefault="00000000">
            <w:pPr>
              <w:pStyle w:val="a2"/>
              <w:tabs>
                <w:tab w:val="decimal" w:pos="1311"/>
              </w:tabs>
              <w:spacing w:line="240" w:lineRule="atLeast"/>
            </w:pPr>
            <w:r>
              <w:t>48.9</w:t>
            </w:r>
          </w:p>
        </w:tc>
        <w:tc>
          <w:tcPr>
            <w:tcW w:w="913" w:type="pct"/>
            <w:tcBorders>
              <w:left w:val="single" w:sz="2" w:space="0" w:color="auto"/>
              <w:bottom w:val="single" w:sz="2" w:space="0" w:color="auto"/>
              <w:right w:val="single" w:sz="2" w:space="0" w:color="auto"/>
            </w:tcBorders>
          </w:tcPr>
          <w:p w:rsidR="00000000" w:rsidRDefault="00000000">
            <w:pPr>
              <w:pStyle w:val="a2"/>
              <w:tabs>
                <w:tab w:val="decimal" w:pos="1311"/>
              </w:tabs>
              <w:spacing w:line="240" w:lineRule="atLeast"/>
            </w:pPr>
            <w:r>
              <w:t>49.9</w:t>
            </w:r>
          </w:p>
        </w:tc>
        <w:tc>
          <w:tcPr>
            <w:tcW w:w="913" w:type="pct"/>
            <w:tcBorders>
              <w:left w:val="single" w:sz="2" w:space="0" w:color="auto"/>
              <w:bottom w:val="single" w:sz="2" w:space="0" w:color="auto"/>
              <w:right w:val="single" w:sz="2" w:space="0" w:color="auto"/>
            </w:tcBorders>
          </w:tcPr>
          <w:p w:rsidR="00000000" w:rsidRDefault="00000000">
            <w:pPr>
              <w:pStyle w:val="a2"/>
              <w:tabs>
                <w:tab w:val="decimal" w:pos="1311"/>
              </w:tabs>
              <w:spacing w:line="240" w:lineRule="atLeast"/>
            </w:pPr>
            <w:r>
              <w:t>49.7</w:t>
            </w:r>
          </w:p>
        </w:tc>
        <w:tc>
          <w:tcPr>
            <w:tcW w:w="913" w:type="pct"/>
            <w:tcBorders>
              <w:left w:val="single" w:sz="2" w:space="0" w:color="auto"/>
              <w:bottom w:val="single" w:sz="2" w:space="0" w:color="auto"/>
            </w:tcBorders>
          </w:tcPr>
          <w:p w:rsidR="00000000" w:rsidRDefault="00000000">
            <w:pPr>
              <w:pStyle w:val="a2"/>
              <w:tabs>
                <w:tab w:val="decimal" w:pos="1311"/>
              </w:tabs>
              <w:spacing w:line="240" w:lineRule="atLeast"/>
            </w:pPr>
            <w:r>
              <w:t>49.7</w:t>
            </w:r>
          </w:p>
        </w:tc>
      </w:tr>
      <w:tr w:rsidR="00000000">
        <w:tblPrEx>
          <w:tblCellMar>
            <w:top w:w="0" w:type="dxa"/>
          </w:tblCellMar>
        </w:tblPrEx>
        <w:tc>
          <w:tcPr>
            <w:tcW w:w="835" w:type="pct"/>
            <w:tcBorders>
              <w:top w:val="single" w:sz="2" w:space="0" w:color="auto"/>
              <w:bottom w:val="nil"/>
              <w:right w:val="single" w:sz="2" w:space="0" w:color="auto"/>
            </w:tcBorders>
          </w:tcPr>
          <w:p w:rsidR="00000000" w:rsidRDefault="00000000">
            <w:pPr>
              <w:pStyle w:val="a2"/>
              <w:spacing w:line="240" w:lineRule="atLeast"/>
              <w:rPr>
                <w:u w:val="single"/>
              </w:rPr>
            </w:pPr>
            <w:r>
              <w:tab/>
            </w:r>
            <w:r>
              <w:rPr>
                <w:rFonts w:hint="eastAsia"/>
                <w:u w:val="single"/>
              </w:rPr>
              <w:t>总</w:t>
            </w:r>
            <w:r>
              <w:rPr>
                <w:rFonts w:hint="eastAsia"/>
                <w:u w:val="single"/>
              </w:rPr>
              <w:t xml:space="preserve">  </w:t>
            </w:r>
            <w:r>
              <w:rPr>
                <w:rFonts w:hint="eastAsia"/>
                <w:u w:val="single"/>
              </w:rPr>
              <w:t>额</w:t>
            </w:r>
          </w:p>
        </w:tc>
        <w:tc>
          <w:tcPr>
            <w:tcW w:w="513" w:type="pct"/>
            <w:tcBorders>
              <w:top w:val="single" w:sz="2" w:space="0" w:color="auto"/>
              <w:left w:val="single" w:sz="2" w:space="0" w:color="auto"/>
              <w:bottom w:val="nil"/>
              <w:right w:val="single" w:sz="2" w:space="0" w:color="auto"/>
            </w:tcBorders>
          </w:tcPr>
          <w:p w:rsidR="00000000" w:rsidRDefault="00000000">
            <w:pPr>
              <w:pStyle w:val="a2"/>
              <w:spacing w:line="240" w:lineRule="atLeast"/>
              <w:jc w:val="center"/>
              <w:rPr>
                <w:rFonts w:hint="eastAsia"/>
              </w:rPr>
            </w:pPr>
            <w:r>
              <w:rPr>
                <w:rFonts w:hint="eastAsia"/>
              </w:rPr>
              <w:t>男</w:t>
            </w:r>
            <w:r>
              <w:t>/</w:t>
            </w:r>
            <w:r>
              <w:rPr>
                <w:rFonts w:hint="eastAsia"/>
              </w:rPr>
              <w:t>女</w:t>
            </w:r>
          </w:p>
        </w:tc>
        <w:tc>
          <w:tcPr>
            <w:tcW w:w="913" w:type="pct"/>
            <w:tcBorders>
              <w:top w:val="single" w:sz="2" w:space="0" w:color="auto"/>
              <w:left w:val="single" w:sz="2" w:space="0" w:color="auto"/>
              <w:bottom w:val="nil"/>
              <w:right w:val="single" w:sz="2" w:space="0" w:color="auto"/>
            </w:tcBorders>
          </w:tcPr>
          <w:p w:rsidR="00000000" w:rsidRDefault="00000000">
            <w:pPr>
              <w:pStyle w:val="a2"/>
              <w:tabs>
                <w:tab w:val="decimal" w:pos="1311"/>
              </w:tabs>
              <w:spacing w:line="240" w:lineRule="atLeast"/>
            </w:pPr>
            <w:r>
              <w:t>9</w:t>
            </w:r>
            <w:r>
              <w:rPr>
                <w:rFonts w:hint="eastAsia"/>
              </w:rPr>
              <w:t>,</w:t>
            </w:r>
            <w:r>
              <w:t>762,898</w:t>
            </w:r>
          </w:p>
        </w:tc>
        <w:tc>
          <w:tcPr>
            <w:tcW w:w="913" w:type="pct"/>
            <w:tcBorders>
              <w:top w:val="single" w:sz="2" w:space="0" w:color="auto"/>
              <w:left w:val="single" w:sz="2" w:space="0" w:color="auto"/>
              <w:bottom w:val="nil"/>
              <w:right w:val="single" w:sz="2" w:space="0" w:color="auto"/>
            </w:tcBorders>
          </w:tcPr>
          <w:p w:rsidR="00000000" w:rsidRDefault="00000000">
            <w:pPr>
              <w:pStyle w:val="a2"/>
              <w:tabs>
                <w:tab w:val="decimal" w:pos="1311"/>
              </w:tabs>
              <w:spacing w:line="240" w:lineRule="atLeast"/>
            </w:pPr>
            <w:r>
              <w:t>8,993,220</w:t>
            </w:r>
          </w:p>
        </w:tc>
        <w:tc>
          <w:tcPr>
            <w:tcW w:w="913" w:type="pct"/>
            <w:tcBorders>
              <w:top w:val="single" w:sz="2" w:space="0" w:color="auto"/>
              <w:left w:val="single" w:sz="2" w:space="0" w:color="auto"/>
              <w:bottom w:val="nil"/>
              <w:right w:val="single" w:sz="2" w:space="0" w:color="auto"/>
            </w:tcBorders>
          </w:tcPr>
          <w:p w:rsidR="00000000" w:rsidRDefault="00000000">
            <w:pPr>
              <w:pStyle w:val="a2"/>
              <w:tabs>
                <w:tab w:val="decimal" w:pos="1311"/>
              </w:tabs>
              <w:spacing w:line="240" w:lineRule="atLeast"/>
            </w:pPr>
            <w:r>
              <w:t>8,815,447</w:t>
            </w:r>
          </w:p>
        </w:tc>
        <w:tc>
          <w:tcPr>
            <w:tcW w:w="913" w:type="pct"/>
            <w:tcBorders>
              <w:top w:val="single" w:sz="2" w:space="0" w:color="auto"/>
              <w:left w:val="single" w:sz="2" w:space="0" w:color="auto"/>
              <w:bottom w:val="nil"/>
            </w:tcBorders>
          </w:tcPr>
          <w:p w:rsidR="00000000" w:rsidRDefault="00000000">
            <w:pPr>
              <w:pStyle w:val="a2"/>
              <w:tabs>
                <w:tab w:val="decimal" w:pos="1311"/>
              </w:tabs>
              <w:spacing w:line="240" w:lineRule="atLeast"/>
            </w:pPr>
            <w:r>
              <w:t>7,590,892</w:t>
            </w:r>
          </w:p>
        </w:tc>
      </w:tr>
      <w:tr w:rsidR="00000000">
        <w:tblPrEx>
          <w:tblCellMar>
            <w:top w:w="0" w:type="dxa"/>
          </w:tblCellMar>
        </w:tblPrEx>
        <w:tc>
          <w:tcPr>
            <w:tcW w:w="835" w:type="pct"/>
            <w:tcBorders>
              <w:top w:val="nil"/>
              <w:right w:val="single" w:sz="2" w:space="0" w:color="auto"/>
            </w:tcBorders>
          </w:tcPr>
          <w:p w:rsidR="00000000" w:rsidRDefault="00000000">
            <w:pPr>
              <w:pStyle w:val="a2"/>
              <w:spacing w:line="240" w:lineRule="atLeast"/>
            </w:pPr>
          </w:p>
        </w:tc>
        <w:tc>
          <w:tcPr>
            <w:tcW w:w="513" w:type="pct"/>
            <w:tcBorders>
              <w:top w:val="nil"/>
              <w:left w:val="single" w:sz="2" w:space="0" w:color="auto"/>
              <w:right w:val="single" w:sz="2" w:space="0" w:color="auto"/>
            </w:tcBorders>
          </w:tcPr>
          <w:p w:rsidR="00000000" w:rsidRDefault="00000000">
            <w:pPr>
              <w:pStyle w:val="a2"/>
              <w:spacing w:line="240" w:lineRule="atLeast"/>
              <w:jc w:val="center"/>
              <w:rPr>
                <w:rFonts w:hint="eastAsia"/>
              </w:rPr>
            </w:pPr>
            <w:r>
              <w:rPr>
                <w:rFonts w:hint="eastAsia"/>
              </w:rPr>
              <w:t>女</w:t>
            </w:r>
          </w:p>
        </w:tc>
        <w:tc>
          <w:tcPr>
            <w:tcW w:w="913" w:type="pct"/>
            <w:tcBorders>
              <w:top w:val="nil"/>
              <w:left w:val="single" w:sz="2" w:space="0" w:color="auto"/>
              <w:right w:val="single" w:sz="2" w:space="0" w:color="auto"/>
            </w:tcBorders>
          </w:tcPr>
          <w:p w:rsidR="00000000" w:rsidRDefault="00000000">
            <w:pPr>
              <w:pStyle w:val="a2"/>
              <w:tabs>
                <w:tab w:val="decimal" w:pos="1311"/>
              </w:tabs>
              <w:spacing w:line="240" w:lineRule="atLeast"/>
            </w:pPr>
            <w:r>
              <w:t>4,760,528</w:t>
            </w:r>
          </w:p>
        </w:tc>
        <w:tc>
          <w:tcPr>
            <w:tcW w:w="913" w:type="pct"/>
            <w:tcBorders>
              <w:top w:val="nil"/>
              <w:left w:val="single" w:sz="2" w:space="0" w:color="auto"/>
              <w:right w:val="single" w:sz="2" w:space="0" w:color="auto"/>
            </w:tcBorders>
          </w:tcPr>
          <w:p w:rsidR="00000000" w:rsidRDefault="00000000">
            <w:pPr>
              <w:pStyle w:val="a2"/>
              <w:tabs>
                <w:tab w:val="decimal" w:pos="1311"/>
              </w:tabs>
              <w:spacing w:line="240" w:lineRule="atLeast"/>
            </w:pPr>
            <w:r>
              <w:t>4,363</w:t>
            </w:r>
            <w:r>
              <w:rPr>
                <w:rFonts w:hint="eastAsia"/>
              </w:rPr>
              <w:t>,</w:t>
            </w:r>
            <w:r>
              <w:t>470</w:t>
            </w:r>
          </w:p>
        </w:tc>
        <w:tc>
          <w:tcPr>
            <w:tcW w:w="913" w:type="pct"/>
            <w:tcBorders>
              <w:top w:val="nil"/>
              <w:left w:val="single" w:sz="2" w:space="0" w:color="auto"/>
              <w:right w:val="single" w:sz="2" w:space="0" w:color="auto"/>
            </w:tcBorders>
          </w:tcPr>
          <w:p w:rsidR="00000000" w:rsidRDefault="00000000">
            <w:pPr>
              <w:pStyle w:val="a2"/>
              <w:tabs>
                <w:tab w:val="decimal" w:pos="1311"/>
              </w:tabs>
              <w:spacing w:line="240" w:lineRule="atLeast"/>
            </w:pPr>
            <w:r>
              <w:t>4,274,547</w:t>
            </w:r>
          </w:p>
        </w:tc>
        <w:tc>
          <w:tcPr>
            <w:tcW w:w="913" w:type="pct"/>
            <w:tcBorders>
              <w:top w:val="nil"/>
              <w:left w:val="single" w:sz="2" w:space="0" w:color="auto"/>
            </w:tcBorders>
          </w:tcPr>
          <w:p w:rsidR="00000000" w:rsidRDefault="00000000">
            <w:pPr>
              <w:pStyle w:val="a2"/>
              <w:tabs>
                <w:tab w:val="decimal" w:pos="1311"/>
              </w:tabs>
              <w:spacing w:line="240" w:lineRule="atLeast"/>
            </w:pPr>
            <w:r>
              <w:t>3,682,493</w:t>
            </w:r>
          </w:p>
        </w:tc>
      </w:tr>
      <w:tr w:rsidR="00000000">
        <w:tblPrEx>
          <w:tblCellMar>
            <w:top w:w="0" w:type="dxa"/>
          </w:tblCellMar>
        </w:tblPrEx>
        <w:trPr>
          <w:trHeight w:val="270"/>
        </w:trPr>
        <w:tc>
          <w:tcPr>
            <w:tcW w:w="835" w:type="pct"/>
            <w:tcBorders>
              <w:bottom w:val="single" w:sz="2" w:space="0" w:color="auto"/>
              <w:right w:val="single" w:sz="2" w:space="0" w:color="auto"/>
            </w:tcBorders>
          </w:tcPr>
          <w:p w:rsidR="00000000" w:rsidRDefault="00000000">
            <w:pPr>
              <w:pStyle w:val="a2"/>
              <w:spacing w:line="240" w:lineRule="atLeast"/>
            </w:pPr>
          </w:p>
        </w:tc>
        <w:tc>
          <w:tcPr>
            <w:tcW w:w="513" w:type="pct"/>
            <w:tcBorders>
              <w:left w:val="single" w:sz="2" w:space="0" w:color="auto"/>
              <w:bottom w:val="single" w:sz="2" w:space="0" w:color="auto"/>
              <w:right w:val="single" w:sz="2" w:space="0" w:color="auto"/>
            </w:tcBorders>
          </w:tcPr>
          <w:p w:rsidR="00000000" w:rsidRDefault="00000000">
            <w:pPr>
              <w:pStyle w:val="a2"/>
              <w:spacing w:line="240" w:lineRule="atLeast"/>
              <w:jc w:val="center"/>
              <w:rPr>
                <w:rFonts w:hint="eastAsia"/>
              </w:rPr>
            </w:pPr>
            <w:r>
              <w:t>%</w:t>
            </w:r>
            <w:r>
              <w:rPr>
                <w:rFonts w:hint="eastAsia"/>
              </w:rPr>
              <w:t>女</w:t>
            </w:r>
            <w:r>
              <w:t>/</w:t>
            </w:r>
            <w:r>
              <w:rPr>
                <w:rFonts w:hint="eastAsia"/>
              </w:rPr>
              <w:t>男</w:t>
            </w:r>
          </w:p>
        </w:tc>
        <w:tc>
          <w:tcPr>
            <w:tcW w:w="913" w:type="pct"/>
            <w:tcBorders>
              <w:left w:val="single" w:sz="2" w:space="0" w:color="auto"/>
              <w:bottom w:val="single" w:sz="2" w:space="0" w:color="auto"/>
              <w:right w:val="single" w:sz="2" w:space="0" w:color="auto"/>
            </w:tcBorders>
          </w:tcPr>
          <w:p w:rsidR="00000000" w:rsidRDefault="00000000">
            <w:pPr>
              <w:pStyle w:val="a2"/>
              <w:tabs>
                <w:tab w:val="decimal" w:pos="1311"/>
              </w:tabs>
              <w:spacing w:line="240" w:lineRule="atLeast"/>
            </w:pPr>
            <w:r>
              <w:t>48.8</w:t>
            </w:r>
          </w:p>
        </w:tc>
        <w:tc>
          <w:tcPr>
            <w:tcW w:w="913" w:type="pct"/>
            <w:tcBorders>
              <w:left w:val="single" w:sz="2" w:space="0" w:color="auto"/>
              <w:bottom w:val="single" w:sz="2" w:space="0" w:color="auto"/>
              <w:right w:val="single" w:sz="2" w:space="0" w:color="auto"/>
            </w:tcBorders>
          </w:tcPr>
          <w:p w:rsidR="00000000" w:rsidRDefault="00000000">
            <w:pPr>
              <w:pStyle w:val="a2"/>
              <w:tabs>
                <w:tab w:val="decimal" w:pos="1311"/>
              </w:tabs>
              <w:spacing w:line="240" w:lineRule="atLeast"/>
            </w:pPr>
            <w:r>
              <w:t>48.5</w:t>
            </w:r>
          </w:p>
        </w:tc>
        <w:tc>
          <w:tcPr>
            <w:tcW w:w="913" w:type="pct"/>
            <w:tcBorders>
              <w:left w:val="single" w:sz="2" w:space="0" w:color="auto"/>
              <w:bottom w:val="single" w:sz="2" w:space="0" w:color="auto"/>
              <w:right w:val="single" w:sz="2" w:space="0" w:color="auto"/>
            </w:tcBorders>
          </w:tcPr>
          <w:p w:rsidR="00000000" w:rsidRDefault="00000000">
            <w:pPr>
              <w:pStyle w:val="a2"/>
              <w:tabs>
                <w:tab w:val="decimal" w:pos="1311"/>
              </w:tabs>
              <w:spacing w:line="240" w:lineRule="atLeast"/>
            </w:pPr>
            <w:r>
              <w:t>48.5</w:t>
            </w:r>
          </w:p>
        </w:tc>
        <w:tc>
          <w:tcPr>
            <w:tcW w:w="913" w:type="pct"/>
            <w:tcBorders>
              <w:left w:val="single" w:sz="2" w:space="0" w:color="auto"/>
              <w:bottom w:val="single" w:sz="2" w:space="0" w:color="auto"/>
            </w:tcBorders>
          </w:tcPr>
          <w:p w:rsidR="00000000" w:rsidRDefault="00000000">
            <w:pPr>
              <w:pStyle w:val="a2"/>
              <w:tabs>
                <w:tab w:val="decimal" w:pos="1311"/>
              </w:tabs>
              <w:spacing w:line="240" w:lineRule="atLeast"/>
            </w:pPr>
            <w:r>
              <w:t>48.5</w:t>
            </w:r>
          </w:p>
        </w:tc>
      </w:tr>
    </w:tbl>
    <w:p w:rsidR="00000000" w:rsidRDefault="00000000">
      <w:pPr>
        <w:pStyle w:val="Heading4"/>
        <w:spacing w:before="360"/>
        <w:rPr>
          <w:rFonts w:hint="eastAsia"/>
        </w:rPr>
      </w:pPr>
      <w:r>
        <w:rPr>
          <w:rFonts w:hint="eastAsia"/>
        </w:rPr>
        <w:t>意大利教育制度中的人权教育</w:t>
      </w:r>
    </w:p>
    <w:p w:rsidR="00000000" w:rsidRDefault="00000000">
      <w:pPr>
        <w:pStyle w:val="Heading4"/>
        <w:rPr>
          <w:rFonts w:eastAsia="KaiTi_GB2312" w:hint="eastAsia"/>
          <w:spacing w:val="0"/>
          <w:u w:val="none"/>
        </w:rPr>
      </w:pPr>
      <w:r>
        <w:rPr>
          <w:rFonts w:eastAsia="KaiTi_GB2312" w:hint="eastAsia"/>
          <w:spacing w:val="0"/>
          <w:u w:val="none"/>
        </w:rPr>
        <w:t>信息和宣传</w:t>
      </w:r>
    </w:p>
    <w:p w:rsidR="00000000" w:rsidRDefault="00000000">
      <w:pPr>
        <w:spacing w:after="240"/>
        <w:ind w:firstLine="539"/>
        <w:rPr>
          <w:rFonts w:hint="eastAsia"/>
        </w:rPr>
      </w:pPr>
      <w:r>
        <w:rPr>
          <w:rFonts w:hint="eastAsia"/>
        </w:rPr>
        <w:t xml:space="preserve">265.  </w:t>
      </w:r>
      <w:r>
        <w:rPr>
          <w:rFonts w:hint="eastAsia"/>
        </w:rPr>
        <w:t>教育部为向学生和教师提供《经济、社会和文化权利国际公约》所载的权利有关的信息并提高他们对问题的认识作出的倡议，为便于分析可分为三个级别。</w:t>
      </w:r>
      <w:r>
        <w:rPr>
          <w:rFonts w:hint="eastAsia"/>
        </w:rPr>
        <w:t>1997-2000</w:t>
      </w:r>
      <w:r>
        <w:rPr>
          <w:rFonts w:hint="eastAsia"/>
        </w:rPr>
        <w:t>年教育部执行的倡议类别概要如下。</w:t>
      </w:r>
    </w:p>
    <w:p w:rsidR="00000000" w:rsidRDefault="00000000">
      <w:pPr>
        <w:pStyle w:val="Heading4"/>
        <w:rPr>
          <w:rFonts w:eastAsia="KaiTi_GB2312" w:hint="eastAsia"/>
          <w:spacing w:val="0"/>
          <w:u w:val="none"/>
        </w:rPr>
      </w:pPr>
      <w:r>
        <w:rPr>
          <w:rFonts w:eastAsia="KaiTi_GB2312" w:hint="eastAsia"/>
          <w:spacing w:val="0"/>
          <w:u w:val="none"/>
        </w:rPr>
        <w:t>立</w:t>
      </w:r>
      <w:r>
        <w:rPr>
          <w:rFonts w:eastAsia="KaiTi_GB2312" w:hint="eastAsia"/>
          <w:spacing w:val="0"/>
          <w:u w:val="none"/>
        </w:rPr>
        <w:t xml:space="preserve">  </w:t>
      </w:r>
      <w:r>
        <w:rPr>
          <w:rFonts w:eastAsia="KaiTi_GB2312" w:hint="eastAsia"/>
          <w:spacing w:val="0"/>
          <w:u w:val="none"/>
        </w:rPr>
        <w:t>法</w:t>
      </w:r>
    </w:p>
    <w:p w:rsidR="00000000" w:rsidRDefault="00000000">
      <w:pPr>
        <w:ind w:firstLine="539"/>
        <w:rPr>
          <w:rFonts w:hint="eastAsia"/>
        </w:rPr>
      </w:pPr>
      <w:r>
        <w:rPr>
          <w:rFonts w:hint="eastAsia"/>
        </w:rPr>
        <w:t xml:space="preserve">266.  </w:t>
      </w:r>
      <w:r>
        <w:rPr>
          <w:rFonts w:hint="eastAsia"/>
        </w:rPr>
        <w:t>在此方面，以下内容值得注意：</w:t>
      </w:r>
    </w:p>
    <w:p w:rsidR="00000000" w:rsidRDefault="00000000">
      <w:pPr>
        <w:pStyle w:val="a0"/>
        <w:tabs>
          <w:tab w:val="num" w:pos="1680"/>
        </w:tabs>
        <w:ind w:left="1680" w:hanging="420"/>
        <w:rPr>
          <w:rFonts w:hint="eastAsia"/>
          <w:spacing w:val="0"/>
        </w:rPr>
      </w:pPr>
      <w:r>
        <w:rPr>
          <w:rFonts w:hint="eastAsia"/>
        </w:rPr>
        <w:t>关于“中学生条例”的</w:t>
      </w:r>
      <w:r>
        <w:rPr>
          <w:rFonts w:hint="eastAsia"/>
        </w:rPr>
        <w:t>248/1998</w:t>
      </w:r>
      <w:r>
        <w:rPr>
          <w:rFonts w:hint="eastAsia"/>
        </w:rPr>
        <w:t>号总统令提及《意大利宪法》和《儿童权利公约》的原则，制定了年轻人的社会和文化权利框架。特别强调尊重和加强性别认同；言论、思想、良知和宗教自由；无论年龄或条件所有人相互尊重，排除所有形式的意识形态、社会或文化障碍。学生有权积极和负责任地参与学校生活并得知管理学校的决定和规</w:t>
      </w:r>
      <w:r>
        <w:rPr>
          <w:rFonts w:hint="eastAsia"/>
          <w:spacing w:val="0"/>
        </w:rPr>
        <w:t>则。《条例》重申需要尊重学生及他们所属社区的文化和宗教多样性。学校促进和鼓励包容和保护学生的母语和文化以及促进跨文化教育的倡议；</w:t>
      </w:r>
    </w:p>
    <w:p w:rsidR="00000000" w:rsidRDefault="00000000">
      <w:pPr>
        <w:pStyle w:val="a0"/>
        <w:tabs>
          <w:tab w:val="num" w:pos="1680"/>
        </w:tabs>
        <w:spacing w:after="240"/>
        <w:ind w:left="1680" w:hanging="420"/>
        <w:rPr>
          <w:rFonts w:hint="eastAsia"/>
        </w:rPr>
      </w:pPr>
      <w:r>
        <w:rPr>
          <w:rFonts w:hint="eastAsia"/>
        </w:rPr>
        <w:t>第</w:t>
      </w:r>
      <w:r>
        <w:rPr>
          <w:rFonts w:hint="eastAsia"/>
        </w:rPr>
        <w:t>44</w:t>
      </w:r>
      <w:r>
        <w:rPr>
          <w:rFonts w:hint="eastAsia"/>
        </w:rPr>
        <w:t>条规定</w:t>
      </w:r>
      <w:r>
        <w:rPr>
          <w:rFonts w:hint="eastAsia"/>
        </w:rPr>
        <w:t>(</w:t>
      </w:r>
      <w:r>
        <w:rPr>
          <w:rFonts w:hint="eastAsia"/>
        </w:rPr>
        <w:t>第</w:t>
      </w:r>
      <w:r>
        <w:rPr>
          <w:rFonts w:hint="eastAsia"/>
        </w:rPr>
        <w:t>384/1999</w:t>
      </w:r>
      <w:r>
        <w:rPr>
          <w:rFonts w:hint="eastAsia"/>
        </w:rPr>
        <w:t>号总统令</w:t>
      </w:r>
      <w:r>
        <w:rPr>
          <w:rFonts w:hint="eastAsia"/>
        </w:rPr>
        <w:t>)</w:t>
      </w:r>
      <w:r>
        <w:rPr>
          <w:rFonts w:hint="eastAsia"/>
        </w:rPr>
        <w:t>执行关于在意大利的移民和外国人条件的第</w:t>
      </w:r>
      <w:r>
        <w:rPr>
          <w:rFonts w:hint="eastAsia"/>
        </w:rPr>
        <w:t>40/1998</w:t>
      </w:r>
      <w:r>
        <w:rPr>
          <w:rFonts w:hint="eastAsia"/>
        </w:rPr>
        <w:t>号法律制定的关于所有人的教育权的规定，意大利人和外国人同样，免于行政性质的限制</w:t>
      </w:r>
      <w:r>
        <w:rPr>
          <w:rFonts w:hint="eastAsia"/>
        </w:rPr>
        <w:t>(</w:t>
      </w:r>
      <w:r>
        <w:rPr>
          <w:rFonts w:hint="eastAsia"/>
        </w:rPr>
        <w:t>意味着没有强制要求居住许可或以前教育经历的官方证明等</w:t>
      </w:r>
      <w:r>
        <w:rPr>
          <w:rFonts w:hint="eastAsia"/>
        </w:rPr>
        <w:t>)</w:t>
      </w:r>
      <w:r>
        <w:rPr>
          <w:rFonts w:hint="eastAsia"/>
        </w:rPr>
        <w:t>或者文化或社会性质的限制。该条款还规定有义务尊重学生的语言和宗教特性并促进融合进程。</w:t>
      </w:r>
    </w:p>
    <w:p w:rsidR="00000000" w:rsidRDefault="00000000">
      <w:pPr>
        <w:pStyle w:val="Heading4"/>
        <w:rPr>
          <w:rFonts w:eastAsia="KaiTi_GB2312" w:hint="eastAsia"/>
          <w:spacing w:val="0"/>
          <w:u w:val="none"/>
        </w:rPr>
      </w:pPr>
      <w:r>
        <w:rPr>
          <w:rFonts w:eastAsia="KaiTi_GB2312" w:hint="eastAsia"/>
          <w:spacing w:val="0"/>
          <w:u w:val="none"/>
        </w:rPr>
        <w:t>运作</w:t>
      </w:r>
      <w:r>
        <w:rPr>
          <w:rFonts w:hint="eastAsia"/>
          <w:u w:val="none"/>
        </w:rPr>
        <w:t>―</w:t>
      </w:r>
      <w:r>
        <w:rPr>
          <w:rFonts w:eastAsia="KaiTi_GB2312" w:hint="eastAsia"/>
          <w:spacing w:val="0"/>
          <w:u w:val="none"/>
        </w:rPr>
        <w:t>组织</w:t>
      </w:r>
    </w:p>
    <w:p w:rsidR="00000000" w:rsidRDefault="00000000">
      <w:pPr>
        <w:ind w:firstLine="539"/>
        <w:rPr>
          <w:rFonts w:hint="eastAsia"/>
        </w:rPr>
      </w:pPr>
      <w:r>
        <w:rPr>
          <w:rFonts w:hint="eastAsia"/>
        </w:rPr>
        <w:t xml:space="preserve">267.  </w:t>
      </w:r>
      <w:r>
        <w:rPr>
          <w:rFonts w:hint="eastAsia"/>
        </w:rPr>
        <w:t>教育部已制定一个广泛的方案，通过各个执行方案向教学人员提供关于教育的跨文化方面的信息。主要包括：</w:t>
      </w:r>
    </w:p>
    <w:p w:rsidR="00000000" w:rsidRDefault="00000000">
      <w:pPr>
        <w:pStyle w:val="a0"/>
        <w:tabs>
          <w:tab w:val="num" w:pos="1680"/>
        </w:tabs>
        <w:ind w:left="1680" w:hanging="420"/>
        <w:rPr>
          <w:rFonts w:hint="eastAsia"/>
        </w:rPr>
      </w:pPr>
      <w:r>
        <w:rPr>
          <w:rFonts w:hint="eastAsia"/>
        </w:rPr>
        <w:t>关于公民权、语言和宗教特性和文化多样性问题的一般信息。该信息通过与</w:t>
      </w:r>
      <w:r>
        <w:t>RAI</w:t>
      </w:r>
      <w:r>
        <w:rPr>
          <w:rFonts w:hint="eastAsia"/>
        </w:rPr>
        <w:t>—意大利广播电视合作的一个远程全国教育项目向所有意大利学校的教学人员提供，目前处于结尾阶段</w:t>
      </w:r>
      <w:r>
        <w:rPr>
          <w:rFonts w:hint="eastAsia"/>
        </w:rPr>
        <w:t>(</w:t>
      </w:r>
      <w:r>
        <w:rPr>
          <w:rFonts w:hint="eastAsia"/>
        </w:rPr>
        <w:t>见</w:t>
      </w:r>
      <w:r>
        <w:rPr>
          <w:rFonts w:hint="eastAsia"/>
        </w:rPr>
        <w:t>2000</w:t>
      </w:r>
      <w:r>
        <w:rPr>
          <w:rFonts w:hint="eastAsia"/>
        </w:rPr>
        <w:t>年</w:t>
      </w:r>
      <w:r>
        <w:rPr>
          <w:rFonts w:hint="eastAsia"/>
        </w:rPr>
        <w:t>1</w:t>
      </w:r>
      <w:r>
        <w:rPr>
          <w:rFonts w:hint="eastAsia"/>
        </w:rPr>
        <w:t>月</w:t>
      </w:r>
      <w:r>
        <w:rPr>
          <w:rFonts w:hint="eastAsia"/>
        </w:rPr>
        <w:t>14</w:t>
      </w:r>
      <w:r>
        <w:rPr>
          <w:rFonts w:hint="eastAsia"/>
        </w:rPr>
        <w:t>日的第</w:t>
      </w:r>
      <w:r>
        <w:rPr>
          <w:rFonts w:hint="eastAsia"/>
        </w:rPr>
        <w:t>17</w:t>
      </w:r>
      <w:r>
        <w:rPr>
          <w:rFonts w:hint="eastAsia"/>
        </w:rPr>
        <w:t>号通告</w:t>
      </w:r>
      <w:r>
        <w:rPr>
          <w:rFonts w:hint="eastAsia"/>
        </w:rPr>
        <w:t>)</w:t>
      </w:r>
      <w:r>
        <w:rPr>
          <w:rFonts w:hint="eastAsia"/>
        </w:rPr>
        <w:t>；</w:t>
      </w:r>
    </w:p>
    <w:p w:rsidR="00000000" w:rsidRDefault="00000000">
      <w:pPr>
        <w:pStyle w:val="a0"/>
        <w:tabs>
          <w:tab w:val="num" w:pos="1680"/>
        </w:tabs>
        <w:ind w:left="1680" w:hanging="420"/>
        <w:rPr>
          <w:rFonts w:hint="eastAsia"/>
        </w:rPr>
      </w:pPr>
      <w:r>
        <w:rPr>
          <w:rFonts w:hint="eastAsia"/>
        </w:rPr>
        <w:t>为艺术和外语科目的教师就文化和语言协调问题并为所有教师就意大利语作为一门外语教学</w:t>
      </w:r>
      <w:r>
        <w:rPr>
          <w:rFonts w:hint="eastAsia"/>
        </w:rPr>
        <w:t>(</w:t>
      </w:r>
      <w:r>
        <w:rPr>
          <w:rFonts w:hint="eastAsia"/>
        </w:rPr>
        <w:t>见第</w:t>
      </w:r>
      <w:r>
        <w:rPr>
          <w:rFonts w:hint="eastAsia"/>
        </w:rPr>
        <w:t>210/1999</w:t>
      </w:r>
      <w:r>
        <w:rPr>
          <w:rFonts w:hint="eastAsia"/>
        </w:rPr>
        <w:t>号部长令第</w:t>
      </w:r>
      <w:r>
        <w:rPr>
          <w:rFonts w:hint="eastAsia"/>
        </w:rPr>
        <w:t>19</w:t>
      </w:r>
      <w:r>
        <w:rPr>
          <w:rFonts w:hint="eastAsia"/>
        </w:rPr>
        <w:t>条教师全国就业合同</w:t>
      </w:r>
      <w:r>
        <w:rPr>
          <w:rFonts w:hint="eastAsia"/>
        </w:rPr>
        <w:t>)</w:t>
      </w:r>
      <w:r>
        <w:rPr>
          <w:rFonts w:hint="eastAsia"/>
        </w:rPr>
        <w:t>引入了一个特殊的全国提高课程计划；</w:t>
      </w:r>
    </w:p>
    <w:p w:rsidR="00000000" w:rsidRDefault="00000000">
      <w:pPr>
        <w:pStyle w:val="a0"/>
        <w:tabs>
          <w:tab w:val="num" w:pos="1680"/>
        </w:tabs>
        <w:spacing w:after="240"/>
        <w:ind w:left="1680" w:hanging="420"/>
        <w:rPr>
          <w:rFonts w:hint="eastAsia"/>
        </w:rPr>
      </w:pPr>
      <w:r>
        <w:rPr>
          <w:rFonts w:hint="eastAsia"/>
        </w:rPr>
        <w:t>在《世界人权宣言》五十周年之际，发表教育部关于权利问题官方审查的特刊</w:t>
      </w:r>
      <w:r>
        <w:rPr>
          <w:rFonts w:hint="eastAsia"/>
        </w:rPr>
        <w:t>(</w:t>
      </w:r>
      <w:r>
        <w:rPr>
          <w:rFonts w:hint="eastAsia"/>
        </w:rPr>
        <w:t>“</w:t>
      </w:r>
      <w:r>
        <w:t>Annali della Pubblica Istruzione</w:t>
      </w:r>
      <w:r>
        <w:rPr>
          <w:rFonts w:hint="eastAsia"/>
        </w:rPr>
        <w:t>”，</w:t>
      </w:r>
      <w:r>
        <w:rPr>
          <w:rFonts w:hint="eastAsia"/>
        </w:rPr>
        <w:t>1999</w:t>
      </w:r>
      <w:r>
        <w:rPr>
          <w:rFonts w:hint="eastAsia"/>
        </w:rPr>
        <w:t>年第</w:t>
      </w:r>
      <w:r>
        <w:rPr>
          <w:rFonts w:hint="eastAsia"/>
        </w:rPr>
        <w:t>5-6</w:t>
      </w:r>
      <w:r>
        <w:rPr>
          <w:rFonts w:hint="eastAsia"/>
        </w:rPr>
        <w:t>号</w:t>
      </w:r>
      <w:r>
        <w:rPr>
          <w:rFonts w:hint="eastAsia"/>
        </w:rPr>
        <w:t>)</w:t>
      </w:r>
      <w:r>
        <w:rPr>
          <w:rFonts w:hint="eastAsia"/>
        </w:rPr>
        <w:t>并分发到所有意大利学校。</w:t>
      </w:r>
    </w:p>
    <w:p w:rsidR="00000000" w:rsidRDefault="00000000">
      <w:pPr>
        <w:pStyle w:val="Heading4"/>
        <w:rPr>
          <w:rFonts w:eastAsia="KaiTi_GB2312" w:hint="eastAsia"/>
          <w:spacing w:val="0"/>
          <w:u w:val="none"/>
        </w:rPr>
      </w:pPr>
      <w:r>
        <w:rPr>
          <w:rFonts w:eastAsia="KaiTi_GB2312" w:hint="eastAsia"/>
          <w:spacing w:val="0"/>
          <w:u w:val="none"/>
        </w:rPr>
        <w:t>教育</w:t>
      </w:r>
      <w:r>
        <w:rPr>
          <w:rFonts w:hint="eastAsia"/>
          <w:u w:val="none"/>
        </w:rPr>
        <w:t>－</w:t>
      </w:r>
      <w:r>
        <w:rPr>
          <w:rFonts w:eastAsia="KaiTi_GB2312" w:hint="eastAsia"/>
          <w:spacing w:val="0"/>
          <w:u w:val="none"/>
        </w:rPr>
        <w:t>文化</w:t>
      </w:r>
    </w:p>
    <w:p w:rsidR="00000000" w:rsidRDefault="00000000">
      <w:pPr>
        <w:ind w:firstLine="539"/>
        <w:rPr>
          <w:rFonts w:hint="eastAsia"/>
        </w:rPr>
      </w:pPr>
      <w:r>
        <w:rPr>
          <w:rFonts w:hint="eastAsia"/>
        </w:rPr>
        <w:t xml:space="preserve">268.  </w:t>
      </w:r>
      <w:r>
        <w:rPr>
          <w:rFonts w:hint="eastAsia"/>
        </w:rPr>
        <w:t>应该记住教育部进行的教学活动之一，是通过《公民教育计划》向各种学校各年级的所有学生提供关于人权问题的信息和培训，构成历史和相关科目教学的组成部分。该计划通过提供该领域主要国际协议和公约的信息，特别提及经济、社会和文化权利。</w:t>
      </w:r>
    </w:p>
    <w:p w:rsidR="00000000" w:rsidRDefault="00000000">
      <w:pPr>
        <w:ind w:firstLine="539"/>
        <w:rPr>
          <w:rFonts w:hint="eastAsia"/>
        </w:rPr>
      </w:pPr>
      <w:r>
        <w:rPr>
          <w:rFonts w:hint="eastAsia"/>
        </w:rPr>
        <w:t xml:space="preserve">269.  </w:t>
      </w:r>
      <w:r>
        <w:rPr>
          <w:rFonts w:hint="eastAsia"/>
        </w:rPr>
        <w:t>教育部还开展了紧张的各机构活动：</w:t>
      </w:r>
    </w:p>
    <w:p w:rsidR="00000000" w:rsidRDefault="00000000">
      <w:pPr>
        <w:pStyle w:val="a0"/>
        <w:tabs>
          <w:tab w:val="num" w:pos="1680"/>
        </w:tabs>
        <w:ind w:left="1680" w:hanging="420"/>
        <w:rPr>
          <w:rFonts w:hint="eastAsia"/>
        </w:rPr>
      </w:pPr>
      <w:r>
        <w:rPr>
          <w:rFonts w:hint="eastAsia"/>
        </w:rPr>
        <w:t>通过建立文化间教育部长级委员会，就所有关于权利的立法规定进行研究、提供信息和咨询活动，同时就在教育系统内外宣传关健的人权问题</w:t>
      </w:r>
      <w:r>
        <w:rPr>
          <w:rFonts w:hint="eastAsia"/>
        </w:rPr>
        <w:t>(</w:t>
      </w:r>
      <w:r>
        <w:rPr>
          <w:rFonts w:hint="eastAsia"/>
        </w:rPr>
        <w:t>公民权、全民教育权；研究和宣传关于宗教、语言权利的协议等</w:t>
      </w:r>
      <w:r>
        <w:rPr>
          <w:rFonts w:hint="eastAsia"/>
        </w:rPr>
        <w:t>)</w:t>
      </w:r>
      <w:r>
        <w:rPr>
          <w:rFonts w:hint="eastAsia"/>
        </w:rPr>
        <w:t>采取了广泛的行动；</w:t>
      </w:r>
    </w:p>
    <w:p w:rsidR="00000000" w:rsidRDefault="00000000">
      <w:pPr>
        <w:pStyle w:val="a0"/>
        <w:tabs>
          <w:tab w:val="num" w:pos="1680"/>
        </w:tabs>
        <w:ind w:left="1680" w:hanging="420"/>
        <w:rPr>
          <w:rFonts w:hint="eastAsia"/>
        </w:rPr>
      </w:pPr>
      <w:r>
        <w:rPr>
          <w:rFonts w:hint="eastAsia"/>
        </w:rPr>
        <w:t>通过包括资金支持促进跨国教育合作计划</w:t>
      </w:r>
      <w:r>
        <w:rPr>
          <w:rFonts w:hint="eastAsia"/>
        </w:rPr>
        <w:t>(</w:t>
      </w:r>
      <w:r>
        <w:rPr>
          <w:rFonts w:hint="eastAsia"/>
        </w:rPr>
        <w:t>地中海计划、欧洲计划例如苏格拉底、莱昂纳多计划、欧洲青年计划等</w:t>
      </w:r>
      <w:r>
        <w:rPr>
          <w:rFonts w:hint="eastAsia"/>
        </w:rPr>
        <w:t>)</w:t>
      </w:r>
      <w:r>
        <w:rPr>
          <w:rFonts w:hint="eastAsia"/>
        </w:rPr>
        <w:t>，不仅向年轻人而且向属于少数群体或处于边缘或贫困条件下的所有人提供关于文化权利的信息并促进文化权利。</w:t>
      </w:r>
    </w:p>
    <w:p w:rsidR="00000000" w:rsidRDefault="00000000">
      <w:pPr>
        <w:spacing w:after="240"/>
        <w:ind w:firstLine="539"/>
        <w:rPr>
          <w:rFonts w:hint="eastAsia"/>
        </w:rPr>
      </w:pPr>
      <w:r>
        <w:rPr>
          <w:rFonts w:hint="eastAsia"/>
        </w:rPr>
        <w:t xml:space="preserve">270.  </w:t>
      </w:r>
      <w:r>
        <w:rPr>
          <w:rFonts w:hint="eastAsia"/>
        </w:rPr>
        <w:t>教育和培训制度的创新和提高的战略作用也得到了承认，不仅作为发展、经济增长和就业的因素，而且作为打击新形社会排外的关健手段。政府认为提高教育和培训设施的质量、种类和整合，是政府政治和行政工作的关键内容之一，并实施了一系列倡议，有可能实现</w:t>
      </w:r>
      <w:r>
        <w:rPr>
          <w:rFonts w:hint="eastAsia"/>
        </w:rPr>
        <w:t>1998</w:t>
      </w:r>
      <w:r>
        <w:rPr>
          <w:rFonts w:hint="eastAsia"/>
        </w:rPr>
        <w:t>年</w:t>
      </w:r>
      <w:r>
        <w:rPr>
          <w:rFonts w:hint="eastAsia"/>
        </w:rPr>
        <w:t>12</w:t>
      </w:r>
      <w:r>
        <w:rPr>
          <w:rFonts w:hint="eastAsia"/>
        </w:rPr>
        <w:t>月</w:t>
      </w:r>
      <w:r>
        <w:rPr>
          <w:rFonts w:hint="eastAsia"/>
        </w:rPr>
        <w:t>22</w:t>
      </w:r>
      <w:r>
        <w:rPr>
          <w:rFonts w:hint="eastAsia"/>
        </w:rPr>
        <w:t>日与社会伙伴达成的协定中的大部分承诺。</w:t>
      </w:r>
    </w:p>
    <w:p w:rsidR="00000000" w:rsidRDefault="00000000">
      <w:pPr>
        <w:pStyle w:val="Heading4"/>
        <w:rPr>
          <w:rFonts w:hint="eastAsia"/>
        </w:rPr>
      </w:pPr>
      <w:r>
        <w:rPr>
          <w:rFonts w:hint="eastAsia"/>
        </w:rPr>
        <w:t>目前的改革</w:t>
      </w:r>
    </w:p>
    <w:p w:rsidR="00000000" w:rsidRDefault="00000000">
      <w:pPr>
        <w:pStyle w:val="Heading4"/>
        <w:spacing w:after="160"/>
        <w:rPr>
          <w:rFonts w:eastAsia="KaiTi_GB2312" w:hint="eastAsia"/>
          <w:spacing w:val="0"/>
          <w:u w:val="none"/>
        </w:rPr>
      </w:pPr>
      <w:r>
        <w:rPr>
          <w:rFonts w:eastAsia="KaiTi_GB2312" w:hint="eastAsia"/>
          <w:spacing w:val="0"/>
          <w:u w:val="none"/>
        </w:rPr>
        <w:t>技术</w:t>
      </w:r>
      <w:r>
        <w:rPr>
          <w:rFonts w:hint="eastAsia"/>
          <w:u w:val="none"/>
        </w:rPr>
        <w:t>－</w:t>
      </w:r>
      <w:r>
        <w:rPr>
          <w:rFonts w:eastAsia="KaiTi_GB2312" w:hint="eastAsia"/>
          <w:spacing w:val="0"/>
          <w:u w:val="none"/>
        </w:rPr>
        <w:t>职业培训</w:t>
      </w:r>
    </w:p>
    <w:p w:rsidR="00000000" w:rsidRDefault="00000000">
      <w:pPr>
        <w:spacing w:after="240"/>
        <w:ind w:firstLine="539"/>
        <w:rPr>
          <w:rFonts w:hint="eastAsia"/>
        </w:rPr>
      </w:pPr>
      <w:r>
        <w:rPr>
          <w:rFonts w:hint="eastAsia"/>
        </w:rPr>
        <w:t xml:space="preserve">271.  </w:t>
      </w:r>
      <w:r>
        <w:rPr>
          <w:rFonts w:hint="eastAsia"/>
        </w:rPr>
        <w:t>意大利专业技术人员的培训制度传统上基于两个支柱：专门教授技术科目的中学和由地区进行的职业培训。</w:t>
      </w:r>
      <w:r>
        <w:rPr>
          <w:rFonts w:hint="eastAsia"/>
        </w:rPr>
        <w:t>1999</w:t>
      </w:r>
      <w:r>
        <w:rPr>
          <w:rFonts w:hint="eastAsia"/>
        </w:rPr>
        <w:t>年为扩大第二支柱并使其多样化引入了重要的改革：通过综合教育、培训、工作相结合的制度培训中高级专业技术人员。这为技术教育和培训系统奠定了基础，目的是为意大利提供一个可以与欧洲其它国家相比的职业培训网络。</w:t>
      </w:r>
    </w:p>
    <w:p w:rsidR="00000000" w:rsidRDefault="00000000">
      <w:pPr>
        <w:pStyle w:val="Heading4"/>
        <w:rPr>
          <w:rFonts w:eastAsia="KaiTi_GB2312" w:hint="eastAsia"/>
          <w:spacing w:val="0"/>
          <w:u w:val="none"/>
        </w:rPr>
      </w:pPr>
      <w:r>
        <w:rPr>
          <w:rFonts w:eastAsia="KaiTi_GB2312" w:hint="eastAsia"/>
          <w:spacing w:val="0"/>
          <w:u w:val="none"/>
        </w:rPr>
        <w:t>大学教育</w:t>
      </w:r>
    </w:p>
    <w:p w:rsidR="00000000" w:rsidRDefault="00000000">
      <w:pPr>
        <w:spacing w:after="240"/>
        <w:ind w:firstLine="539"/>
        <w:rPr>
          <w:rFonts w:hint="eastAsia"/>
        </w:rPr>
      </w:pPr>
      <w:r>
        <w:rPr>
          <w:rFonts w:hint="eastAsia"/>
        </w:rPr>
        <w:t xml:space="preserve">272.  </w:t>
      </w:r>
      <w:r>
        <w:rPr>
          <w:rFonts w:hint="eastAsia"/>
        </w:rPr>
        <w:t>制定了多样的“欧洲”大学教育制度，有可能提高制度的有效性，大幅减少辍学率，开发可以用于劳动力市场的中等技术，从而减少年轻人的失业。大学和科学技术研究部颁发的第</w:t>
      </w:r>
      <w:r>
        <w:rPr>
          <w:rFonts w:hint="eastAsia"/>
        </w:rPr>
        <w:t>509/1999</w:t>
      </w:r>
      <w:r>
        <w:rPr>
          <w:rFonts w:hint="eastAsia"/>
        </w:rPr>
        <w:t>号令为大学课程的设置制定了新的体系。计划新体系于</w:t>
      </w:r>
      <w:r>
        <w:rPr>
          <w:rFonts w:hint="eastAsia"/>
        </w:rPr>
        <w:t>2001/2002</w:t>
      </w:r>
      <w:r>
        <w:rPr>
          <w:rFonts w:hint="eastAsia"/>
        </w:rPr>
        <w:t>学年生效。然而，多数大学选择于</w:t>
      </w:r>
      <w:r>
        <w:rPr>
          <w:rFonts w:hint="eastAsia"/>
        </w:rPr>
        <w:t>2000/2001</w:t>
      </w:r>
      <w:r>
        <w:rPr>
          <w:rFonts w:hint="eastAsia"/>
        </w:rPr>
        <w:t>学年开始对新体制进行试验，特别是在经济和工程系。</w:t>
      </w:r>
    </w:p>
    <w:p w:rsidR="00000000" w:rsidRDefault="00000000">
      <w:pPr>
        <w:pStyle w:val="Heading4"/>
        <w:rPr>
          <w:rFonts w:hint="eastAsia"/>
        </w:rPr>
      </w:pPr>
      <w:r>
        <w:rPr>
          <w:rFonts w:hint="eastAsia"/>
        </w:rPr>
        <w:t>教育和培训制度在打击排外方面的优先工作</w:t>
      </w:r>
    </w:p>
    <w:p w:rsidR="00000000" w:rsidRDefault="00000000">
      <w:pPr>
        <w:ind w:firstLine="539"/>
        <w:rPr>
          <w:rFonts w:hint="eastAsia"/>
        </w:rPr>
      </w:pPr>
      <w:r>
        <w:rPr>
          <w:rFonts w:hint="eastAsia"/>
        </w:rPr>
        <w:t xml:space="preserve">273.  </w:t>
      </w:r>
      <w:r>
        <w:rPr>
          <w:rFonts w:hint="eastAsia"/>
        </w:rPr>
        <w:t>制定就业指导方法方面的政策并且本着该目标指导培训，是广泛和大幅度改革的一部分，在教育、培训和劳动市场体制之间创立了一系列交叉点。</w:t>
      </w:r>
    </w:p>
    <w:p w:rsidR="00000000" w:rsidRDefault="00000000">
      <w:pPr>
        <w:ind w:firstLine="539"/>
        <w:rPr>
          <w:rFonts w:hint="eastAsia"/>
        </w:rPr>
      </w:pPr>
      <w:r>
        <w:rPr>
          <w:rFonts w:hint="eastAsia"/>
        </w:rPr>
        <w:t xml:space="preserve">274.  </w:t>
      </w:r>
      <w:r>
        <w:rPr>
          <w:rFonts w:hint="eastAsia"/>
        </w:rPr>
        <w:t>在此方面政府制定了以下优先工作：</w:t>
      </w:r>
    </w:p>
    <w:p w:rsidR="00000000" w:rsidRDefault="00000000">
      <w:pPr>
        <w:pStyle w:val="a0"/>
        <w:tabs>
          <w:tab w:val="num" w:pos="1680"/>
        </w:tabs>
        <w:ind w:left="1680" w:hanging="420"/>
        <w:rPr>
          <w:rFonts w:hint="eastAsia"/>
        </w:rPr>
      </w:pPr>
      <w:r>
        <w:rPr>
          <w:rFonts w:hint="eastAsia"/>
        </w:rPr>
        <w:t>考虑到学历的级别和质量与找到工作的可能性之间的密切联系，提高学历的级别和质量；</w:t>
      </w:r>
    </w:p>
    <w:p w:rsidR="00000000" w:rsidRDefault="00000000">
      <w:pPr>
        <w:pStyle w:val="a0"/>
        <w:tabs>
          <w:tab w:val="num" w:pos="1680"/>
        </w:tabs>
        <w:ind w:left="1680" w:hanging="420"/>
        <w:rPr>
          <w:rFonts w:hint="eastAsia"/>
        </w:rPr>
      </w:pPr>
      <w:r>
        <w:rPr>
          <w:rFonts w:hint="eastAsia"/>
        </w:rPr>
        <w:t>缩小意大利中北部与南部劳动力市场之间的差距，因为南部就业的主要障碍之一是那里许多地区落后；</w:t>
      </w:r>
    </w:p>
    <w:p w:rsidR="00000000" w:rsidRDefault="00000000">
      <w:pPr>
        <w:pStyle w:val="a0"/>
        <w:tabs>
          <w:tab w:val="num" w:pos="1680"/>
        </w:tabs>
        <w:ind w:left="1680" w:hanging="420"/>
        <w:rPr>
          <w:rFonts w:hint="eastAsia"/>
        </w:rPr>
      </w:pPr>
      <w:r>
        <w:rPr>
          <w:rFonts w:hint="eastAsia"/>
        </w:rPr>
        <w:t>让年轻人和被排外风险高的人，如残疾人、移民和缺乏技能的年纪大的人进入就业市场；</w:t>
      </w:r>
    </w:p>
    <w:p w:rsidR="00000000" w:rsidRDefault="00000000">
      <w:pPr>
        <w:pStyle w:val="a0"/>
        <w:tabs>
          <w:tab w:val="num" w:pos="1680"/>
        </w:tabs>
        <w:ind w:left="1680" w:hanging="420"/>
        <w:rPr>
          <w:rFonts w:hint="eastAsia"/>
        </w:rPr>
      </w:pPr>
      <w:r>
        <w:rPr>
          <w:rFonts w:hint="eastAsia"/>
        </w:rPr>
        <w:t>增加所有年龄的公民获得教育和培训的可能性；</w:t>
      </w:r>
    </w:p>
    <w:p w:rsidR="00000000" w:rsidRDefault="00000000">
      <w:pPr>
        <w:pStyle w:val="a0"/>
        <w:tabs>
          <w:tab w:val="num" w:pos="1680"/>
        </w:tabs>
        <w:ind w:left="1680" w:hanging="420"/>
        <w:rPr>
          <w:rFonts w:hint="eastAsia"/>
        </w:rPr>
      </w:pPr>
      <w:r>
        <w:rPr>
          <w:rFonts w:hint="eastAsia"/>
        </w:rPr>
        <w:t>为解决教育机构的辍学问题采取预防和拯救行动；</w:t>
      </w:r>
    </w:p>
    <w:p w:rsidR="00000000" w:rsidRDefault="00000000">
      <w:pPr>
        <w:pStyle w:val="a0"/>
        <w:tabs>
          <w:tab w:val="num" w:pos="1680"/>
        </w:tabs>
        <w:spacing w:after="240"/>
        <w:ind w:left="1680" w:hanging="420"/>
        <w:rPr>
          <w:rFonts w:hint="eastAsia"/>
        </w:rPr>
      </w:pPr>
      <w:r>
        <w:rPr>
          <w:rFonts w:hint="eastAsia"/>
        </w:rPr>
        <w:t>缩小社会的边缘化。</w:t>
      </w:r>
    </w:p>
    <w:p w:rsidR="00000000" w:rsidRDefault="00000000">
      <w:pPr>
        <w:pStyle w:val="Heading4"/>
        <w:rPr>
          <w:rFonts w:hint="eastAsia"/>
        </w:rPr>
      </w:pPr>
      <w:r>
        <w:rPr>
          <w:rFonts w:hint="eastAsia"/>
        </w:rPr>
        <w:t>非意大利儿童和成人的教育和培训</w:t>
      </w:r>
    </w:p>
    <w:p w:rsidR="00000000" w:rsidRDefault="00000000">
      <w:pPr>
        <w:spacing w:after="240"/>
        <w:ind w:firstLine="539"/>
        <w:rPr>
          <w:rFonts w:hint="eastAsia"/>
        </w:rPr>
      </w:pPr>
      <w:r>
        <w:rPr>
          <w:rFonts w:hint="eastAsia"/>
        </w:rPr>
        <w:t xml:space="preserve">275.  </w:t>
      </w:r>
      <w:r>
        <w:rPr>
          <w:rFonts w:hint="eastAsia"/>
        </w:rPr>
        <w:t>第</w:t>
      </w:r>
      <w:r>
        <w:rPr>
          <w:rFonts w:hint="eastAsia"/>
        </w:rPr>
        <w:t>40/1998</w:t>
      </w:r>
      <w:r>
        <w:rPr>
          <w:rFonts w:hint="eastAsia"/>
        </w:rPr>
        <w:t>号法律规定促进外国儿童和成人的培训课程和意大利语言课程和外国成人的认字课程，使他们有机会得到完成义务教育阶段学习的证书。对移民而言，学习意大利语并参加多文化教育本身已经可以被视为极其重要的“培训”。</w:t>
      </w:r>
    </w:p>
    <w:p w:rsidR="00000000" w:rsidRDefault="00000000">
      <w:pPr>
        <w:pStyle w:val="Heading4"/>
        <w:rPr>
          <w:rFonts w:hint="eastAsia"/>
        </w:rPr>
      </w:pPr>
      <w:r>
        <w:rPr>
          <w:rFonts w:hint="eastAsia"/>
        </w:rPr>
        <w:t>倡</w:t>
      </w:r>
      <w:r>
        <w:rPr>
          <w:rFonts w:hint="eastAsia"/>
        </w:rPr>
        <w:t xml:space="preserve">  </w:t>
      </w:r>
      <w:r>
        <w:rPr>
          <w:rFonts w:hint="eastAsia"/>
        </w:rPr>
        <w:t>议</w:t>
      </w:r>
    </w:p>
    <w:p w:rsidR="00000000" w:rsidRDefault="00000000">
      <w:pPr>
        <w:ind w:firstLine="539"/>
        <w:rPr>
          <w:rFonts w:hint="eastAsia"/>
        </w:rPr>
      </w:pPr>
      <w:r>
        <w:rPr>
          <w:rFonts w:hint="eastAsia"/>
        </w:rPr>
        <w:t xml:space="preserve">276.  </w:t>
      </w:r>
      <w:r>
        <w:rPr>
          <w:rFonts w:hint="eastAsia"/>
        </w:rPr>
        <w:t>新的教育和培训措施可以在各级机构和社会伙伴参与的政策框架内制定</w:t>
      </w:r>
      <w:r>
        <w:rPr>
          <w:rFonts w:hint="eastAsia"/>
        </w:rPr>
        <w:t>(</w:t>
      </w:r>
      <w:r>
        <w:rPr>
          <w:rFonts w:hint="eastAsia"/>
        </w:rPr>
        <w:t>目的是创造广泛的教育和培训机会，满足生活各阶段的需求，使所有人能获得</w:t>
      </w:r>
      <w:r>
        <w:rPr>
          <w:rFonts w:hint="eastAsia"/>
        </w:rPr>
        <w:t>)</w:t>
      </w:r>
      <w:r>
        <w:rPr>
          <w:rFonts w:hint="eastAsia"/>
        </w:rPr>
        <w:t>。它们旨在加强：</w:t>
      </w:r>
    </w:p>
    <w:p w:rsidR="00000000" w:rsidRDefault="00000000">
      <w:pPr>
        <w:pStyle w:val="a0"/>
        <w:tabs>
          <w:tab w:val="num" w:pos="1680"/>
        </w:tabs>
        <w:ind w:left="1680" w:hanging="420"/>
        <w:rPr>
          <w:rFonts w:hint="eastAsia"/>
        </w:rPr>
      </w:pPr>
      <w:r>
        <w:rPr>
          <w:rFonts w:hint="eastAsia"/>
        </w:rPr>
        <w:t>义务教育阶段后新的综合培训方法，为人们提供专业和技术技能学历，可以用于生产高技术产品和组织复杂的服务；</w:t>
      </w:r>
    </w:p>
    <w:p w:rsidR="00000000" w:rsidRDefault="00000000">
      <w:pPr>
        <w:pStyle w:val="a0"/>
        <w:tabs>
          <w:tab w:val="num" w:pos="1680"/>
        </w:tabs>
        <w:ind w:left="1680" w:hanging="420"/>
        <w:rPr>
          <w:rFonts w:hint="eastAsia"/>
        </w:rPr>
      </w:pPr>
      <w:r>
        <w:rPr>
          <w:rFonts w:hint="eastAsia"/>
        </w:rPr>
        <w:t>发展学徒被视为增加技能和就业机会的一个重要途径。该倡议还扩大了申请的领域、时限和覆盖的年龄组</w:t>
      </w:r>
      <w:r>
        <w:rPr>
          <w:rFonts w:hint="eastAsia"/>
        </w:rPr>
        <w:t>(2000</w:t>
      </w:r>
      <w:r>
        <w:rPr>
          <w:rFonts w:hint="eastAsia"/>
        </w:rPr>
        <w:t>年有</w:t>
      </w:r>
      <w:r>
        <w:rPr>
          <w:rFonts w:hint="eastAsia"/>
        </w:rPr>
        <w:t>73,000</w:t>
      </w:r>
      <w:r>
        <w:rPr>
          <w:rFonts w:hint="eastAsia"/>
        </w:rPr>
        <w:t>名学徒参加培训</w:t>
      </w:r>
      <w:r>
        <w:rPr>
          <w:rFonts w:hint="eastAsia"/>
        </w:rPr>
        <w:t>)</w:t>
      </w:r>
      <w:r>
        <w:rPr>
          <w:rFonts w:hint="eastAsia"/>
        </w:rPr>
        <w:t>。</w:t>
      </w:r>
    </w:p>
    <w:p w:rsidR="00000000" w:rsidRDefault="00000000">
      <w:pPr>
        <w:ind w:firstLine="539"/>
        <w:rPr>
          <w:rFonts w:hint="eastAsia"/>
        </w:rPr>
      </w:pPr>
      <w:r>
        <w:rPr>
          <w:rFonts w:hint="eastAsia"/>
        </w:rPr>
        <w:t xml:space="preserve">277.  </w:t>
      </w:r>
      <w:r>
        <w:rPr>
          <w:rFonts w:hint="eastAsia"/>
        </w:rPr>
        <w:t>教育部制定的《</w:t>
      </w:r>
      <w:r>
        <w:rPr>
          <w:rFonts w:hint="eastAsia"/>
        </w:rPr>
        <w:t>2000-2006</w:t>
      </w:r>
      <w:r>
        <w:rPr>
          <w:rFonts w:hint="eastAsia"/>
        </w:rPr>
        <w:t>年全国运行计划》包括以下措施：</w:t>
      </w:r>
    </w:p>
    <w:p w:rsidR="00000000" w:rsidRDefault="00000000">
      <w:pPr>
        <w:pStyle w:val="a0"/>
        <w:tabs>
          <w:tab w:val="num" w:pos="1680"/>
        </w:tabs>
        <w:ind w:left="1680" w:hanging="420"/>
        <w:rPr>
          <w:rFonts w:hint="eastAsia"/>
        </w:rPr>
      </w:pPr>
      <w:r>
        <w:rPr>
          <w:rFonts w:hint="eastAsia"/>
        </w:rPr>
        <w:t>对学生进行个性化的认识，并根据个人的具体经历及其家庭背景和环境重新定义认知图；</w:t>
      </w:r>
    </w:p>
    <w:p w:rsidR="00000000" w:rsidRDefault="00000000">
      <w:pPr>
        <w:pStyle w:val="a0"/>
        <w:tabs>
          <w:tab w:val="num" w:pos="1680"/>
        </w:tabs>
        <w:ind w:left="1680" w:hanging="420"/>
        <w:rPr>
          <w:rFonts w:hint="eastAsia"/>
        </w:rPr>
      </w:pPr>
      <w:r>
        <w:rPr>
          <w:rFonts w:hint="eastAsia"/>
        </w:rPr>
        <w:t>学校以外的更多的教育途径</w:t>
      </w:r>
      <w:r>
        <w:rPr>
          <w:rFonts w:hint="eastAsia"/>
        </w:rPr>
        <w:t>(</w:t>
      </w:r>
      <w:r>
        <w:rPr>
          <w:rFonts w:hint="eastAsia"/>
        </w:rPr>
        <w:t>综合学校</w:t>
      </w:r>
      <w:r>
        <w:rPr>
          <w:rFonts w:hint="eastAsia"/>
        </w:rPr>
        <w:t>/</w:t>
      </w:r>
      <w:r>
        <w:rPr>
          <w:rFonts w:hint="eastAsia"/>
        </w:rPr>
        <w:t>培训经验</w:t>
      </w:r>
      <w:r>
        <w:rPr>
          <w:rFonts w:hint="eastAsia"/>
        </w:rPr>
        <w:t>)</w:t>
      </w:r>
      <w:r>
        <w:rPr>
          <w:rFonts w:hint="eastAsia"/>
        </w:rPr>
        <w:t>；</w:t>
      </w:r>
    </w:p>
    <w:p w:rsidR="00000000" w:rsidRDefault="00000000">
      <w:pPr>
        <w:pStyle w:val="a0"/>
        <w:tabs>
          <w:tab w:val="num" w:pos="1680"/>
        </w:tabs>
        <w:ind w:left="1680" w:hanging="420"/>
        <w:rPr>
          <w:rFonts w:hint="eastAsia"/>
        </w:rPr>
      </w:pPr>
      <w:r>
        <w:rPr>
          <w:rFonts w:hint="eastAsia"/>
        </w:rPr>
        <w:t>学校以外的更多教育途径</w:t>
      </w:r>
      <w:r>
        <w:rPr>
          <w:rFonts w:hint="eastAsia"/>
        </w:rPr>
        <w:t>(</w:t>
      </w:r>
      <w:r>
        <w:rPr>
          <w:rFonts w:hint="eastAsia"/>
        </w:rPr>
        <w:t>课外经验、讲习班活动、鼓励开设小卖部和从事运输</w:t>
      </w:r>
      <w:r>
        <w:rPr>
          <w:rFonts w:hint="eastAsia"/>
        </w:rPr>
        <w:t>)</w:t>
      </w:r>
      <w:r>
        <w:rPr>
          <w:rFonts w:hint="eastAsia"/>
        </w:rPr>
        <w:t>；</w:t>
      </w:r>
    </w:p>
    <w:p w:rsidR="00000000" w:rsidRDefault="00000000">
      <w:pPr>
        <w:pStyle w:val="a0"/>
        <w:tabs>
          <w:tab w:val="num" w:pos="1680"/>
        </w:tabs>
        <w:ind w:left="1680" w:hanging="420"/>
        <w:rPr>
          <w:rFonts w:hint="eastAsia"/>
        </w:rPr>
      </w:pPr>
      <w:r>
        <w:rPr>
          <w:rFonts w:hint="eastAsia"/>
        </w:rPr>
        <w:t>进行个性化的辅导，对教育和职业决定提供指导，以利于开始积极的生活，综合学校</w:t>
      </w:r>
      <w:r>
        <w:rPr>
          <w:rFonts w:hint="eastAsia"/>
        </w:rPr>
        <w:t>/</w:t>
      </w:r>
      <w:r>
        <w:rPr>
          <w:rFonts w:hint="eastAsia"/>
        </w:rPr>
        <w:t>培训；</w:t>
      </w:r>
    </w:p>
    <w:p w:rsidR="00000000" w:rsidRDefault="00000000">
      <w:pPr>
        <w:pStyle w:val="a0"/>
        <w:tabs>
          <w:tab w:val="num" w:pos="1680"/>
        </w:tabs>
        <w:ind w:left="1680" w:hanging="420"/>
        <w:rPr>
          <w:rFonts w:hint="eastAsia"/>
        </w:rPr>
      </w:pPr>
      <w:r>
        <w:rPr>
          <w:rFonts w:hint="eastAsia"/>
        </w:rPr>
        <w:t>广泛利用各种形式的工作经验；</w:t>
      </w:r>
    </w:p>
    <w:p w:rsidR="00000000" w:rsidRDefault="00000000">
      <w:pPr>
        <w:pStyle w:val="a0"/>
        <w:tabs>
          <w:tab w:val="num" w:pos="1680"/>
        </w:tabs>
        <w:ind w:left="1680" w:hanging="420"/>
        <w:rPr>
          <w:rFonts w:hint="eastAsia"/>
        </w:rPr>
      </w:pPr>
      <w:r>
        <w:rPr>
          <w:rFonts w:hint="eastAsia"/>
        </w:rPr>
        <w:t>提高家庭对学校生活的认识和参与；</w:t>
      </w:r>
    </w:p>
    <w:p w:rsidR="00000000" w:rsidRDefault="00000000">
      <w:pPr>
        <w:pStyle w:val="a0"/>
        <w:tabs>
          <w:tab w:val="num" w:pos="1680"/>
        </w:tabs>
        <w:ind w:left="1680" w:hanging="420"/>
        <w:rPr>
          <w:rFonts w:hint="eastAsia"/>
        </w:rPr>
      </w:pPr>
      <w:r>
        <w:rPr>
          <w:rFonts w:hint="eastAsia"/>
        </w:rPr>
        <w:t>引入培训贷款；</w:t>
      </w:r>
    </w:p>
    <w:p w:rsidR="00000000" w:rsidRDefault="00000000">
      <w:pPr>
        <w:pStyle w:val="a0"/>
        <w:tabs>
          <w:tab w:val="num" w:pos="1680"/>
        </w:tabs>
        <w:spacing w:after="320"/>
        <w:ind w:left="1680" w:hanging="420"/>
        <w:rPr>
          <w:rFonts w:hint="eastAsia"/>
        </w:rPr>
      </w:pPr>
      <w:r>
        <w:rPr>
          <w:rFonts w:hint="eastAsia"/>
        </w:rPr>
        <w:t>发展支助基础设施。</w:t>
      </w:r>
    </w:p>
    <w:p w:rsidR="00000000" w:rsidRDefault="00000000">
      <w:pPr>
        <w:pStyle w:val="Heading4"/>
      </w:pPr>
      <w:r>
        <w:rPr>
          <w:rFonts w:hint="eastAsia"/>
        </w:rPr>
        <w:t>支助基础设施</w:t>
      </w:r>
    </w:p>
    <w:p w:rsidR="00000000" w:rsidRDefault="00000000">
      <w:pPr>
        <w:spacing w:after="320"/>
        <w:ind w:firstLine="539"/>
        <w:rPr>
          <w:rFonts w:hint="eastAsia"/>
        </w:rPr>
      </w:pPr>
      <w:r>
        <w:rPr>
          <w:rFonts w:hint="eastAsia"/>
        </w:rPr>
        <w:t xml:space="preserve">278.  </w:t>
      </w:r>
      <w:r>
        <w:rPr>
          <w:rFonts w:hint="eastAsia"/>
        </w:rPr>
        <w:t>建设和加强支助基础设施是更深的社会融合和支持任何旨在降低辍学率的倡议的前提条件。因此，加强旨在建立培训年轻人的适当基础设施的倡议至关重要。这些包括“降低辍学率的资源中心”</w:t>
      </w:r>
      <w:r>
        <w:rPr>
          <w:rFonts w:hint="eastAsia"/>
        </w:rPr>
        <w:t>(</w:t>
      </w:r>
      <w:r>
        <w:rPr>
          <w:rFonts w:hint="eastAsia"/>
        </w:rPr>
        <w:t>例如，科技指导讲习班、环境分析或者模拟生产过程的讲习班；语言或表达研究机构</w:t>
      </w:r>
      <w:r>
        <w:rPr>
          <w:rFonts w:hint="eastAsia"/>
        </w:rPr>
        <w:t>)</w:t>
      </w:r>
      <w:r>
        <w:rPr>
          <w:rFonts w:hint="eastAsia"/>
        </w:rPr>
        <w:t>和“社会融入和边缘地区融合资源中心”</w:t>
      </w:r>
      <w:r>
        <w:rPr>
          <w:rFonts w:hint="eastAsia"/>
        </w:rPr>
        <w:t>(</w:t>
      </w:r>
      <w:r>
        <w:rPr>
          <w:rFonts w:hint="eastAsia"/>
        </w:rPr>
        <w:t>诸如工艺培训讲习班、信息技术和远距离联系体系、“轻型”娱乐和社交机构</w:t>
      </w:r>
      <w:r>
        <w:rPr>
          <w:rFonts w:hint="eastAsia"/>
        </w:rPr>
        <w:t>)</w:t>
      </w:r>
      <w:r>
        <w:rPr>
          <w:rFonts w:hint="eastAsia"/>
        </w:rPr>
        <w:t>。</w:t>
      </w:r>
    </w:p>
    <w:p w:rsidR="00000000" w:rsidRDefault="00000000">
      <w:pPr>
        <w:pStyle w:val="Heading3"/>
      </w:pPr>
      <w:r>
        <w:rPr>
          <w:rFonts w:hint="eastAsia"/>
          <w:u w:val="none"/>
        </w:rPr>
        <w:t>J</w:t>
      </w:r>
      <w:r>
        <w:rPr>
          <w:u w:val="none"/>
        </w:rPr>
        <w:t>.</w:t>
      </w:r>
      <w:r>
        <w:rPr>
          <w:rFonts w:hint="eastAsia"/>
          <w:u w:val="none"/>
        </w:rPr>
        <w:t xml:space="preserve">  </w:t>
      </w:r>
      <w:r>
        <w:rPr>
          <w:rFonts w:hint="eastAsia"/>
        </w:rPr>
        <w:t>第</w:t>
      </w:r>
      <w:r>
        <w:rPr>
          <w:rFonts w:hint="eastAsia"/>
        </w:rPr>
        <w:t xml:space="preserve"> 15 </w:t>
      </w:r>
      <w:r>
        <w:rPr>
          <w:rFonts w:hint="eastAsia"/>
        </w:rPr>
        <w:t>条</w:t>
      </w:r>
    </w:p>
    <w:p w:rsidR="00000000" w:rsidRDefault="00000000">
      <w:pPr>
        <w:pStyle w:val="Heading3"/>
        <w:rPr>
          <w:rFonts w:hint="eastAsia"/>
        </w:rPr>
      </w:pPr>
      <w:r>
        <w:rPr>
          <w:rFonts w:hint="eastAsia"/>
        </w:rPr>
        <w:t>文</w:t>
      </w:r>
      <w:r>
        <w:rPr>
          <w:rFonts w:hint="eastAsia"/>
        </w:rPr>
        <w:t xml:space="preserve"> </w:t>
      </w:r>
      <w:r>
        <w:rPr>
          <w:rFonts w:hint="eastAsia"/>
        </w:rPr>
        <w:t>化</w:t>
      </w:r>
      <w:r>
        <w:rPr>
          <w:rFonts w:hint="eastAsia"/>
        </w:rPr>
        <w:t xml:space="preserve"> </w:t>
      </w:r>
      <w:r>
        <w:rPr>
          <w:rFonts w:hint="eastAsia"/>
        </w:rPr>
        <w:t>生</w:t>
      </w:r>
      <w:r>
        <w:rPr>
          <w:rFonts w:hint="eastAsia"/>
        </w:rPr>
        <w:t xml:space="preserve"> </w:t>
      </w:r>
      <w:r>
        <w:rPr>
          <w:rFonts w:hint="eastAsia"/>
        </w:rPr>
        <w:t>活</w:t>
      </w:r>
    </w:p>
    <w:p w:rsidR="00000000" w:rsidRDefault="00000000">
      <w:pPr>
        <w:ind w:firstLine="539"/>
        <w:rPr>
          <w:rFonts w:hint="eastAsia"/>
        </w:rPr>
      </w:pPr>
      <w:r>
        <w:rPr>
          <w:rFonts w:hint="eastAsia"/>
        </w:rPr>
        <w:t xml:space="preserve">279.  </w:t>
      </w:r>
      <w:r>
        <w:rPr>
          <w:rFonts w:hint="eastAsia"/>
        </w:rPr>
        <w:t>严格地说，意大利的文化生活由文化和环境资产部负责，部分由地方公共机构负责</w:t>
      </w:r>
      <w:r>
        <w:rPr>
          <w:rFonts w:hint="eastAsia"/>
        </w:rPr>
        <w:t>(</w:t>
      </w:r>
      <w:r>
        <w:rPr>
          <w:rFonts w:hint="eastAsia"/>
        </w:rPr>
        <w:t>区域和地方当局的文化部门</w:t>
      </w:r>
      <w:r>
        <w:rPr>
          <w:rFonts w:hint="eastAsia"/>
        </w:rPr>
        <w:t>)</w:t>
      </w:r>
      <w:r>
        <w:rPr>
          <w:rFonts w:hint="eastAsia"/>
        </w:rPr>
        <w:t>。然而，这些只是中央或地方政府的其它领域管理或协调的广泛倡议、行动和资金的一小部分，不一定被视为文化活动，因为它们被列入不同的开支项目</w:t>
      </w:r>
      <w:r>
        <w:rPr>
          <w:rFonts w:hint="eastAsia"/>
        </w:rPr>
        <w:t>(</w:t>
      </w:r>
      <w:r>
        <w:rPr>
          <w:rFonts w:hint="eastAsia"/>
        </w:rPr>
        <w:t>学习权；与具体活动相联系的用于剧院、音乐等方面的资金；研究项目的资金；出版图书、杂志等</w:t>
      </w:r>
      <w:r>
        <w:rPr>
          <w:rFonts w:hint="eastAsia"/>
        </w:rPr>
        <w:t>)</w:t>
      </w:r>
      <w:r>
        <w:rPr>
          <w:rFonts w:hint="eastAsia"/>
        </w:rPr>
        <w:t>。</w:t>
      </w:r>
    </w:p>
    <w:p w:rsidR="00000000" w:rsidRDefault="00000000">
      <w:pPr>
        <w:ind w:firstLine="539"/>
        <w:rPr>
          <w:rFonts w:hint="eastAsia"/>
        </w:rPr>
      </w:pPr>
      <w:r>
        <w:rPr>
          <w:rFonts w:hint="eastAsia"/>
        </w:rPr>
        <w:t xml:space="preserve">280.  </w:t>
      </w:r>
      <w:r>
        <w:rPr>
          <w:rFonts w:hint="eastAsia"/>
        </w:rPr>
        <w:t>文化和环境资产部的资源在过去两年中增加了几乎一倍，从</w:t>
      </w:r>
      <w:r>
        <w:rPr>
          <w:rFonts w:hint="eastAsia"/>
        </w:rPr>
        <w:t>1998</w:t>
      </w:r>
      <w:r>
        <w:rPr>
          <w:rFonts w:hint="eastAsia"/>
        </w:rPr>
        <w:t>和</w:t>
      </w:r>
      <w:r>
        <w:rPr>
          <w:rFonts w:hint="eastAsia"/>
        </w:rPr>
        <w:t>1999</w:t>
      </w:r>
      <w:r>
        <w:rPr>
          <w:rFonts w:hint="eastAsia"/>
        </w:rPr>
        <w:t>年的</w:t>
      </w:r>
      <w:r>
        <w:rPr>
          <w:rFonts w:hint="eastAsia"/>
        </w:rPr>
        <w:t>26,000</w:t>
      </w:r>
      <w:r>
        <w:rPr>
          <w:rFonts w:hint="eastAsia"/>
        </w:rPr>
        <w:t>亿里拉增加到</w:t>
      </w:r>
      <w:r>
        <w:rPr>
          <w:rFonts w:hint="eastAsia"/>
        </w:rPr>
        <w:t>2000</w:t>
      </w:r>
      <w:r>
        <w:rPr>
          <w:rFonts w:hint="eastAsia"/>
        </w:rPr>
        <w:t>年的</w:t>
      </w:r>
      <w:r>
        <w:rPr>
          <w:rFonts w:hint="eastAsia"/>
        </w:rPr>
        <w:t>48,000</w:t>
      </w:r>
      <w:r>
        <w:rPr>
          <w:rFonts w:hint="eastAsia"/>
        </w:rPr>
        <w:t>亿里拉。在这些数字基础上还要加上南部意大利开发计划文化资源轴心提供的资源，由</w:t>
      </w:r>
      <w:r>
        <w:t>ESF</w:t>
      </w:r>
      <w:r>
        <w:rPr>
          <w:rFonts w:hint="eastAsia"/>
        </w:rPr>
        <w:t>出资</w:t>
      </w:r>
      <w:r>
        <w:rPr>
          <w:rFonts w:hint="eastAsia"/>
        </w:rPr>
        <w:t>50%</w:t>
      </w:r>
      <w:r>
        <w:rPr>
          <w:rFonts w:hint="eastAsia"/>
        </w:rPr>
        <w:t>，全国周转基金出资</w:t>
      </w:r>
      <w:r>
        <w:rPr>
          <w:rFonts w:hint="eastAsia"/>
        </w:rPr>
        <w:t>50%</w:t>
      </w:r>
      <w:r>
        <w:rPr>
          <w:rFonts w:hint="eastAsia"/>
        </w:rPr>
        <w:t>，过去七年中达</w:t>
      </w:r>
      <w:r>
        <w:rPr>
          <w:rFonts w:hint="eastAsia"/>
        </w:rPr>
        <w:t>52,000</w:t>
      </w:r>
      <w:r>
        <w:rPr>
          <w:rFonts w:hint="eastAsia"/>
        </w:rPr>
        <w:t>亿里拉。</w:t>
      </w:r>
    </w:p>
    <w:p w:rsidR="00000000" w:rsidRDefault="00000000">
      <w:pPr>
        <w:spacing w:after="320"/>
        <w:ind w:firstLine="539"/>
        <w:rPr>
          <w:rFonts w:hint="eastAsia"/>
        </w:rPr>
      </w:pPr>
      <w:r>
        <w:rPr>
          <w:rFonts w:hint="eastAsia"/>
        </w:rPr>
        <w:t xml:space="preserve">281.  </w:t>
      </w:r>
      <w:r>
        <w:rPr>
          <w:rFonts w:hint="eastAsia"/>
        </w:rPr>
        <w:t>关于地区在文化活动方面开支的现有数据显示，到</w:t>
      </w:r>
      <w:r>
        <w:rPr>
          <w:rFonts w:hint="eastAsia"/>
        </w:rPr>
        <w:t>1995</w:t>
      </w:r>
      <w:r>
        <w:rPr>
          <w:rFonts w:hint="eastAsia"/>
        </w:rPr>
        <w:t>为止略呈下降趋势，过去几年出现上升。</w:t>
      </w:r>
    </w:p>
    <w:p w:rsidR="00000000" w:rsidRDefault="00000000">
      <w:pPr>
        <w:pStyle w:val="Heading3"/>
        <w:spacing w:after="240"/>
        <w:rPr>
          <w:rFonts w:hint="eastAsia"/>
        </w:rPr>
      </w:pPr>
      <w:r>
        <w:rPr>
          <w:rFonts w:hint="eastAsia"/>
          <w:u w:val="none"/>
        </w:rPr>
        <w:t>表</w:t>
      </w:r>
      <w:r>
        <w:rPr>
          <w:rFonts w:hint="eastAsia"/>
          <w:u w:val="none"/>
        </w:rPr>
        <w:t xml:space="preserve">5.  </w:t>
      </w:r>
      <w:r>
        <w:rPr>
          <w:rFonts w:hint="eastAsia"/>
        </w:rPr>
        <w:t>1993</w:t>
      </w:r>
      <w:r>
        <w:rPr>
          <w:rFonts w:hint="eastAsia"/>
        </w:rPr>
        <w:t>年至</w:t>
      </w:r>
      <w:r>
        <w:rPr>
          <w:rFonts w:hint="eastAsia"/>
        </w:rPr>
        <w:t>1997</w:t>
      </w:r>
      <w:r>
        <w:rPr>
          <w:rFonts w:hint="eastAsia"/>
        </w:rPr>
        <w:t>年间地区的文化活动开支</w:t>
      </w:r>
      <w:r>
        <w:br/>
      </w:r>
      <w:r>
        <w:rPr>
          <w:rFonts w:hint="eastAsia"/>
          <w:u w:val="none"/>
        </w:rPr>
        <w:t>(</w:t>
      </w:r>
      <w:r>
        <w:rPr>
          <w:rFonts w:hint="eastAsia"/>
        </w:rPr>
        <w:t>10</w:t>
      </w:r>
      <w:r>
        <w:rPr>
          <w:rFonts w:hint="eastAsia"/>
        </w:rPr>
        <w:t>亿里拉</w:t>
      </w:r>
      <w:r>
        <w:rPr>
          <w:rFonts w:hint="eastAsia"/>
          <w:u w: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000" w:type="pct"/>
          </w:tcPr>
          <w:p w:rsidR="00000000" w:rsidRDefault="00000000">
            <w:pPr>
              <w:pStyle w:val="a2"/>
              <w:spacing w:before="60" w:after="40"/>
              <w:jc w:val="center"/>
              <w:rPr>
                <w:rFonts w:hint="eastAsia"/>
                <w:u w:val="single"/>
              </w:rPr>
            </w:pPr>
            <w:r>
              <w:rPr>
                <w:rFonts w:hint="eastAsia"/>
                <w:u w:val="single"/>
              </w:rPr>
              <w:t>1993</w:t>
            </w:r>
            <w:r>
              <w:rPr>
                <w:rFonts w:hint="eastAsia"/>
                <w:u w:val="single"/>
              </w:rPr>
              <w:t>年</w:t>
            </w:r>
          </w:p>
        </w:tc>
        <w:tc>
          <w:tcPr>
            <w:tcW w:w="1000" w:type="pct"/>
          </w:tcPr>
          <w:p w:rsidR="00000000" w:rsidRDefault="00000000">
            <w:pPr>
              <w:pStyle w:val="a2"/>
              <w:spacing w:before="60" w:after="40"/>
              <w:jc w:val="center"/>
              <w:rPr>
                <w:rFonts w:hint="eastAsia"/>
                <w:u w:val="single"/>
              </w:rPr>
            </w:pPr>
            <w:r>
              <w:rPr>
                <w:rFonts w:hint="eastAsia"/>
                <w:u w:val="single"/>
              </w:rPr>
              <w:t>1994</w:t>
            </w:r>
            <w:r>
              <w:rPr>
                <w:rFonts w:hint="eastAsia"/>
                <w:u w:val="single"/>
              </w:rPr>
              <w:t>年</w:t>
            </w:r>
          </w:p>
        </w:tc>
        <w:tc>
          <w:tcPr>
            <w:tcW w:w="1000" w:type="pct"/>
          </w:tcPr>
          <w:p w:rsidR="00000000" w:rsidRDefault="00000000">
            <w:pPr>
              <w:pStyle w:val="a2"/>
              <w:spacing w:before="60" w:after="40"/>
              <w:jc w:val="center"/>
              <w:rPr>
                <w:rFonts w:hint="eastAsia"/>
                <w:u w:val="single"/>
              </w:rPr>
            </w:pPr>
            <w:r>
              <w:rPr>
                <w:rFonts w:hint="eastAsia"/>
                <w:u w:val="single"/>
              </w:rPr>
              <w:t>1995</w:t>
            </w:r>
            <w:r>
              <w:rPr>
                <w:rFonts w:hint="eastAsia"/>
                <w:u w:val="single"/>
              </w:rPr>
              <w:t>年</w:t>
            </w:r>
          </w:p>
        </w:tc>
        <w:tc>
          <w:tcPr>
            <w:tcW w:w="1000" w:type="pct"/>
          </w:tcPr>
          <w:p w:rsidR="00000000" w:rsidRDefault="00000000">
            <w:pPr>
              <w:pStyle w:val="a2"/>
              <w:spacing w:before="60" w:after="40"/>
              <w:jc w:val="center"/>
              <w:rPr>
                <w:rFonts w:hint="eastAsia"/>
                <w:u w:val="single"/>
              </w:rPr>
            </w:pPr>
            <w:r>
              <w:rPr>
                <w:rFonts w:hint="eastAsia"/>
                <w:u w:val="single"/>
              </w:rPr>
              <w:t>1996</w:t>
            </w:r>
            <w:r>
              <w:rPr>
                <w:rFonts w:hint="eastAsia"/>
                <w:u w:val="single"/>
              </w:rPr>
              <w:t>年</w:t>
            </w:r>
          </w:p>
        </w:tc>
        <w:tc>
          <w:tcPr>
            <w:tcW w:w="1000" w:type="pct"/>
          </w:tcPr>
          <w:p w:rsidR="00000000" w:rsidRDefault="00000000">
            <w:pPr>
              <w:pStyle w:val="a2"/>
              <w:spacing w:before="60" w:after="40"/>
              <w:jc w:val="center"/>
              <w:rPr>
                <w:rFonts w:hint="eastAsia"/>
                <w:u w:val="single"/>
              </w:rPr>
            </w:pPr>
            <w:r>
              <w:rPr>
                <w:rFonts w:hint="eastAsia"/>
                <w:u w:val="single"/>
              </w:rPr>
              <w:t>1997</w:t>
            </w:r>
            <w:r>
              <w:rPr>
                <w:rFonts w:hint="eastAsia"/>
                <w:u w:val="single"/>
              </w:rPr>
              <w:t>年</w:t>
            </w:r>
          </w:p>
        </w:tc>
      </w:tr>
      <w:tr w:rsidR="00000000">
        <w:tblPrEx>
          <w:tblCellMar>
            <w:top w:w="0" w:type="dxa"/>
            <w:bottom w:w="0" w:type="dxa"/>
          </w:tblCellMar>
        </w:tblPrEx>
        <w:tc>
          <w:tcPr>
            <w:tcW w:w="1000" w:type="pct"/>
          </w:tcPr>
          <w:p w:rsidR="00000000" w:rsidRDefault="00000000">
            <w:pPr>
              <w:pStyle w:val="a2"/>
              <w:jc w:val="center"/>
              <w:rPr>
                <w:color w:val="000000"/>
              </w:rPr>
            </w:pPr>
            <w:r>
              <w:rPr>
                <w:color w:val="000000"/>
              </w:rPr>
              <w:t>1,564</w:t>
            </w:r>
          </w:p>
        </w:tc>
        <w:tc>
          <w:tcPr>
            <w:tcW w:w="1000" w:type="pct"/>
          </w:tcPr>
          <w:p w:rsidR="00000000" w:rsidRDefault="00000000">
            <w:pPr>
              <w:pStyle w:val="a2"/>
              <w:jc w:val="center"/>
              <w:rPr>
                <w:color w:val="000000"/>
              </w:rPr>
            </w:pPr>
            <w:r>
              <w:rPr>
                <w:color w:val="000000"/>
              </w:rPr>
              <w:t>1,474.2</w:t>
            </w:r>
          </w:p>
        </w:tc>
        <w:tc>
          <w:tcPr>
            <w:tcW w:w="1000" w:type="pct"/>
          </w:tcPr>
          <w:p w:rsidR="00000000" w:rsidRDefault="00000000">
            <w:pPr>
              <w:pStyle w:val="a2"/>
              <w:jc w:val="center"/>
              <w:rPr>
                <w:color w:val="000000"/>
              </w:rPr>
            </w:pPr>
            <w:r>
              <w:rPr>
                <w:color w:val="000000"/>
              </w:rPr>
              <w:t>1,145.6</w:t>
            </w:r>
          </w:p>
        </w:tc>
        <w:tc>
          <w:tcPr>
            <w:tcW w:w="1000" w:type="pct"/>
          </w:tcPr>
          <w:p w:rsidR="00000000" w:rsidRDefault="00000000">
            <w:pPr>
              <w:pStyle w:val="a2"/>
              <w:jc w:val="center"/>
              <w:rPr>
                <w:color w:val="000000"/>
              </w:rPr>
            </w:pPr>
            <w:r>
              <w:rPr>
                <w:color w:val="000000"/>
              </w:rPr>
              <w:t>1,425.4</w:t>
            </w:r>
          </w:p>
        </w:tc>
        <w:tc>
          <w:tcPr>
            <w:tcW w:w="1000" w:type="pct"/>
          </w:tcPr>
          <w:p w:rsidR="00000000" w:rsidRDefault="00000000">
            <w:pPr>
              <w:pStyle w:val="a2"/>
              <w:jc w:val="center"/>
              <w:rPr>
                <w:color w:val="000000"/>
              </w:rPr>
            </w:pPr>
            <w:r>
              <w:rPr>
                <w:color w:val="000000"/>
              </w:rPr>
              <w:t>1,570.2</w:t>
            </w:r>
          </w:p>
        </w:tc>
      </w:tr>
    </w:tbl>
    <w:p w:rsidR="00000000" w:rsidRDefault="00000000">
      <w:pPr>
        <w:spacing w:before="360"/>
        <w:ind w:firstLine="539"/>
        <w:rPr>
          <w:rFonts w:hint="eastAsia"/>
        </w:rPr>
      </w:pPr>
      <w:r>
        <w:rPr>
          <w:rFonts w:hint="eastAsia"/>
        </w:rPr>
        <w:t>282.  1996</w:t>
      </w:r>
      <w:r>
        <w:rPr>
          <w:rFonts w:hint="eastAsia"/>
        </w:rPr>
        <w:t>年至</w:t>
      </w:r>
      <w:r>
        <w:rPr>
          <w:rFonts w:hint="eastAsia"/>
        </w:rPr>
        <w:t>2000</w:t>
      </w:r>
      <w:r>
        <w:rPr>
          <w:rFonts w:hint="eastAsia"/>
        </w:rPr>
        <w:t>年间政府最重要的倡议包括大幅改革博物馆的管理体制，延长开放时间</w:t>
      </w:r>
      <w:r>
        <w:rPr>
          <w:rFonts w:hint="eastAsia"/>
        </w:rPr>
        <w:t>(</w:t>
      </w:r>
      <w:r>
        <w:rPr>
          <w:rFonts w:hint="eastAsia"/>
        </w:rPr>
        <w:t>包括晚上和假日开放</w:t>
      </w:r>
      <w:r>
        <w:rPr>
          <w:rFonts w:hint="eastAsia"/>
        </w:rPr>
        <w:t>)</w:t>
      </w:r>
      <w:r>
        <w:rPr>
          <w:rFonts w:hint="eastAsia"/>
        </w:rPr>
        <w:t>；重新组织储存、饮食、信息、支助、以及预定设备并使其现代化；调整门票费，给年轻人和老年人折扣。</w:t>
      </w:r>
    </w:p>
    <w:p w:rsidR="00000000" w:rsidRDefault="00000000">
      <w:pPr>
        <w:spacing w:after="320"/>
        <w:ind w:firstLine="539"/>
      </w:pPr>
      <w:r>
        <w:rPr>
          <w:rFonts w:hint="eastAsia"/>
        </w:rPr>
        <w:t xml:space="preserve">283.  </w:t>
      </w:r>
      <w:r>
        <w:rPr>
          <w:rFonts w:hint="eastAsia"/>
        </w:rPr>
        <w:t>下列表格载有参观博物馆的数据：</w:t>
      </w:r>
    </w:p>
    <w:p w:rsidR="00000000" w:rsidRDefault="00000000">
      <w:pPr>
        <w:pStyle w:val="Heading3"/>
        <w:spacing w:after="160"/>
        <w:rPr>
          <w:rFonts w:hint="eastAsia"/>
        </w:rPr>
      </w:pPr>
      <w:r>
        <w:rPr>
          <w:rFonts w:hint="eastAsia"/>
          <w:u w:val="none"/>
        </w:rPr>
        <w:t>表</w:t>
      </w:r>
      <w:r>
        <w:rPr>
          <w:rFonts w:hint="eastAsia"/>
          <w:u w:val="none"/>
        </w:rPr>
        <w:t xml:space="preserve">6.  </w:t>
      </w:r>
      <w:r>
        <w:rPr>
          <w:rFonts w:hint="eastAsia"/>
        </w:rPr>
        <w:t>博物馆的参观人数</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60" w:type="dxa"/>
          <w:bottom w:w="113" w:type="dxa"/>
          <w:right w:w="60" w:type="dxa"/>
        </w:tblCellMar>
        <w:tblLook w:val="0000" w:firstRow="0" w:lastRow="0" w:firstColumn="0" w:lastColumn="0" w:noHBand="0" w:noVBand="0"/>
      </w:tblPr>
      <w:tblGrid>
        <w:gridCol w:w="1865"/>
        <w:gridCol w:w="1865"/>
        <w:gridCol w:w="1865"/>
        <w:gridCol w:w="1865"/>
        <w:gridCol w:w="2014"/>
      </w:tblGrid>
      <w:tr w:rsidR="00000000">
        <w:tblPrEx>
          <w:tblCellMar>
            <w:top w:w="0" w:type="dxa"/>
          </w:tblCellMar>
        </w:tblPrEx>
        <w:trPr>
          <w:trHeight w:val="430"/>
        </w:trPr>
        <w:tc>
          <w:tcPr>
            <w:tcW w:w="984" w:type="pct"/>
            <w:tcBorders>
              <w:bottom w:val="single" w:sz="6" w:space="0" w:color="auto"/>
            </w:tcBorders>
          </w:tcPr>
          <w:p w:rsidR="00000000" w:rsidRDefault="00000000">
            <w:pPr>
              <w:pStyle w:val="a2"/>
              <w:spacing w:before="120" w:line="240" w:lineRule="exact"/>
              <w:jc w:val="center"/>
              <w:rPr>
                <w:rFonts w:hint="eastAsia"/>
                <w:u w:val="single"/>
              </w:rPr>
            </w:pPr>
            <w:r>
              <w:rPr>
                <w:u w:val="single"/>
              </w:rPr>
              <w:br w:type="page"/>
            </w:r>
            <w:r>
              <w:rPr>
                <w:rFonts w:hint="eastAsia"/>
                <w:u w:val="single"/>
              </w:rPr>
              <w:t>年</w:t>
            </w:r>
          </w:p>
        </w:tc>
        <w:tc>
          <w:tcPr>
            <w:tcW w:w="984" w:type="pct"/>
            <w:tcBorders>
              <w:bottom w:val="single" w:sz="6" w:space="0" w:color="auto"/>
            </w:tcBorders>
          </w:tcPr>
          <w:p w:rsidR="00000000" w:rsidRDefault="00000000">
            <w:pPr>
              <w:pStyle w:val="a2"/>
              <w:spacing w:before="120" w:line="240" w:lineRule="exact"/>
              <w:jc w:val="center"/>
              <w:rPr>
                <w:rFonts w:hint="eastAsia"/>
                <w:color w:val="000000"/>
                <w:u w:val="single"/>
              </w:rPr>
            </w:pPr>
            <w:r>
              <w:rPr>
                <w:rFonts w:hint="eastAsia"/>
                <w:color w:val="000000"/>
                <w:u w:val="single"/>
              </w:rPr>
              <w:t>总参观人数</w:t>
            </w:r>
          </w:p>
        </w:tc>
        <w:tc>
          <w:tcPr>
            <w:tcW w:w="984" w:type="pct"/>
            <w:tcBorders>
              <w:bottom w:val="single" w:sz="6" w:space="0" w:color="auto"/>
            </w:tcBorders>
          </w:tcPr>
          <w:p w:rsidR="00000000" w:rsidRDefault="00000000">
            <w:pPr>
              <w:pStyle w:val="a2"/>
              <w:spacing w:before="120" w:line="240" w:lineRule="exact"/>
              <w:jc w:val="center"/>
              <w:rPr>
                <w:rFonts w:hint="eastAsia"/>
                <w:color w:val="000000"/>
                <w:u w:val="single"/>
              </w:rPr>
            </w:pPr>
            <w:r>
              <w:rPr>
                <w:rFonts w:hint="eastAsia"/>
                <w:color w:val="000000"/>
                <w:u w:val="single"/>
              </w:rPr>
              <w:t>与上年相比的</w:t>
            </w:r>
            <w:r>
              <w:rPr>
                <w:color w:val="000000"/>
                <w:u w:val="single"/>
              </w:rPr>
              <w:br/>
            </w:r>
            <w:r>
              <w:rPr>
                <w:rFonts w:hint="eastAsia"/>
                <w:color w:val="000000"/>
                <w:u w:val="single"/>
              </w:rPr>
              <w:t>百分比</w:t>
            </w:r>
          </w:p>
        </w:tc>
        <w:tc>
          <w:tcPr>
            <w:tcW w:w="984" w:type="pct"/>
            <w:tcBorders>
              <w:bottom w:val="single" w:sz="6" w:space="0" w:color="auto"/>
            </w:tcBorders>
          </w:tcPr>
          <w:p w:rsidR="00000000" w:rsidRDefault="00000000">
            <w:pPr>
              <w:pStyle w:val="a2"/>
              <w:spacing w:before="120" w:line="240" w:lineRule="exact"/>
              <w:jc w:val="center"/>
              <w:rPr>
                <w:rFonts w:hint="eastAsia"/>
                <w:u w:val="single"/>
              </w:rPr>
            </w:pPr>
            <w:r>
              <w:rPr>
                <w:rFonts w:hint="eastAsia"/>
                <w:color w:val="000000"/>
                <w:u w:val="single"/>
              </w:rPr>
              <w:t>付费的参观者</w:t>
            </w:r>
          </w:p>
        </w:tc>
        <w:tc>
          <w:tcPr>
            <w:tcW w:w="1063" w:type="pct"/>
            <w:tcBorders>
              <w:bottom w:val="single" w:sz="6" w:space="0" w:color="auto"/>
            </w:tcBorders>
          </w:tcPr>
          <w:p w:rsidR="00000000" w:rsidRDefault="00000000">
            <w:pPr>
              <w:pStyle w:val="a2"/>
              <w:spacing w:before="120" w:line="240" w:lineRule="exact"/>
              <w:jc w:val="center"/>
              <w:rPr>
                <w:rFonts w:hint="eastAsia"/>
                <w:color w:val="000000"/>
                <w:u w:val="single"/>
              </w:rPr>
            </w:pPr>
            <w:r>
              <w:rPr>
                <w:rFonts w:hint="eastAsia"/>
                <w:color w:val="000000"/>
                <w:u w:val="single"/>
              </w:rPr>
              <w:t>与上年相比的</w:t>
            </w:r>
            <w:r>
              <w:rPr>
                <w:color w:val="000000"/>
                <w:u w:val="single"/>
              </w:rPr>
              <w:br/>
            </w:r>
            <w:r>
              <w:rPr>
                <w:rFonts w:hint="eastAsia"/>
                <w:color w:val="000000"/>
                <w:u w:val="single"/>
              </w:rPr>
              <w:t>百分比</w:t>
            </w:r>
          </w:p>
        </w:tc>
      </w:tr>
      <w:tr w:rsidR="00000000">
        <w:tblPrEx>
          <w:tblCellMar>
            <w:top w:w="0" w:type="dxa"/>
          </w:tblCellMar>
        </w:tblPrEx>
        <w:tc>
          <w:tcPr>
            <w:tcW w:w="984" w:type="pct"/>
            <w:tcBorders>
              <w:bottom w:val="nil"/>
            </w:tcBorders>
          </w:tcPr>
          <w:p w:rsidR="00000000" w:rsidRDefault="00000000">
            <w:pPr>
              <w:pStyle w:val="a2"/>
              <w:jc w:val="center"/>
            </w:pPr>
            <w:r>
              <w:rPr>
                <w:color w:val="000000"/>
              </w:rPr>
              <w:t>1990</w:t>
            </w:r>
          </w:p>
        </w:tc>
        <w:tc>
          <w:tcPr>
            <w:tcW w:w="984" w:type="pct"/>
            <w:tcBorders>
              <w:bottom w:val="nil"/>
            </w:tcBorders>
          </w:tcPr>
          <w:p w:rsidR="00000000" w:rsidRDefault="00000000">
            <w:pPr>
              <w:pStyle w:val="a2"/>
              <w:tabs>
                <w:tab w:val="decimal" w:pos="1267"/>
              </w:tabs>
            </w:pPr>
            <w:r>
              <w:rPr>
                <w:color w:val="000000"/>
              </w:rPr>
              <w:t>25,737,239</w:t>
            </w:r>
          </w:p>
        </w:tc>
        <w:tc>
          <w:tcPr>
            <w:tcW w:w="984" w:type="pct"/>
            <w:tcBorders>
              <w:bottom w:val="nil"/>
            </w:tcBorders>
          </w:tcPr>
          <w:p w:rsidR="00000000" w:rsidRDefault="00000000">
            <w:pPr>
              <w:pStyle w:val="a2"/>
              <w:tabs>
                <w:tab w:val="decimal" w:pos="741"/>
              </w:tabs>
              <w:rPr>
                <w:color w:val="000000"/>
              </w:rPr>
            </w:pPr>
            <w:r>
              <w:rPr>
                <w:color w:val="000000"/>
              </w:rPr>
              <w:t>-</w:t>
            </w:r>
          </w:p>
        </w:tc>
        <w:tc>
          <w:tcPr>
            <w:tcW w:w="984" w:type="pct"/>
            <w:tcBorders>
              <w:bottom w:val="nil"/>
            </w:tcBorders>
          </w:tcPr>
          <w:p w:rsidR="00000000" w:rsidRDefault="00000000">
            <w:pPr>
              <w:pStyle w:val="a2"/>
              <w:tabs>
                <w:tab w:val="decimal" w:pos="1267"/>
              </w:tabs>
            </w:pPr>
            <w:r>
              <w:rPr>
                <w:color w:val="000000"/>
              </w:rPr>
              <w:t>8,881,242</w:t>
            </w:r>
          </w:p>
        </w:tc>
        <w:tc>
          <w:tcPr>
            <w:tcW w:w="1063" w:type="pct"/>
            <w:tcBorders>
              <w:bottom w:val="nil"/>
            </w:tcBorders>
          </w:tcPr>
          <w:p w:rsidR="00000000" w:rsidRDefault="00000000">
            <w:pPr>
              <w:pStyle w:val="a2"/>
              <w:tabs>
                <w:tab w:val="decimal" w:pos="844"/>
              </w:tabs>
            </w:pPr>
            <w:r>
              <w:t>-</w:t>
            </w:r>
          </w:p>
        </w:tc>
      </w:tr>
      <w:tr w:rsidR="00000000">
        <w:tblPrEx>
          <w:tblCellMar>
            <w:top w:w="0" w:type="dxa"/>
          </w:tblCellMar>
        </w:tblPrEx>
        <w:tc>
          <w:tcPr>
            <w:tcW w:w="984" w:type="pct"/>
            <w:tcBorders>
              <w:top w:val="nil"/>
              <w:bottom w:val="nil"/>
            </w:tcBorders>
          </w:tcPr>
          <w:p w:rsidR="00000000" w:rsidRDefault="00000000">
            <w:pPr>
              <w:pStyle w:val="a2"/>
              <w:jc w:val="center"/>
            </w:pPr>
            <w:r>
              <w:rPr>
                <w:color w:val="000000"/>
              </w:rPr>
              <w:t>1994</w:t>
            </w:r>
          </w:p>
        </w:tc>
        <w:tc>
          <w:tcPr>
            <w:tcW w:w="984" w:type="pct"/>
            <w:tcBorders>
              <w:top w:val="nil"/>
              <w:bottom w:val="nil"/>
            </w:tcBorders>
          </w:tcPr>
          <w:p w:rsidR="00000000" w:rsidRDefault="00000000">
            <w:pPr>
              <w:pStyle w:val="a2"/>
              <w:tabs>
                <w:tab w:val="decimal" w:pos="1267"/>
              </w:tabs>
            </w:pPr>
            <w:r>
              <w:rPr>
                <w:color w:val="000000"/>
              </w:rPr>
              <w:t>23,790,876</w:t>
            </w:r>
          </w:p>
        </w:tc>
        <w:tc>
          <w:tcPr>
            <w:tcW w:w="984" w:type="pct"/>
            <w:tcBorders>
              <w:top w:val="nil"/>
              <w:bottom w:val="nil"/>
            </w:tcBorders>
          </w:tcPr>
          <w:p w:rsidR="00000000" w:rsidRDefault="00000000">
            <w:pPr>
              <w:pStyle w:val="a2"/>
              <w:tabs>
                <w:tab w:val="decimal" w:pos="741"/>
              </w:tabs>
              <w:rPr>
                <w:color w:val="000000"/>
              </w:rPr>
            </w:pPr>
            <w:r>
              <w:rPr>
                <w:color w:val="000000"/>
              </w:rPr>
              <w:t>-</w:t>
            </w:r>
          </w:p>
        </w:tc>
        <w:tc>
          <w:tcPr>
            <w:tcW w:w="984" w:type="pct"/>
            <w:tcBorders>
              <w:top w:val="nil"/>
              <w:bottom w:val="nil"/>
            </w:tcBorders>
          </w:tcPr>
          <w:p w:rsidR="00000000" w:rsidRDefault="00000000">
            <w:pPr>
              <w:pStyle w:val="a2"/>
              <w:tabs>
                <w:tab w:val="decimal" w:pos="1267"/>
              </w:tabs>
            </w:pPr>
            <w:r>
              <w:rPr>
                <w:color w:val="000000"/>
              </w:rPr>
              <w:t>9,785,688</w:t>
            </w:r>
          </w:p>
        </w:tc>
        <w:tc>
          <w:tcPr>
            <w:tcW w:w="1063" w:type="pct"/>
            <w:tcBorders>
              <w:top w:val="nil"/>
              <w:bottom w:val="nil"/>
            </w:tcBorders>
          </w:tcPr>
          <w:p w:rsidR="00000000" w:rsidRDefault="00000000">
            <w:pPr>
              <w:pStyle w:val="a2"/>
              <w:tabs>
                <w:tab w:val="decimal" w:pos="844"/>
              </w:tabs>
            </w:pPr>
            <w:r>
              <w:t>-</w:t>
            </w:r>
          </w:p>
        </w:tc>
      </w:tr>
      <w:tr w:rsidR="00000000">
        <w:tblPrEx>
          <w:tblCellMar>
            <w:top w:w="0" w:type="dxa"/>
          </w:tblCellMar>
        </w:tblPrEx>
        <w:tc>
          <w:tcPr>
            <w:tcW w:w="984" w:type="pct"/>
            <w:tcBorders>
              <w:top w:val="nil"/>
              <w:bottom w:val="nil"/>
            </w:tcBorders>
          </w:tcPr>
          <w:p w:rsidR="00000000" w:rsidRDefault="00000000">
            <w:pPr>
              <w:pStyle w:val="a2"/>
              <w:jc w:val="center"/>
            </w:pPr>
            <w:r>
              <w:rPr>
                <w:color w:val="000000"/>
              </w:rPr>
              <w:t>1995</w:t>
            </w:r>
          </w:p>
        </w:tc>
        <w:tc>
          <w:tcPr>
            <w:tcW w:w="984" w:type="pct"/>
            <w:tcBorders>
              <w:top w:val="nil"/>
              <w:bottom w:val="nil"/>
            </w:tcBorders>
          </w:tcPr>
          <w:p w:rsidR="00000000" w:rsidRDefault="00000000">
            <w:pPr>
              <w:pStyle w:val="a2"/>
              <w:tabs>
                <w:tab w:val="decimal" w:pos="1267"/>
              </w:tabs>
            </w:pPr>
            <w:r>
              <w:rPr>
                <w:color w:val="000000"/>
              </w:rPr>
              <w:t>24,717,807</w:t>
            </w:r>
          </w:p>
        </w:tc>
        <w:tc>
          <w:tcPr>
            <w:tcW w:w="984" w:type="pct"/>
            <w:tcBorders>
              <w:top w:val="nil"/>
              <w:bottom w:val="nil"/>
            </w:tcBorders>
          </w:tcPr>
          <w:p w:rsidR="00000000" w:rsidRDefault="00000000">
            <w:pPr>
              <w:pStyle w:val="a2"/>
              <w:tabs>
                <w:tab w:val="decimal" w:pos="741"/>
              </w:tabs>
            </w:pPr>
            <w:r>
              <w:rPr>
                <w:color w:val="000000"/>
              </w:rPr>
              <w:t>3.90</w:t>
            </w:r>
          </w:p>
        </w:tc>
        <w:tc>
          <w:tcPr>
            <w:tcW w:w="984" w:type="pct"/>
            <w:tcBorders>
              <w:top w:val="nil"/>
              <w:bottom w:val="nil"/>
            </w:tcBorders>
          </w:tcPr>
          <w:p w:rsidR="00000000" w:rsidRDefault="00000000">
            <w:pPr>
              <w:pStyle w:val="a2"/>
              <w:tabs>
                <w:tab w:val="decimal" w:pos="1267"/>
              </w:tabs>
            </w:pPr>
            <w:r>
              <w:rPr>
                <w:color w:val="000000"/>
              </w:rPr>
              <w:t>10,587,348</w:t>
            </w:r>
          </w:p>
        </w:tc>
        <w:tc>
          <w:tcPr>
            <w:tcW w:w="1063" w:type="pct"/>
            <w:tcBorders>
              <w:top w:val="nil"/>
              <w:bottom w:val="nil"/>
            </w:tcBorders>
          </w:tcPr>
          <w:p w:rsidR="00000000" w:rsidRDefault="00000000">
            <w:pPr>
              <w:pStyle w:val="a2"/>
              <w:tabs>
                <w:tab w:val="decimal" w:pos="844"/>
              </w:tabs>
            </w:pPr>
            <w:r>
              <w:rPr>
                <w:color w:val="000000"/>
              </w:rPr>
              <w:t>8.19</w:t>
            </w:r>
          </w:p>
        </w:tc>
      </w:tr>
      <w:tr w:rsidR="00000000">
        <w:tblPrEx>
          <w:tblCellMar>
            <w:top w:w="0" w:type="dxa"/>
          </w:tblCellMar>
        </w:tblPrEx>
        <w:tc>
          <w:tcPr>
            <w:tcW w:w="984" w:type="pct"/>
            <w:tcBorders>
              <w:top w:val="nil"/>
              <w:bottom w:val="nil"/>
            </w:tcBorders>
          </w:tcPr>
          <w:p w:rsidR="00000000" w:rsidRDefault="00000000">
            <w:pPr>
              <w:pStyle w:val="a2"/>
              <w:jc w:val="center"/>
            </w:pPr>
            <w:r>
              <w:rPr>
                <w:color w:val="000000"/>
              </w:rPr>
              <w:t>1996</w:t>
            </w:r>
          </w:p>
        </w:tc>
        <w:tc>
          <w:tcPr>
            <w:tcW w:w="984" w:type="pct"/>
            <w:tcBorders>
              <w:top w:val="nil"/>
              <w:bottom w:val="nil"/>
            </w:tcBorders>
          </w:tcPr>
          <w:p w:rsidR="00000000" w:rsidRDefault="00000000">
            <w:pPr>
              <w:pStyle w:val="a2"/>
              <w:tabs>
                <w:tab w:val="decimal" w:pos="1267"/>
              </w:tabs>
            </w:pPr>
            <w:r>
              <w:rPr>
                <w:color w:val="000000"/>
              </w:rPr>
              <w:t>25,167,106</w:t>
            </w:r>
          </w:p>
        </w:tc>
        <w:tc>
          <w:tcPr>
            <w:tcW w:w="984" w:type="pct"/>
            <w:tcBorders>
              <w:top w:val="nil"/>
              <w:bottom w:val="nil"/>
            </w:tcBorders>
          </w:tcPr>
          <w:p w:rsidR="00000000" w:rsidRDefault="00000000">
            <w:pPr>
              <w:pStyle w:val="a2"/>
              <w:tabs>
                <w:tab w:val="decimal" w:pos="741"/>
              </w:tabs>
            </w:pPr>
            <w:r>
              <w:t>2.10</w:t>
            </w:r>
          </w:p>
        </w:tc>
        <w:tc>
          <w:tcPr>
            <w:tcW w:w="984" w:type="pct"/>
            <w:tcBorders>
              <w:top w:val="nil"/>
              <w:bottom w:val="nil"/>
            </w:tcBorders>
          </w:tcPr>
          <w:p w:rsidR="00000000" w:rsidRDefault="00000000">
            <w:pPr>
              <w:pStyle w:val="a2"/>
              <w:tabs>
                <w:tab w:val="decimal" w:pos="1267"/>
              </w:tabs>
            </w:pPr>
            <w:r>
              <w:rPr>
                <w:color w:val="000000"/>
              </w:rPr>
              <w:t>11,366,184</w:t>
            </w:r>
          </w:p>
        </w:tc>
        <w:tc>
          <w:tcPr>
            <w:tcW w:w="1063" w:type="pct"/>
            <w:tcBorders>
              <w:top w:val="nil"/>
              <w:bottom w:val="nil"/>
            </w:tcBorders>
          </w:tcPr>
          <w:p w:rsidR="00000000" w:rsidRDefault="00000000">
            <w:pPr>
              <w:pStyle w:val="a2"/>
              <w:tabs>
                <w:tab w:val="decimal" w:pos="844"/>
              </w:tabs>
            </w:pPr>
            <w:r>
              <w:rPr>
                <w:color w:val="000000"/>
              </w:rPr>
              <w:t>7.36</w:t>
            </w:r>
          </w:p>
        </w:tc>
      </w:tr>
      <w:tr w:rsidR="00000000">
        <w:tblPrEx>
          <w:tblCellMar>
            <w:top w:w="0" w:type="dxa"/>
          </w:tblCellMar>
        </w:tblPrEx>
        <w:tc>
          <w:tcPr>
            <w:tcW w:w="984" w:type="pct"/>
            <w:tcBorders>
              <w:top w:val="nil"/>
              <w:bottom w:val="nil"/>
            </w:tcBorders>
          </w:tcPr>
          <w:p w:rsidR="00000000" w:rsidRDefault="00000000">
            <w:pPr>
              <w:pStyle w:val="a2"/>
              <w:jc w:val="center"/>
            </w:pPr>
            <w:r>
              <w:rPr>
                <w:color w:val="000000"/>
              </w:rPr>
              <w:t>1997</w:t>
            </w:r>
          </w:p>
        </w:tc>
        <w:tc>
          <w:tcPr>
            <w:tcW w:w="984" w:type="pct"/>
            <w:tcBorders>
              <w:top w:val="nil"/>
              <w:bottom w:val="nil"/>
            </w:tcBorders>
          </w:tcPr>
          <w:p w:rsidR="00000000" w:rsidRDefault="00000000">
            <w:pPr>
              <w:pStyle w:val="a2"/>
              <w:tabs>
                <w:tab w:val="decimal" w:pos="1267"/>
              </w:tabs>
            </w:pPr>
            <w:r>
              <w:t>25,709,397</w:t>
            </w:r>
          </w:p>
        </w:tc>
        <w:tc>
          <w:tcPr>
            <w:tcW w:w="984" w:type="pct"/>
            <w:tcBorders>
              <w:top w:val="nil"/>
              <w:bottom w:val="nil"/>
            </w:tcBorders>
          </w:tcPr>
          <w:p w:rsidR="00000000" w:rsidRDefault="00000000">
            <w:pPr>
              <w:pStyle w:val="a2"/>
              <w:tabs>
                <w:tab w:val="decimal" w:pos="741"/>
              </w:tabs>
            </w:pPr>
            <w:r>
              <w:t>5.99</w:t>
            </w:r>
          </w:p>
        </w:tc>
        <w:tc>
          <w:tcPr>
            <w:tcW w:w="984" w:type="pct"/>
            <w:tcBorders>
              <w:top w:val="nil"/>
              <w:bottom w:val="nil"/>
            </w:tcBorders>
          </w:tcPr>
          <w:p w:rsidR="00000000" w:rsidRDefault="00000000">
            <w:pPr>
              <w:pStyle w:val="a2"/>
              <w:tabs>
                <w:tab w:val="decimal" w:pos="1267"/>
              </w:tabs>
            </w:pPr>
            <w:r>
              <w:rPr>
                <w:color w:val="000000"/>
              </w:rPr>
              <w:t>12,003,158</w:t>
            </w:r>
          </w:p>
        </w:tc>
        <w:tc>
          <w:tcPr>
            <w:tcW w:w="1063" w:type="pct"/>
            <w:tcBorders>
              <w:top w:val="nil"/>
              <w:bottom w:val="nil"/>
            </w:tcBorders>
          </w:tcPr>
          <w:p w:rsidR="00000000" w:rsidRDefault="00000000">
            <w:pPr>
              <w:pStyle w:val="a2"/>
              <w:tabs>
                <w:tab w:val="decimal" w:pos="844"/>
              </w:tabs>
            </w:pPr>
            <w:r>
              <w:rPr>
                <w:color w:val="000000"/>
              </w:rPr>
              <w:t>5.60</w:t>
            </w:r>
          </w:p>
        </w:tc>
      </w:tr>
      <w:tr w:rsidR="00000000">
        <w:tblPrEx>
          <w:tblCellMar>
            <w:top w:w="0" w:type="dxa"/>
          </w:tblCellMar>
        </w:tblPrEx>
        <w:tc>
          <w:tcPr>
            <w:tcW w:w="984" w:type="pct"/>
            <w:tcBorders>
              <w:top w:val="nil"/>
            </w:tcBorders>
          </w:tcPr>
          <w:p w:rsidR="00000000" w:rsidRDefault="00000000">
            <w:pPr>
              <w:pStyle w:val="a2"/>
              <w:jc w:val="center"/>
            </w:pPr>
            <w:r>
              <w:rPr>
                <w:color w:val="000000"/>
              </w:rPr>
              <w:t>1998</w:t>
            </w:r>
          </w:p>
        </w:tc>
        <w:tc>
          <w:tcPr>
            <w:tcW w:w="984" w:type="pct"/>
            <w:tcBorders>
              <w:top w:val="nil"/>
            </w:tcBorders>
          </w:tcPr>
          <w:p w:rsidR="00000000" w:rsidRDefault="00000000">
            <w:pPr>
              <w:pStyle w:val="a2"/>
              <w:tabs>
                <w:tab w:val="decimal" w:pos="1267"/>
              </w:tabs>
            </w:pPr>
            <w:r>
              <w:t>27,729,369</w:t>
            </w:r>
          </w:p>
        </w:tc>
        <w:tc>
          <w:tcPr>
            <w:tcW w:w="984" w:type="pct"/>
            <w:tcBorders>
              <w:top w:val="nil"/>
            </w:tcBorders>
          </w:tcPr>
          <w:p w:rsidR="00000000" w:rsidRDefault="00000000">
            <w:pPr>
              <w:pStyle w:val="a2"/>
              <w:tabs>
                <w:tab w:val="decimal" w:pos="741"/>
              </w:tabs>
            </w:pPr>
            <w:r>
              <w:t>7.28</w:t>
            </w:r>
          </w:p>
        </w:tc>
        <w:tc>
          <w:tcPr>
            <w:tcW w:w="984" w:type="pct"/>
            <w:tcBorders>
              <w:top w:val="nil"/>
            </w:tcBorders>
          </w:tcPr>
          <w:p w:rsidR="00000000" w:rsidRDefault="00000000">
            <w:pPr>
              <w:pStyle w:val="a2"/>
              <w:tabs>
                <w:tab w:val="decimal" w:pos="1267"/>
              </w:tabs>
            </w:pPr>
            <w:r>
              <w:rPr>
                <w:color w:val="000000"/>
              </w:rPr>
              <w:t>13,871,465</w:t>
            </w:r>
          </w:p>
        </w:tc>
        <w:tc>
          <w:tcPr>
            <w:tcW w:w="1063" w:type="pct"/>
            <w:tcBorders>
              <w:top w:val="nil"/>
            </w:tcBorders>
          </w:tcPr>
          <w:p w:rsidR="00000000" w:rsidRDefault="00000000">
            <w:pPr>
              <w:pStyle w:val="a2"/>
              <w:tabs>
                <w:tab w:val="decimal" w:pos="844"/>
              </w:tabs>
            </w:pPr>
            <w:r>
              <w:rPr>
                <w:color w:val="000000"/>
              </w:rPr>
              <w:t>15.57</w:t>
            </w:r>
          </w:p>
        </w:tc>
      </w:tr>
    </w:tbl>
    <w:p w:rsidR="00000000" w:rsidRDefault="00000000">
      <w:pPr>
        <w:pStyle w:val="FootnoteText"/>
        <w:spacing w:before="240"/>
        <w:rPr>
          <w:rFonts w:hint="eastAsia"/>
          <w:sz w:val="22"/>
        </w:rPr>
      </w:pPr>
      <w:r>
        <w:rPr>
          <w:rFonts w:hint="eastAsia"/>
          <w:u w:val="single"/>
          <w:lang w:val="fr-CH"/>
        </w:rPr>
        <w:t>资料来源</w:t>
      </w:r>
      <w:r>
        <w:t>：</w:t>
      </w:r>
      <w:r>
        <w:rPr>
          <w:rFonts w:hint="eastAsia"/>
        </w:rPr>
        <w:t>2000</w:t>
      </w:r>
      <w:r>
        <w:rPr>
          <w:rFonts w:hint="eastAsia"/>
          <w:lang w:val="fr-CH"/>
        </w:rPr>
        <w:t>年</w:t>
      </w:r>
      <w:r>
        <w:rPr>
          <w:rFonts w:hint="eastAsia"/>
        </w:rPr>
        <w:t>3</w:t>
      </w:r>
      <w:r>
        <w:rPr>
          <w:rFonts w:hint="eastAsia"/>
          <w:lang w:val="fr-CH"/>
        </w:rPr>
        <w:t>月</w:t>
      </w:r>
      <w:r>
        <w:t>Min-Beni Culturali e Ambientali</w:t>
      </w:r>
      <w:r>
        <w:rPr>
          <w:rFonts w:hint="eastAsia"/>
          <w:sz w:val="22"/>
        </w:rPr>
        <w:t>。</w:t>
      </w:r>
    </w:p>
    <w:p w:rsidR="00000000" w:rsidRDefault="00000000">
      <w:pPr>
        <w:rPr>
          <w:rFonts w:hint="eastAsia"/>
        </w:rPr>
      </w:pPr>
    </w:p>
    <w:p w:rsidR="00000000" w:rsidRDefault="00000000">
      <w:pPr>
        <w:spacing w:after="320"/>
        <w:ind w:firstLine="539"/>
        <w:rPr>
          <w:rFonts w:hint="eastAsia"/>
        </w:rPr>
      </w:pPr>
      <w:r>
        <w:rPr>
          <w:rFonts w:hint="eastAsia"/>
        </w:rPr>
        <w:t xml:space="preserve">284.  </w:t>
      </w:r>
      <w:r>
        <w:rPr>
          <w:rFonts w:hint="eastAsia"/>
        </w:rPr>
        <w:t>一个重要指标是以下图表显示的家庭娱乐和文化活动近年的开支趋势：</w:t>
      </w:r>
    </w:p>
    <w:p w:rsidR="00000000" w:rsidRDefault="00000000">
      <w:pPr>
        <w:pStyle w:val="Heading3"/>
        <w:spacing w:after="160"/>
        <w:rPr>
          <w:rFonts w:hint="eastAsia"/>
        </w:rPr>
      </w:pPr>
      <w:r>
        <w:rPr>
          <w:rFonts w:hint="eastAsia"/>
          <w:u w:val="none"/>
        </w:rPr>
        <w:t>表</w:t>
      </w:r>
      <w:r>
        <w:rPr>
          <w:rFonts w:hint="eastAsia"/>
          <w:u w:val="none"/>
        </w:rPr>
        <w:t xml:space="preserve">7.  </w:t>
      </w:r>
      <w:r>
        <w:rPr>
          <w:rFonts w:hint="eastAsia"/>
        </w:rPr>
        <w:t>娱乐和文化活动开支</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31" w:type="dxa"/>
          <w:bottom w:w="113" w:type="dxa"/>
          <w:right w:w="31" w:type="dxa"/>
        </w:tblCellMar>
        <w:tblLook w:val="0000" w:firstRow="0" w:lastRow="0" w:firstColumn="0" w:lastColumn="0" w:noHBand="0" w:noVBand="0"/>
      </w:tblPr>
      <w:tblGrid>
        <w:gridCol w:w="1922"/>
        <w:gridCol w:w="1070"/>
        <w:gridCol w:w="1070"/>
        <w:gridCol w:w="1070"/>
        <w:gridCol w:w="1072"/>
        <w:gridCol w:w="1070"/>
        <w:gridCol w:w="1070"/>
        <w:gridCol w:w="1072"/>
      </w:tblGrid>
      <w:tr w:rsidR="00000000">
        <w:tblPrEx>
          <w:tblCellMar>
            <w:top w:w="0" w:type="dxa"/>
          </w:tblCellMar>
        </w:tblPrEx>
        <w:trPr>
          <w:trHeight w:val="499"/>
        </w:trPr>
        <w:tc>
          <w:tcPr>
            <w:tcW w:w="1021" w:type="pct"/>
            <w:tcBorders>
              <w:bottom w:val="single" w:sz="6" w:space="0" w:color="auto"/>
            </w:tcBorders>
          </w:tcPr>
          <w:p w:rsidR="00000000" w:rsidRDefault="00000000">
            <w:pPr>
              <w:pStyle w:val="a2"/>
              <w:spacing w:before="240" w:line="280" w:lineRule="exact"/>
              <w:jc w:val="center"/>
              <w:rPr>
                <w:rFonts w:hint="eastAsia"/>
                <w:u w:val="single"/>
              </w:rPr>
            </w:pPr>
            <w:r>
              <w:rPr>
                <w:rFonts w:hint="eastAsia"/>
                <w:u w:val="single"/>
              </w:rPr>
              <w:t>支出类别</w:t>
            </w:r>
          </w:p>
        </w:tc>
        <w:tc>
          <w:tcPr>
            <w:tcW w:w="568" w:type="pct"/>
            <w:tcBorders>
              <w:bottom w:val="single" w:sz="6" w:space="0" w:color="auto"/>
            </w:tcBorders>
          </w:tcPr>
          <w:p w:rsidR="00000000" w:rsidRDefault="00000000">
            <w:pPr>
              <w:pStyle w:val="a2"/>
              <w:spacing w:before="240" w:line="280" w:lineRule="exact"/>
              <w:jc w:val="center"/>
              <w:rPr>
                <w:rFonts w:hint="eastAsia"/>
                <w:u w:val="single"/>
              </w:rPr>
            </w:pPr>
            <w:r>
              <w:rPr>
                <w:u w:val="single"/>
              </w:rPr>
              <w:t>1992</w:t>
            </w:r>
            <w:r>
              <w:rPr>
                <w:rFonts w:hint="eastAsia"/>
                <w:u w:val="single"/>
              </w:rPr>
              <w:t>年</w:t>
            </w:r>
          </w:p>
        </w:tc>
        <w:tc>
          <w:tcPr>
            <w:tcW w:w="568" w:type="pct"/>
            <w:tcBorders>
              <w:bottom w:val="single" w:sz="6" w:space="0" w:color="auto"/>
            </w:tcBorders>
          </w:tcPr>
          <w:p w:rsidR="00000000" w:rsidRDefault="00000000">
            <w:pPr>
              <w:pStyle w:val="a2"/>
              <w:spacing w:before="240" w:line="280" w:lineRule="exact"/>
              <w:jc w:val="center"/>
              <w:rPr>
                <w:rFonts w:hint="eastAsia"/>
                <w:u w:val="single"/>
              </w:rPr>
            </w:pPr>
            <w:r>
              <w:rPr>
                <w:u w:val="single"/>
              </w:rPr>
              <w:t>1995</w:t>
            </w:r>
            <w:r>
              <w:rPr>
                <w:rFonts w:hint="eastAsia"/>
                <w:u w:val="single"/>
              </w:rPr>
              <w:t>年</w:t>
            </w:r>
          </w:p>
        </w:tc>
        <w:tc>
          <w:tcPr>
            <w:tcW w:w="568" w:type="pct"/>
            <w:tcBorders>
              <w:bottom w:val="single" w:sz="6" w:space="0" w:color="auto"/>
            </w:tcBorders>
          </w:tcPr>
          <w:p w:rsidR="00000000" w:rsidRDefault="00000000">
            <w:pPr>
              <w:pStyle w:val="a2"/>
              <w:spacing w:before="240" w:line="280" w:lineRule="exact"/>
              <w:jc w:val="center"/>
              <w:rPr>
                <w:rFonts w:hint="eastAsia"/>
                <w:u w:val="single"/>
              </w:rPr>
            </w:pPr>
            <w:r>
              <w:rPr>
                <w:u w:val="single"/>
              </w:rPr>
              <w:t>1996</w:t>
            </w:r>
            <w:r>
              <w:rPr>
                <w:rFonts w:hint="eastAsia"/>
                <w:u w:val="single"/>
              </w:rPr>
              <w:t>年</w:t>
            </w:r>
          </w:p>
        </w:tc>
        <w:tc>
          <w:tcPr>
            <w:tcW w:w="569" w:type="pct"/>
            <w:tcBorders>
              <w:bottom w:val="single" w:sz="6" w:space="0" w:color="auto"/>
            </w:tcBorders>
          </w:tcPr>
          <w:p w:rsidR="00000000" w:rsidRDefault="00000000">
            <w:pPr>
              <w:pStyle w:val="a2"/>
              <w:spacing w:before="240" w:line="280" w:lineRule="exact"/>
              <w:jc w:val="center"/>
              <w:rPr>
                <w:rFonts w:hint="eastAsia"/>
                <w:u w:val="single"/>
              </w:rPr>
            </w:pPr>
            <w:r>
              <w:rPr>
                <w:u w:val="single"/>
              </w:rPr>
              <w:t>1997</w:t>
            </w:r>
            <w:r>
              <w:rPr>
                <w:rFonts w:hint="eastAsia"/>
                <w:u w:val="single"/>
              </w:rPr>
              <w:t>年</w:t>
            </w:r>
          </w:p>
        </w:tc>
        <w:tc>
          <w:tcPr>
            <w:tcW w:w="568" w:type="pct"/>
            <w:tcBorders>
              <w:bottom w:val="single" w:sz="6" w:space="0" w:color="auto"/>
            </w:tcBorders>
          </w:tcPr>
          <w:p w:rsidR="00000000" w:rsidRDefault="00000000">
            <w:pPr>
              <w:pStyle w:val="a2"/>
              <w:spacing w:before="240" w:line="280" w:lineRule="exact"/>
              <w:jc w:val="center"/>
              <w:rPr>
                <w:rFonts w:hint="eastAsia"/>
                <w:u w:val="single"/>
              </w:rPr>
            </w:pPr>
            <w:r>
              <w:rPr>
                <w:u w:val="single"/>
              </w:rPr>
              <w:t>1998</w:t>
            </w:r>
            <w:r>
              <w:rPr>
                <w:rFonts w:hint="eastAsia"/>
                <w:u w:val="single"/>
              </w:rPr>
              <w:t>年</w:t>
            </w:r>
          </w:p>
        </w:tc>
        <w:tc>
          <w:tcPr>
            <w:tcW w:w="568" w:type="pct"/>
            <w:tcBorders>
              <w:bottom w:val="single" w:sz="6" w:space="0" w:color="auto"/>
            </w:tcBorders>
          </w:tcPr>
          <w:p w:rsidR="00000000" w:rsidRDefault="00000000">
            <w:pPr>
              <w:pStyle w:val="a2"/>
              <w:spacing w:before="240" w:line="280" w:lineRule="exact"/>
              <w:jc w:val="center"/>
              <w:rPr>
                <w:rFonts w:hint="eastAsia"/>
                <w:u w:val="single"/>
              </w:rPr>
            </w:pPr>
            <w:r>
              <w:rPr>
                <w:u w:val="single"/>
              </w:rPr>
              <w:t>1999</w:t>
            </w:r>
            <w:r>
              <w:rPr>
                <w:rFonts w:hint="eastAsia"/>
                <w:u w:val="single"/>
              </w:rPr>
              <w:t>年</w:t>
            </w:r>
          </w:p>
        </w:tc>
        <w:tc>
          <w:tcPr>
            <w:tcW w:w="569" w:type="pct"/>
            <w:tcBorders>
              <w:bottom w:val="single" w:sz="6" w:space="0" w:color="auto"/>
            </w:tcBorders>
          </w:tcPr>
          <w:p w:rsidR="00000000" w:rsidRDefault="00000000">
            <w:pPr>
              <w:pStyle w:val="a2"/>
              <w:spacing w:line="280" w:lineRule="exact"/>
              <w:jc w:val="center"/>
              <w:rPr>
                <w:u w:val="single"/>
              </w:rPr>
            </w:pPr>
            <w:r>
              <w:rPr>
                <w:spacing w:val="-2"/>
                <w:u w:val="single"/>
              </w:rPr>
              <w:t>1999/199</w:t>
            </w:r>
            <w:r>
              <w:rPr>
                <w:rFonts w:hint="eastAsia"/>
                <w:spacing w:val="-2"/>
                <w:u w:val="single"/>
              </w:rPr>
              <w:t>2</w:t>
            </w:r>
            <w:r>
              <w:rPr>
                <w:rFonts w:hint="eastAsia"/>
                <w:spacing w:val="-2"/>
                <w:u w:val="single"/>
              </w:rPr>
              <w:t>年</w:t>
            </w:r>
            <w:r>
              <w:rPr>
                <w:rFonts w:hint="eastAsia"/>
                <w:u w:val="single"/>
              </w:rPr>
              <w:t>增长</w:t>
            </w:r>
            <w:r>
              <w:rPr>
                <w:rFonts w:hint="eastAsia"/>
                <w:u w:val="single"/>
              </w:rPr>
              <w:t>%</w:t>
            </w:r>
          </w:p>
        </w:tc>
      </w:tr>
      <w:tr w:rsidR="00000000">
        <w:tblPrEx>
          <w:tblCellMar>
            <w:top w:w="0" w:type="dxa"/>
          </w:tblCellMar>
        </w:tblPrEx>
        <w:trPr>
          <w:trHeight w:val="250"/>
        </w:trPr>
        <w:tc>
          <w:tcPr>
            <w:tcW w:w="1021" w:type="pct"/>
            <w:tcBorders>
              <w:top w:val="single" w:sz="6" w:space="0" w:color="auto"/>
              <w:bottom w:val="nil"/>
            </w:tcBorders>
          </w:tcPr>
          <w:p w:rsidR="00000000" w:rsidRDefault="00000000">
            <w:pPr>
              <w:pStyle w:val="a2"/>
              <w:ind w:left="57"/>
              <w:rPr>
                <w:rFonts w:hint="eastAsia"/>
              </w:rPr>
            </w:pPr>
            <w:r>
              <w:rPr>
                <w:rFonts w:hint="eastAsia"/>
              </w:rPr>
              <w:t>食品</w:t>
            </w:r>
          </w:p>
        </w:tc>
        <w:tc>
          <w:tcPr>
            <w:tcW w:w="568" w:type="pct"/>
            <w:tcBorders>
              <w:top w:val="single" w:sz="6" w:space="0" w:color="auto"/>
              <w:bottom w:val="nil"/>
            </w:tcBorders>
          </w:tcPr>
          <w:p w:rsidR="00000000" w:rsidRDefault="00000000">
            <w:pPr>
              <w:pStyle w:val="a2"/>
              <w:tabs>
                <w:tab w:val="decimal" w:pos="704"/>
              </w:tabs>
            </w:pPr>
            <w:r>
              <w:t>156,975</w:t>
            </w:r>
          </w:p>
        </w:tc>
        <w:tc>
          <w:tcPr>
            <w:tcW w:w="568" w:type="pct"/>
            <w:tcBorders>
              <w:top w:val="single" w:sz="6" w:space="0" w:color="auto"/>
              <w:bottom w:val="nil"/>
            </w:tcBorders>
          </w:tcPr>
          <w:p w:rsidR="00000000" w:rsidRDefault="00000000">
            <w:pPr>
              <w:pStyle w:val="a2"/>
              <w:tabs>
                <w:tab w:val="decimal" w:pos="704"/>
              </w:tabs>
            </w:pPr>
            <w:r>
              <w:t>190,580</w:t>
            </w:r>
          </w:p>
        </w:tc>
        <w:tc>
          <w:tcPr>
            <w:tcW w:w="568" w:type="pct"/>
            <w:tcBorders>
              <w:top w:val="single" w:sz="6" w:space="0" w:color="auto"/>
              <w:bottom w:val="nil"/>
            </w:tcBorders>
          </w:tcPr>
          <w:p w:rsidR="00000000" w:rsidRDefault="00000000">
            <w:pPr>
              <w:pStyle w:val="a2"/>
              <w:tabs>
                <w:tab w:val="decimal" w:pos="704"/>
              </w:tabs>
            </w:pPr>
            <w:r>
              <w:t>186,966</w:t>
            </w:r>
          </w:p>
        </w:tc>
        <w:tc>
          <w:tcPr>
            <w:tcW w:w="569" w:type="pct"/>
            <w:tcBorders>
              <w:top w:val="single" w:sz="6" w:space="0" w:color="auto"/>
              <w:bottom w:val="nil"/>
            </w:tcBorders>
          </w:tcPr>
          <w:p w:rsidR="00000000" w:rsidRDefault="00000000">
            <w:pPr>
              <w:pStyle w:val="a2"/>
              <w:tabs>
                <w:tab w:val="decimal" w:pos="704"/>
              </w:tabs>
            </w:pPr>
            <w:r>
              <w:t>185,009</w:t>
            </w:r>
          </w:p>
        </w:tc>
        <w:tc>
          <w:tcPr>
            <w:tcW w:w="568" w:type="pct"/>
            <w:tcBorders>
              <w:top w:val="single" w:sz="6" w:space="0" w:color="auto"/>
              <w:bottom w:val="nil"/>
            </w:tcBorders>
          </w:tcPr>
          <w:p w:rsidR="00000000" w:rsidRDefault="00000000">
            <w:pPr>
              <w:pStyle w:val="a2"/>
              <w:tabs>
                <w:tab w:val="decimal" w:pos="704"/>
              </w:tabs>
            </w:pPr>
            <w:r>
              <w:t>185,699</w:t>
            </w:r>
          </w:p>
        </w:tc>
        <w:tc>
          <w:tcPr>
            <w:tcW w:w="568" w:type="pct"/>
            <w:tcBorders>
              <w:top w:val="single" w:sz="6" w:space="0" w:color="auto"/>
              <w:bottom w:val="nil"/>
            </w:tcBorders>
          </w:tcPr>
          <w:p w:rsidR="00000000" w:rsidRDefault="00000000">
            <w:pPr>
              <w:pStyle w:val="a2"/>
              <w:tabs>
                <w:tab w:val="decimal" w:pos="704"/>
              </w:tabs>
            </w:pPr>
            <w:r>
              <w:t>187,156</w:t>
            </w:r>
          </w:p>
        </w:tc>
        <w:tc>
          <w:tcPr>
            <w:tcW w:w="569" w:type="pct"/>
            <w:tcBorders>
              <w:top w:val="single" w:sz="6" w:space="0" w:color="auto"/>
              <w:bottom w:val="nil"/>
            </w:tcBorders>
          </w:tcPr>
          <w:p w:rsidR="00000000" w:rsidRDefault="00000000">
            <w:pPr>
              <w:pStyle w:val="a2"/>
              <w:tabs>
                <w:tab w:val="decimal" w:pos="502"/>
              </w:tabs>
            </w:pPr>
            <w:r>
              <w:t>16.13</w:t>
            </w:r>
          </w:p>
        </w:tc>
      </w:tr>
      <w:tr w:rsidR="00000000">
        <w:tblPrEx>
          <w:tblCellMar>
            <w:top w:w="0" w:type="dxa"/>
          </w:tblCellMar>
        </w:tblPrEx>
        <w:trPr>
          <w:trHeight w:val="250"/>
        </w:trPr>
        <w:tc>
          <w:tcPr>
            <w:tcW w:w="1021" w:type="pct"/>
            <w:tcBorders>
              <w:top w:val="nil"/>
              <w:bottom w:val="nil"/>
            </w:tcBorders>
          </w:tcPr>
          <w:p w:rsidR="00000000" w:rsidRDefault="00000000">
            <w:pPr>
              <w:pStyle w:val="a2"/>
              <w:spacing w:line="280" w:lineRule="exact"/>
              <w:ind w:left="57"/>
              <w:rPr>
                <w:rFonts w:hint="eastAsia"/>
              </w:rPr>
            </w:pPr>
            <w:r>
              <w:rPr>
                <w:rFonts w:hint="eastAsia"/>
              </w:rPr>
              <w:t>衣服和鞋</w:t>
            </w:r>
          </w:p>
        </w:tc>
        <w:tc>
          <w:tcPr>
            <w:tcW w:w="568" w:type="pct"/>
            <w:tcBorders>
              <w:top w:val="nil"/>
              <w:bottom w:val="nil"/>
            </w:tcBorders>
          </w:tcPr>
          <w:p w:rsidR="00000000" w:rsidRDefault="00000000">
            <w:pPr>
              <w:pStyle w:val="a2"/>
              <w:tabs>
                <w:tab w:val="decimal" w:pos="704"/>
              </w:tabs>
              <w:spacing w:line="280" w:lineRule="exact"/>
            </w:pPr>
            <w:r>
              <w:t>83,786</w:t>
            </w:r>
          </w:p>
        </w:tc>
        <w:tc>
          <w:tcPr>
            <w:tcW w:w="568" w:type="pct"/>
            <w:tcBorders>
              <w:top w:val="nil"/>
              <w:bottom w:val="nil"/>
            </w:tcBorders>
          </w:tcPr>
          <w:p w:rsidR="00000000" w:rsidRDefault="00000000">
            <w:pPr>
              <w:pStyle w:val="a2"/>
              <w:tabs>
                <w:tab w:val="decimal" w:pos="704"/>
              </w:tabs>
              <w:spacing w:line="280" w:lineRule="exact"/>
            </w:pPr>
            <w:r>
              <w:t>101,301</w:t>
            </w:r>
          </w:p>
        </w:tc>
        <w:tc>
          <w:tcPr>
            <w:tcW w:w="568" w:type="pct"/>
            <w:tcBorders>
              <w:top w:val="nil"/>
              <w:bottom w:val="nil"/>
            </w:tcBorders>
          </w:tcPr>
          <w:p w:rsidR="00000000" w:rsidRDefault="00000000">
            <w:pPr>
              <w:pStyle w:val="a2"/>
              <w:tabs>
                <w:tab w:val="decimal" w:pos="704"/>
              </w:tabs>
              <w:spacing w:line="280" w:lineRule="exact"/>
            </w:pPr>
            <w:r>
              <w:t>102,206</w:t>
            </w:r>
          </w:p>
        </w:tc>
        <w:tc>
          <w:tcPr>
            <w:tcW w:w="569" w:type="pct"/>
            <w:tcBorders>
              <w:top w:val="nil"/>
              <w:bottom w:val="nil"/>
            </w:tcBorders>
          </w:tcPr>
          <w:p w:rsidR="00000000" w:rsidRDefault="00000000">
            <w:pPr>
              <w:pStyle w:val="a2"/>
              <w:tabs>
                <w:tab w:val="decimal" w:pos="704"/>
              </w:tabs>
              <w:spacing w:line="280" w:lineRule="exact"/>
            </w:pPr>
            <w:r>
              <w:t>102,306</w:t>
            </w:r>
          </w:p>
        </w:tc>
        <w:tc>
          <w:tcPr>
            <w:tcW w:w="568" w:type="pct"/>
            <w:tcBorders>
              <w:top w:val="nil"/>
              <w:bottom w:val="nil"/>
            </w:tcBorders>
          </w:tcPr>
          <w:p w:rsidR="00000000" w:rsidRDefault="00000000">
            <w:pPr>
              <w:pStyle w:val="a2"/>
              <w:tabs>
                <w:tab w:val="decimal" w:pos="704"/>
              </w:tabs>
              <w:spacing w:line="280" w:lineRule="exact"/>
            </w:pPr>
            <w:r>
              <w:t>104,636</w:t>
            </w:r>
          </w:p>
        </w:tc>
        <w:tc>
          <w:tcPr>
            <w:tcW w:w="568" w:type="pct"/>
            <w:tcBorders>
              <w:top w:val="nil"/>
              <w:bottom w:val="nil"/>
            </w:tcBorders>
          </w:tcPr>
          <w:p w:rsidR="00000000" w:rsidRDefault="00000000">
            <w:pPr>
              <w:pStyle w:val="a2"/>
              <w:tabs>
                <w:tab w:val="decimal" w:pos="704"/>
              </w:tabs>
              <w:spacing w:line="280" w:lineRule="exact"/>
            </w:pPr>
            <w:r>
              <w:t>106,269</w:t>
            </w:r>
          </w:p>
        </w:tc>
        <w:tc>
          <w:tcPr>
            <w:tcW w:w="569" w:type="pct"/>
            <w:tcBorders>
              <w:top w:val="nil"/>
              <w:bottom w:val="nil"/>
            </w:tcBorders>
          </w:tcPr>
          <w:p w:rsidR="00000000" w:rsidRDefault="00000000">
            <w:pPr>
              <w:pStyle w:val="a2"/>
              <w:tabs>
                <w:tab w:val="decimal" w:pos="502"/>
              </w:tabs>
              <w:spacing w:line="280" w:lineRule="exact"/>
            </w:pPr>
            <w:r>
              <w:t>21.16</w:t>
            </w:r>
          </w:p>
        </w:tc>
      </w:tr>
      <w:tr w:rsidR="00000000">
        <w:tblPrEx>
          <w:tblCellMar>
            <w:top w:w="0" w:type="dxa"/>
          </w:tblCellMar>
        </w:tblPrEx>
        <w:trPr>
          <w:trHeight w:val="250"/>
        </w:trPr>
        <w:tc>
          <w:tcPr>
            <w:tcW w:w="1021" w:type="pct"/>
            <w:tcBorders>
              <w:top w:val="nil"/>
              <w:bottom w:val="nil"/>
            </w:tcBorders>
          </w:tcPr>
          <w:p w:rsidR="00000000" w:rsidRDefault="00000000">
            <w:pPr>
              <w:pStyle w:val="a2"/>
              <w:spacing w:line="280" w:lineRule="exact"/>
              <w:ind w:left="57"/>
              <w:rPr>
                <w:rFonts w:hint="eastAsia"/>
              </w:rPr>
            </w:pPr>
            <w:r>
              <w:rPr>
                <w:rFonts w:hint="eastAsia"/>
              </w:rPr>
              <w:t>家庭能源</w:t>
            </w:r>
            <w:r>
              <w:t>/</w:t>
            </w:r>
            <w:r>
              <w:rPr>
                <w:rFonts w:hint="eastAsia"/>
              </w:rPr>
              <w:t>电力</w:t>
            </w:r>
          </w:p>
        </w:tc>
        <w:tc>
          <w:tcPr>
            <w:tcW w:w="568" w:type="pct"/>
            <w:tcBorders>
              <w:top w:val="nil"/>
              <w:bottom w:val="nil"/>
            </w:tcBorders>
          </w:tcPr>
          <w:p w:rsidR="00000000" w:rsidRDefault="00000000">
            <w:pPr>
              <w:pStyle w:val="a2"/>
              <w:tabs>
                <w:tab w:val="decimal" w:pos="704"/>
              </w:tabs>
              <w:spacing w:line="280" w:lineRule="exact"/>
            </w:pPr>
            <w:r>
              <w:t>121,715</w:t>
            </w:r>
          </w:p>
        </w:tc>
        <w:tc>
          <w:tcPr>
            <w:tcW w:w="568" w:type="pct"/>
            <w:tcBorders>
              <w:top w:val="nil"/>
              <w:bottom w:val="nil"/>
            </w:tcBorders>
          </w:tcPr>
          <w:p w:rsidR="00000000" w:rsidRDefault="00000000">
            <w:pPr>
              <w:pStyle w:val="a2"/>
              <w:tabs>
                <w:tab w:val="decimal" w:pos="704"/>
              </w:tabs>
              <w:spacing w:line="280" w:lineRule="exact"/>
            </w:pPr>
            <w:r>
              <w:t>201,163</w:t>
            </w:r>
          </w:p>
        </w:tc>
        <w:tc>
          <w:tcPr>
            <w:tcW w:w="568" w:type="pct"/>
            <w:tcBorders>
              <w:top w:val="nil"/>
              <w:bottom w:val="nil"/>
            </w:tcBorders>
          </w:tcPr>
          <w:p w:rsidR="00000000" w:rsidRDefault="00000000">
            <w:pPr>
              <w:pStyle w:val="a2"/>
              <w:tabs>
                <w:tab w:val="decimal" w:pos="704"/>
              </w:tabs>
              <w:spacing w:line="280" w:lineRule="exact"/>
            </w:pPr>
            <w:r>
              <w:t>206,887</w:t>
            </w:r>
          </w:p>
        </w:tc>
        <w:tc>
          <w:tcPr>
            <w:tcW w:w="569" w:type="pct"/>
            <w:tcBorders>
              <w:top w:val="nil"/>
              <w:bottom w:val="nil"/>
            </w:tcBorders>
          </w:tcPr>
          <w:p w:rsidR="00000000" w:rsidRDefault="00000000">
            <w:pPr>
              <w:pStyle w:val="a2"/>
              <w:tabs>
                <w:tab w:val="decimal" w:pos="704"/>
              </w:tabs>
              <w:spacing w:line="280" w:lineRule="exact"/>
            </w:pPr>
            <w:r>
              <w:t>210,572</w:t>
            </w:r>
          </w:p>
        </w:tc>
        <w:tc>
          <w:tcPr>
            <w:tcW w:w="568" w:type="pct"/>
            <w:tcBorders>
              <w:top w:val="nil"/>
              <w:bottom w:val="nil"/>
            </w:tcBorders>
          </w:tcPr>
          <w:p w:rsidR="00000000" w:rsidRDefault="00000000">
            <w:pPr>
              <w:pStyle w:val="a2"/>
              <w:tabs>
                <w:tab w:val="decimal" w:pos="704"/>
              </w:tabs>
              <w:spacing w:line="280" w:lineRule="exact"/>
            </w:pPr>
            <w:r>
              <w:t>209,874</w:t>
            </w:r>
          </w:p>
        </w:tc>
        <w:tc>
          <w:tcPr>
            <w:tcW w:w="568" w:type="pct"/>
            <w:tcBorders>
              <w:top w:val="nil"/>
              <w:bottom w:val="nil"/>
            </w:tcBorders>
          </w:tcPr>
          <w:p w:rsidR="00000000" w:rsidRDefault="00000000">
            <w:pPr>
              <w:pStyle w:val="a2"/>
              <w:tabs>
                <w:tab w:val="decimal" w:pos="704"/>
              </w:tabs>
              <w:spacing w:line="280" w:lineRule="exact"/>
            </w:pPr>
            <w:r>
              <w:t>211,222</w:t>
            </w:r>
          </w:p>
        </w:tc>
        <w:tc>
          <w:tcPr>
            <w:tcW w:w="569" w:type="pct"/>
            <w:tcBorders>
              <w:top w:val="nil"/>
              <w:bottom w:val="nil"/>
            </w:tcBorders>
          </w:tcPr>
          <w:p w:rsidR="00000000" w:rsidRDefault="00000000">
            <w:pPr>
              <w:pStyle w:val="a2"/>
              <w:tabs>
                <w:tab w:val="decimal" w:pos="502"/>
              </w:tabs>
              <w:spacing w:line="280" w:lineRule="exact"/>
            </w:pPr>
            <w:r>
              <w:t>42.38</w:t>
            </w:r>
          </w:p>
        </w:tc>
      </w:tr>
      <w:tr w:rsidR="00000000">
        <w:tblPrEx>
          <w:tblCellMar>
            <w:top w:w="0" w:type="dxa"/>
          </w:tblCellMar>
        </w:tblPrEx>
        <w:trPr>
          <w:trHeight w:val="250"/>
        </w:trPr>
        <w:tc>
          <w:tcPr>
            <w:tcW w:w="1021" w:type="pct"/>
            <w:tcBorders>
              <w:top w:val="nil"/>
              <w:bottom w:val="nil"/>
            </w:tcBorders>
          </w:tcPr>
          <w:p w:rsidR="00000000" w:rsidRDefault="00000000">
            <w:pPr>
              <w:pStyle w:val="a2"/>
              <w:spacing w:line="280" w:lineRule="exact"/>
              <w:ind w:left="57"/>
              <w:rPr>
                <w:rFonts w:hint="eastAsia"/>
              </w:rPr>
            </w:pPr>
            <w:r>
              <w:rPr>
                <w:rFonts w:hint="eastAsia"/>
                <w:lang w:val="fr-CH"/>
              </w:rPr>
              <w:t>家俱等</w:t>
            </w:r>
          </w:p>
        </w:tc>
        <w:tc>
          <w:tcPr>
            <w:tcW w:w="568" w:type="pct"/>
            <w:tcBorders>
              <w:top w:val="nil"/>
              <w:bottom w:val="nil"/>
            </w:tcBorders>
          </w:tcPr>
          <w:p w:rsidR="00000000" w:rsidRDefault="00000000">
            <w:pPr>
              <w:pStyle w:val="a2"/>
              <w:tabs>
                <w:tab w:val="decimal" w:pos="704"/>
              </w:tabs>
              <w:spacing w:line="280" w:lineRule="exact"/>
              <w:rPr>
                <w:lang w:val="fr-CH"/>
              </w:rPr>
            </w:pPr>
            <w:r>
              <w:rPr>
                <w:lang w:val="fr-CH"/>
              </w:rPr>
              <w:t>79,394</w:t>
            </w:r>
          </w:p>
        </w:tc>
        <w:tc>
          <w:tcPr>
            <w:tcW w:w="568" w:type="pct"/>
            <w:tcBorders>
              <w:top w:val="nil"/>
              <w:bottom w:val="nil"/>
            </w:tcBorders>
          </w:tcPr>
          <w:p w:rsidR="00000000" w:rsidRDefault="00000000">
            <w:pPr>
              <w:pStyle w:val="a2"/>
              <w:tabs>
                <w:tab w:val="decimal" w:pos="704"/>
              </w:tabs>
              <w:spacing w:line="280" w:lineRule="exact"/>
              <w:rPr>
                <w:lang w:val="fr-CH"/>
              </w:rPr>
            </w:pPr>
            <w:r>
              <w:rPr>
                <w:lang w:val="fr-CH"/>
              </w:rPr>
              <w:t>97,769</w:t>
            </w:r>
          </w:p>
        </w:tc>
        <w:tc>
          <w:tcPr>
            <w:tcW w:w="568" w:type="pct"/>
            <w:tcBorders>
              <w:top w:val="nil"/>
              <w:bottom w:val="nil"/>
            </w:tcBorders>
          </w:tcPr>
          <w:p w:rsidR="00000000" w:rsidRDefault="00000000">
            <w:pPr>
              <w:pStyle w:val="a2"/>
              <w:tabs>
                <w:tab w:val="decimal" w:pos="704"/>
              </w:tabs>
              <w:spacing w:line="280" w:lineRule="exact"/>
              <w:rPr>
                <w:lang w:val="fr-CH"/>
              </w:rPr>
            </w:pPr>
            <w:r>
              <w:rPr>
                <w:lang w:val="fr-CH"/>
              </w:rPr>
              <w:t>101,828</w:t>
            </w:r>
          </w:p>
        </w:tc>
        <w:tc>
          <w:tcPr>
            <w:tcW w:w="569" w:type="pct"/>
            <w:tcBorders>
              <w:top w:val="nil"/>
              <w:bottom w:val="nil"/>
            </w:tcBorders>
          </w:tcPr>
          <w:p w:rsidR="00000000" w:rsidRDefault="00000000">
            <w:pPr>
              <w:pStyle w:val="a2"/>
              <w:tabs>
                <w:tab w:val="decimal" w:pos="704"/>
              </w:tabs>
              <w:spacing w:line="280" w:lineRule="exact"/>
              <w:rPr>
                <w:lang w:val="fr-CH"/>
              </w:rPr>
            </w:pPr>
            <w:r>
              <w:rPr>
                <w:lang w:val="fr-CH"/>
              </w:rPr>
              <w:t>102,436</w:t>
            </w:r>
          </w:p>
        </w:tc>
        <w:tc>
          <w:tcPr>
            <w:tcW w:w="568" w:type="pct"/>
            <w:tcBorders>
              <w:top w:val="nil"/>
              <w:bottom w:val="nil"/>
            </w:tcBorders>
          </w:tcPr>
          <w:p w:rsidR="00000000" w:rsidRDefault="00000000">
            <w:pPr>
              <w:pStyle w:val="a2"/>
              <w:tabs>
                <w:tab w:val="decimal" w:pos="704"/>
              </w:tabs>
              <w:spacing w:line="280" w:lineRule="exact"/>
              <w:rPr>
                <w:lang w:val="fr-CH"/>
              </w:rPr>
            </w:pPr>
            <w:r>
              <w:rPr>
                <w:lang w:val="fr-CH"/>
              </w:rPr>
              <w:t>104,790</w:t>
            </w:r>
          </w:p>
        </w:tc>
        <w:tc>
          <w:tcPr>
            <w:tcW w:w="568" w:type="pct"/>
            <w:tcBorders>
              <w:top w:val="nil"/>
              <w:bottom w:val="nil"/>
            </w:tcBorders>
          </w:tcPr>
          <w:p w:rsidR="00000000" w:rsidRDefault="00000000">
            <w:pPr>
              <w:pStyle w:val="a2"/>
              <w:tabs>
                <w:tab w:val="decimal" w:pos="704"/>
              </w:tabs>
              <w:spacing w:line="280" w:lineRule="exact"/>
              <w:rPr>
                <w:lang w:val="fr-CH"/>
              </w:rPr>
            </w:pPr>
            <w:r>
              <w:rPr>
                <w:lang w:val="fr-CH"/>
              </w:rPr>
              <w:t>105,910</w:t>
            </w:r>
          </w:p>
        </w:tc>
        <w:tc>
          <w:tcPr>
            <w:tcW w:w="569" w:type="pct"/>
            <w:tcBorders>
              <w:top w:val="nil"/>
              <w:bottom w:val="nil"/>
            </w:tcBorders>
          </w:tcPr>
          <w:p w:rsidR="00000000" w:rsidRDefault="00000000">
            <w:pPr>
              <w:pStyle w:val="a2"/>
              <w:tabs>
                <w:tab w:val="decimal" w:pos="502"/>
              </w:tabs>
              <w:spacing w:line="280" w:lineRule="exact"/>
              <w:rPr>
                <w:lang w:val="fr-CH"/>
              </w:rPr>
            </w:pPr>
            <w:r>
              <w:rPr>
                <w:lang w:val="fr-CH"/>
              </w:rPr>
              <w:t>25.04</w:t>
            </w:r>
          </w:p>
        </w:tc>
      </w:tr>
      <w:tr w:rsidR="00000000">
        <w:tblPrEx>
          <w:tblCellMar>
            <w:top w:w="0" w:type="dxa"/>
          </w:tblCellMar>
        </w:tblPrEx>
        <w:trPr>
          <w:trHeight w:val="250"/>
        </w:trPr>
        <w:tc>
          <w:tcPr>
            <w:tcW w:w="1021" w:type="pct"/>
            <w:tcBorders>
              <w:top w:val="nil"/>
              <w:bottom w:val="nil"/>
            </w:tcBorders>
          </w:tcPr>
          <w:p w:rsidR="00000000" w:rsidRDefault="00000000">
            <w:pPr>
              <w:pStyle w:val="a2"/>
              <w:spacing w:line="280" w:lineRule="exact"/>
              <w:ind w:left="57"/>
              <w:rPr>
                <w:rFonts w:hint="eastAsia"/>
                <w:lang w:val="fr-CH"/>
              </w:rPr>
            </w:pPr>
            <w:r>
              <w:rPr>
                <w:rFonts w:hint="eastAsia"/>
                <w:lang w:val="fr-CH"/>
              </w:rPr>
              <w:t>交通和通讯</w:t>
            </w:r>
          </w:p>
        </w:tc>
        <w:tc>
          <w:tcPr>
            <w:tcW w:w="568" w:type="pct"/>
            <w:tcBorders>
              <w:top w:val="nil"/>
              <w:bottom w:val="nil"/>
            </w:tcBorders>
          </w:tcPr>
          <w:p w:rsidR="00000000" w:rsidRDefault="00000000">
            <w:pPr>
              <w:pStyle w:val="a2"/>
              <w:tabs>
                <w:tab w:val="decimal" w:pos="704"/>
              </w:tabs>
              <w:spacing w:line="280" w:lineRule="exact"/>
            </w:pPr>
            <w:r>
              <w:t>100,120</w:t>
            </w:r>
          </w:p>
        </w:tc>
        <w:tc>
          <w:tcPr>
            <w:tcW w:w="568" w:type="pct"/>
            <w:tcBorders>
              <w:top w:val="nil"/>
              <w:bottom w:val="nil"/>
            </w:tcBorders>
          </w:tcPr>
          <w:p w:rsidR="00000000" w:rsidRDefault="00000000">
            <w:pPr>
              <w:pStyle w:val="a2"/>
              <w:tabs>
                <w:tab w:val="decimal" w:pos="704"/>
              </w:tabs>
              <w:spacing w:line="280" w:lineRule="exact"/>
            </w:pPr>
            <w:r>
              <w:t>147,675</w:t>
            </w:r>
          </w:p>
        </w:tc>
        <w:tc>
          <w:tcPr>
            <w:tcW w:w="568" w:type="pct"/>
            <w:tcBorders>
              <w:top w:val="nil"/>
              <w:bottom w:val="nil"/>
            </w:tcBorders>
          </w:tcPr>
          <w:p w:rsidR="00000000" w:rsidRDefault="00000000">
            <w:pPr>
              <w:pStyle w:val="a2"/>
              <w:tabs>
                <w:tab w:val="decimal" w:pos="704"/>
              </w:tabs>
              <w:spacing w:line="280" w:lineRule="exact"/>
            </w:pPr>
            <w:r>
              <w:t>152,330</w:t>
            </w:r>
          </w:p>
        </w:tc>
        <w:tc>
          <w:tcPr>
            <w:tcW w:w="569" w:type="pct"/>
            <w:tcBorders>
              <w:top w:val="nil"/>
              <w:bottom w:val="nil"/>
            </w:tcBorders>
          </w:tcPr>
          <w:p w:rsidR="00000000" w:rsidRDefault="00000000">
            <w:pPr>
              <w:pStyle w:val="a2"/>
              <w:tabs>
                <w:tab w:val="decimal" w:pos="704"/>
              </w:tabs>
              <w:spacing w:line="280" w:lineRule="exact"/>
            </w:pPr>
            <w:r>
              <w:t>154,384</w:t>
            </w:r>
          </w:p>
        </w:tc>
        <w:tc>
          <w:tcPr>
            <w:tcW w:w="568" w:type="pct"/>
            <w:tcBorders>
              <w:top w:val="nil"/>
              <w:bottom w:val="nil"/>
            </w:tcBorders>
          </w:tcPr>
          <w:p w:rsidR="00000000" w:rsidRDefault="00000000">
            <w:pPr>
              <w:pStyle w:val="a2"/>
              <w:tabs>
                <w:tab w:val="decimal" w:pos="704"/>
              </w:tabs>
              <w:spacing w:line="280" w:lineRule="exact"/>
            </w:pPr>
            <w:r>
              <w:t>171,853</w:t>
            </w:r>
          </w:p>
        </w:tc>
        <w:tc>
          <w:tcPr>
            <w:tcW w:w="568" w:type="pct"/>
            <w:tcBorders>
              <w:top w:val="nil"/>
              <w:bottom w:val="nil"/>
            </w:tcBorders>
          </w:tcPr>
          <w:p w:rsidR="00000000" w:rsidRDefault="00000000">
            <w:pPr>
              <w:pStyle w:val="a2"/>
              <w:tabs>
                <w:tab w:val="decimal" w:pos="704"/>
              </w:tabs>
              <w:spacing w:line="280" w:lineRule="exact"/>
            </w:pPr>
            <w:r>
              <w:t>178,569</w:t>
            </w:r>
          </w:p>
        </w:tc>
        <w:tc>
          <w:tcPr>
            <w:tcW w:w="569" w:type="pct"/>
            <w:tcBorders>
              <w:top w:val="nil"/>
              <w:bottom w:val="nil"/>
            </w:tcBorders>
          </w:tcPr>
          <w:p w:rsidR="00000000" w:rsidRDefault="00000000">
            <w:pPr>
              <w:pStyle w:val="a2"/>
              <w:tabs>
                <w:tab w:val="decimal" w:pos="502"/>
              </w:tabs>
              <w:spacing w:line="280" w:lineRule="exact"/>
            </w:pPr>
            <w:r>
              <w:t>43.93</w:t>
            </w:r>
          </w:p>
        </w:tc>
      </w:tr>
      <w:tr w:rsidR="00000000">
        <w:tblPrEx>
          <w:tblCellMar>
            <w:top w:w="0" w:type="dxa"/>
          </w:tblCellMar>
        </w:tblPrEx>
        <w:trPr>
          <w:trHeight w:val="183"/>
        </w:trPr>
        <w:tc>
          <w:tcPr>
            <w:tcW w:w="1021" w:type="pct"/>
            <w:tcBorders>
              <w:top w:val="nil"/>
              <w:bottom w:val="nil"/>
            </w:tcBorders>
          </w:tcPr>
          <w:p w:rsidR="00000000" w:rsidRDefault="00000000">
            <w:pPr>
              <w:pStyle w:val="a2"/>
              <w:spacing w:line="280" w:lineRule="exact"/>
              <w:ind w:left="57"/>
              <w:rPr>
                <w:rFonts w:hint="eastAsia"/>
              </w:rPr>
            </w:pPr>
            <w:r>
              <w:rPr>
                <w:rFonts w:hint="eastAsia"/>
              </w:rPr>
              <w:t>医疗</w:t>
            </w:r>
          </w:p>
        </w:tc>
        <w:tc>
          <w:tcPr>
            <w:tcW w:w="568" w:type="pct"/>
            <w:tcBorders>
              <w:top w:val="nil"/>
              <w:bottom w:val="nil"/>
            </w:tcBorders>
          </w:tcPr>
          <w:p w:rsidR="00000000" w:rsidRDefault="00000000">
            <w:pPr>
              <w:pStyle w:val="a2"/>
              <w:tabs>
                <w:tab w:val="decimal" w:pos="704"/>
              </w:tabs>
              <w:spacing w:line="280" w:lineRule="exact"/>
            </w:pPr>
            <w:r>
              <w:t>56,328</w:t>
            </w:r>
          </w:p>
        </w:tc>
        <w:tc>
          <w:tcPr>
            <w:tcW w:w="568" w:type="pct"/>
            <w:tcBorders>
              <w:top w:val="nil"/>
              <w:bottom w:val="nil"/>
            </w:tcBorders>
          </w:tcPr>
          <w:p w:rsidR="00000000" w:rsidRDefault="00000000">
            <w:pPr>
              <w:pStyle w:val="a2"/>
              <w:tabs>
                <w:tab w:val="decimal" w:pos="704"/>
              </w:tabs>
              <w:spacing w:line="280" w:lineRule="exact"/>
            </w:pPr>
            <w:r>
              <w:t>30,076</w:t>
            </w:r>
          </w:p>
        </w:tc>
        <w:tc>
          <w:tcPr>
            <w:tcW w:w="568" w:type="pct"/>
            <w:tcBorders>
              <w:top w:val="nil"/>
              <w:bottom w:val="nil"/>
            </w:tcBorders>
          </w:tcPr>
          <w:p w:rsidR="00000000" w:rsidRDefault="00000000">
            <w:pPr>
              <w:pStyle w:val="a2"/>
              <w:tabs>
                <w:tab w:val="decimal" w:pos="704"/>
              </w:tabs>
              <w:spacing w:line="280" w:lineRule="exact"/>
            </w:pPr>
            <w:r>
              <w:t>33,496</w:t>
            </w:r>
          </w:p>
        </w:tc>
        <w:tc>
          <w:tcPr>
            <w:tcW w:w="569" w:type="pct"/>
            <w:tcBorders>
              <w:top w:val="nil"/>
              <w:bottom w:val="nil"/>
            </w:tcBorders>
          </w:tcPr>
          <w:p w:rsidR="00000000" w:rsidRDefault="00000000">
            <w:pPr>
              <w:pStyle w:val="a2"/>
              <w:tabs>
                <w:tab w:val="decimal" w:pos="704"/>
              </w:tabs>
              <w:spacing w:line="280" w:lineRule="exact"/>
            </w:pPr>
            <w:r>
              <w:t>33,681</w:t>
            </w:r>
          </w:p>
        </w:tc>
        <w:tc>
          <w:tcPr>
            <w:tcW w:w="568" w:type="pct"/>
            <w:tcBorders>
              <w:top w:val="nil"/>
              <w:bottom w:val="nil"/>
            </w:tcBorders>
          </w:tcPr>
          <w:p w:rsidR="00000000" w:rsidRDefault="00000000">
            <w:pPr>
              <w:pStyle w:val="a2"/>
              <w:tabs>
                <w:tab w:val="decimal" w:pos="704"/>
              </w:tabs>
              <w:spacing w:line="280" w:lineRule="exact"/>
            </w:pPr>
            <w:r>
              <w:t>34,897</w:t>
            </w:r>
          </w:p>
        </w:tc>
        <w:tc>
          <w:tcPr>
            <w:tcW w:w="568" w:type="pct"/>
            <w:tcBorders>
              <w:top w:val="nil"/>
              <w:bottom w:val="nil"/>
            </w:tcBorders>
          </w:tcPr>
          <w:p w:rsidR="00000000" w:rsidRDefault="00000000">
            <w:pPr>
              <w:pStyle w:val="a2"/>
              <w:tabs>
                <w:tab w:val="decimal" w:pos="704"/>
              </w:tabs>
              <w:spacing w:line="280" w:lineRule="exact"/>
            </w:pPr>
            <w:r>
              <w:t>34,965</w:t>
            </w:r>
          </w:p>
        </w:tc>
        <w:tc>
          <w:tcPr>
            <w:tcW w:w="569" w:type="pct"/>
            <w:tcBorders>
              <w:top w:val="nil"/>
              <w:bottom w:val="nil"/>
            </w:tcBorders>
          </w:tcPr>
          <w:p w:rsidR="00000000" w:rsidRDefault="00000000">
            <w:pPr>
              <w:pStyle w:val="a2"/>
              <w:tabs>
                <w:tab w:val="decimal" w:pos="502"/>
              </w:tabs>
              <w:spacing w:line="280" w:lineRule="exact"/>
            </w:pPr>
            <w:r>
              <w:t>-61.10</w:t>
            </w:r>
          </w:p>
        </w:tc>
      </w:tr>
      <w:tr w:rsidR="00000000">
        <w:tblPrEx>
          <w:tblCellMar>
            <w:top w:w="0" w:type="dxa"/>
          </w:tblCellMar>
        </w:tblPrEx>
        <w:trPr>
          <w:trHeight w:val="344"/>
        </w:trPr>
        <w:tc>
          <w:tcPr>
            <w:tcW w:w="1021" w:type="pct"/>
            <w:tcBorders>
              <w:top w:val="nil"/>
              <w:bottom w:val="nil"/>
            </w:tcBorders>
            <w:shd w:val="pct5" w:color="FFFFFF" w:fill="auto"/>
          </w:tcPr>
          <w:p w:rsidR="00000000" w:rsidRDefault="00000000">
            <w:pPr>
              <w:pStyle w:val="a2"/>
              <w:spacing w:line="280" w:lineRule="exact"/>
              <w:ind w:left="57"/>
              <w:rPr>
                <w:rFonts w:hint="eastAsia"/>
              </w:rPr>
            </w:pPr>
            <w:r>
              <w:rPr>
                <w:rFonts w:hint="eastAsia"/>
              </w:rPr>
              <w:t>消遣和文化</w:t>
            </w:r>
          </w:p>
        </w:tc>
        <w:tc>
          <w:tcPr>
            <w:tcW w:w="568" w:type="pct"/>
            <w:tcBorders>
              <w:top w:val="nil"/>
              <w:bottom w:val="nil"/>
            </w:tcBorders>
            <w:shd w:val="pct5" w:color="FFFFFF" w:fill="auto"/>
          </w:tcPr>
          <w:p w:rsidR="00000000" w:rsidRDefault="00000000">
            <w:pPr>
              <w:pStyle w:val="a2"/>
              <w:tabs>
                <w:tab w:val="decimal" w:pos="704"/>
              </w:tabs>
              <w:spacing w:line="280" w:lineRule="exact"/>
            </w:pPr>
            <w:r>
              <w:t>74,694</w:t>
            </w:r>
          </w:p>
        </w:tc>
        <w:tc>
          <w:tcPr>
            <w:tcW w:w="568" w:type="pct"/>
            <w:tcBorders>
              <w:top w:val="nil"/>
              <w:bottom w:val="nil"/>
            </w:tcBorders>
            <w:shd w:val="pct5" w:color="FFFFFF" w:fill="auto"/>
          </w:tcPr>
          <w:p w:rsidR="00000000" w:rsidRDefault="00000000">
            <w:pPr>
              <w:pStyle w:val="a2"/>
              <w:tabs>
                <w:tab w:val="decimal" w:pos="704"/>
              </w:tabs>
              <w:spacing w:line="280" w:lineRule="exact"/>
            </w:pPr>
            <w:r>
              <w:t>86,645</w:t>
            </w:r>
          </w:p>
        </w:tc>
        <w:tc>
          <w:tcPr>
            <w:tcW w:w="568" w:type="pct"/>
            <w:tcBorders>
              <w:top w:val="nil"/>
              <w:bottom w:val="nil"/>
            </w:tcBorders>
            <w:shd w:val="pct5" w:color="FFFFFF" w:fill="auto"/>
          </w:tcPr>
          <w:p w:rsidR="00000000" w:rsidRDefault="00000000">
            <w:pPr>
              <w:pStyle w:val="a2"/>
              <w:tabs>
                <w:tab w:val="decimal" w:pos="704"/>
              </w:tabs>
              <w:spacing w:line="280" w:lineRule="exact"/>
            </w:pPr>
            <w:r>
              <w:t>88,561</w:t>
            </w:r>
          </w:p>
        </w:tc>
        <w:tc>
          <w:tcPr>
            <w:tcW w:w="569" w:type="pct"/>
            <w:tcBorders>
              <w:top w:val="nil"/>
              <w:bottom w:val="nil"/>
            </w:tcBorders>
            <w:shd w:val="pct5" w:color="FFFFFF" w:fill="auto"/>
          </w:tcPr>
          <w:p w:rsidR="00000000" w:rsidRDefault="00000000">
            <w:pPr>
              <w:pStyle w:val="a2"/>
              <w:tabs>
                <w:tab w:val="decimal" w:pos="704"/>
              </w:tabs>
              <w:spacing w:line="280" w:lineRule="exact"/>
            </w:pPr>
            <w:r>
              <w:t>90,772</w:t>
            </w:r>
          </w:p>
        </w:tc>
        <w:tc>
          <w:tcPr>
            <w:tcW w:w="568" w:type="pct"/>
            <w:tcBorders>
              <w:top w:val="nil"/>
              <w:bottom w:val="nil"/>
            </w:tcBorders>
            <w:shd w:val="pct5" w:color="FFFFFF" w:fill="auto"/>
          </w:tcPr>
          <w:p w:rsidR="00000000" w:rsidRDefault="00000000">
            <w:pPr>
              <w:pStyle w:val="a2"/>
              <w:tabs>
                <w:tab w:val="decimal" w:pos="704"/>
              </w:tabs>
              <w:spacing w:line="280" w:lineRule="exact"/>
            </w:pPr>
            <w:r>
              <w:t>93,559</w:t>
            </w:r>
          </w:p>
        </w:tc>
        <w:tc>
          <w:tcPr>
            <w:tcW w:w="568" w:type="pct"/>
            <w:tcBorders>
              <w:top w:val="nil"/>
              <w:bottom w:val="nil"/>
            </w:tcBorders>
            <w:shd w:val="pct5" w:color="FFFFFF" w:fill="auto"/>
          </w:tcPr>
          <w:p w:rsidR="00000000" w:rsidRDefault="00000000">
            <w:pPr>
              <w:pStyle w:val="a2"/>
              <w:tabs>
                <w:tab w:val="decimal" w:pos="704"/>
              </w:tabs>
              <w:spacing w:line="280" w:lineRule="exact"/>
            </w:pPr>
            <w:r>
              <w:t>94,466</w:t>
            </w:r>
          </w:p>
        </w:tc>
        <w:tc>
          <w:tcPr>
            <w:tcW w:w="569" w:type="pct"/>
            <w:tcBorders>
              <w:top w:val="nil"/>
              <w:bottom w:val="nil"/>
            </w:tcBorders>
            <w:shd w:val="pct5" w:color="FFFFFF" w:fill="auto"/>
          </w:tcPr>
          <w:p w:rsidR="00000000" w:rsidRDefault="00000000">
            <w:pPr>
              <w:pStyle w:val="a2"/>
              <w:tabs>
                <w:tab w:val="decimal" w:pos="502"/>
              </w:tabs>
              <w:spacing w:line="280" w:lineRule="exact"/>
            </w:pPr>
            <w:r>
              <w:t>20.93</w:t>
            </w:r>
          </w:p>
        </w:tc>
      </w:tr>
      <w:tr w:rsidR="00000000">
        <w:tblPrEx>
          <w:tblCellMar>
            <w:top w:w="0" w:type="dxa"/>
          </w:tblCellMar>
        </w:tblPrEx>
        <w:trPr>
          <w:trHeight w:val="250"/>
        </w:trPr>
        <w:tc>
          <w:tcPr>
            <w:tcW w:w="1021" w:type="pct"/>
            <w:tcBorders>
              <w:top w:val="nil"/>
              <w:bottom w:val="nil"/>
            </w:tcBorders>
          </w:tcPr>
          <w:p w:rsidR="00000000" w:rsidRDefault="00000000">
            <w:pPr>
              <w:pStyle w:val="a2"/>
              <w:spacing w:line="280" w:lineRule="exact"/>
              <w:ind w:left="57"/>
              <w:rPr>
                <w:rFonts w:hint="eastAsia"/>
              </w:rPr>
            </w:pPr>
            <w:r>
              <w:rPr>
                <w:rFonts w:hint="eastAsia"/>
              </w:rPr>
              <w:t>旅馆和公共服务</w:t>
            </w:r>
          </w:p>
        </w:tc>
        <w:tc>
          <w:tcPr>
            <w:tcW w:w="568" w:type="pct"/>
            <w:tcBorders>
              <w:top w:val="nil"/>
              <w:bottom w:val="nil"/>
            </w:tcBorders>
          </w:tcPr>
          <w:p w:rsidR="00000000" w:rsidRDefault="00000000">
            <w:pPr>
              <w:pStyle w:val="a2"/>
              <w:tabs>
                <w:tab w:val="decimal" w:pos="704"/>
              </w:tabs>
              <w:spacing w:line="280" w:lineRule="exact"/>
            </w:pPr>
            <w:r>
              <w:t>80,573</w:t>
            </w:r>
          </w:p>
        </w:tc>
        <w:tc>
          <w:tcPr>
            <w:tcW w:w="568" w:type="pct"/>
            <w:tcBorders>
              <w:top w:val="nil"/>
              <w:bottom w:val="nil"/>
            </w:tcBorders>
          </w:tcPr>
          <w:p w:rsidR="00000000" w:rsidRDefault="00000000">
            <w:pPr>
              <w:pStyle w:val="a2"/>
              <w:tabs>
                <w:tab w:val="decimal" w:pos="704"/>
              </w:tabs>
              <w:spacing w:line="280" w:lineRule="exact"/>
            </w:pPr>
            <w:r>
              <w:t>90,779</w:t>
            </w:r>
          </w:p>
        </w:tc>
        <w:tc>
          <w:tcPr>
            <w:tcW w:w="568" w:type="pct"/>
            <w:tcBorders>
              <w:top w:val="nil"/>
              <w:bottom w:val="nil"/>
            </w:tcBorders>
          </w:tcPr>
          <w:p w:rsidR="00000000" w:rsidRDefault="00000000">
            <w:pPr>
              <w:pStyle w:val="a2"/>
              <w:tabs>
                <w:tab w:val="decimal" w:pos="704"/>
              </w:tabs>
              <w:spacing w:line="280" w:lineRule="exact"/>
            </w:pPr>
            <w:r>
              <w:t>93,136</w:t>
            </w:r>
          </w:p>
        </w:tc>
        <w:tc>
          <w:tcPr>
            <w:tcW w:w="569" w:type="pct"/>
            <w:tcBorders>
              <w:top w:val="nil"/>
              <w:bottom w:val="nil"/>
            </w:tcBorders>
          </w:tcPr>
          <w:p w:rsidR="00000000" w:rsidRDefault="00000000">
            <w:pPr>
              <w:pStyle w:val="a2"/>
              <w:tabs>
                <w:tab w:val="decimal" w:pos="704"/>
              </w:tabs>
              <w:spacing w:line="280" w:lineRule="exact"/>
            </w:pPr>
            <w:r>
              <w:t>94,389</w:t>
            </w:r>
          </w:p>
        </w:tc>
        <w:tc>
          <w:tcPr>
            <w:tcW w:w="568" w:type="pct"/>
            <w:tcBorders>
              <w:top w:val="nil"/>
              <w:bottom w:val="nil"/>
            </w:tcBorders>
          </w:tcPr>
          <w:p w:rsidR="00000000" w:rsidRDefault="00000000">
            <w:pPr>
              <w:pStyle w:val="a2"/>
              <w:tabs>
                <w:tab w:val="decimal" w:pos="704"/>
              </w:tabs>
              <w:spacing w:line="280" w:lineRule="exact"/>
            </w:pPr>
            <w:r>
              <w:t>95,314</w:t>
            </w:r>
          </w:p>
        </w:tc>
        <w:tc>
          <w:tcPr>
            <w:tcW w:w="568" w:type="pct"/>
            <w:tcBorders>
              <w:top w:val="nil"/>
              <w:bottom w:val="nil"/>
            </w:tcBorders>
          </w:tcPr>
          <w:p w:rsidR="00000000" w:rsidRDefault="00000000">
            <w:pPr>
              <w:pStyle w:val="a2"/>
              <w:tabs>
                <w:tab w:val="decimal" w:pos="704"/>
              </w:tabs>
              <w:spacing w:line="280" w:lineRule="exact"/>
            </w:pPr>
            <w:r>
              <w:t>97,019</w:t>
            </w:r>
          </w:p>
        </w:tc>
        <w:tc>
          <w:tcPr>
            <w:tcW w:w="569" w:type="pct"/>
            <w:tcBorders>
              <w:top w:val="nil"/>
              <w:bottom w:val="nil"/>
            </w:tcBorders>
          </w:tcPr>
          <w:p w:rsidR="00000000" w:rsidRDefault="00000000">
            <w:pPr>
              <w:pStyle w:val="a2"/>
              <w:tabs>
                <w:tab w:val="decimal" w:pos="502"/>
              </w:tabs>
              <w:spacing w:line="280" w:lineRule="exact"/>
            </w:pPr>
            <w:r>
              <w:t>16.95</w:t>
            </w:r>
          </w:p>
        </w:tc>
      </w:tr>
      <w:tr w:rsidR="00000000">
        <w:tblPrEx>
          <w:tblCellMar>
            <w:top w:w="0" w:type="dxa"/>
          </w:tblCellMar>
        </w:tblPrEx>
        <w:trPr>
          <w:trHeight w:val="250"/>
        </w:trPr>
        <w:tc>
          <w:tcPr>
            <w:tcW w:w="1021" w:type="pct"/>
            <w:tcBorders>
              <w:top w:val="nil"/>
              <w:bottom w:val="single" w:sz="4" w:space="0" w:color="auto"/>
            </w:tcBorders>
          </w:tcPr>
          <w:p w:rsidR="00000000" w:rsidRDefault="00000000">
            <w:pPr>
              <w:pStyle w:val="a2"/>
              <w:ind w:left="57"/>
              <w:rPr>
                <w:rFonts w:hint="eastAsia"/>
              </w:rPr>
            </w:pPr>
            <w:r>
              <w:rPr>
                <w:rFonts w:hint="eastAsia"/>
              </w:rPr>
              <w:t>其它货物和服务</w:t>
            </w:r>
          </w:p>
        </w:tc>
        <w:tc>
          <w:tcPr>
            <w:tcW w:w="568" w:type="pct"/>
            <w:tcBorders>
              <w:top w:val="nil"/>
              <w:bottom w:val="single" w:sz="4" w:space="0" w:color="auto"/>
            </w:tcBorders>
          </w:tcPr>
          <w:p w:rsidR="00000000" w:rsidRDefault="00000000">
            <w:pPr>
              <w:pStyle w:val="a2"/>
              <w:tabs>
                <w:tab w:val="decimal" w:pos="704"/>
              </w:tabs>
            </w:pPr>
            <w:r>
              <w:t>64,343</w:t>
            </w:r>
          </w:p>
        </w:tc>
        <w:tc>
          <w:tcPr>
            <w:tcW w:w="568" w:type="pct"/>
            <w:tcBorders>
              <w:top w:val="nil"/>
              <w:bottom w:val="single" w:sz="4" w:space="0" w:color="auto"/>
            </w:tcBorders>
          </w:tcPr>
          <w:p w:rsidR="00000000" w:rsidRDefault="00000000">
            <w:pPr>
              <w:pStyle w:val="a2"/>
              <w:tabs>
                <w:tab w:val="decimal" w:pos="704"/>
              </w:tabs>
            </w:pPr>
            <w:r>
              <w:t>77,842</w:t>
            </w:r>
          </w:p>
        </w:tc>
        <w:tc>
          <w:tcPr>
            <w:tcW w:w="568" w:type="pct"/>
            <w:tcBorders>
              <w:top w:val="nil"/>
              <w:bottom w:val="single" w:sz="4" w:space="0" w:color="auto"/>
            </w:tcBorders>
          </w:tcPr>
          <w:p w:rsidR="00000000" w:rsidRDefault="00000000">
            <w:pPr>
              <w:pStyle w:val="a2"/>
              <w:tabs>
                <w:tab w:val="decimal" w:pos="704"/>
              </w:tabs>
            </w:pPr>
            <w:r>
              <w:t>81,126</w:t>
            </w:r>
          </w:p>
        </w:tc>
        <w:tc>
          <w:tcPr>
            <w:tcW w:w="569" w:type="pct"/>
            <w:tcBorders>
              <w:top w:val="nil"/>
              <w:bottom w:val="single" w:sz="4" w:space="0" w:color="auto"/>
            </w:tcBorders>
          </w:tcPr>
          <w:p w:rsidR="00000000" w:rsidRDefault="00000000">
            <w:pPr>
              <w:pStyle w:val="a2"/>
              <w:tabs>
                <w:tab w:val="decimal" w:pos="704"/>
              </w:tabs>
            </w:pPr>
            <w:r>
              <w:t>78,628</w:t>
            </w:r>
          </w:p>
        </w:tc>
        <w:tc>
          <w:tcPr>
            <w:tcW w:w="568" w:type="pct"/>
            <w:tcBorders>
              <w:top w:val="nil"/>
              <w:bottom w:val="single" w:sz="4" w:space="0" w:color="auto"/>
            </w:tcBorders>
          </w:tcPr>
          <w:p w:rsidR="00000000" w:rsidRDefault="00000000">
            <w:pPr>
              <w:pStyle w:val="a2"/>
              <w:tabs>
                <w:tab w:val="decimal" w:pos="704"/>
              </w:tabs>
            </w:pPr>
            <w:r>
              <w:t>78,976</w:t>
            </w:r>
          </w:p>
        </w:tc>
        <w:tc>
          <w:tcPr>
            <w:tcW w:w="568" w:type="pct"/>
            <w:tcBorders>
              <w:top w:val="nil"/>
              <w:bottom w:val="single" w:sz="4" w:space="0" w:color="auto"/>
            </w:tcBorders>
          </w:tcPr>
          <w:p w:rsidR="00000000" w:rsidRDefault="00000000">
            <w:pPr>
              <w:pStyle w:val="a2"/>
              <w:tabs>
                <w:tab w:val="decimal" w:pos="704"/>
              </w:tabs>
            </w:pPr>
            <w:r>
              <w:t>82,845</w:t>
            </w:r>
          </w:p>
        </w:tc>
        <w:tc>
          <w:tcPr>
            <w:tcW w:w="569" w:type="pct"/>
            <w:tcBorders>
              <w:top w:val="nil"/>
              <w:bottom w:val="single" w:sz="4" w:space="0" w:color="auto"/>
            </w:tcBorders>
          </w:tcPr>
          <w:p w:rsidR="00000000" w:rsidRDefault="00000000">
            <w:pPr>
              <w:pStyle w:val="a2"/>
              <w:tabs>
                <w:tab w:val="decimal" w:pos="502"/>
              </w:tabs>
            </w:pPr>
            <w:r>
              <w:t>22.33</w:t>
            </w:r>
          </w:p>
        </w:tc>
      </w:tr>
    </w:tbl>
    <w:p w:rsidR="00000000" w:rsidRDefault="00000000">
      <w:pPr>
        <w:pStyle w:val="Heading4"/>
        <w:spacing w:before="360"/>
        <w:rPr>
          <w:rFonts w:hint="eastAsia"/>
        </w:rPr>
      </w:pPr>
      <w:r>
        <w:rPr>
          <w:rFonts w:hint="eastAsia"/>
        </w:rPr>
        <w:t>年轻人、老年人和残疾人参加文化活动</w:t>
      </w:r>
    </w:p>
    <w:p w:rsidR="00000000" w:rsidRDefault="00000000">
      <w:pPr>
        <w:spacing w:after="320"/>
        <w:ind w:firstLine="539"/>
        <w:rPr>
          <w:rFonts w:hint="eastAsia"/>
        </w:rPr>
      </w:pPr>
      <w:r>
        <w:rPr>
          <w:rFonts w:hint="eastAsia"/>
        </w:rPr>
        <w:t xml:space="preserve">285.  </w:t>
      </w:r>
      <w:r>
        <w:rPr>
          <w:rFonts w:hint="eastAsia"/>
        </w:rPr>
        <w:t>我们掌握的官方数字是参观公共博物馆和画廊的。数字显示低年龄学生和</w:t>
      </w:r>
      <w:r>
        <w:rPr>
          <w:rFonts w:hint="eastAsia"/>
        </w:rPr>
        <w:t>60</w:t>
      </w:r>
      <w:r>
        <w:rPr>
          <w:rFonts w:hint="eastAsia"/>
        </w:rPr>
        <w:t>岁以上的参观者人数不断上升，他们是免费参观规定的主要受益者。</w:t>
      </w:r>
    </w:p>
    <w:p w:rsidR="00000000" w:rsidRDefault="00000000">
      <w:pPr>
        <w:pStyle w:val="Heading3"/>
        <w:spacing w:after="240"/>
        <w:rPr>
          <w:rFonts w:hint="eastAsia"/>
          <w:u w:val="none"/>
        </w:rPr>
      </w:pPr>
      <w:r>
        <w:rPr>
          <w:rFonts w:hint="eastAsia"/>
          <w:u w:val="none"/>
        </w:rPr>
        <w:t>表</w:t>
      </w:r>
      <w:r>
        <w:rPr>
          <w:rFonts w:hint="eastAsia"/>
          <w:u w:val="none"/>
        </w:rPr>
        <w:t xml:space="preserve">8.  </w:t>
      </w:r>
      <w:r>
        <w:rPr>
          <w:rFonts w:hint="eastAsia"/>
        </w:rPr>
        <w:t>1994-1998</w:t>
      </w:r>
      <w:r>
        <w:rPr>
          <w:rFonts w:hint="eastAsia"/>
        </w:rPr>
        <w:t>年公共博物馆和画廊免费参观人数</w:t>
      </w:r>
      <w:r>
        <w:br/>
      </w:r>
      <w:r>
        <w:rPr>
          <w:rFonts w:hint="eastAsia"/>
          <w:u w:val="none"/>
        </w:rPr>
        <w:t>(</w:t>
      </w:r>
      <w:r>
        <w:rPr>
          <w:rFonts w:hint="eastAsia"/>
        </w:rPr>
        <w:t>年轻人、老年人和残疾人</w:t>
      </w:r>
      <w:r>
        <w:rPr>
          <w:rFonts w:hint="eastAsia"/>
          <w:u w:val="none"/>
        </w:rPr>
        <w:t>)</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60" w:type="dxa"/>
          <w:bottom w:w="113" w:type="dxa"/>
          <w:right w:w="60" w:type="dxa"/>
        </w:tblCellMar>
        <w:tblLook w:val="0000" w:firstRow="0" w:lastRow="0" w:firstColumn="0" w:lastColumn="0" w:noHBand="0" w:noVBand="0"/>
      </w:tblPr>
      <w:tblGrid>
        <w:gridCol w:w="2745"/>
        <w:gridCol w:w="3570"/>
        <w:gridCol w:w="3159"/>
      </w:tblGrid>
      <w:tr w:rsidR="00000000">
        <w:tblPrEx>
          <w:tblCellMar>
            <w:top w:w="0" w:type="dxa"/>
          </w:tblCellMar>
        </w:tblPrEx>
        <w:tc>
          <w:tcPr>
            <w:tcW w:w="1449" w:type="pct"/>
            <w:tcBorders>
              <w:bottom w:val="single" w:sz="6" w:space="0" w:color="auto"/>
            </w:tcBorders>
          </w:tcPr>
          <w:p w:rsidR="00000000" w:rsidRDefault="00000000">
            <w:pPr>
              <w:pStyle w:val="a2"/>
              <w:spacing w:before="60"/>
              <w:jc w:val="center"/>
              <w:rPr>
                <w:rFonts w:hint="eastAsia"/>
                <w:u w:val="single"/>
              </w:rPr>
            </w:pPr>
            <w:r>
              <w:rPr>
                <w:rFonts w:hint="eastAsia"/>
                <w:u w:val="single"/>
              </w:rPr>
              <w:t>年</w:t>
            </w:r>
          </w:p>
        </w:tc>
        <w:tc>
          <w:tcPr>
            <w:tcW w:w="1884" w:type="pct"/>
            <w:tcBorders>
              <w:bottom w:val="single" w:sz="6" w:space="0" w:color="auto"/>
            </w:tcBorders>
          </w:tcPr>
          <w:p w:rsidR="00000000" w:rsidRDefault="00000000">
            <w:pPr>
              <w:pStyle w:val="a2"/>
              <w:spacing w:before="60"/>
              <w:jc w:val="center"/>
              <w:rPr>
                <w:rFonts w:hint="eastAsia"/>
                <w:u w:val="single"/>
              </w:rPr>
            </w:pPr>
            <w:r>
              <w:rPr>
                <w:rFonts w:hint="eastAsia"/>
                <w:u w:val="single"/>
              </w:rPr>
              <w:t>与上年相比的百分比</w:t>
            </w:r>
            <w:r>
              <w:rPr>
                <w:rFonts w:hint="eastAsia"/>
                <w:u w:val="single"/>
              </w:rPr>
              <w:t>(%)</w:t>
            </w:r>
          </w:p>
        </w:tc>
        <w:tc>
          <w:tcPr>
            <w:tcW w:w="1667" w:type="pct"/>
            <w:tcBorders>
              <w:bottom w:val="single" w:sz="6" w:space="0" w:color="auto"/>
            </w:tcBorders>
          </w:tcPr>
          <w:p w:rsidR="00000000" w:rsidRDefault="00000000">
            <w:pPr>
              <w:pStyle w:val="a2"/>
              <w:spacing w:before="60"/>
              <w:jc w:val="center"/>
              <w:rPr>
                <w:u w:val="single"/>
              </w:rPr>
            </w:pPr>
            <w:r>
              <w:rPr>
                <w:rFonts w:hint="eastAsia"/>
                <w:u w:val="single"/>
              </w:rPr>
              <w:t>免费参观者</w:t>
            </w:r>
          </w:p>
        </w:tc>
      </w:tr>
      <w:tr w:rsidR="00000000">
        <w:tblPrEx>
          <w:tblCellMar>
            <w:top w:w="0" w:type="dxa"/>
          </w:tblCellMar>
        </w:tblPrEx>
        <w:tc>
          <w:tcPr>
            <w:tcW w:w="1449" w:type="pct"/>
            <w:tcBorders>
              <w:bottom w:val="nil"/>
            </w:tcBorders>
          </w:tcPr>
          <w:p w:rsidR="00000000" w:rsidRDefault="00000000">
            <w:pPr>
              <w:pStyle w:val="a2"/>
              <w:jc w:val="center"/>
            </w:pPr>
            <w:r>
              <w:t>1994</w:t>
            </w:r>
          </w:p>
        </w:tc>
        <w:tc>
          <w:tcPr>
            <w:tcW w:w="1884" w:type="pct"/>
            <w:tcBorders>
              <w:bottom w:val="nil"/>
            </w:tcBorders>
          </w:tcPr>
          <w:p w:rsidR="00000000" w:rsidRDefault="00000000">
            <w:pPr>
              <w:pStyle w:val="a2"/>
              <w:tabs>
                <w:tab w:val="decimal" w:pos="1560"/>
              </w:tabs>
            </w:pPr>
            <w:r>
              <w:t>-</w:t>
            </w:r>
          </w:p>
        </w:tc>
        <w:tc>
          <w:tcPr>
            <w:tcW w:w="1667" w:type="pct"/>
            <w:tcBorders>
              <w:bottom w:val="nil"/>
            </w:tcBorders>
          </w:tcPr>
          <w:p w:rsidR="00000000" w:rsidRDefault="00000000">
            <w:pPr>
              <w:pStyle w:val="a2"/>
              <w:tabs>
                <w:tab w:val="decimal" w:pos="2085"/>
              </w:tabs>
            </w:pPr>
            <w:r>
              <w:t>15,761,654</w:t>
            </w:r>
          </w:p>
        </w:tc>
      </w:tr>
      <w:tr w:rsidR="00000000">
        <w:tblPrEx>
          <w:tblCellMar>
            <w:top w:w="0" w:type="dxa"/>
          </w:tblCellMar>
        </w:tblPrEx>
        <w:tc>
          <w:tcPr>
            <w:tcW w:w="1449" w:type="pct"/>
            <w:tcBorders>
              <w:top w:val="nil"/>
              <w:bottom w:val="nil"/>
            </w:tcBorders>
          </w:tcPr>
          <w:p w:rsidR="00000000" w:rsidRDefault="00000000">
            <w:pPr>
              <w:pStyle w:val="a2"/>
              <w:jc w:val="center"/>
            </w:pPr>
            <w:r>
              <w:t>1995</w:t>
            </w:r>
          </w:p>
        </w:tc>
        <w:tc>
          <w:tcPr>
            <w:tcW w:w="1884" w:type="pct"/>
            <w:tcBorders>
              <w:top w:val="nil"/>
              <w:bottom w:val="nil"/>
            </w:tcBorders>
          </w:tcPr>
          <w:p w:rsidR="00000000" w:rsidRDefault="00000000">
            <w:pPr>
              <w:pStyle w:val="a2"/>
              <w:tabs>
                <w:tab w:val="decimal" w:pos="1560"/>
              </w:tabs>
            </w:pPr>
            <w:r>
              <w:t>13.77</w:t>
            </w:r>
          </w:p>
        </w:tc>
        <w:tc>
          <w:tcPr>
            <w:tcW w:w="1667" w:type="pct"/>
            <w:tcBorders>
              <w:top w:val="nil"/>
              <w:bottom w:val="nil"/>
            </w:tcBorders>
          </w:tcPr>
          <w:p w:rsidR="00000000" w:rsidRDefault="00000000">
            <w:pPr>
              <w:pStyle w:val="a2"/>
              <w:tabs>
                <w:tab w:val="decimal" w:pos="2085"/>
              </w:tabs>
            </w:pPr>
            <w:r>
              <w:t>17,386,164</w:t>
            </w:r>
          </w:p>
        </w:tc>
      </w:tr>
      <w:tr w:rsidR="00000000">
        <w:tblPrEx>
          <w:tblCellMar>
            <w:top w:w="0" w:type="dxa"/>
          </w:tblCellMar>
        </w:tblPrEx>
        <w:tc>
          <w:tcPr>
            <w:tcW w:w="1449" w:type="pct"/>
            <w:tcBorders>
              <w:top w:val="nil"/>
              <w:bottom w:val="nil"/>
            </w:tcBorders>
          </w:tcPr>
          <w:p w:rsidR="00000000" w:rsidRDefault="00000000">
            <w:pPr>
              <w:pStyle w:val="a2"/>
              <w:jc w:val="center"/>
            </w:pPr>
            <w:r>
              <w:t>1996</w:t>
            </w:r>
          </w:p>
        </w:tc>
        <w:tc>
          <w:tcPr>
            <w:tcW w:w="1884" w:type="pct"/>
            <w:tcBorders>
              <w:top w:val="nil"/>
              <w:bottom w:val="nil"/>
            </w:tcBorders>
          </w:tcPr>
          <w:p w:rsidR="00000000" w:rsidRDefault="00000000">
            <w:pPr>
              <w:pStyle w:val="a2"/>
              <w:tabs>
                <w:tab w:val="decimal" w:pos="1560"/>
              </w:tabs>
            </w:pPr>
            <w:r>
              <w:t>9.56</w:t>
            </w:r>
          </w:p>
        </w:tc>
        <w:tc>
          <w:tcPr>
            <w:tcW w:w="1667" w:type="pct"/>
            <w:tcBorders>
              <w:top w:val="nil"/>
              <w:bottom w:val="nil"/>
            </w:tcBorders>
          </w:tcPr>
          <w:p w:rsidR="00000000" w:rsidRDefault="00000000">
            <w:pPr>
              <w:pStyle w:val="a2"/>
              <w:tabs>
                <w:tab w:val="decimal" w:pos="2085"/>
              </w:tabs>
            </w:pPr>
            <w:r>
              <w:t>18,440,408</w:t>
            </w:r>
          </w:p>
        </w:tc>
      </w:tr>
      <w:tr w:rsidR="00000000">
        <w:tblPrEx>
          <w:tblCellMar>
            <w:top w:w="0" w:type="dxa"/>
          </w:tblCellMar>
        </w:tblPrEx>
        <w:tc>
          <w:tcPr>
            <w:tcW w:w="1449" w:type="pct"/>
            <w:tcBorders>
              <w:top w:val="nil"/>
              <w:bottom w:val="nil"/>
            </w:tcBorders>
          </w:tcPr>
          <w:p w:rsidR="00000000" w:rsidRDefault="00000000">
            <w:pPr>
              <w:pStyle w:val="a2"/>
              <w:jc w:val="center"/>
            </w:pPr>
            <w:r>
              <w:t>1997</w:t>
            </w:r>
          </w:p>
        </w:tc>
        <w:tc>
          <w:tcPr>
            <w:tcW w:w="1884" w:type="pct"/>
            <w:tcBorders>
              <w:top w:val="nil"/>
              <w:bottom w:val="nil"/>
            </w:tcBorders>
          </w:tcPr>
          <w:p w:rsidR="00000000" w:rsidRDefault="00000000">
            <w:pPr>
              <w:pStyle w:val="a2"/>
              <w:tabs>
                <w:tab w:val="decimal" w:pos="1560"/>
              </w:tabs>
            </w:pPr>
            <w:r>
              <w:t>12.64</w:t>
            </w:r>
          </w:p>
        </w:tc>
        <w:tc>
          <w:tcPr>
            <w:tcW w:w="1667" w:type="pct"/>
            <w:tcBorders>
              <w:top w:val="nil"/>
              <w:bottom w:val="nil"/>
            </w:tcBorders>
          </w:tcPr>
          <w:p w:rsidR="00000000" w:rsidRDefault="00000000">
            <w:pPr>
              <w:pStyle w:val="a2"/>
              <w:tabs>
                <w:tab w:val="decimal" w:pos="2085"/>
              </w:tabs>
            </w:pPr>
            <w:r>
              <w:t>20,101,154</w:t>
            </w:r>
          </w:p>
        </w:tc>
      </w:tr>
      <w:tr w:rsidR="00000000">
        <w:tblPrEx>
          <w:tblCellMar>
            <w:top w:w="0" w:type="dxa"/>
          </w:tblCellMar>
        </w:tblPrEx>
        <w:tc>
          <w:tcPr>
            <w:tcW w:w="1449" w:type="pct"/>
            <w:tcBorders>
              <w:top w:val="nil"/>
            </w:tcBorders>
          </w:tcPr>
          <w:p w:rsidR="00000000" w:rsidRDefault="00000000">
            <w:pPr>
              <w:pStyle w:val="a2"/>
              <w:jc w:val="center"/>
            </w:pPr>
            <w:r>
              <w:t>1998</w:t>
            </w:r>
          </w:p>
        </w:tc>
        <w:tc>
          <w:tcPr>
            <w:tcW w:w="1884" w:type="pct"/>
            <w:tcBorders>
              <w:top w:val="nil"/>
            </w:tcBorders>
          </w:tcPr>
          <w:p w:rsidR="00000000" w:rsidRDefault="00000000">
            <w:pPr>
              <w:pStyle w:val="a2"/>
              <w:tabs>
                <w:tab w:val="decimal" w:pos="1560"/>
              </w:tabs>
            </w:pPr>
            <w:r>
              <w:t>0.64</w:t>
            </w:r>
          </w:p>
        </w:tc>
        <w:tc>
          <w:tcPr>
            <w:tcW w:w="1667" w:type="pct"/>
            <w:tcBorders>
              <w:top w:val="nil"/>
            </w:tcBorders>
          </w:tcPr>
          <w:p w:rsidR="00000000" w:rsidRDefault="00000000">
            <w:pPr>
              <w:pStyle w:val="a2"/>
              <w:tabs>
                <w:tab w:val="decimal" w:pos="2085"/>
              </w:tabs>
            </w:pPr>
            <w:r>
              <w:t>22,022,650</w:t>
            </w:r>
          </w:p>
        </w:tc>
      </w:tr>
    </w:tbl>
    <w:p w:rsidR="00000000" w:rsidRDefault="00000000">
      <w:pPr>
        <w:pStyle w:val="FootnoteText"/>
        <w:spacing w:before="240"/>
      </w:pPr>
      <w:r>
        <w:rPr>
          <w:rFonts w:hint="eastAsia"/>
          <w:u w:val="single"/>
        </w:rPr>
        <w:t>资料来源</w:t>
      </w:r>
      <w:r>
        <w:rPr>
          <w:rFonts w:hint="eastAsia"/>
        </w:rPr>
        <w:t>：</w:t>
      </w:r>
      <w:r>
        <w:t>Min. Beni Culturali e Ambientali</w:t>
      </w:r>
      <w:r>
        <w:rPr>
          <w:rFonts w:hint="eastAsia"/>
        </w:rPr>
        <w:t>。</w:t>
      </w:r>
    </w:p>
    <w:p w:rsidR="00000000" w:rsidRDefault="00000000"/>
    <w:p w:rsidR="00000000" w:rsidRDefault="00000000">
      <w:pPr>
        <w:jc w:val="center"/>
      </w:pPr>
      <w:r>
        <w:t>--  --  --  --  --</w:t>
      </w:r>
    </w:p>
    <w:p w:rsidR="00000000" w:rsidRDefault="00000000">
      <w:pPr>
        <w:pStyle w:val="Heading3"/>
        <w:rPr>
          <w:rFonts w:hint="eastAsia"/>
        </w:rPr>
      </w:pPr>
      <w:r>
        <w:br w:type="page"/>
      </w:r>
      <w:r>
        <w:rPr>
          <w:rFonts w:hint="eastAsia"/>
        </w:rPr>
        <w:t>注</w:t>
      </w:r>
    </w:p>
    <w:sectPr w:rsidR="00000000">
      <w:headerReference w:type="even" r:id="rId8"/>
      <w:headerReference w:type="default" r:id="rId9"/>
      <w:headerReference w:type="first" r:id="rId10"/>
      <w:footerReference w:type="first" r:id="rId11"/>
      <w:endnotePr>
        <w:numFmt w:val="decimal"/>
      </w:endnotePr>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pPr>
        <w:pStyle w:val="EndnoteText"/>
        <w:rPr>
          <w:rFonts w:hint="eastAsia"/>
        </w:rPr>
      </w:pPr>
      <w:r>
        <w:rPr>
          <w:rStyle w:val="EndnoteReference"/>
        </w:rPr>
        <w:endnoteRef/>
      </w:r>
      <w:r>
        <w:rPr>
          <w:rFonts w:hint="eastAsia"/>
        </w:rPr>
        <w:tab/>
      </w:r>
      <w:r>
        <w:rPr>
          <w:rFonts w:hint="eastAsia"/>
        </w:rPr>
        <w:t>根据意大利改革前的强制性社会保障制度，私营部门的劳动者不论其年龄，均须缴款</w:t>
      </w:r>
      <w:r>
        <w:rPr>
          <w:rFonts w:hint="eastAsia"/>
        </w:rPr>
        <w:t>35</w:t>
      </w:r>
      <w:r>
        <w:rPr>
          <w:rFonts w:hint="eastAsia"/>
        </w:rPr>
        <w:t>年后才能领取养老金，而在公共部门，所必须的缴款年限要少得多。</w:t>
      </w:r>
    </w:p>
  </w:endnote>
  <w:endnote w:id="2">
    <w:p w:rsidR="00000000" w:rsidRDefault="00000000">
      <w:pPr>
        <w:pStyle w:val="EndnoteText"/>
        <w:spacing w:line="360" w:lineRule="auto"/>
        <w:rPr>
          <w:rFonts w:hint="eastAsia"/>
        </w:rPr>
      </w:pPr>
      <w:r>
        <w:rPr>
          <w:rStyle w:val="EndnoteReference"/>
        </w:rPr>
        <w:endnoteRef/>
      </w:r>
      <w:r>
        <w:rPr>
          <w:rFonts w:hint="eastAsia"/>
        </w:rPr>
        <w:tab/>
      </w:r>
      <w:r>
        <w:rPr>
          <w:rFonts w:hint="eastAsia"/>
        </w:rPr>
        <w:t>根据</w:t>
      </w:r>
      <w:r>
        <w:rPr>
          <w:rFonts w:hint="eastAsia"/>
        </w:rPr>
        <w:t>2002</w:t>
      </w:r>
      <w:r>
        <w:rPr>
          <w:rFonts w:hint="eastAsia"/>
        </w:rPr>
        <w:t>年财政法规定，每年发给</w:t>
      </w:r>
      <w:r>
        <w:rPr>
          <w:rFonts w:hint="eastAsia"/>
        </w:rPr>
        <w:t>70</w:t>
      </w:r>
      <w:r>
        <w:rPr>
          <w:rFonts w:hint="eastAsia"/>
        </w:rPr>
        <w:t>岁以上受益者的津贴额增加为</w:t>
      </w:r>
      <w:r>
        <w:rPr>
          <w:rFonts w:hint="eastAsia"/>
        </w:rPr>
        <w:t>6,710</w:t>
      </w:r>
      <w:r>
        <w:rPr>
          <w:rFonts w:hint="eastAsia"/>
        </w:rPr>
        <w:t>欧元。</w:t>
      </w:r>
    </w:p>
  </w:endnote>
  <w:endnote w:id="3">
    <w:p w:rsidR="00000000" w:rsidRDefault="00000000">
      <w:pPr>
        <w:pStyle w:val="EndnoteText"/>
        <w:rPr>
          <w:rFonts w:hint="eastAsia"/>
        </w:rPr>
      </w:pPr>
      <w:r>
        <w:rPr>
          <w:rStyle w:val="EndnoteReference"/>
        </w:rPr>
        <w:endnoteRef/>
      </w:r>
      <w:r>
        <w:t xml:space="preserve"> </w:t>
      </w:r>
      <w:r>
        <w:rPr>
          <w:rFonts w:hint="eastAsia"/>
        </w:rPr>
        <w:tab/>
      </w:r>
      <w:r>
        <w:rPr>
          <w:rFonts w:hint="eastAsia"/>
        </w:rPr>
        <w:t>颁布</w:t>
      </w:r>
      <w:r>
        <w:rPr>
          <w:rFonts w:hint="eastAsia"/>
        </w:rPr>
        <w:t>2000</w:t>
      </w:r>
      <w:r>
        <w:rPr>
          <w:rFonts w:hint="eastAsia"/>
        </w:rPr>
        <w:t>年国家预算法</w:t>
      </w:r>
      <w:r>
        <w:rPr>
          <w:rFonts w:hint="eastAsia"/>
        </w:rPr>
        <w:t>(</w:t>
      </w:r>
      <w:r>
        <w:rPr>
          <w:rFonts w:hint="eastAsia"/>
        </w:rPr>
        <w:t>第</w:t>
      </w:r>
      <w:r>
        <w:rPr>
          <w:rFonts w:hint="eastAsia"/>
        </w:rPr>
        <w:t>388/2000</w:t>
      </w:r>
      <w:r>
        <w:rPr>
          <w:rFonts w:hint="eastAsia"/>
        </w:rPr>
        <w:t>号法</w:t>
      </w:r>
      <w:r>
        <w:rPr>
          <w:rFonts w:hint="eastAsia"/>
        </w:rPr>
        <w:t>)</w:t>
      </w:r>
      <w:r>
        <w:rPr>
          <w:rFonts w:hint="eastAsia"/>
        </w:rPr>
        <w:t>后，发给</w:t>
      </w:r>
      <w:r>
        <w:rPr>
          <w:rFonts w:hint="eastAsia"/>
        </w:rPr>
        <w:t>75</w:t>
      </w:r>
      <w:r>
        <w:rPr>
          <w:rFonts w:hint="eastAsia"/>
        </w:rPr>
        <w:t>岁及以下者的追加额为每月</w:t>
      </w:r>
      <w:r>
        <w:rPr>
          <w:rFonts w:hint="eastAsia"/>
        </w:rPr>
        <w:t>12.91</w:t>
      </w:r>
      <w:r>
        <w:rPr>
          <w:rFonts w:hint="eastAsia"/>
        </w:rPr>
        <w:t>欧元，发给</w:t>
      </w:r>
      <w:r>
        <w:rPr>
          <w:rFonts w:hint="eastAsia"/>
        </w:rPr>
        <w:t>75</w:t>
      </w:r>
      <w:r>
        <w:rPr>
          <w:rFonts w:hint="eastAsia"/>
        </w:rPr>
        <w:t>岁及以上者的追加额为</w:t>
      </w:r>
      <w:r>
        <w:rPr>
          <w:rFonts w:hint="eastAsia"/>
        </w:rPr>
        <w:t>20.66</w:t>
      </w:r>
      <w:r>
        <w:rPr>
          <w:rFonts w:hint="eastAsia"/>
        </w:rPr>
        <w:t>欧元。</w:t>
      </w:r>
    </w:p>
  </w:endnote>
  <w:endnote w:id="4">
    <w:p w:rsidR="00000000" w:rsidRDefault="00000000">
      <w:pPr>
        <w:pStyle w:val="EndnoteText"/>
        <w:rPr>
          <w:rFonts w:hint="eastAsia"/>
        </w:rPr>
      </w:pPr>
      <w:r>
        <w:rPr>
          <w:rStyle w:val="EndnoteReference"/>
        </w:rPr>
        <w:endnoteRef/>
      </w:r>
      <w:r>
        <w:t xml:space="preserve"> </w:t>
      </w:r>
      <w:r>
        <w:rPr>
          <w:rFonts w:hint="eastAsia"/>
        </w:rPr>
        <w:tab/>
        <w:t>2000</w:t>
      </w:r>
      <w:r>
        <w:rPr>
          <w:rFonts w:hint="eastAsia"/>
        </w:rPr>
        <w:t>年国家预算法中载有一项与追加社会养恤金之规定相当的条款，旨在补充社会津贴。</w:t>
      </w:r>
    </w:p>
  </w:endnote>
  <w:endnote w:id="5">
    <w:p w:rsidR="00000000" w:rsidRDefault="00000000">
      <w:pPr>
        <w:pStyle w:val="EndnoteText"/>
        <w:rPr>
          <w:rFonts w:hint="eastAsia"/>
          <w:lang w:val="en-GB"/>
        </w:rPr>
      </w:pPr>
      <w:r>
        <w:rPr>
          <w:rStyle w:val="EndnoteReference"/>
        </w:rPr>
        <w:endnoteRef/>
      </w:r>
      <w:r>
        <w:t xml:space="preserve"> </w:t>
      </w:r>
      <w:r>
        <w:rPr>
          <w:rFonts w:hint="eastAsia"/>
        </w:rPr>
        <w:tab/>
      </w:r>
      <w:r>
        <w:rPr>
          <w:rFonts w:hint="eastAsia"/>
        </w:rPr>
        <w:t>第</w:t>
      </w:r>
      <w:r>
        <w:rPr>
          <w:lang w:val="en-GB"/>
        </w:rPr>
        <w:t>D.Lg. 237/98</w:t>
      </w:r>
      <w:r>
        <w:rPr>
          <w:rFonts w:hint="eastAsia"/>
          <w:lang w:val="en-GB"/>
        </w:rPr>
        <w:t>号法规定在挑选试点市镇时必须考虑下述因素：</w:t>
      </w:r>
      <w:r>
        <w:rPr>
          <w:rFonts w:hint="eastAsia"/>
          <w:lang w:val="en-GB"/>
        </w:rPr>
        <w:t xml:space="preserve">(a) </w:t>
      </w:r>
      <w:r>
        <w:rPr>
          <w:rFonts w:hint="eastAsia"/>
          <w:lang w:val="en-GB"/>
        </w:rPr>
        <w:t>贫困程度；</w:t>
      </w:r>
      <w:r>
        <w:rPr>
          <w:rFonts w:hint="eastAsia"/>
          <w:lang w:val="en-GB"/>
        </w:rPr>
        <w:t xml:space="preserve">(b) </w:t>
      </w:r>
      <w:r>
        <w:rPr>
          <w:rFonts w:hint="eastAsia"/>
          <w:lang w:val="en-GB"/>
        </w:rPr>
        <w:t>经济、人口和社会条件差异；</w:t>
      </w:r>
      <w:r>
        <w:rPr>
          <w:rFonts w:hint="eastAsia"/>
          <w:lang w:val="en-GB"/>
        </w:rPr>
        <w:t xml:space="preserve">(c) </w:t>
      </w:r>
      <w:r>
        <w:rPr>
          <w:rFonts w:hint="eastAsia"/>
          <w:lang w:val="en-GB"/>
        </w:rPr>
        <w:t>每个市镇现有的各种社会援助措施；</w:t>
      </w:r>
      <w:r>
        <w:rPr>
          <w:rFonts w:hint="eastAsia"/>
          <w:lang w:val="en-GB"/>
        </w:rPr>
        <w:t xml:space="preserve">(d) </w:t>
      </w:r>
      <w:r>
        <w:rPr>
          <w:rFonts w:hint="eastAsia"/>
          <w:lang w:val="en-GB"/>
        </w:rPr>
        <w:t>试点市镇的适当地区分布；以及</w:t>
      </w:r>
      <w:r>
        <w:rPr>
          <w:rFonts w:hint="eastAsia"/>
          <w:lang w:val="en-GB"/>
        </w:rPr>
        <w:t>(e)</w:t>
      </w:r>
      <w:r>
        <w:rPr>
          <w:rFonts w:hint="eastAsia"/>
          <w:lang w:val="en-GB"/>
        </w:rPr>
        <w:t>市镇须自愿参与。</w:t>
      </w:r>
    </w:p>
  </w:endnote>
  <w:endnote w:id="6">
    <w:p w:rsidR="00000000" w:rsidRDefault="00000000">
      <w:pPr>
        <w:pStyle w:val="EndnoteText"/>
        <w:rPr>
          <w:rFonts w:hint="eastAsia"/>
        </w:rPr>
      </w:pPr>
      <w:r>
        <w:rPr>
          <w:rStyle w:val="EndnoteReference"/>
        </w:rPr>
        <w:endnoteRef/>
      </w:r>
      <w:r>
        <w:t xml:space="preserve"> </w:t>
      </w:r>
      <w:r>
        <w:rPr>
          <w:rFonts w:hint="eastAsia"/>
        </w:rPr>
        <w:tab/>
      </w:r>
      <w:r>
        <w:rPr>
          <w:rFonts w:hint="eastAsia"/>
        </w:rPr>
        <w:t>这些研究中心包括</w:t>
      </w:r>
      <w:r>
        <w:rPr>
          <w:rFonts w:hint="eastAsia"/>
          <w:lang w:val="en-GB"/>
        </w:rPr>
        <w:t>：米兰的</w:t>
      </w:r>
      <w:r>
        <w:rPr>
          <w:iCs/>
          <w:lang w:val="it-IT"/>
        </w:rPr>
        <w:t>Istituto per la Ricerca sociale (IRS)</w:t>
      </w:r>
      <w:r>
        <w:rPr>
          <w:rFonts w:hint="eastAsia"/>
          <w:iCs/>
          <w:lang w:val="en-GB"/>
        </w:rPr>
        <w:t>，</w:t>
      </w:r>
      <w:r>
        <w:rPr>
          <w:rFonts w:hint="eastAsia"/>
          <w:iCs/>
          <w:lang w:val="it-IT"/>
        </w:rPr>
        <w:t>帕多瓦的</w:t>
      </w:r>
      <w:r>
        <w:rPr>
          <w:iCs/>
          <w:lang w:val="it-IT"/>
        </w:rPr>
        <w:t xml:space="preserve"> Centro Studi e Formazione sociale Fondazione Emanuela Zancan </w:t>
      </w:r>
      <w:r>
        <w:rPr>
          <w:rFonts w:hint="eastAsia"/>
          <w:iCs/>
          <w:lang w:val="it-IT"/>
        </w:rPr>
        <w:t>和罗马的</w:t>
      </w:r>
      <w:r>
        <w:rPr>
          <w:iCs/>
          <w:lang w:val="it-IT"/>
        </w:rPr>
        <w:t xml:space="preserve"> Centro di ricerche e studi sui problemi del Lavoro, dell’Economia e dello Sviluppo (CLES) </w:t>
      </w:r>
      <w:r>
        <w:rPr>
          <w:rFonts w:hint="eastAsia"/>
          <w:iCs/>
          <w:lang w:val="it-IT"/>
        </w:rPr>
        <w:t>。</w:t>
      </w:r>
    </w:p>
  </w:endnote>
  <w:endnote w:id="7">
    <w:p w:rsidR="00000000" w:rsidRDefault="00000000">
      <w:pPr>
        <w:pStyle w:val="EndnoteText"/>
        <w:rPr>
          <w:rFonts w:hint="eastAsia"/>
        </w:rPr>
      </w:pPr>
      <w:r>
        <w:rPr>
          <w:rStyle w:val="EndnoteReference"/>
        </w:rPr>
        <w:endnoteRef/>
      </w:r>
      <w:r>
        <w:t xml:space="preserve"> </w:t>
      </w:r>
      <w:r>
        <w:rPr>
          <w:rFonts w:hint="eastAsia"/>
        </w:rPr>
        <w:tab/>
      </w:r>
      <w:r>
        <w:rPr>
          <w:rFonts w:hint="eastAsia"/>
        </w:rPr>
        <w:t>九十年代中，意大利制定了促进地方发展的新政策，包括所谓的《地区协议》。这类政策措施旨在由社会伙伴、地方当局和各种协会建立一种特定的地方政策网络，负责确定一套发展目标</w:t>
      </w:r>
      <w:r>
        <w:rPr>
          <w:rFonts w:hint="eastAsia"/>
        </w:rPr>
        <w:t>(</w:t>
      </w:r>
      <w:r>
        <w:rPr>
          <w:rFonts w:hint="eastAsia"/>
        </w:rPr>
        <w:t>特别是要通过资助富有创新性的商业活动来创造就业机会</w:t>
      </w:r>
      <w:r>
        <w:rPr>
          <w:rFonts w:hint="eastAsia"/>
        </w:rPr>
        <w:t>)</w:t>
      </w:r>
      <w:r>
        <w:rPr>
          <w:rFonts w:hint="eastAsia"/>
        </w:rPr>
        <w:t>，并在地区协议范围内由一或多个地方公共机关</w:t>
      </w:r>
      <w:r>
        <w:rPr>
          <w:rFonts w:hint="eastAsia"/>
        </w:rPr>
        <w:t>(</w:t>
      </w:r>
      <w:r>
        <w:rPr>
          <w:rFonts w:hint="eastAsia"/>
        </w:rPr>
        <w:t>通常是市镇或省份</w:t>
      </w:r>
      <w:r>
        <w:rPr>
          <w:rFonts w:hint="eastAsia"/>
        </w:rPr>
        <w:t>)</w:t>
      </w:r>
      <w:r>
        <w:rPr>
          <w:rFonts w:hint="eastAsia"/>
        </w:rPr>
        <w:t>来实现。这些政策赖以为基础的“自下而上”办法，与意大利以前的地方发展政策相比，特别富有创新性。</w:t>
      </w:r>
    </w:p>
  </w:endnote>
  <w:endnote w:id="8">
    <w:p w:rsidR="00000000" w:rsidRDefault="00000000">
      <w:pPr>
        <w:pStyle w:val="EndnoteText"/>
        <w:rPr>
          <w:rFonts w:hint="eastAsia"/>
        </w:rPr>
      </w:pPr>
      <w:r>
        <w:rPr>
          <w:rStyle w:val="EndnoteReference"/>
        </w:rPr>
        <w:endnoteRef/>
      </w:r>
      <w:r>
        <w:t xml:space="preserve"> </w:t>
      </w:r>
      <w:r>
        <w:rPr>
          <w:rFonts w:hint="eastAsia"/>
        </w:rPr>
        <w:tab/>
      </w:r>
      <w:r>
        <w:rPr>
          <w:iCs/>
          <w:lang w:val="it-IT"/>
        </w:rPr>
        <w:t>Piano Nazionale degli Interventi e dei Servizi Sociali 2001-2003</w:t>
      </w:r>
      <w:r>
        <w:rPr>
          <w:rFonts w:hint="eastAsia"/>
          <w:iCs/>
          <w:lang w:val="it-IT"/>
        </w:rPr>
        <w:t>。</w:t>
      </w:r>
    </w:p>
  </w:endnote>
  <w:endnote w:id="9">
    <w:p w:rsidR="00000000" w:rsidRDefault="00000000">
      <w:pPr>
        <w:pStyle w:val="EndnoteText"/>
        <w:rPr>
          <w:rFonts w:hint="eastAsia"/>
        </w:rPr>
      </w:pPr>
      <w:r>
        <w:rPr>
          <w:rStyle w:val="EndnoteReference"/>
        </w:rPr>
        <w:endnoteRef/>
      </w:r>
      <w:r>
        <w:t xml:space="preserve"> </w:t>
      </w:r>
      <w:r>
        <w:rPr>
          <w:rFonts w:hint="eastAsia"/>
        </w:rPr>
        <w:tab/>
      </w:r>
      <w:r>
        <w:rPr>
          <w:rFonts w:hint="eastAsia"/>
        </w:rPr>
        <w:t>应用公开协调办法反贫困和社会排斥现象的社会包容计划包括两部分：一是多年行动方案，旨在鼓励成员国之间进行合作，反对社会排斥现象。二是要求成员国每两年提交一份国家行动计划，由欧洲联盟委员会和社会保护委员会进行评估，之后由欧洲理事会和欧洲联盟委员会编写一份联合报告。</w:t>
      </w:r>
      <w:r>
        <w:rPr>
          <w:rFonts w:hint="eastAsia"/>
        </w:rPr>
        <w:t>2002</w:t>
      </w:r>
      <w:r>
        <w:rPr>
          <w:rFonts w:hint="eastAsia"/>
        </w:rPr>
        <w:t>年</w:t>
      </w:r>
      <w:r>
        <w:rPr>
          <w:rFonts w:hint="eastAsia"/>
        </w:rPr>
        <w:t>1</w:t>
      </w:r>
      <w:r>
        <w:rPr>
          <w:rFonts w:hint="eastAsia"/>
        </w:rPr>
        <w:t>月</w:t>
      </w:r>
      <w:r>
        <w:rPr>
          <w:rFonts w:hint="eastAsia"/>
        </w:rPr>
        <w:t>1</w:t>
      </w:r>
      <w:r>
        <w:rPr>
          <w:rFonts w:hint="eastAsia"/>
        </w:rPr>
        <w:t>日开始并将于</w:t>
      </w:r>
      <w:r>
        <w:rPr>
          <w:rFonts w:hint="eastAsia"/>
        </w:rPr>
        <w:t>2006</w:t>
      </w:r>
      <w:r>
        <w:rPr>
          <w:rFonts w:hint="eastAsia"/>
        </w:rPr>
        <w:t>年</w:t>
      </w:r>
      <w:r>
        <w:rPr>
          <w:rFonts w:hint="eastAsia"/>
        </w:rPr>
        <w:t>12</w:t>
      </w:r>
      <w:r>
        <w:rPr>
          <w:rFonts w:hint="eastAsia"/>
        </w:rPr>
        <w:t>月</w:t>
      </w:r>
      <w:r>
        <w:rPr>
          <w:rFonts w:hint="eastAsia"/>
        </w:rPr>
        <w:t>31</w:t>
      </w:r>
      <w:r>
        <w:rPr>
          <w:rFonts w:hint="eastAsia"/>
        </w:rPr>
        <w:t>日结束的五年行动方案在整个期间的预算额达</w:t>
      </w:r>
      <w:r>
        <w:rPr>
          <w:rFonts w:hint="eastAsia"/>
        </w:rPr>
        <w:t>75,000,000</w:t>
      </w:r>
      <w:r>
        <w:rPr>
          <w:rFonts w:hint="eastAsia"/>
        </w:rPr>
        <w:t>欧元。该进程第一期于</w:t>
      </w:r>
      <w:r>
        <w:rPr>
          <w:rFonts w:hint="eastAsia"/>
        </w:rPr>
        <w:t>2001</w:t>
      </w:r>
      <w:r>
        <w:rPr>
          <w:rFonts w:hint="eastAsia"/>
        </w:rPr>
        <w:t>年</w:t>
      </w:r>
      <w:r>
        <w:rPr>
          <w:rFonts w:hint="eastAsia"/>
        </w:rPr>
        <w:t>6</w:t>
      </w:r>
      <w:r>
        <w:rPr>
          <w:rFonts w:hint="eastAsia"/>
        </w:rPr>
        <w:t>月开始，提出了第一批国家社会融合计划，为</w:t>
      </w:r>
      <w:r>
        <w:rPr>
          <w:rFonts w:hint="eastAsia"/>
        </w:rPr>
        <w:t>2001</w:t>
      </w:r>
      <w:r>
        <w:rPr>
          <w:rFonts w:hint="eastAsia"/>
        </w:rPr>
        <w:t>年至</w:t>
      </w:r>
      <w:r>
        <w:rPr>
          <w:rFonts w:hint="eastAsia"/>
        </w:rPr>
        <w:t>2003</w:t>
      </w:r>
      <w:r>
        <w:rPr>
          <w:rFonts w:hint="eastAsia"/>
        </w:rPr>
        <w:t>年制定了国家战略。关于融合情况的第一份联合报告于</w:t>
      </w:r>
      <w:r>
        <w:rPr>
          <w:rFonts w:hint="eastAsia"/>
        </w:rPr>
        <w:t>2001</w:t>
      </w:r>
      <w:r>
        <w:rPr>
          <w:rFonts w:hint="eastAsia"/>
        </w:rPr>
        <w:t>年</w:t>
      </w:r>
      <w:r>
        <w:rPr>
          <w:rFonts w:hint="eastAsia"/>
        </w:rPr>
        <w:t>12</w:t>
      </w:r>
      <w:r>
        <w:rPr>
          <w:rFonts w:hint="eastAsia"/>
        </w:rPr>
        <w:t>月印发。整个进程以欧洲委员会</w:t>
      </w:r>
      <w:r>
        <w:rPr>
          <w:rFonts w:hint="eastAsia"/>
        </w:rPr>
        <w:t>2000</w:t>
      </w:r>
      <w:r>
        <w:rPr>
          <w:rFonts w:hint="eastAsia"/>
        </w:rPr>
        <w:t>年</w:t>
      </w:r>
      <w:r>
        <w:rPr>
          <w:rFonts w:hint="eastAsia"/>
        </w:rPr>
        <w:t>12</w:t>
      </w:r>
      <w:r>
        <w:rPr>
          <w:rFonts w:hint="eastAsia"/>
        </w:rPr>
        <w:t>月在尼斯核准的反贫困和社会排斥现象目标为指导。这些目标包括：</w:t>
      </w:r>
      <w:r>
        <w:rPr>
          <w:rFonts w:hint="eastAsia"/>
        </w:rPr>
        <w:t xml:space="preserve">(a) </w:t>
      </w:r>
      <w:r>
        <w:rPr>
          <w:rFonts w:hint="eastAsia"/>
        </w:rPr>
        <w:t>促进就业并便利所有人获得资金、权利、货物和服务；</w:t>
      </w:r>
      <w:r>
        <w:rPr>
          <w:rFonts w:hint="eastAsia"/>
        </w:rPr>
        <w:t xml:space="preserve">(b) </w:t>
      </w:r>
      <w:r>
        <w:rPr>
          <w:rFonts w:hint="eastAsia"/>
        </w:rPr>
        <w:t>防止发生排斥现象；</w:t>
      </w:r>
      <w:r>
        <w:rPr>
          <w:rFonts w:hint="eastAsia"/>
        </w:rPr>
        <w:t xml:space="preserve">(c) </w:t>
      </w:r>
      <w:r>
        <w:rPr>
          <w:rFonts w:hint="eastAsia"/>
        </w:rPr>
        <w:t>帮助最易受伤害者；</w:t>
      </w:r>
      <w:r>
        <w:rPr>
          <w:rFonts w:hint="eastAsia"/>
        </w:rPr>
        <w:t>(d)</w:t>
      </w:r>
      <w:r>
        <w:rPr>
          <w:rFonts w:hint="eastAsia"/>
        </w:rPr>
        <w:t>动员所有有关机构。</w:t>
      </w:r>
    </w:p>
  </w:endnote>
  <w:endnote w:id="10">
    <w:p w:rsidR="00000000" w:rsidRDefault="00000000">
      <w:pPr>
        <w:pStyle w:val="EndnoteText"/>
        <w:rPr>
          <w:rFonts w:hint="eastAsia"/>
        </w:rPr>
      </w:pPr>
      <w:r>
        <w:rPr>
          <w:rStyle w:val="EndnoteReference"/>
        </w:rPr>
        <w:endnoteRef/>
      </w:r>
      <w:r>
        <w:t xml:space="preserve"> </w:t>
      </w:r>
      <w:r>
        <w:rPr>
          <w:rFonts w:hint="eastAsia"/>
        </w:rPr>
        <w:tab/>
      </w:r>
      <w:r>
        <w:rPr>
          <w:rFonts w:hint="eastAsia"/>
        </w:rPr>
        <w:t>例如卫生保健计划在其中一项目标中明确提到要“加强保护脆弱人口”，办法是直接针对可能遭到社会排斥的典型人口采取措施，这些人口包括：移民、吸毒者、精神病患者、老年人和临终者。</w:t>
      </w:r>
    </w:p>
  </w:endnote>
  <w:endnote w:id="11">
    <w:p w:rsidR="00000000" w:rsidRDefault="00000000">
      <w:pPr>
        <w:pStyle w:val="EndnoteText"/>
        <w:rPr>
          <w:rFonts w:hint="eastAsia"/>
        </w:rPr>
      </w:pPr>
      <w:r>
        <w:rPr>
          <w:rStyle w:val="EndnoteReference"/>
        </w:rPr>
        <w:endnoteRef/>
      </w:r>
      <w:r>
        <w:t xml:space="preserve"> </w:t>
      </w:r>
      <w:r>
        <w:rPr>
          <w:rFonts w:hint="eastAsia"/>
        </w:rPr>
        <w:tab/>
      </w:r>
      <w:r>
        <w:rPr>
          <w:rFonts w:hint="eastAsia"/>
        </w:rPr>
        <w:t>第</w:t>
      </w:r>
      <w:r>
        <w:rPr>
          <w:rFonts w:hint="eastAsia"/>
        </w:rPr>
        <w:t>328/2000</w:t>
      </w:r>
      <w:r>
        <w:rPr>
          <w:rFonts w:hint="eastAsia"/>
        </w:rPr>
        <w:t>号法规定，政府必须每三年编制一项国家社会干预与服务计划。该计划，除其他外，必须确定重点、项目目标和用以衡量社会融合水平的指标。</w:t>
      </w:r>
    </w:p>
  </w:endnote>
  <w:endnote w:id="12">
    <w:p w:rsidR="00000000" w:rsidRDefault="00000000">
      <w:pPr>
        <w:pStyle w:val="EndnoteText"/>
        <w:rPr>
          <w:rFonts w:hint="eastAsia"/>
        </w:rPr>
      </w:pPr>
      <w:r>
        <w:rPr>
          <w:rStyle w:val="EndnoteReference"/>
        </w:rPr>
        <w:endnoteRef/>
      </w:r>
      <w:r>
        <w:t xml:space="preserve"> </w:t>
      </w:r>
      <w:r>
        <w:rPr>
          <w:rFonts w:hint="eastAsia"/>
        </w:rPr>
        <w:tab/>
      </w:r>
      <w:r>
        <w:rPr>
          <w:rFonts w:hint="eastAsia"/>
        </w:rPr>
        <w:t>关于社会融合的联合报告草稿</w:t>
      </w:r>
      <w:r>
        <w:rPr>
          <w:rFonts w:hint="eastAsia"/>
        </w:rPr>
        <w:t>(CEC2001)</w:t>
      </w:r>
      <w:r>
        <w:rPr>
          <w:rFonts w:hint="eastAsia"/>
        </w:rPr>
        <w:t>，</w:t>
      </w:r>
      <w:r>
        <w:rPr>
          <w:rFonts w:hint="eastAsia"/>
        </w:rPr>
        <w:t>P.22</w:t>
      </w:r>
      <w:r>
        <w:rPr>
          <w:rFonts w:hint="eastAsia"/>
        </w:rPr>
        <w:t>。</w:t>
      </w:r>
    </w:p>
  </w:endnote>
  <w:endnote w:id="13">
    <w:p w:rsidR="00000000" w:rsidRDefault="00000000">
      <w:pPr>
        <w:pStyle w:val="EndnoteText"/>
      </w:pPr>
      <w:r>
        <w:rPr>
          <w:rStyle w:val="EndnoteReference"/>
        </w:rPr>
        <w:endnoteRef/>
      </w:r>
      <w:r>
        <w:t xml:space="preserve"> </w:t>
      </w:r>
      <w:r>
        <w:rPr>
          <w:rFonts w:hint="eastAsia"/>
        </w:rPr>
        <w:tab/>
      </w:r>
      <w:r>
        <w:rPr>
          <w:rFonts w:hint="eastAsia"/>
        </w:rPr>
        <w:t>事实上，该措施于</w:t>
      </w:r>
      <w:r>
        <w:rPr>
          <w:rFonts w:hint="eastAsia"/>
        </w:rPr>
        <w:t>1998</w:t>
      </w:r>
      <w:r>
        <w:rPr>
          <w:rFonts w:hint="eastAsia"/>
        </w:rPr>
        <w:t>年</w:t>
      </w:r>
      <w:r>
        <w:rPr>
          <w:rFonts w:hint="eastAsia"/>
        </w:rPr>
        <w:t>12</w:t>
      </w:r>
      <w:r>
        <w:rPr>
          <w:rFonts w:hint="eastAsia"/>
        </w:rPr>
        <w:t>月底提出</w:t>
      </w:r>
      <w:r>
        <w:rPr>
          <w:rFonts w:hint="eastAsia"/>
        </w:rPr>
        <w:t>(1998</w:t>
      </w:r>
      <w:r>
        <w:rPr>
          <w:rFonts w:hint="eastAsia"/>
        </w:rPr>
        <w:t>年</w:t>
      </w:r>
      <w:r>
        <w:rPr>
          <w:rFonts w:hint="eastAsia"/>
        </w:rPr>
        <w:t>12</w:t>
      </w:r>
      <w:r>
        <w:rPr>
          <w:rFonts w:hint="eastAsia"/>
        </w:rPr>
        <w:t>月</w:t>
      </w:r>
      <w:r>
        <w:rPr>
          <w:rFonts w:hint="eastAsia"/>
        </w:rPr>
        <w:t>23</w:t>
      </w:r>
      <w:r>
        <w:rPr>
          <w:rFonts w:hint="eastAsia"/>
        </w:rPr>
        <w:t>日第</w:t>
      </w:r>
      <w:r>
        <w:rPr>
          <w:rFonts w:hint="eastAsia"/>
        </w:rPr>
        <w:t>448</w:t>
      </w:r>
      <w:r>
        <w:rPr>
          <w:rFonts w:hint="eastAsia"/>
        </w:rPr>
        <w:t>号法</w:t>
      </w:r>
      <w:r>
        <w:rPr>
          <w:rFonts w:hint="eastAsia"/>
        </w:rPr>
        <w:t>)</w:t>
      </w:r>
      <w:r>
        <w:rPr>
          <w:rFonts w:hint="eastAsia"/>
        </w:rPr>
        <w:t>，并于</w:t>
      </w:r>
      <w:r>
        <w:rPr>
          <w:rFonts w:hint="eastAsia"/>
        </w:rPr>
        <w:t>1999</w:t>
      </w:r>
      <w:r>
        <w:rPr>
          <w:rFonts w:hint="eastAsia"/>
        </w:rPr>
        <w:t>年开始实施。</w:t>
      </w:r>
    </w:p>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-41987 (C)</w:t>
          </w:r>
        </w:p>
      </w:tc>
      <w:tc>
        <w:tcPr>
          <w:tcW w:w="1050" w:type="dxa"/>
        </w:tcPr>
        <w:p w:rsidR="00000000" w:rsidRDefault="00000000">
          <w:pPr>
            <w:pStyle w:val="Footer"/>
          </w:pPr>
          <w:r>
            <w:t>140104</w:t>
          </w:r>
        </w:p>
      </w:tc>
      <w:tc>
        <w:tcPr>
          <w:tcW w:w="6061" w:type="dxa"/>
        </w:tcPr>
        <w:p w:rsidR="00000000" w:rsidRDefault="00000000">
          <w:pPr>
            <w:pStyle w:val="Footer"/>
            <w:rPr>
              <w:rFonts w:hint="eastAsia"/>
            </w:rPr>
          </w:pPr>
          <w:r>
            <w:rPr>
              <w:rFonts w:hint="eastAsia"/>
            </w:rPr>
            <w:t>2</w:t>
          </w:r>
          <w:r>
            <w:t>20104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after="240"/>
      </w:pPr>
      <w:r>
        <w:rPr>
          <w:rStyle w:val="FootnoteReference"/>
          <w:b w:val="0"/>
          <w:bCs/>
          <w:vertAlign w:val="baseline"/>
        </w:rPr>
        <w:t>*</w:t>
      </w:r>
      <w:r>
        <w:rPr>
          <w:b/>
          <w:bCs/>
        </w:rPr>
        <w:tab/>
      </w:r>
      <w:r>
        <w:rPr>
          <w:rFonts w:hint="eastAsia"/>
        </w:rPr>
        <w:t>第三次定期报告涉及《公约》第</w:t>
      </w:r>
      <w:r>
        <w:rPr>
          <w:rFonts w:hint="eastAsia"/>
        </w:rPr>
        <w:t>1</w:t>
      </w:r>
      <w:r>
        <w:rPr>
          <w:rFonts w:hint="eastAsia"/>
        </w:rPr>
        <w:t>至第</w:t>
      </w:r>
      <w:r>
        <w:rPr>
          <w:rFonts w:hint="eastAsia"/>
        </w:rPr>
        <w:t>15</w:t>
      </w:r>
      <w:r>
        <w:rPr>
          <w:rFonts w:hint="eastAsia"/>
        </w:rPr>
        <w:t>条范围内的权利</w:t>
      </w:r>
      <w:r>
        <w:rPr>
          <w:rFonts w:hint="eastAsia"/>
        </w:rPr>
        <w:t xml:space="preserve">(E/1994/104/ </w:t>
      </w:r>
      <w:r>
        <w:t>Add.1</w:t>
      </w:r>
      <w:r>
        <w:rPr>
          <w:rFonts w:hint="eastAsia"/>
        </w:rPr>
        <w:t>9)</w:t>
      </w:r>
      <w:r>
        <w:rPr>
          <w:rFonts w:hint="eastAsia"/>
        </w:rPr>
        <w:t>，经济、社会和文化权利委员会已在</w:t>
      </w:r>
      <w:r>
        <w:rPr>
          <w:rFonts w:hint="eastAsia"/>
        </w:rPr>
        <w:t>2000</w:t>
      </w:r>
      <w:r>
        <w:rPr>
          <w:rFonts w:hint="eastAsia"/>
        </w:rPr>
        <w:t>年</w:t>
      </w:r>
      <w:r>
        <w:rPr>
          <w:rFonts w:hint="eastAsia"/>
        </w:rPr>
        <w:t>5</w:t>
      </w:r>
      <w:r>
        <w:rPr>
          <w:rFonts w:hint="eastAsia"/>
        </w:rPr>
        <w:t>月召开的第二十二届会议上审议</w:t>
      </w:r>
      <w:r>
        <w:rPr>
          <w:rFonts w:hint="eastAsia"/>
        </w:rPr>
        <w:t>(</w:t>
      </w:r>
      <w:r>
        <w:rPr>
          <w:rFonts w:hint="eastAsia"/>
        </w:rPr>
        <w:t>见</w:t>
      </w:r>
      <w:r>
        <w:rPr>
          <w:rFonts w:hint="eastAsia"/>
        </w:rPr>
        <w:t>E/C.12/2000/SR.6-8)</w:t>
      </w:r>
      <w:r>
        <w:rPr>
          <w:rFonts w:hint="eastAsia"/>
        </w:rPr>
        <w:t>。</w:t>
      </w:r>
    </w:p>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E/C.12/4/Add.13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144"/>
        <w:tab w:val="left" w:pos="7280"/>
      </w:tabs>
    </w:pPr>
    <w:r>
      <w:tab/>
    </w:r>
    <w:r>
      <w:tab/>
    </w:r>
    <w:r>
      <w:tab/>
    </w:r>
    <w:r>
      <w:tab/>
      <w:t>E/C.12/4/Add.13</w:t>
    </w:r>
  </w:p>
  <w:p w:rsidR="00000000" w:rsidRDefault="00000000">
    <w:pPr>
      <w:pStyle w:val="Header"/>
      <w:tabs>
        <w:tab w:val="clear" w:pos="7144"/>
        <w:tab w:val="left" w:pos="7280"/>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E/C.12/4/Add.13</w:t>
                </w:r>
              </w:p>
              <w:p w:rsidR="00000000" w:rsidRDefault="00000000">
                <w:pPr>
                  <w:pStyle w:val="Header"/>
                </w:pPr>
                <w:r>
                  <w:t>21 May 2003</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061C5"/>
    <w:multiLevelType w:val="hybridMultilevel"/>
    <w:tmpl w:val="00A412DE"/>
    <w:lvl w:ilvl="0" w:tplc="CD4ED15A">
      <w:start w:val="1"/>
      <w:numFmt w:val="lowerLetter"/>
      <w:lvlRestart w:val="0"/>
      <w:lvlText w:val="(%1)"/>
      <w:lvlJc w:val="right"/>
      <w:pPr>
        <w:tabs>
          <w:tab w:val="num" w:pos="2070"/>
        </w:tabs>
        <w:ind w:left="2070" w:hanging="227"/>
      </w:pPr>
      <w:rPr>
        <w:rFonts w:ascii="Times New Roman" w:hAnsi="Times New Roman" w:hint="eastAsia"/>
        <w:b w:val="0"/>
        <w:i w:val="0"/>
        <w:sz w:val="24"/>
      </w:rPr>
    </w:lvl>
    <w:lvl w:ilvl="1" w:tplc="CD4ED15A">
      <w:start w:val="1"/>
      <w:numFmt w:val="lowerLetter"/>
      <w:lvlRestart w:val="0"/>
      <w:lvlText w:val="(%2)"/>
      <w:lvlJc w:val="right"/>
      <w:pPr>
        <w:tabs>
          <w:tab w:val="num" w:pos="1246"/>
        </w:tabs>
        <w:ind w:left="1246" w:hanging="227"/>
      </w:pPr>
      <w:rPr>
        <w:rFonts w:ascii="Times New Roman" w:hAnsi="Times New Roman" w:hint="eastAsia"/>
        <w:b w:val="0"/>
        <w:i w:val="0"/>
        <w:sz w:val="24"/>
      </w:rPr>
    </w:lvl>
    <w:lvl w:ilvl="2" w:tplc="0409001B" w:tentative="1">
      <w:start w:val="1"/>
      <w:numFmt w:val="lowerRoman"/>
      <w:lvlText w:val="%3."/>
      <w:lvlJc w:val="right"/>
      <w:pPr>
        <w:tabs>
          <w:tab w:val="num" w:pos="1979"/>
        </w:tabs>
        <w:ind w:left="1979" w:hanging="480"/>
      </w:pPr>
    </w:lvl>
    <w:lvl w:ilvl="3" w:tplc="0409000F" w:tentative="1">
      <w:start w:val="1"/>
      <w:numFmt w:val="decimal"/>
      <w:lvlText w:val="%4."/>
      <w:lvlJc w:val="left"/>
      <w:pPr>
        <w:tabs>
          <w:tab w:val="num" w:pos="2459"/>
        </w:tabs>
        <w:ind w:left="2459" w:hanging="480"/>
      </w:pPr>
    </w:lvl>
    <w:lvl w:ilvl="4" w:tplc="04090019" w:tentative="1">
      <w:start w:val="1"/>
      <w:numFmt w:val="ideographTraditional"/>
      <w:lvlText w:val="%5、"/>
      <w:lvlJc w:val="left"/>
      <w:pPr>
        <w:tabs>
          <w:tab w:val="num" w:pos="2939"/>
        </w:tabs>
        <w:ind w:left="2939" w:hanging="480"/>
      </w:pPr>
    </w:lvl>
    <w:lvl w:ilvl="5" w:tplc="0409001B" w:tentative="1">
      <w:start w:val="1"/>
      <w:numFmt w:val="lowerRoman"/>
      <w:lvlText w:val="%6."/>
      <w:lvlJc w:val="right"/>
      <w:pPr>
        <w:tabs>
          <w:tab w:val="num" w:pos="3419"/>
        </w:tabs>
        <w:ind w:left="3419" w:hanging="480"/>
      </w:pPr>
    </w:lvl>
    <w:lvl w:ilvl="6" w:tplc="0409000F" w:tentative="1">
      <w:start w:val="1"/>
      <w:numFmt w:val="decimal"/>
      <w:lvlText w:val="%7."/>
      <w:lvlJc w:val="left"/>
      <w:pPr>
        <w:tabs>
          <w:tab w:val="num" w:pos="3899"/>
        </w:tabs>
        <w:ind w:left="3899" w:hanging="480"/>
      </w:pPr>
    </w:lvl>
    <w:lvl w:ilvl="7" w:tplc="04090019" w:tentative="1">
      <w:start w:val="1"/>
      <w:numFmt w:val="ideographTraditional"/>
      <w:lvlText w:val="%8、"/>
      <w:lvlJc w:val="left"/>
      <w:pPr>
        <w:tabs>
          <w:tab w:val="num" w:pos="4379"/>
        </w:tabs>
        <w:ind w:left="4379" w:hanging="480"/>
      </w:pPr>
    </w:lvl>
    <w:lvl w:ilvl="8" w:tplc="0409001B" w:tentative="1">
      <w:start w:val="1"/>
      <w:numFmt w:val="lowerRoman"/>
      <w:lvlText w:val="%9."/>
      <w:lvlJc w:val="right"/>
      <w:pPr>
        <w:tabs>
          <w:tab w:val="num" w:pos="4859"/>
        </w:tabs>
        <w:ind w:left="4859" w:hanging="480"/>
      </w:pPr>
    </w:lvl>
  </w:abstractNum>
  <w:abstractNum w:abstractNumId="1">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3">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5">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6">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9">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3">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4">
    <w:nsid w:val="15AD558B"/>
    <w:multiLevelType w:val="hybridMultilevel"/>
    <w:tmpl w:val="4ACCF79C"/>
    <w:lvl w:ilvl="0" w:tplc="85908094">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15">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8">
    <w:nsid w:val="1D0E629D"/>
    <w:multiLevelType w:val="hybridMultilevel"/>
    <w:tmpl w:val="E0465C2C"/>
    <w:lvl w:ilvl="0" w:tplc="8F4E21E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0">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2">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3">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3EC432B"/>
    <w:multiLevelType w:val="hybridMultilevel"/>
    <w:tmpl w:val="93E09028"/>
    <w:lvl w:ilvl="0" w:tplc="778EE610">
      <w:start w:val="1"/>
      <w:numFmt w:val="upperLetter"/>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6">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9">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0">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374930DC"/>
    <w:multiLevelType w:val="hybridMultilevel"/>
    <w:tmpl w:val="552048DC"/>
    <w:lvl w:ilvl="0" w:tplc="8F4E21E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4">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5">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7">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9">
    <w:nsid w:val="422140FF"/>
    <w:multiLevelType w:val="hybridMultilevel"/>
    <w:tmpl w:val="4EB8525E"/>
    <w:lvl w:ilvl="0" w:tplc="8F4E21E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1">
    <w:nsid w:val="46E5028E"/>
    <w:multiLevelType w:val="hybridMultilevel"/>
    <w:tmpl w:val="84DC5CC6"/>
    <w:lvl w:ilvl="0" w:tplc="8F4E21E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7">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8">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50">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1">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2">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53">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4">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5">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6">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7">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9">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60">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5D8E53A9"/>
    <w:multiLevelType w:val="hybridMultilevel"/>
    <w:tmpl w:val="E3829BE4"/>
    <w:lvl w:ilvl="0" w:tplc="266C5A04">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64">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5">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6">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8">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9">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70">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72">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3">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72BA0748"/>
    <w:multiLevelType w:val="hybridMultilevel"/>
    <w:tmpl w:val="47E81E8C"/>
    <w:lvl w:ilvl="0" w:tplc="24B482DA">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abstractNum w:abstractNumId="77">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3196344"/>
    <w:multiLevelType w:val="hybridMultilevel"/>
    <w:tmpl w:val="45380CC8"/>
    <w:lvl w:ilvl="0" w:tplc="48AE8A5A">
      <w:start w:val="79"/>
      <w:numFmt w:val="bullet"/>
      <w:lvlText w:val="-"/>
      <w:lvlJc w:val="left"/>
      <w:pPr>
        <w:tabs>
          <w:tab w:val="num" w:pos="1380"/>
        </w:tabs>
        <w:ind w:left="1380" w:hanging="360"/>
      </w:pPr>
      <w:rPr>
        <w:rFonts w:ascii="Times New Roman" w:eastAsia="SimSun" w:hAnsi="Times New Roman" w:cs="Times New Roman" w:hint="default"/>
      </w:rPr>
    </w:lvl>
    <w:lvl w:ilvl="1" w:tplc="04090003">
      <w:start w:val="1"/>
      <w:numFmt w:val="bullet"/>
      <w:lvlText w:val=""/>
      <w:lvlJc w:val="left"/>
      <w:pPr>
        <w:tabs>
          <w:tab w:val="num" w:pos="1980"/>
        </w:tabs>
        <w:ind w:left="1980" w:hanging="480"/>
      </w:pPr>
      <w:rPr>
        <w:rFonts w:ascii="Wingdings" w:hAnsi="Wingdings" w:hint="default"/>
      </w:rPr>
    </w:lvl>
    <w:lvl w:ilvl="2" w:tplc="04090005" w:tentative="1">
      <w:start w:val="1"/>
      <w:numFmt w:val="bullet"/>
      <w:lvlText w:val=""/>
      <w:lvlJc w:val="left"/>
      <w:pPr>
        <w:tabs>
          <w:tab w:val="num" w:pos="2460"/>
        </w:tabs>
        <w:ind w:left="2460" w:hanging="480"/>
      </w:pPr>
      <w:rPr>
        <w:rFonts w:ascii="Wingdings" w:hAnsi="Wingdings" w:hint="default"/>
      </w:rPr>
    </w:lvl>
    <w:lvl w:ilvl="3" w:tplc="04090001" w:tentative="1">
      <w:start w:val="1"/>
      <w:numFmt w:val="bullet"/>
      <w:lvlText w:val=""/>
      <w:lvlJc w:val="left"/>
      <w:pPr>
        <w:tabs>
          <w:tab w:val="num" w:pos="2940"/>
        </w:tabs>
        <w:ind w:left="2940" w:hanging="480"/>
      </w:pPr>
      <w:rPr>
        <w:rFonts w:ascii="Wingdings" w:hAnsi="Wingdings" w:hint="default"/>
      </w:rPr>
    </w:lvl>
    <w:lvl w:ilvl="4" w:tplc="04090003" w:tentative="1">
      <w:start w:val="1"/>
      <w:numFmt w:val="bullet"/>
      <w:lvlText w:val=""/>
      <w:lvlJc w:val="left"/>
      <w:pPr>
        <w:tabs>
          <w:tab w:val="num" w:pos="3420"/>
        </w:tabs>
        <w:ind w:left="3420" w:hanging="480"/>
      </w:pPr>
      <w:rPr>
        <w:rFonts w:ascii="Wingdings" w:hAnsi="Wingdings" w:hint="default"/>
      </w:rPr>
    </w:lvl>
    <w:lvl w:ilvl="5" w:tplc="04090005" w:tentative="1">
      <w:start w:val="1"/>
      <w:numFmt w:val="bullet"/>
      <w:lvlText w:val=""/>
      <w:lvlJc w:val="left"/>
      <w:pPr>
        <w:tabs>
          <w:tab w:val="num" w:pos="3900"/>
        </w:tabs>
        <w:ind w:left="3900" w:hanging="480"/>
      </w:pPr>
      <w:rPr>
        <w:rFonts w:ascii="Wingdings" w:hAnsi="Wingdings" w:hint="default"/>
      </w:rPr>
    </w:lvl>
    <w:lvl w:ilvl="6" w:tplc="04090001" w:tentative="1">
      <w:start w:val="1"/>
      <w:numFmt w:val="bullet"/>
      <w:lvlText w:val=""/>
      <w:lvlJc w:val="left"/>
      <w:pPr>
        <w:tabs>
          <w:tab w:val="num" w:pos="4380"/>
        </w:tabs>
        <w:ind w:left="4380" w:hanging="480"/>
      </w:pPr>
      <w:rPr>
        <w:rFonts w:ascii="Wingdings" w:hAnsi="Wingdings" w:hint="default"/>
      </w:rPr>
    </w:lvl>
    <w:lvl w:ilvl="7" w:tplc="04090003" w:tentative="1">
      <w:start w:val="1"/>
      <w:numFmt w:val="bullet"/>
      <w:lvlText w:val=""/>
      <w:lvlJc w:val="left"/>
      <w:pPr>
        <w:tabs>
          <w:tab w:val="num" w:pos="4860"/>
        </w:tabs>
        <w:ind w:left="4860" w:hanging="480"/>
      </w:pPr>
      <w:rPr>
        <w:rFonts w:ascii="Wingdings" w:hAnsi="Wingdings" w:hint="default"/>
      </w:rPr>
    </w:lvl>
    <w:lvl w:ilvl="8" w:tplc="04090005" w:tentative="1">
      <w:start w:val="1"/>
      <w:numFmt w:val="bullet"/>
      <w:lvlText w:val=""/>
      <w:lvlJc w:val="left"/>
      <w:pPr>
        <w:tabs>
          <w:tab w:val="num" w:pos="5340"/>
        </w:tabs>
        <w:ind w:left="5340" w:hanging="480"/>
      </w:pPr>
      <w:rPr>
        <w:rFonts w:ascii="Wingdings" w:hAnsi="Wingdings" w:hint="default"/>
      </w:rPr>
    </w:lvl>
  </w:abstractNum>
  <w:abstractNum w:abstractNumId="79">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81">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84">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85">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86">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88">
    <w:nsid w:val="7F407F8C"/>
    <w:multiLevelType w:val="hybridMultilevel"/>
    <w:tmpl w:val="14ECECAA"/>
    <w:lvl w:ilvl="0" w:tplc="705845DA">
      <w:start w:val="1"/>
      <w:numFmt w:val="lowerLetter"/>
      <w:lvlText w:val="(%1)"/>
      <w:lvlJc w:val="left"/>
      <w:pPr>
        <w:tabs>
          <w:tab w:val="num" w:pos="1381"/>
        </w:tabs>
        <w:ind w:left="1381" w:hanging="360"/>
      </w:pPr>
      <w:rPr>
        <w:rFonts w:hint="eastAsia"/>
      </w:rPr>
    </w:lvl>
    <w:lvl w:ilvl="1" w:tplc="04090019" w:tentative="1">
      <w:start w:val="1"/>
      <w:numFmt w:val="ideographTraditional"/>
      <w:lvlText w:val="%2、"/>
      <w:lvlJc w:val="left"/>
      <w:pPr>
        <w:tabs>
          <w:tab w:val="num" w:pos="1981"/>
        </w:tabs>
        <w:ind w:left="1981" w:hanging="480"/>
      </w:pPr>
    </w:lvl>
    <w:lvl w:ilvl="2" w:tplc="0409001B" w:tentative="1">
      <w:start w:val="1"/>
      <w:numFmt w:val="lowerRoman"/>
      <w:lvlText w:val="%3."/>
      <w:lvlJc w:val="right"/>
      <w:pPr>
        <w:tabs>
          <w:tab w:val="num" w:pos="2461"/>
        </w:tabs>
        <w:ind w:left="2461" w:hanging="480"/>
      </w:pPr>
    </w:lvl>
    <w:lvl w:ilvl="3" w:tplc="0409000F" w:tentative="1">
      <w:start w:val="1"/>
      <w:numFmt w:val="decimal"/>
      <w:lvlText w:val="%4."/>
      <w:lvlJc w:val="left"/>
      <w:pPr>
        <w:tabs>
          <w:tab w:val="num" w:pos="2941"/>
        </w:tabs>
        <w:ind w:left="2941" w:hanging="480"/>
      </w:pPr>
    </w:lvl>
    <w:lvl w:ilvl="4" w:tplc="04090019" w:tentative="1">
      <w:start w:val="1"/>
      <w:numFmt w:val="ideographTraditional"/>
      <w:lvlText w:val="%5、"/>
      <w:lvlJc w:val="left"/>
      <w:pPr>
        <w:tabs>
          <w:tab w:val="num" w:pos="3421"/>
        </w:tabs>
        <w:ind w:left="3421" w:hanging="480"/>
      </w:pPr>
    </w:lvl>
    <w:lvl w:ilvl="5" w:tplc="0409001B" w:tentative="1">
      <w:start w:val="1"/>
      <w:numFmt w:val="lowerRoman"/>
      <w:lvlText w:val="%6."/>
      <w:lvlJc w:val="right"/>
      <w:pPr>
        <w:tabs>
          <w:tab w:val="num" w:pos="3901"/>
        </w:tabs>
        <w:ind w:left="3901" w:hanging="480"/>
      </w:pPr>
    </w:lvl>
    <w:lvl w:ilvl="6" w:tplc="0409000F" w:tentative="1">
      <w:start w:val="1"/>
      <w:numFmt w:val="decimal"/>
      <w:lvlText w:val="%7."/>
      <w:lvlJc w:val="left"/>
      <w:pPr>
        <w:tabs>
          <w:tab w:val="num" w:pos="4381"/>
        </w:tabs>
        <w:ind w:left="4381" w:hanging="480"/>
      </w:pPr>
    </w:lvl>
    <w:lvl w:ilvl="7" w:tplc="04090019" w:tentative="1">
      <w:start w:val="1"/>
      <w:numFmt w:val="ideographTraditional"/>
      <w:lvlText w:val="%8、"/>
      <w:lvlJc w:val="left"/>
      <w:pPr>
        <w:tabs>
          <w:tab w:val="num" w:pos="4861"/>
        </w:tabs>
        <w:ind w:left="4861" w:hanging="480"/>
      </w:pPr>
    </w:lvl>
    <w:lvl w:ilvl="8" w:tplc="0409001B" w:tentative="1">
      <w:start w:val="1"/>
      <w:numFmt w:val="lowerRoman"/>
      <w:lvlText w:val="%9."/>
      <w:lvlJc w:val="right"/>
      <w:pPr>
        <w:tabs>
          <w:tab w:val="num" w:pos="5341"/>
        </w:tabs>
        <w:ind w:left="5341" w:hanging="480"/>
      </w:pPr>
    </w:lvl>
  </w:abstractNum>
  <w:num w:numId="1">
    <w:abstractNumId w:val="52"/>
  </w:num>
  <w:num w:numId="2">
    <w:abstractNumId w:val="34"/>
  </w:num>
  <w:num w:numId="3">
    <w:abstractNumId w:val="28"/>
  </w:num>
  <w:num w:numId="4">
    <w:abstractNumId w:val="29"/>
  </w:num>
  <w:num w:numId="5">
    <w:abstractNumId w:val="82"/>
  </w:num>
  <w:num w:numId="6">
    <w:abstractNumId w:val="1"/>
  </w:num>
  <w:num w:numId="7">
    <w:abstractNumId w:val="45"/>
  </w:num>
  <w:num w:numId="8">
    <w:abstractNumId w:val="26"/>
  </w:num>
  <w:num w:numId="9">
    <w:abstractNumId w:val="9"/>
  </w:num>
  <w:num w:numId="10">
    <w:abstractNumId w:val="15"/>
  </w:num>
  <w:num w:numId="11">
    <w:abstractNumId w:val="74"/>
  </w:num>
  <w:num w:numId="12">
    <w:abstractNumId w:val="19"/>
  </w:num>
  <w:num w:numId="13">
    <w:abstractNumId w:val="80"/>
  </w:num>
  <w:num w:numId="14">
    <w:abstractNumId w:val="49"/>
  </w:num>
  <w:num w:numId="15">
    <w:abstractNumId w:val="53"/>
  </w:num>
  <w:num w:numId="16">
    <w:abstractNumId w:val="5"/>
  </w:num>
  <w:num w:numId="17">
    <w:abstractNumId w:val="86"/>
  </w:num>
  <w:num w:numId="18">
    <w:abstractNumId w:val="73"/>
  </w:num>
  <w:num w:numId="19">
    <w:abstractNumId w:val="70"/>
  </w:num>
  <w:num w:numId="20">
    <w:abstractNumId w:val="7"/>
  </w:num>
  <w:num w:numId="21">
    <w:abstractNumId w:val="51"/>
  </w:num>
  <w:num w:numId="22">
    <w:abstractNumId w:val="55"/>
  </w:num>
  <w:num w:numId="23">
    <w:abstractNumId w:val="84"/>
  </w:num>
  <w:num w:numId="24">
    <w:abstractNumId w:val="64"/>
  </w:num>
  <w:num w:numId="25">
    <w:abstractNumId w:val="61"/>
  </w:num>
  <w:num w:numId="26">
    <w:abstractNumId w:val="44"/>
  </w:num>
  <w:num w:numId="27">
    <w:abstractNumId w:val="11"/>
  </w:num>
  <w:num w:numId="28">
    <w:abstractNumId w:val="8"/>
  </w:num>
  <w:num w:numId="29">
    <w:abstractNumId w:val="87"/>
  </w:num>
  <w:num w:numId="30">
    <w:abstractNumId w:val="2"/>
  </w:num>
  <w:num w:numId="31">
    <w:abstractNumId w:val="17"/>
  </w:num>
  <w:num w:numId="32">
    <w:abstractNumId w:val="79"/>
  </w:num>
  <w:num w:numId="33">
    <w:abstractNumId w:val="27"/>
  </w:num>
  <w:num w:numId="34">
    <w:abstractNumId w:val="69"/>
  </w:num>
  <w:num w:numId="35">
    <w:abstractNumId w:val="68"/>
  </w:num>
  <w:num w:numId="36">
    <w:abstractNumId w:val="35"/>
  </w:num>
  <w:num w:numId="37">
    <w:abstractNumId w:val="56"/>
  </w:num>
  <w:num w:numId="38">
    <w:abstractNumId w:val="60"/>
  </w:num>
  <w:num w:numId="39">
    <w:abstractNumId w:val="75"/>
  </w:num>
  <w:num w:numId="40">
    <w:abstractNumId w:val="6"/>
  </w:num>
  <w:num w:numId="41">
    <w:abstractNumId w:val="31"/>
  </w:num>
  <w:num w:numId="42">
    <w:abstractNumId w:val="85"/>
  </w:num>
  <w:num w:numId="43">
    <w:abstractNumId w:val="59"/>
  </w:num>
  <w:num w:numId="44">
    <w:abstractNumId w:val="71"/>
  </w:num>
  <w:num w:numId="45">
    <w:abstractNumId w:val="25"/>
  </w:num>
  <w:num w:numId="46">
    <w:abstractNumId w:val="33"/>
  </w:num>
  <w:num w:numId="47">
    <w:abstractNumId w:val="13"/>
  </w:num>
  <w:num w:numId="48">
    <w:abstractNumId w:val="65"/>
  </w:num>
  <w:num w:numId="49">
    <w:abstractNumId w:val="57"/>
  </w:num>
  <w:num w:numId="50">
    <w:abstractNumId w:val="37"/>
  </w:num>
  <w:num w:numId="51">
    <w:abstractNumId w:val="16"/>
  </w:num>
  <w:num w:numId="52">
    <w:abstractNumId w:val="58"/>
  </w:num>
  <w:num w:numId="53">
    <w:abstractNumId w:val="12"/>
  </w:num>
  <w:num w:numId="54">
    <w:abstractNumId w:val="36"/>
  </w:num>
  <w:num w:numId="55">
    <w:abstractNumId w:val="47"/>
  </w:num>
  <w:num w:numId="56">
    <w:abstractNumId w:val="83"/>
  </w:num>
  <w:num w:numId="57">
    <w:abstractNumId w:val="54"/>
  </w:num>
  <w:num w:numId="58">
    <w:abstractNumId w:val="38"/>
  </w:num>
  <w:num w:numId="59">
    <w:abstractNumId w:val="30"/>
  </w:num>
  <w:num w:numId="60">
    <w:abstractNumId w:val="4"/>
  </w:num>
  <w:num w:numId="61">
    <w:abstractNumId w:val="48"/>
  </w:num>
  <w:num w:numId="62">
    <w:abstractNumId w:val="21"/>
  </w:num>
  <w:num w:numId="63">
    <w:abstractNumId w:val="67"/>
  </w:num>
  <w:num w:numId="64">
    <w:abstractNumId w:val="66"/>
  </w:num>
  <w:num w:numId="65">
    <w:abstractNumId w:val="3"/>
  </w:num>
  <w:num w:numId="66">
    <w:abstractNumId w:val="50"/>
  </w:num>
  <w:num w:numId="67">
    <w:abstractNumId w:val="20"/>
  </w:num>
  <w:num w:numId="68">
    <w:abstractNumId w:val="46"/>
  </w:num>
  <w:num w:numId="69">
    <w:abstractNumId w:val="10"/>
  </w:num>
  <w:num w:numId="70">
    <w:abstractNumId w:val="62"/>
  </w:num>
  <w:num w:numId="71">
    <w:abstractNumId w:val="43"/>
  </w:num>
  <w:num w:numId="72">
    <w:abstractNumId w:val="77"/>
  </w:num>
  <w:num w:numId="73">
    <w:abstractNumId w:val="72"/>
  </w:num>
  <w:num w:numId="74">
    <w:abstractNumId w:val="22"/>
  </w:num>
  <w:num w:numId="75">
    <w:abstractNumId w:val="40"/>
  </w:num>
  <w:num w:numId="76">
    <w:abstractNumId w:val="42"/>
  </w:num>
  <w:num w:numId="77">
    <w:abstractNumId w:val="23"/>
  </w:num>
  <w:num w:numId="78">
    <w:abstractNumId w:val="81"/>
  </w:num>
  <w:num w:numId="79">
    <w:abstractNumId w:val="24"/>
  </w:num>
  <w:num w:numId="80">
    <w:abstractNumId w:val="78"/>
  </w:num>
  <w:num w:numId="81">
    <w:abstractNumId w:val="76"/>
  </w:num>
  <w:num w:numId="82">
    <w:abstractNumId w:val="63"/>
  </w:num>
  <w:num w:numId="83">
    <w:abstractNumId w:val="14"/>
  </w:num>
  <w:num w:numId="84">
    <w:abstractNumId w:val="88"/>
  </w:num>
  <w:num w:numId="85">
    <w:abstractNumId w:val="18"/>
  </w:num>
  <w:num w:numId="86">
    <w:abstractNumId w:val="41"/>
  </w:num>
  <w:num w:numId="87">
    <w:abstractNumId w:val="32"/>
  </w:num>
  <w:num w:numId="88">
    <w:abstractNumId w:val="39"/>
  </w:num>
  <w:num w:numId="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inwelfare.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9448</Words>
  <Characters>53857</Characters>
  <Application>Microsoft Office Word</Application>
  <DocSecurity>4</DocSecurity>
  <Lines>448</Lines>
  <Paragraphs>107</Paragraphs>
  <ScaleCrop>false</ScaleCrop>
  <HeadingPairs>
    <vt:vector size="4" baseType="variant">
      <vt:variant>
        <vt:lpstr>题目</vt:lpstr>
      </vt:variant>
      <vt:variant>
        <vt:i4>1</vt:i4>
      </vt:variant>
      <vt:variant>
        <vt:lpstr>标题</vt:lpstr>
      </vt:variant>
      <vt:variant>
        <vt:i4>57</vt:i4>
      </vt:variant>
    </vt:vector>
  </HeadingPairs>
  <TitlesOfParts>
    <vt:vector size="58" baseType="lpstr">
      <vt:lpstr>2003年实质性会议</vt:lpstr>
      <vt:lpstr>    《经济、社会、文化权利国际公约》的执行情况</vt:lpstr>
      <vt:lpstr>        缔约国根据《公约》第16和第17条提交的 第四次定期报告</vt:lpstr>
      <vt:lpstr>        增  编</vt:lpstr>
      <vt:lpstr>    意 大 利*</vt:lpstr>
      <vt:lpstr>    导  言</vt:lpstr>
      <vt:lpstr>        A.  本报告的编写</vt:lpstr>
      <vt:lpstr>        B.  政 治 框 架</vt:lpstr>
      <vt:lpstr>        C.  总政策方针中最重要的内容</vt:lpstr>
      <vt:lpstr>        1.  战胜贫困和打击社会排斥现象</vt:lpstr>
      <vt:lpstr>        2.  国家计划</vt:lpstr>
      <vt:lpstr>        3.  国家社会行动和计划</vt:lpstr>
      <vt:lpstr>        4.  打击排斥现象的国家行动计划</vt:lpstr>
      <vt:lpstr>        D.  人口变化情况</vt:lpstr>
      <vt:lpstr>        E.  就  业</vt:lpstr>
      <vt:lpstr>        F.  教  育</vt:lpstr>
      <vt:lpstr>    一、委员会关于意大利第三次定期报告的意见</vt:lpstr>
      <vt:lpstr>        A.  法庭裁决与《公约》</vt:lpstr>
      <vt:lpstr>        B.  有关；罗姆人口的问题</vt:lpstr>
      <vt:lpstr>        C.  工作场所事故</vt:lpstr>
      <vt:lpstr>        D.  社会保障</vt:lpstr>
      <vt:lpstr>        E.  意大利北部和南部地区之间的不平等现象</vt:lpstr>
      <vt:lpstr>        F.  中学辍学――半文盲问题</vt:lpstr>
      <vt:lpstr>        G.  权利下放和劳动监察制度</vt:lpstr>
      <vt:lpstr>        H．  残 疾 人</vt:lpstr>
      <vt:lpstr>        I．  贫  困</vt:lpstr>
      <vt:lpstr>    二、《公约》具体条款的执行情况</vt:lpstr>
      <vt:lpstr>        A.  第2和第3条</vt:lpstr>
      <vt:lpstr>        歧  视</vt:lpstr>
      <vt:lpstr>        B.  第 6 条</vt:lpstr>
      <vt:lpstr>        工 作 权</vt:lpstr>
      <vt:lpstr>        C.  第 7 条</vt:lpstr>
      <vt:lpstr>        享有公正和适宜工作条件的权利</vt:lpstr>
      <vt:lpstr>        D.  第 8 条</vt:lpstr>
      <vt:lpstr>        工  会</vt:lpstr>
      <vt:lpstr>        E.  第 9 条</vt:lpstr>
      <vt:lpstr>        社 会 保 障</vt:lpstr>
      <vt:lpstr>        表  1</vt:lpstr>
      <vt:lpstr>        养恤金领取人的社会福利津贴</vt:lpstr>
      <vt:lpstr>        F.  第 10 条</vt:lpstr>
      <vt:lpstr>        保护和援助家庭</vt:lpstr>
      <vt:lpstr>        G.  第 11 条</vt:lpstr>
      <vt:lpstr>        适当的生活水平</vt:lpstr>
      <vt:lpstr>        H.  第 12 条</vt:lpstr>
      <vt:lpstr>        身心健康</vt:lpstr>
      <vt:lpstr>        I.  第 13 条</vt:lpstr>
      <vt:lpstr>        教  育</vt:lpstr>
      <vt:lpstr>        提高各级教育的质量</vt:lpstr>
      <vt:lpstr>        表2.  国家预算－教育公共开支       (1990-1997年的综合平衡表)</vt:lpstr>
      <vt:lpstr>        表3.  1993-1997年的教育公共开支 (10亿里拉)</vt:lpstr>
      <vt:lpstr>        表4.  按学校级别和学生性别统计的学生人数</vt:lpstr>
      <vt:lpstr>        J.  第 15 条</vt:lpstr>
      <vt:lpstr>        文 化 生 活</vt:lpstr>
      <vt:lpstr>        表5.  1993年至1997年间地区的文化活动开支 (10亿里拉)</vt:lpstr>
      <vt:lpstr>        表6.  博物馆的参观人数</vt:lpstr>
      <vt:lpstr>        表7.  娱乐和文化活动开支</vt:lpstr>
      <vt:lpstr>        表8.  1994-1998年公共博物馆和画廊免费参观人数 (年轻人、老年人和残疾人)</vt:lpstr>
      <vt:lpstr>        注</vt:lpstr>
    </vt:vector>
  </TitlesOfParts>
  <Company>Chinese Unit - GE</Company>
  <LinksUpToDate>false</LinksUpToDate>
  <CharactersWithSpaces>66140</CharactersWithSpaces>
  <SharedDoc>false</SharedDoc>
  <HLinks>
    <vt:vector size="6" baseType="variant">
      <vt:variant>
        <vt:i4>196687</vt:i4>
      </vt:variant>
      <vt:variant>
        <vt:i4>0</vt:i4>
      </vt:variant>
      <vt:variant>
        <vt:i4>0</vt:i4>
      </vt:variant>
      <vt:variant>
        <vt:i4>5</vt:i4>
      </vt:variant>
      <vt:variant>
        <vt:lpwstr>http://www.minwelfare.it/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2003年实质性会议</dc:title>
  <dc:subject/>
  <dc:creator>Sun</dc:creator>
  <cp:keywords/>
  <dc:description>经济及社会理事会</dc:description>
  <cp:lastModifiedBy>CSD</cp:lastModifiedBy>
  <cp:revision>2</cp:revision>
  <cp:lastPrinted>2004-01-22T09:31:00Z</cp:lastPrinted>
  <dcterms:created xsi:type="dcterms:W3CDTF">2004-01-22T12:53:00Z</dcterms:created>
  <dcterms:modified xsi:type="dcterms:W3CDTF">2004-01-22T12:53:00Z</dcterms:modified>
  <cp:category>E</cp:category>
</cp:coreProperties>
</file>