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091011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91011" w:rsidP="00091011">
            <w:pPr>
              <w:jc w:val="right"/>
            </w:pPr>
            <w:r w:rsidRPr="00091011">
              <w:rPr>
                <w:sz w:val="40"/>
              </w:rPr>
              <w:t>CCPR</w:t>
            </w:r>
            <w:r>
              <w:t>/C/NOR/CO/6</w:t>
            </w:r>
          </w:p>
        </w:tc>
      </w:tr>
      <w:tr w:rsidR="002D5AAC" w:rsidTr="00091011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963777" w:rsidP="007967DF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Pacto Internacional de Derechos</w:t>
            </w:r>
            <w:r>
              <w:rPr>
                <w:b/>
                <w:sz w:val="34"/>
                <w:szCs w:val="34"/>
              </w:rPr>
              <w:br/>
              <w:t>Civiles y Políticos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91011" w:rsidRDefault="00091011" w:rsidP="00B511D3">
            <w:pPr>
              <w:spacing w:before="240"/>
            </w:pPr>
            <w:r>
              <w:t>Distr. general</w:t>
            </w:r>
          </w:p>
          <w:p w:rsidR="00091011" w:rsidRDefault="00091011" w:rsidP="00091011">
            <w:pPr>
              <w:spacing w:line="240" w:lineRule="exact"/>
            </w:pPr>
            <w:r>
              <w:t>18 de noviembre de 2011</w:t>
            </w:r>
          </w:p>
          <w:p w:rsidR="00091011" w:rsidRDefault="00091011" w:rsidP="00091011">
            <w:pPr>
              <w:spacing w:line="240" w:lineRule="exact"/>
            </w:pPr>
            <w:r>
              <w:t>Español</w:t>
            </w:r>
          </w:p>
          <w:p w:rsidR="002D5AAC" w:rsidRDefault="00091011" w:rsidP="00091011">
            <w:pPr>
              <w:spacing w:line="240" w:lineRule="exact"/>
            </w:pPr>
            <w:r>
              <w:t>Original: inglés</w:t>
            </w:r>
          </w:p>
        </w:tc>
      </w:tr>
    </w:tbl>
    <w:p w:rsidR="00091011" w:rsidRPr="001B5C08" w:rsidRDefault="00091011" w:rsidP="00091011">
      <w:pPr>
        <w:spacing w:before="120"/>
        <w:rPr>
          <w:b/>
          <w:sz w:val="24"/>
          <w:szCs w:val="24"/>
        </w:rPr>
      </w:pPr>
      <w:r w:rsidRPr="001B5C08">
        <w:rPr>
          <w:b/>
          <w:sz w:val="24"/>
          <w:szCs w:val="24"/>
        </w:rPr>
        <w:t>Comité de Derechos Humanos</w:t>
      </w:r>
    </w:p>
    <w:p w:rsidR="00091011" w:rsidRDefault="00091011" w:rsidP="00091011">
      <w:pPr>
        <w:rPr>
          <w:b/>
        </w:rPr>
      </w:pPr>
      <w:r w:rsidRPr="001B5C08">
        <w:rPr>
          <w:b/>
        </w:rPr>
        <w:t>10</w:t>
      </w:r>
      <w:r>
        <w:rPr>
          <w:b/>
        </w:rPr>
        <w:t>3º</w:t>
      </w:r>
      <w:r w:rsidRPr="001B5C08">
        <w:rPr>
          <w:b/>
        </w:rPr>
        <w:t xml:space="preserve"> </w:t>
      </w:r>
      <w:r>
        <w:rPr>
          <w:b/>
        </w:rPr>
        <w:t>período</w:t>
      </w:r>
      <w:r w:rsidRPr="001B5C08">
        <w:rPr>
          <w:b/>
        </w:rPr>
        <w:t xml:space="preserve"> de sesiones</w:t>
      </w:r>
    </w:p>
    <w:p w:rsidR="00091011" w:rsidRPr="001B5C08" w:rsidRDefault="00091011" w:rsidP="00091011">
      <w:r w:rsidRPr="001B5C08">
        <w:t xml:space="preserve">17 de octubre a 4 de noviembre </w:t>
      </w:r>
      <w:r>
        <w:t>de 2011</w:t>
      </w:r>
    </w:p>
    <w:p w:rsidR="00091011" w:rsidRPr="001B5C08" w:rsidRDefault="00091011" w:rsidP="00091011">
      <w:pPr>
        <w:pStyle w:val="HChG"/>
      </w:pPr>
      <w:r>
        <w:tab/>
      </w:r>
      <w:r w:rsidRPr="001B5C08">
        <w:tab/>
        <w:t xml:space="preserve">Examen de los informes presentados por los Estados </w:t>
      </w:r>
      <w:r>
        <w:br/>
      </w:r>
      <w:r w:rsidRPr="001B5C08">
        <w:t>partes en virtud del artículo 40 del Pacto</w:t>
      </w:r>
    </w:p>
    <w:p w:rsidR="00091011" w:rsidRPr="001B5C08" w:rsidRDefault="00091011" w:rsidP="00091011">
      <w:pPr>
        <w:pStyle w:val="H1G"/>
      </w:pPr>
      <w:r>
        <w:tab/>
      </w:r>
      <w:r w:rsidRPr="001B5C08">
        <w:tab/>
      </w:r>
      <w:r>
        <w:t>O</w:t>
      </w:r>
      <w:r w:rsidRPr="001B5C08">
        <w:t>bservaciones finales del Comité de Derechos Humanos</w:t>
      </w:r>
    </w:p>
    <w:p w:rsidR="00091011" w:rsidRPr="001B5C08" w:rsidRDefault="00091011" w:rsidP="00091011">
      <w:pPr>
        <w:pStyle w:val="HChG"/>
      </w:pPr>
      <w:r>
        <w:tab/>
      </w:r>
      <w:r w:rsidRPr="001B5C08">
        <w:tab/>
        <w:t>Noruega</w:t>
      </w:r>
    </w:p>
    <w:p w:rsidR="00091011" w:rsidRPr="00717BFD" w:rsidRDefault="00091011" w:rsidP="00091011">
      <w:pPr>
        <w:pStyle w:val="SingleTxtG"/>
      </w:pPr>
      <w:r w:rsidRPr="00717BFD">
        <w:t>1.</w:t>
      </w:r>
      <w:r w:rsidRPr="00717BFD">
        <w:tab/>
        <w:t xml:space="preserve">El Comité de Derechos Humanos examinó el sexto informe periódico presentado por Noruega (CCPR/C/NOR/6) en sus sesiones 2844ª y 2845ª (CCPR/C/SR.2844 y CCPR/C/SR.2845), celebradas los días 24 y 25 de octubre de 2011. En su </w:t>
      </w:r>
      <w:r>
        <w:t>2858ª</w:t>
      </w:r>
      <w:r w:rsidRPr="00717BFD">
        <w:t xml:space="preserve"> sesión (CCPR/C/SR</w:t>
      </w:r>
      <w:r>
        <w:t>.2858</w:t>
      </w:r>
      <w:r w:rsidRPr="00717BFD">
        <w:t xml:space="preserve">), celebrada el </w:t>
      </w:r>
      <w:r>
        <w:t>2 de noviembre</w:t>
      </w:r>
      <w:r w:rsidRPr="00717BFD">
        <w:t xml:space="preserve"> de 2011, aprobó las siguientes observaciones finales.</w:t>
      </w:r>
    </w:p>
    <w:p w:rsidR="00091011" w:rsidRPr="00717BFD" w:rsidRDefault="00091011" w:rsidP="00091011">
      <w:pPr>
        <w:pStyle w:val="H1G"/>
      </w:pPr>
      <w:r>
        <w:tab/>
      </w:r>
      <w:r w:rsidRPr="00717BFD">
        <w:t>A.</w:t>
      </w:r>
      <w:r w:rsidRPr="00717BFD">
        <w:tab/>
        <w:t>Introducción</w:t>
      </w:r>
    </w:p>
    <w:p w:rsidR="00091011" w:rsidRPr="00717BFD" w:rsidRDefault="00091011" w:rsidP="00091011">
      <w:pPr>
        <w:pStyle w:val="SingleTxtG"/>
      </w:pPr>
      <w:r w:rsidRPr="00717BFD">
        <w:t>2.</w:t>
      </w:r>
      <w:r w:rsidRPr="00717BFD">
        <w:tab/>
        <w:t>El Comité acoge con satisfacción la presentación puntual del sexto informe periódico de Noruega</w:t>
      </w:r>
      <w:r>
        <w:t xml:space="preserve"> y e</w:t>
      </w:r>
      <w:r w:rsidRPr="00717BFD">
        <w:t xml:space="preserve">xpresa su reconocimiento por la información contenida en </w:t>
      </w:r>
      <w:r>
        <w:t>é</w:t>
      </w:r>
      <w:r w:rsidRPr="00717BFD">
        <w:t xml:space="preserve">l y por la oportunidad de renovar </w:t>
      </w:r>
      <w:r>
        <w:t>el</w:t>
      </w:r>
      <w:r w:rsidRPr="00717BFD">
        <w:t xml:space="preserve"> diálogo constructivo con el Estado parte. Además, agradece al Estado parte </w:t>
      </w:r>
      <w:r>
        <w:t>las</w:t>
      </w:r>
      <w:r w:rsidRPr="00717BFD">
        <w:t xml:space="preserve"> respuestas presentadas por escrito (CCPR/C/NOR/Q/6/Add.1) a la lista de cuestiones, que </w:t>
      </w:r>
      <w:r>
        <w:t>fueron</w:t>
      </w:r>
      <w:r w:rsidRPr="00717BFD">
        <w:t xml:space="preserve"> complementadas por las respuestas orales de la delegación y por la información </w:t>
      </w:r>
      <w:r>
        <w:t>adicional</w:t>
      </w:r>
      <w:r w:rsidRPr="00717BFD">
        <w:t xml:space="preserve"> facilitada por escrito. El Comité felicita al Estado parte por </w:t>
      </w:r>
      <w:r>
        <w:t>la</w:t>
      </w:r>
      <w:r w:rsidRPr="00717BFD">
        <w:t xml:space="preserve"> continua</w:t>
      </w:r>
      <w:r>
        <w:t xml:space="preserve"> actualización del documento </w:t>
      </w:r>
      <w:r w:rsidRPr="00717BFD">
        <w:t>b</w:t>
      </w:r>
      <w:r>
        <w:t>ásico</w:t>
      </w:r>
      <w:r w:rsidRPr="00717BFD">
        <w:t xml:space="preserve"> (HRI/CORE/NOR/2009).</w:t>
      </w:r>
    </w:p>
    <w:p w:rsidR="00091011" w:rsidRPr="00717BFD" w:rsidRDefault="00091011" w:rsidP="00091011">
      <w:pPr>
        <w:pStyle w:val="H1G"/>
      </w:pPr>
      <w:r>
        <w:tab/>
      </w:r>
      <w:r w:rsidRPr="00717BFD">
        <w:t>B.</w:t>
      </w:r>
      <w:r w:rsidRPr="00717BFD">
        <w:tab/>
        <w:t>Aspectos positivos</w:t>
      </w:r>
    </w:p>
    <w:p w:rsidR="00091011" w:rsidRPr="00717BFD" w:rsidRDefault="00091011" w:rsidP="00091011">
      <w:pPr>
        <w:pStyle w:val="SingleTxtG"/>
      </w:pPr>
      <w:r w:rsidRPr="00717BFD">
        <w:t>3.</w:t>
      </w:r>
      <w:r w:rsidRPr="00717BFD">
        <w:tab/>
        <w:t xml:space="preserve">El Comité </w:t>
      </w:r>
      <w:r>
        <w:t>celebra</w:t>
      </w:r>
      <w:r w:rsidRPr="00717BFD">
        <w:t xml:space="preserve"> las siguientes medidas legislativas e institucionales adoptadas por el Estado parte:</w:t>
      </w:r>
    </w:p>
    <w:p w:rsidR="00091011" w:rsidRPr="00717BFD" w:rsidRDefault="00091011" w:rsidP="00091011">
      <w:pPr>
        <w:pStyle w:val="SingleTxtG"/>
      </w:pPr>
      <w:r w:rsidRPr="00717BFD">
        <w:tab/>
      </w:r>
      <w:r>
        <w:t>a</w:t>
      </w:r>
      <w:r w:rsidRPr="00717BFD">
        <w:t>)</w:t>
      </w:r>
      <w:r w:rsidRPr="00717BFD">
        <w:tab/>
        <w:t xml:space="preserve">Las modificaciones introducidas en la Ley </w:t>
      </w:r>
      <w:r>
        <w:t xml:space="preserve">sobre la infancia </w:t>
      </w:r>
      <w:r w:rsidRPr="00717BFD">
        <w:t>en 2010</w:t>
      </w:r>
      <w:r>
        <w:t>,</w:t>
      </w:r>
      <w:r w:rsidRPr="00717BFD">
        <w:t xml:space="preserve"> para prohibir las formas </w:t>
      </w:r>
      <w:r>
        <w:t>leves</w:t>
      </w:r>
      <w:r w:rsidRPr="00717BFD">
        <w:t xml:space="preserve"> de castigos corporales;</w:t>
      </w:r>
    </w:p>
    <w:p w:rsidR="00091011" w:rsidRPr="00717BFD" w:rsidRDefault="00091011" w:rsidP="00091011">
      <w:pPr>
        <w:pStyle w:val="SingleTxtG"/>
      </w:pPr>
      <w:r w:rsidRPr="00717BFD">
        <w:tab/>
      </w:r>
      <w:r>
        <w:t>b</w:t>
      </w:r>
      <w:r w:rsidRPr="00717BFD">
        <w:t>)</w:t>
      </w:r>
      <w:r w:rsidRPr="00717BFD">
        <w:tab/>
        <w:t>La promulgación de la Ley de propiedad de</w:t>
      </w:r>
      <w:r>
        <w:t xml:space="preserve"> los medios de comunicación, en </w:t>
      </w:r>
      <w:r w:rsidRPr="00717BFD">
        <w:t>2004;</w:t>
      </w:r>
    </w:p>
    <w:p w:rsidR="00091011" w:rsidRPr="00717BFD" w:rsidRDefault="00091011" w:rsidP="00091011">
      <w:pPr>
        <w:pStyle w:val="SingleTxtG"/>
      </w:pPr>
      <w:r w:rsidRPr="00717BFD">
        <w:tab/>
      </w:r>
      <w:r>
        <w:t>c</w:t>
      </w:r>
      <w:r w:rsidRPr="00717BFD">
        <w:t>)</w:t>
      </w:r>
      <w:r w:rsidRPr="00717BFD">
        <w:tab/>
        <w:t>La promulgación de la Ley Nº 41 de 2008</w:t>
      </w:r>
      <w:r>
        <w:t>,</w:t>
      </w:r>
      <w:r w:rsidRPr="00717BFD">
        <w:t xml:space="preserve"> </w:t>
      </w:r>
      <w:r>
        <w:t xml:space="preserve">relativa a </w:t>
      </w:r>
      <w:r w:rsidRPr="00717BFD">
        <w:t>la libertad editorial de los medios de comunicación;</w:t>
      </w:r>
    </w:p>
    <w:p w:rsidR="00091011" w:rsidRPr="00717BFD" w:rsidRDefault="00091011" w:rsidP="00091011">
      <w:pPr>
        <w:pStyle w:val="SingleTxtG"/>
      </w:pPr>
      <w:r w:rsidRPr="00717BFD">
        <w:tab/>
      </w:r>
      <w:r>
        <w:t>d</w:t>
      </w:r>
      <w:r w:rsidRPr="00717BFD">
        <w:t>)</w:t>
      </w:r>
      <w:r w:rsidRPr="00717BFD">
        <w:tab/>
        <w:t>La adopción de un plan de acción para promover la igualdad</w:t>
      </w:r>
      <w:r>
        <w:t xml:space="preserve"> y prevenir</w:t>
      </w:r>
      <w:r w:rsidRPr="00717BFD">
        <w:t xml:space="preserve"> la discriminación étnica </w:t>
      </w:r>
      <w:r>
        <w:t>(</w:t>
      </w:r>
      <w:r w:rsidRPr="00717BFD">
        <w:t>2009-2012</w:t>
      </w:r>
      <w:r>
        <w:t>)</w:t>
      </w:r>
      <w:r w:rsidRPr="00717BFD">
        <w:t>;</w:t>
      </w:r>
    </w:p>
    <w:p w:rsidR="00091011" w:rsidRPr="00717BFD" w:rsidRDefault="00091011" w:rsidP="00091011">
      <w:pPr>
        <w:pStyle w:val="SingleTxtG"/>
      </w:pPr>
      <w:r w:rsidRPr="00717BFD">
        <w:tab/>
      </w:r>
      <w:r>
        <w:t>e</w:t>
      </w:r>
      <w:r w:rsidRPr="00717BFD">
        <w:t>)</w:t>
      </w:r>
      <w:r w:rsidRPr="00717BFD">
        <w:tab/>
        <w:t xml:space="preserve">El Plan de Acción </w:t>
      </w:r>
      <w:r>
        <w:t xml:space="preserve">contra la mutilación </w:t>
      </w:r>
      <w:r w:rsidRPr="00717BFD">
        <w:t xml:space="preserve">genital femenina </w:t>
      </w:r>
      <w:r>
        <w:t>(</w:t>
      </w:r>
      <w:r w:rsidRPr="00717BFD">
        <w:t>2008-2011</w:t>
      </w:r>
      <w:r>
        <w:t>)</w:t>
      </w:r>
      <w:r w:rsidRPr="00717BFD">
        <w:t>; y</w:t>
      </w:r>
    </w:p>
    <w:p w:rsidR="00091011" w:rsidRPr="00717BFD" w:rsidRDefault="00091011" w:rsidP="00091011">
      <w:pPr>
        <w:pStyle w:val="SingleTxtG"/>
      </w:pPr>
      <w:r w:rsidRPr="00717BFD">
        <w:tab/>
      </w:r>
      <w:r>
        <w:t>f</w:t>
      </w:r>
      <w:r w:rsidRPr="00717BFD">
        <w:t>)</w:t>
      </w:r>
      <w:r w:rsidRPr="00717BFD">
        <w:tab/>
        <w:t>El Plan de Acción contra los matrimonios for</w:t>
      </w:r>
      <w:r>
        <w:t>zosos</w:t>
      </w:r>
      <w:r w:rsidRPr="00717BFD">
        <w:t xml:space="preserve"> </w:t>
      </w:r>
      <w:r>
        <w:t>(</w:t>
      </w:r>
      <w:r w:rsidRPr="00717BFD">
        <w:t>2008-2011</w:t>
      </w:r>
      <w:r>
        <w:t>)</w:t>
      </w:r>
      <w:r w:rsidRPr="00717BFD">
        <w:t>.</w:t>
      </w:r>
    </w:p>
    <w:p w:rsidR="00091011" w:rsidRPr="00717BFD" w:rsidRDefault="00091011" w:rsidP="00091011">
      <w:pPr>
        <w:pStyle w:val="H1G"/>
      </w:pPr>
      <w:r>
        <w:tab/>
      </w:r>
      <w:r w:rsidRPr="00717BFD">
        <w:t>C.</w:t>
      </w:r>
      <w:r w:rsidRPr="00717BFD">
        <w:tab/>
        <w:t>Principales motivos de</w:t>
      </w:r>
      <w:r>
        <w:t xml:space="preserve"> preocupación y recomendaciones</w:t>
      </w:r>
    </w:p>
    <w:p w:rsidR="00091011" w:rsidRPr="00AA40C9" w:rsidRDefault="00091011" w:rsidP="00091011">
      <w:pPr>
        <w:pStyle w:val="SingleTxtG"/>
      </w:pPr>
      <w:r w:rsidRPr="00717BFD">
        <w:t>4.</w:t>
      </w:r>
      <w:r w:rsidRPr="00717BFD">
        <w:tab/>
      </w:r>
      <w:r w:rsidRPr="00AA40C9">
        <w:t>El Comité acoge complacido que el Estado parte se plantee cómo abordar mejor el tema de los derechos humanos en su marco constitucional.</w:t>
      </w:r>
    </w:p>
    <w:p w:rsidR="00091011" w:rsidRPr="00AA40C9" w:rsidRDefault="00091011" w:rsidP="00091011">
      <w:pPr>
        <w:pStyle w:val="SingleTxtG"/>
        <w:rPr>
          <w:b/>
        </w:rPr>
      </w:pPr>
      <w:r w:rsidRPr="00AA40C9">
        <w:rPr>
          <w:b/>
        </w:rPr>
        <w:t>El Estado parte debe velar por que se tengan debidamente en cuenta en su marco constitucional los derechos contemplados en el Pacto, incluido el derecho a un recurso efectivo (art. 2).</w:t>
      </w:r>
    </w:p>
    <w:p w:rsidR="00091011" w:rsidRPr="00717BFD" w:rsidRDefault="00091011" w:rsidP="00091011">
      <w:pPr>
        <w:pStyle w:val="SingleTxtG"/>
      </w:pPr>
      <w:r>
        <w:t>5.</w:t>
      </w:r>
      <w:r>
        <w:tab/>
      </w:r>
      <w:r w:rsidRPr="00717BFD">
        <w:t>El Comité, aunque celebra la existencia del Centro N</w:t>
      </w:r>
      <w:r>
        <w:t>oruego</w:t>
      </w:r>
      <w:r w:rsidRPr="00717BFD">
        <w:t xml:space="preserve"> de Derechos Humanos</w:t>
      </w:r>
      <w:r>
        <w:t>,</w:t>
      </w:r>
      <w:r w:rsidRPr="00717BFD">
        <w:t xml:space="preserve"> que desempeña las funciones de institución </w:t>
      </w:r>
      <w:r>
        <w:t xml:space="preserve">nacional </w:t>
      </w:r>
      <w:r w:rsidRPr="00717BFD">
        <w:t xml:space="preserve">de derechos humanos, está preocupado por la posibilidad de que la actual reestructuración del </w:t>
      </w:r>
      <w:r>
        <w:t xml:space="preserve">Centro </w:t>
      </w:r>
      <w:r w:rsidRPr="00717BFD">
        <w:t xml:space="preserve">afecte negativamente </w:t>
      </w:r>
      <w:r>
        <w:t xml:space="preserve">a </w:t>
      </w:r>
      <w:r w:rsidRPr="00717BFD">
        <w:t xml:space="preserve">su capacidad de </w:t>
      </w:r>
      <w:r>
        <w:t>ejercer</w:t>
      </w:r>
      <w:r w:rsidRPr="00717BFD">
        <w:t xml:space="preserve"> sus funciones de conformidad con los </w:t>
      </w:r>
      <w:r>
        <w:t>Principios relativos al estatuto de las instituciones nacionales de promoción y protección de los derechos humanos (</w:t>
      </w:r>
      <w:r w:rsidRPr="00717BFD">
        <w:t>Principios de París</w:t>
      </w:r>
      <w:r>
        <w:t xml:space="preserve">) (art. </w:t>
      </w:r>
      <w:r w:rsidRPr="00717BFD">
        <w:t>2).</w:t>
      </w:r>
    </w:p>
    <w:p w:rsidR="00091011" w:rsidRDefault="00091011" w:rsidP="00091011">
      <w:pPr>
        <w:pStyle w:val="SingleTxtG"/>
        <w:rPr>
          <w:b/>
        </w:rPr>
      </w:pPr>
      <w:r w:rsidRPr="00717BFD">
        <w:rPr>
          <w:b/>
        </w:rPr>
        <w:t>El Estado parte debe asegurarse de que la actual reestructuración de</w:t>
      </w:r>
      <w:r>
        <w:rPr>
          <w:b/>
        </w:rPr>
        <w:t xml:space="preserve"> </w:t>
      </w:r>
      <w:r w:rsidRPr="00717BFD">
        <w:rPr>
          <w:b/>
        </w:rPr>
        <w:t>l</w:t>
      </w:r>
      <w:r>
        <w:rPr>
          <w:b/>
        </w:rPr>
        <w:t>a institución nacional de derechos humanos</w:t>
      </w:r>
      <w:r w:rsidRPr="00717BFD">
        <w:rPr>
          <w:b/>
        </w:rPr>
        <w:t xml:space="preserve"> </w:t>
      </w:r>
      <w:r>
        <w:rPr>
          <w:b/>
        </w:rPr>
        <w:t xml:space="preserve">la </w:t>
      </w:r>
      <w:r w:rsidRPr="00717BFD">
        <w:rPr>
          <w:b/>
        </w:rPr>
        <w:t>transforme efectivamente confiriéndole un amplio mandato en materia de derechos humanos. A este respecto, el Estado parte debe garantizar que la nueva institución se ajuste plenamente a los Principios de París</w:t>
      </w:r>
      <w:r>
        <w:rPr>
          <w:b/>
        </w:rPr>
        <w:t>.</w:t>
      </w:r>
    </w:p>
    <w:p w:rsidR="00091011" w:rsidRPr="00717BFD" w:rsidRDefault="00091011" w:rsidP="00091011">
      <w:pPr>
        <w:pStyle w:val="SingleTxtG"/>
      </w:pPr>
      <w:r>
        <w:t>6</w:t>
      </w:r>
      <w:r w:rsidRPr="00717BFD">
        <w:t>.</w:t>
      </w:r>
      <w:r w:rsidRPr="00717BFD">
        <w:tab/>
        <w:t xml:space="preserve">Al Comité le preocupa que la asistencia jurídica condicionada a los recursos no tenga en cuenta las circunstancias concretas de los solicitantes, y </w:t>
      </w:r>
      <w:r>
        <w:t xml:space="preserve">que en la evaluación no se considere </w:t>
      </w:r>
      <w:r w:rsidRPr="00717BFD">
        <w:t xml:space="preserve">el costo real de servicio jurídico solicitado. Además, </w:t>
      </w:r>
      <w:r>
        <w:t>en ciertos casos la asistencia jurídica no está al alcance de todos</w:t>
      </w:r>
      <w:r w:rsidRPr="00717BFD">
        <w:t xml:space="preserve"> (art. 14).</w:t>
      </w:r>
    </w:p>
    <w:p w:rsidR="00091011" w:rsidRPr="00717BFD" w:rsidRDefault="00091011" w:rsidP="00091011">
      <w:pPr>
        <w:pStyle w:val="SingleTxtG"/>
        <w:rPr>
          <w:b/>
        </w:rPr>
      </w:pPr>
      <w:r w:rsidRPr="00717BFD">
        <w:rPr>
          <w:b/>
        </w:rPr>
        <w:t>El Estado parte debe re</w:t>
      </w:r>
      <w:r>
        <w:rPr>
          <w:b/>
        </w:rPr>
        <w:t>considerar</w:t>
      </w:r>
      <w:r w:rsidRPr="00717BFD">
        <w:rPr>
          <w:b/>
        </w:rPr>
        <w:t xml:space="preserve"> su plan de asistencia jurídica gratuita </w:t>
      </w:r>
      <w:r>
        <w:rPr>
          <w:b/>
        </w:rPr>
        <w:t xml:space="preserve">de manera que </w:t>
      </w:r>
      <w:r w:rsidRPr="00717BFD">
        <w:rPr>
          <w:b/>
        </w:rPr>
        <w:t>preve</w:t>
      </w:r>
      <w:r>
        <w:rPr>
          <w:b/>
        </w:rPr>
        <w:t>a</w:t>
      </w:r>
      <w:r w:rsidRPr="00717BFD">
        <w:rPr>
          <w:b/>
        </w:rPr>
        <w:t xml:space="preserve"> la asistencia jurídica gratuita en todos los casos, cuando lo requieran los intereses de la justicia.</w:t>
      </w:r>
    </w:p>
    <w:p w:rsidR="00091011" w:rsidRPr="00717BFD" w:rsidRDefault="00091011" w:rsidP="00091011">
      <w:pPr>
        <w:pStyle w:val="SingleTxtG"/>
      </w:pPr>
      <w:r>
        <w:t>7</w:t>
      </w:r>
      <w:r w:rsidRPr="00717BFD">
        <w:t>.</w:t>
      </w:r>
      <w:r w:rsidRPr="00717BFD">
        <w:tab/>
        <w:t xml:space="preserve">El Comité, </w:t>
      </w:r>
      <w:r>
        <w:t>si bien</w:t>
      </w:r>
      <w:r w:rsidRPr="00717BFD">
        <w:t xml:space="preserve"> celebra los esfuerzos del Estado parte por eliminar todas la formas de discriminación en la concesión de subsidios de vivienda, está preocupado por los informes </w:t>
      </w:r>
      <w:r>
        <w:t>de</w:t>
      </w:r>
      <w:r w:rsidRPr="00717BFD">
        <w:t xml:space="preserve"> personas </w:t>
      </w:r>
      <w:r>
        <w:t xml:space="preserve">inmigrantes o descendientes de inmigrantes que </w:t>
      </w:r>
      <w:r w:rsidRPr="00717BFD">
        <w:t xml:space="preserve">han sufrido discriminaciones y estereotipos negativos en </w:t>
      </w:r>
      <w:r>
        <w:t xml:space="preserve">materia de </w:t>
      </w:r>
      <w:r w:rsidRPr="00717BFD">
        <w:t xml:space="preserve">vivienda. Al Comité le </w:t>
      </w:r>
      <w:r>
        <w:t>inquietan</w:t>
      </w:r>
      <w:r w:rsidRPr="00717BFD">
        <w:t xml:space="preserve"> también los informes de discriminaci</w:t>
      </w:r>
      <w:r>
        <w:t>ó</w:t>
      </w:r>
      <w:r w:rsidRPr="00717BFD">
        <w:t>n en el empleo</w:t>
      </w:r>
      <w:r>
        <w:t>, sufrida por personas inmigrantes o descendientes de inmigrantes</w:t>
      </w:r>
      <w:r w:rsidRPr="00717BFD">
        <w:t xml:space="preserve"> (arts. 2 y 26).</w:t>
      </w:r>
    </w:p>
    <w:p w:rsidR="00091011" w:rsidRDefault="00091011" w:rsidP="00091011">
      <w:pPr>
        <w:pStyle w:val="SingleTxtG"/>
        <w:rPr>
          <w:b/>
        </w:rPr>
      </w:pPr>
      <w:r w:rsidRPr="00717BFD">
        <w:rPr>
          <w:b/>
        </w:rPr>
        <w:t xml:space="preserve">El Estado parte debe tomar medidas para eliminar todas las formas de discriminación </w:t>
      </w:r>
      <w:r>
        <w:rPr>
          <w:b/>
        </w:rPr>
        <w:t xml:space="preserve">en materia de vivienda y combatir los prejuicios y </w:t>
      </w:r>
      <w:r w:rsidRPr="00717BFD">
        <w:rPr>
          <w:b/>
        </w:rPr>
        <w:t>estereotipos negativos</w:t>
      </w:r>
      <w:r>
        <w:rPr>
          <w:b/>
        </w:rPr>
        <w:t xml:space="preserve"> que puedan tener </w:t>
      </w:r>
      <w:r w:rsidRPr="00717BFD">
        <w:rPr>
          <w:b/>
        </w:rPr>
        <w:t xml:space="preserve">los propietarios de viviendas </w:t>
      </w:r>
      <w:r>
        <w:rPr>
          <w:b/>
        </w:rPr>
        <w:t xml:space="preserve">a la hora de alquilarlas </w:t>
      </w:r>
      <w:r w:rsidRPr="00717BFD">
        <w:rPr>
          <w:b/>
        </w:rPr>
        <w:t xml:space="preserve">a personas </w:t>
      </w:r>
      <w:r>
        <w:rPr>
          <w:b/>
        </w:rPr>
        <w:t>inmigrantes o descendientes de inmigrantes.</w:t>
      </w:r>
      <w:r w:rsidRPr="00717BFD">
        <w:rPr>
          <w:b/>
        </w:rPr>
        <w:t xml:space="preserve"> </w:t>
      </w:r>
      <w:r>
        <w:rPr>
          <w:b/>
        </w:rPr>
        <w:t>Asimismo,</w:t>
      </w:r>
      <w:r w:rsidRPr="00717BFD">
        <w:rPr>
          <w:b/>
        </w:rPr>
        <w:t xml:space="preserve"> debe intensificar su</w:t>
      </w:r>
      <w:r>
        <w:rPr>
          <w:b/>
        </w:rPr>
        <w:t xml:space="preserve"> labor</w:t>
      </w:r>
      <w:r w:rsidRPr="00717BFD">
        <w:rPr>
          <w:b/>
        </w:rPr>
        <w:t xml:space="preserve"> para combatir la </w:t>
      </w:r>
      <w:r w:rsidRPr="00656AC3">
        <w:rPr>
          <w:b/>
        </w:rPr>
        <w:t xml:space="preserve">discriminación contra personas inmigrantes o descendientes de inmigrantes </w:t>
      </w:r>
      <w:r w:rsidRPr="00717BFD">
        <w:rPr>
          <w:b/>
        </w:rPr>
        <w:t>en cuestiones relacionadas con el empleo</w:t>
      </w:r>
      <w:r>
        <w:rPr>
          <w:b/>
        </w:rPr>
        <w:t>.</w:t>
      </w:r>
    </w:p>
    <w:p w:rsidR="00091011" w:rsidRPr="00717BFD" w:rsidRDefault="00091011" w:rsidP="00091011">
      <w:pPr>
        <w:pStyle w:val="SingleTxtG"/>
      </w:pPr>
      <w:r>
        <w:t>8</w:t>
      </w:r>
      <w:r w:rsidRPr="00717BFD">
        <w:t>.</w:t>
      </w:r>
      <w:r w:rsidRPr="00717BFD">
        <w:tab/>
        <w:t xml:space="preserve">Aunque acoge favorablemente los progresos logrados en </w:t>
      </w:r>
      <w:r>
        <w:t xml:space="preserve">lo relativo a la </w:t>
      </w:r>
      <w:r w:rsidRPr="00717BFD">
        <w:t xml:space="preserve">igualdad de género, </w:t>
      </w:r>
      <w:r>
        <w:t>e</w:t>
      </w:r>
      <w:r w:rsidRPr="00717BFD">
        <w:t xml:space="preserve">l Comité </w:t>
      </w:r>
      <w:r>
        <w:t>está</w:t>
      </w:r>
      <w:r w:rsidRPr="00717BFD">
        <w:t xml:space="preserve"> preocupa</w:t>
      </w:r>
      <w:r>
        <w:t>do</w:t>
      </w:r>
      <w:r w:rsidRPr="00717BFD">
        <w:t xml:space="preserve"> </w:t>
      </w:r>
      <w:r>
        <w:t xml:space="preserve">por </w:t>
      </w:r>
      <w:r w:rsidRPr="00717BFD">
        <w:t>la considerable disparidad salarial entre hombres y mujeres (arts. 3 y 26).</w:t>
      </w:r>
    </w:p>
    <w:p w:rsidR="00091011" w:rsidRPr="00717BFD" w:rsidRDefault="00091011" w:rsidP="00091011">
      <w:pPr>
        <w:pStyle w:val="SingleTxtG"/>
        <w:rPr>
          <w:b/>
        </w:rPr>
      </w:pPr>
      <w:r w:rsidRPr="00717BFD">
        <w:rPr>
          <w:b/>
        </w:rPr>
        <w:t>El Estado parte debe</w:t>
      </w:r>
      <w:r>
        <w:rPr>
          <w:b/>
        </w:rPr>
        <w:t xml:space="preserve"> reforzar y </w:t>
      </w:r>
      <w:r w:rsidRPr="00717BFD">
        <w:rPr>
          <w:b/>
        </w:rPr>
        <w:t xml:space="preserve">seguir aplicando las medidas adoptadas </w:t>
      </w:r>
      <w:r>
        <w:rPr>
          <w:b/>
        </w:rPr>
        <w:t>para</w:t>
      </w:r>
      <w:r w:rsidRPr="00717BFD">
        <w:rPr>
          <w:b/>
        </w:rPr>
        <w:t xml:space="preserve"> asegurar la igualdad de remuneración para la mujer por trabajo</w:t>
      </w:r>
      <w:r>
        <w:rPr>
          <w:b/>
        </w:rPr>
        <w:t xml:space="preserve"> de </w:t>
      </w:r>
      <w:r w:rsidRPr="00717BFD">
        <w:rPr>
          <w:b/>
        </w:rPr>
        <w:t>igual</w:t>
      </w:r>
      <w:r>
        <w:rPr>
          <w:b/>
        </w:rPr>
        <w:t xml:space="preserve"> valor</w:t>
      </w:r>
      <w:r w:rsidRPr="00717BFD">
        <w:rPr>
          <w:b/>
        </w:rPr>
        <w:t>.</w:t>
      </w:r>
    </w:p>
    <w:p w:rsidR="00091011" w:rsidRPr="00717BFD" w:rsidRDefault="00091011" w:rsidP="00091011">
      <w:pPr>
        <w:pStyle w:val="SingleTxtG"/>
      </w:pPr>
      <w:r>
        <w:t>9</w:t>
      </w:r>
      <w:r w:rsidRPr="00717BFD">
        <w:t>.</w:t>
      </w:r>
      <w:r w:rsidRPr="00717BFD">
        <w:tab/>
      </w:r>
      <w:r>
        <w:t>Inquietan a</w:t>
      </w:r>
      <w:r w:rsidRPr="00717BFD">
        <w:t xml:space="preserve">l Comité los informes </w:t>
      </w:r>
      <w:r>
        <w:t>sobre la generalización de la violencia de género</w:t>
      </w:r>
      <w:r w:rsidRPr="00717BFD">
        <w:t xml:space="preserve">, y en particular </w:t>
      </w:r>
      <w:r>
        <w:t>sobre</w:t>
      </w:r>
      <w:r w:rsidRPr="00717BFD">
        <w:t xml:space="preserve"> </w:t>
      </w:r>
      <w:r>
        <w:t xml:space="preserve">las </w:t>
      </w:r>
      <w:r w:rsidRPr="00717BFD">
        <w:t>violaciones</w:t>
      </w:r>
      <w:r>
        <w:t>,</w:t>
      </w:r>
      <w:r w:rsidRPr="00717BFD">
        <w:t xml:space="preserve"> que con frecuencia no se denuncian a la policía. </w:t>
      </w:r>
      <w:r>
        <w:t>L</w:t>
      </w:r>
      <w:r w:rsidRPr="00717BFD">
        <w:t xml:space="preserve">e preocupa también la elevada incidencia de la violencia </w:t>
      </w:r>
      <w:r>
        <w:t>doméstica</w:t>
      </w:r>
      <w:r w:rsidRPr="00717BFD">
        <w:t xml:space="preserve"> </w:t>
      </w:r>
      <w:r>
        <w:t xml:space="preserve">de que son víctimas </w:t>
      </w:r>
      <w:r w:rsidRPr="00717BFD">
        <w:t xml:space="preserve">mujeres y niños, </w:t>
      </w:r>
      <w:r>
        <w:t>a veces con consecuencias letales</w:t>
      </w:r>
      <w:r w:rsidRPr="00717BFD">
        <w:t xml:space="preserve"> (arts. 3, 7 y 26).</w:t>
      </w:r>
    </w:p>
    <w:p w:rsidR="00091011" w:rsidRDefault="00091011" w:rsidP="00091011">
      <w:pPr>
        <w:pStyle w:val="SingleTxtG"/>
        <w:rPr>
          <w:b/>
        </w:rPr>
      </w:pPr>
      <w:r w:rsidRPr="00717BFD">
        <w:rPr>
          <w:b/>
        </w:rPr>
        <w:t>El Estado parte debe tomar toda</w:t>
      </w:r>
      <w:r>
        <w:rPr>
          <w:b/>
        </w:rPr>
        <w:t>s</w:t>
      </w:r>
      <w:r w:rsidRPr="00717BFD">
        <w:rPr>
          <w:b/>
        </w:rPr>
        <w:t xml:space="preserve"> las medidas necesarias para combatir eficazmente todas las formas de violencia contra la mujer, y en particular la violencia sexual. A este respecto</w:t>
      </w:r>
      <w:r>
        <w:rPr>
          <w:b/>
        </w:rPr>
        <w:t>,</w:t>
      </w:r>
      <w:r w:rsidRPr="00717BFD">
        <w:rPr>
          <w:b/>
        </w:rPr>
        <w:t xml:space="preserve"> debe sensibilizar a la sociedad </w:t>
      </w:r>
      <w:r>
        <w:rPr>
          <w:b/>
        </w:rPr>
        <w:t>acerca</w:t>
      </w:r>
      <w:r w:rsidRPr="00717BFD">
        <w:rPr>
          <w:b/>
        </w:rPr>
        <w:t xml:space="preserve"> de la </w:t>
      </w:r>
      <w:r>
        <w:rPr>
          <w:b/>
        </w:rPr>
        <w:t>prevalencia</w:t>
      </w:r>
      <w:r w:rsidRPr="00717BFD">
        <w:rPr>
          <w:b/>
        </w:rPr>
        <w:t xml:space="preserve"> de la violencia de género, incluida la violencia </w:t>
      </w:r>
      <w:r>
        <w:rPr>
          <w:b/>
        </w:rPr>
        <w:t>doméstica</w:t>
      </w:r>
      <w:r w:rsidRPr="00717BFD">
        <w:rPr>
          <w:b/>
        </w:rPr>
        <w:t xml:space="preserve">, y </w:t>
      </w:r>
      <w:r>
        <w:rPr>
          <w:b/>
        </w:rPr>
        <w:t>capacitar adecuadamente a</w:t>
      </w:r>
      <w:r w:rsidRPr="00717BFD">
        <w:rPr>
          <w:b/>
        </w:rPr>
        <w:t xml:space="preserve"> los </w:t>
      </w:r>
      <w:r>
        <w:rPr>
          <w:b/>
        </w:rPr>
        <w:t>miembros de las fuerzas del</w:t>
      </w:r>
      <w:r w:rsidRPr="00717BFD">
        <w:rPr>
          <w:b/>
        </w:rPr>
        <w:t xml:space="preserve"> orden para que puedan </w:t>
      </w:r>
      <w:r>
        <w:rPr>
          <w:b/>
        </w:rPr>
        <w:t>ocuparse</w:t>
      </w:r>
      <w:r w:rsidRPr="00717BFD">
        <w:rPr>
          <w:b/>
        </w:rPr>
        <w:t xml:space="preserve"> de manera efectiva </w:t>
      </w:r>
      <w:r>
        <w:rPr>
          <w:b/>
        </w:rPr>
        <w:t>de</w:t>
      </w:r>
      <w:r w:rsidRPr="00717BFD">
        <w:rPr>
          <w:b/>
        </w:rPr>
        <w:t xml:space="preserve"> esos incidentes. El Estado parte debe </w:t>
      </w:r>
      <w:r>
        <w:rPr>
          <w:b/>
        </w:rPr>
        <w:t>velar por</w:t>
      </w:r>
      <w:r w:rsidRPr="00717BFD">
        <w:rPr>
          <w:b/>
        </w:rPr>
        <w:t xml:space="preserve"> que estos actos sean investigados y enjuiciados</w:t>
      </w:r>
      <w:r>
        <w:rPr>
          <w:b/>
        </w:rPr>
        <w:t>,</w:t>
      </w:r>
      <w:r w:rsidRPr="00717BFD">
        <w:rPr>
          <w:b/>
        </w:rPr>
        <w:t xml:space="preserve"> y que sus autores, si se demuestra su culpabilidad, sean sancionados con las penas pertinentes.</w:t>
      </w:r>
    </w:p>
    <w:p w:rsidR="00091011" w:rsidRPr="00D71918" w:rsidRDefault="00091011" w:rsidP="00091011">
      <w:pPr>
        <w:pStyle w:val="SingleTxtG"/>
      </w:pPr>
      <w:r>
        <w:t>10</w:t>
      </w:r>
      <w:r w:rsidRPr="00D71918">
        <w:t>.</w:t>
      </w:r>
      <w:r w:rsidRPr="00D71918">
        <w:tab/>
        <w:t>Al Comité le preocupa</w:t>
      </w:r>
      <w:r>
        <w:t>n los informes sobre el uso excesivo de fuerza coercitiva</w:t>
      </w:r>
      <w:r w:rsidRPr="00D71918">
        <w:t xml:space="preserve"> con pacientes psiquiátricos y los deficientes mecanismos de las comisiones de control para</w:t>
      </w:r>
      <w:r>
        <w:t xml:space="preserve"> vigilar </w:t>
      </w:r>
      <w:r w:rsidRPr="00D71918">
        <w:t>las instituciones de atención de la salud mental (arts. 7, 9 y 10).</w:t>
      </w:r>
    </w:p>
    <w:p w:rsidR="00091011" w:rsidRDefault="00091011" w:rsidP="00091011">
      <w:pPr>
        <w:pStyle w:val="SingleTxtG"/>
        <w:rPr>
          <w:b/>
        </w:rPr>
      </w:pPr>
      <w:r w:rsidRPr="00D71918">
        <w:rPr>
          <w:b/>
        </w:rPr>
        <w:t>El Estado par</w:t>
      </w:r>
      <w:r>
        <w:rPr>
          <w:b/>
        </w:rPr>
        <w:t>te debe tomar disposiciones</w:t>
      </w:r>
      <w:r w:rsidRPr="00D71918">
        <w:rPr>
          <w:b/>
        </w:rPr>
        <w:t xml:space="preserve"> concretas para poner fin al uso injustificado de </w:t>
      </w:r>
      <w:r>
        <w:rPr>
          <w:b/>
        </w:rPr>
        <w:t>la fuerza coerci</w:t>
      </w:r>
      <w:r w:rsidRPr="00D71918">
        <w:rPr>
          <w:b/>
        </w:rPr>
        <w:t xml:space="preserve">tiva </w:t>
      </w:r>
      <w:r>
        <w:rPr>
          <w:b/>
        </w:rPr>
        <w:t>y las medidas de restricción de la libertad con</w:t>
      </w:r>
      <w:r w:rsidRPr="00D71918">
        <w:rPr>
          <w:b/>
        </w:rPr>
        <w:t xml:space="preserve"> los pacientes psiquiátricos. A este respecto, debe garantizar que toda decisió</w:t>
      </w:r>
      <w:r>
        <w:rPr>
          <w:b/>
        </w:rPr>
        <w:t xml:space="preserve">n de emplear fuerza coercitiva o medidas de restricción de la libertad </w:t>
      </w:r>
      <w:r w:rsidRPr="00D71918">
        <w:rPr>
          <w:b/>
        </w:rPr>
        <w:t>ir</w:t>
      </w:r>
      <w:r>
        <w:rPr>
          <w:b/>
        </w:rPr>
        <w:t>á</w:t>
      </w:r>
      <w:r w:rsidRPr="00D71918">
        <w:rPr>
          <w:b/>
        </w:rPr>
        <w:t xml:space="preserve"> precedida de una evaluación médica detenida y profesional que establezca el nivel de la fuerza coercitiva o</w:t>
      </w:r>
      <w:r>
        <w:rPr>
          <w:b/>
        </w:rPr>
        <w:t xml:space="preserve"> la</w:t>
      </w:r>
      <w:r w:rsidRPr="00D71918">
        <w:rPr>
          <w:b/>
        </w:rPr>
        <w:t xml:space="preserve"> restricción que deba aplicarse al paciente. Además, el Estado parte debe reforzar su sistema de vigilancia y presentación de informes sobre las instituciones de atención de la salud mental para impedir los abusos.</w:t>
      </w:r>
    </w:p>
    <w:p w:rsidR="00091011" w:rsidRPr="00E22101" w:rsidRDefault="00091011" w:rsidP="00091011">
      <w:pPr>
        <w:pStyle w:val="SingleTxtG"/>
      </w:pPr>
      <w:r w:rsidRPr="00E22101">
        <w:t>11.</w:t>
      </w:r>
      <w:r w:rsidRPr="00E22101">
        <w:tab/>
        <w:t>El Comité muestra su inquietud por el creciente uso que hace el Estado parte de la prisión provisional y la prisión provisional en régimen de incomunicación (arts. 7, 9 y 10).</w:t>
      </w:r>
    </w:p>
    <w:p w:rsidR="00091011" w:rsidRPr="00E22101" w:rsidRDefault="00091011" w:rsidP="00091011">
      <w:pPr>
        <w:pStyle w:val="SingleTxtG"/>
        <w:rPr>
          <w:b/>
        </w:rPr>
      </w:pPr>
      <w:r w:rsidRPr="00E22101">
        <w:rPr>
          <w:b/>
        </w:rPr>
        <w:t>El Estado parte debe asegurarse de que el régimen de incomunicación, tanto durante la prisión provisional como durante el cumplimiento de la condena, solo se utilice en las circunstancias más excepcionales y por períodos estrictamente limitados.</w:t>
      </w:r>
    </w:p>
    <w:p w:rsidR="00091011" w:rsidRPr="00E22101" w:rsidRDefault="00091011" w:rsidP="00091011">
      <w:pPr>
        <w:pStyle w:val="SingleTxtG"/>
      </w:pPr>
      <w:r w:rsidRPr="00E22101">
        <w:t>12.</w:t>
      </w:r>
      <w:r w:rsidRPr="00E22101">
        <w:tab/>
        <w:t>El Comité expresa preocupación por la duración excesiva y las condiciones de la prisión provisional de los menores (arts. 10 y 14).</w:t>
      </w:r>
    </w:p>
    <w:p w:rsidR="00091011" w:rsidRPr="00E22101" w:rsidRDefault="00091011" w:rsidP="00091011">
      <w:pPr>
        <w:pStyle w:val="SingleTxtG"/>
        <w:rPr>
          <w:b/>
        </w:rPr>
      </w:pPr>
      <w:r w:rsidRPr="00E22101">
        <w:rPr>
          <w:b/>
        </w:rPr>
        <w:t>El Estado parte debe limitar estrictamente la prisión provisional de los menores y, en la medida de lo posible, adoptar medidas alternativas a dicha prisión.</w:t>
      </w:r>
    </w:p>
    <w:p w:rsidR="00091011" w:rsidRPr="00D71918" w:rsidRDefault="00091011" w:rsidP="00091011">
      <w:pPr>
        <w:pStyle w:val="SingleTxtG"/>
      </w:pPr>
      <w:r w:rsidRPr="00D71918">
        <w:t>1</w:t>
      </w:r>
      <w:r>
        <w:t>3</w:t>
      </w:r>
      <w:r w:rsidRPr="00D71918">
        <w:t>.</w:t>
      </w:r>
      <w:r w:rsidRPr="00D71918">
        <w:tab/>
      </w:r>
      <w:r>
        <w:t>A</w:t>
      </w:r>
      <w:r w:rsidRPr="00D71918">
        <w:t>l Comité, aunque celebra l</w:t>
      </w:r>
      <w:r>
        <w:t>a labor</w:t>
      </w:r>
      <w:r w:rsidRPr="00D71918">
        <w:t xml:space="preserve"> del Estado parte </w:t>
      </w:r>
      <w:r>
        <w:t>encaminada a</w:t>
      </w:r>
      <w:r w:rsidRPr="00D71918">
        <w:t xml:space="preserve"> establecer </w:t>
      </w:r>
      <w:r>
        <w:t xml:space="preserve">centros de detención de menores separados, </w:t>
      </w:r>
      <w:r w:rsidRPr="00D71918">
        <w:t xml:space="preserve">le preocupa que el Estado parte mantenga una reserva </w:t>
      </w:r>
      <w:r>
        <w:t xml:space="preserve">al artículo </w:t>
      </w:r>
      <w:r w:rsidRPr="00D71918">
        <w:t>10</w:t>
      </w:r>
      <w:r>
        <w:t>, párrafos</w:t>
      </w:r>
      <w:r w:rsidRPr="00D71918">
        <w:t xml:space="preserve"> 2 b) y 3</w:t>
      </w:r>
      <w:r>
        <w:t>,</w:t>
      </w:r>
      <w:r w:rsidRPr="00D71918">
        <w:t xml:space="preserve"> del Pacto, y que los </w:t>
      </w:r>
      <w:r>
        <w:t xml:space="preserve">menores no estén separados de los </w:t>
      </w:r>
      <w:r w:rsidRPr="00D71918">
        <w:t>reclusos adultos (art. 10).</w:t>
      </w:r>
    </w:p>
    <w:p w:rsidR="00091011" w:rsidRPr="00D71918" w:rsidRDefault="00091011" w:rsidP="00091011">
      <w:pPr>
        <w:pStyle w:val="SingleTxtG"/>
        <w:rPr>
          <w:b/>
        </w:rPr>
      </w:pPr>
      <w:r w:rsidRPr="00D71918">
        <w:rPr>
          <w:b/>
        </w:rPr>
        <w:t>El Estado parte debe considerar la posibilidad de retirar sus reservas al ar</w:t>
      </w:r>
      <w:r>
        <w:rPr>
          <w:b/>
        </w:rPr>
        <w:t>tículo 10, párrafos 2 b) y 3, del Pacto;</w:t>
      </w:r>
      <w:r w:rsidRPr="00D71918">
        <w:rPr>
          <w:b/>
        </w:rPr>
        <w:t xml:space="preserve"> al mismo tiempo, </w:t>
      </w:r>
      <w:r>
        <w:rPr>
          <w:b/>
        </w:rPr>
        <w:t xml:space="preserve">debe asegurarse de </w:t>
      </w:r>
      <w:r w:rsidRPr="00D71918">
        <w:rPr>
          <w:b/>
        </w:rPr>
        <w:t xml:space="preserve">que los </w:t>
      </w:r>
      <w:r>
        <w:rPr>
          <w:b/>
        </w:rPr>
        <w:t xml:space="preserve">menores estén separados </w:t>
      </w:r>
      <w:r w:rsidRPr="00D71918">
        <w:rPr>
          <w:b/>
        </w:rPr>
        <w:t>de los reclusos adultos, y promover formas alternativas de castigo como servicios comunitarios y la utilización de aparatos electrónicos de vigilancia.</w:t>
      </w:r>
    </w:p>
    <w:p w:rsidR="00091011" w:rsidRPr="00D71918" w:rsidRDefault="00091011" w:rsidP="00091011">
      <w:pPr>
        <w:pStyle w:val="SingleTxtG"/>
      </w:pPr>
      <w:r w:rsidRPr="00D71918">
        <w:t>1</w:t>
      </w:r>
      <w:r>
        <w:t>4</w:t>
      </w:r>
      <w:r w:rsidRPr="00D71918">
        <w:t>.</w:t>
      </w:r>
      <w:r w:rsidRPr="00D71918">
        <w:tab/>
        <w:t>El Comité lamenta que el Estado parte no haya retirado su reserva al artículo 20</w:t>
      </w:r>
      <w:r>
        <w:t>, párrafo 1,</w:t>
      </w:r>
      <w:r w:rsidRPr="00D71918">
        <w:t xml:space="preserve"> del Pacto. Lamenta también </w:t>
      </w:r>
      <w:r>
        <w:t>la persistencia de manifestaciones</w:t>
      </w:r>
      <w:r w:rsidRPr="00D71918">
        <w:t xml:space="preserve"> de incitaci</w:t>
      </w:r>
      <w:r>
        <w:t xml:space="preserve">ón al odio contra el pueblo sami, así como </w:t>
      </w:r>
      <w:r w:rsidRPr="00D71918">
        <w:t>declaraciones xenófobas, antisemíticas o islamófobas (art. 20).</w:t>
      </w:r>
    </w:p>
    <w:p w:rsidR="00091011" w:rsidRPr="00D71918" w:rsidRDefault="00091011" w:rsidP="00091011">
      <w:pPr>
        <w:pStyle w:val="SingleTxtG"/>
        <w:rPr>
          <w:b/>
        </w:rPr>
      </w:pPr>
      <w:r w:rsidRPr="00D71918">
        <w:rPr>
          <w:b/>
        </w:rPr>
        <w:t xml:space="preserve">El Estado parte debe considerar la posibilidad de retirar su reserva al artículo 20. Además, debe </w:t>
      </w:r>
      <w:r>
        <w:rPr>
          <w:b/>
        </w:rPr>
        <w:t>proseguir e intensificar su labor</w:t>
      </w:r>
      <w:r w:rsidRPr="00D71918">
        <w:rPr>
          <w:b/>
        </w:rPr>
        <w:t xml:space="preserve"> para sensibilizar a la sociedad </w:t>
      </w:r>
      <w:r>
        <w:rPr>
          <w:b/>
        </w:rPr>
        <w:t>y</w:t>
      </w:r>
      <w:r w:rsidRPr="00D71918">
        <w:rPr>
          <w:b/>
        </w:rPr>
        <w:t xml:space="preserve"> promover la tolerancia y la diversidad</w:t>
      </w:r>
      <w:r>
        <w:rPr>
          <w:b/>
        </w:rPr>
        <w:t xml:space="preserve">. Se debe capacitar a los agentes del orden para que puedan identificar </w:t>
      </w:r>
      <w:r w:rsidRPr="00D71918">
        <w:rPr>
          <w:b/>
        </w:rPr>
        <w:t>las expresiones de incitación al odio que sean constitutivas de delito</w:t>
      </w:r>
      <w:r>
        <w:rPr>
          <w:b/>
        </w:rPr>
        <w:t xml:space="preserve"> y las persigan judicialmente</w:t>
      </w:r>
      <w:r w:rsidRPr="00D71918">
        <w:rPr>
          <w:b/>
        </w:rPr>
        <w:t>.</w:t>
      </w:r>
    </w:p>
    <w:p w:rsidR="00091011" w:rsidRPr="00D71918" w:rsidRDefault="00091011" w:rsidP="00091011">
      <w:pPr>
        <w:pStyle w:val="SingleTxtG"/>
      </w:pPr>
      <w:r w:rsidRPr="00D71918">
        <w:t>1</w:t>
      </w:r>
      <w:r>
        <w:t>5</w:t>
      </w:r>
      <w:r w:rsidRPr="00D71918">
        <w:t>.</w:t>
      </w:r>
      <w:r w:rsidRPr="00D71918">
        <w:tab/>
        <w:t>Al tiempo que observa q</w:t>
      </w:r>
      <w:r>
        <w:t>ue las condiciones para la obten</w:t>
      </w:r>
      <w:r w:rsidRPr="00D71918">
        <w:t>ción de permisos de residencia y reunificación familiar están encaminadas a evitar los matrim</w:t>
      </w:r>
      <w:r>
        <w:t>onios forzosos, al Comité le preocupa que la excesiva</w:t>
      </w:r>
      <w:r w:rsidRPr="00D71918">
        <w:t xml:space="preserve"> </w:t>
      </w:r>
      <w:r>
        <w:t>latitud d</w:t>
      </w:r>
      <w:r w:rsidRPr="00D71918">
        <w:t xml:space="preserve">e las condiciones pueda afectar </w:t>
      </w:r>
      <w:r>
        <w:t>negativa</w:t>
      </w:r>
      <w:r w:rsidRPr="00D71918">
        <w:t>mente al disfrute del derecho a la vida familiar, el matrimonio y la elección de cónyuge (arts. 2, 23 y 26).</w:t>
      </w:r>
    </w:p>
    <w:p w:rsidR="00091011" w:rsidRPr="00D71918" w:rsidRDefault="00091011" w:rsidP="00091011">
      <w:pPr>
        <w:pStyle w:val="SingleTxtG"/>
        <w:rPr>
          <w:b/>
        </w:rPr>
      </w:pPr>
      <w:r w:rsidRPr="00D71918">
        <w:rPr>
          <w:b/>
        </w:rPr>
        <w:t xml:space="preserve">El Comité insta al Estado parte a que evalúe </w:t>
      </w:r>
      <w:r>
        <w:rPr>
          <w:b/>
        </w:rPr>
        <w:t>los efectos que tienen</w:t>
      </w:r>
      <w:r w:rsidRPr="00D71918">
        <w:rPr>
          <w:b/>
        </w:rPr>
        <w:t xml:space="preserve"> las nuevas condiciones para la obtención de esos permisos en el disfrute del derecho a la vida familiar, el matrimoni</w:t>
      </w:r>
      <w:r>
        <w:rPr>
          <w:b/>
        </w:rPr>
        <w:t>o y la elección de cónyuge. Este estudio debería valorar si las condiciones debe</w:t>
      </w:r>
      <w:r w:rsidRPr="00D71918">
        <w:rPr>
          <w:b/>
        </w:rPr>
        <w:t xml:space="preserve">n modificarse para </w:t>
      </w:r>
      <w:r>
        <w:rPr>
          <w:b/>
        </w:rPr>
        <w:t>respetar mejor el derecho a la vida familiar.</w:t>
      </w:r>
    </w:p>
    <w:p w:rsidR="00091011" w:rsidRPr="00D71918" w:rsidRDefault="00091011" w:rsidP="00091011">
      <w:pPr>
        <w:pStyle w:val="SingleTxtG"/>
      </w:pPr>
      <w:r w:rsidRPr="00D71918">
        <w:t>1</w:t>
      </w:r>
      <w:r>
        <w:t>6</w:t>
      </w:r>
      <w:r w:rsidRPr="00D71918">
        <w:t>.</w:t>
      </w:r>
      <w:r w:rsidRPr="00D71918">
        <w:tab/>
        <w:t xml:space="preserve">El Estado parte </w:t>
      </w:r>
      <w:r>
        <w:t xml:space="preserve">debe dar una amplia difusión al </w:t>
      </w:r>
      <w:r w:rsidRPr="00D71918">
        <w:t xml:space="preserve">Pacto, </w:t>
      </w:r>
      <w:r>
        <w:t xml:space="preserve">a </w:t>
      </w:r>
      <w:r w:rsidRPr="00D71918">
        <w:t>su</w:t>
      </w:r>
      <w:r>
        <w:t>s dos Protocolos Facultativos, a</w:t>
      </w:r>
      <w:r w:rsidRPr="00D71918">
        <w:t xml:space="preserve">l texto del sexto informe periódico, </w:t>
      </w:r>
      <w:r>
        <w:t xml:space="preserve">a </w:t>
      </w:r>
      <w:r w:rsidRPr="00D71918">
        <w:t>la</w:t>
      </w:r>
      <w:r>
        <w:t>s</w:t>
      </w:r>
      <w:r w:rsidRPr="00D71918">
        <w:t xml:space="preserve"> respuesta</w:t>
      </w:r>
      <w:r>
        <w:t>s</w:t>
      </w:r>
      <w:r w:rsidRPr="00D71918">
        <w:t xml:space="preserve"> que ha presentado por escrito a la lista de cuestiones planteadas por el Comité</w:t>
      </w:r>
      <w:r>
        <w:t xml:space="preserve"> </w:t>
      </w:r>
      <w:r w:rsidRPr="00D71918">
        <w:t xml:space="preserve">y </w:t>
      </w:r>
      <w:r>
        <w:t xml:space="preserve">a </w:t>
      </w:r>
      <w:r w:rsidRPr="00D71918">
        <w:t>las presentes observaciones finales,</w:t>
      </w:r>
      <w:r>
        <w:t xml:space="preserve"> a fin de sensibilizar más a </w:t>
      </w:r>
      <w:r w:rsidRPr="00D71918">
        <w:t xml:space="preserve">las autoridades judiciales, legislativas y administrativas, la sociedad civil y las </w:t>
      </w:r>
      <w:r>
        <w:t>organizaciones no gubernamentales</w:t>
      </w:r>
      <w:r w:rsidRPr="00D71918">
        <w:t xml:space="preserve"> que</w:t>
      </w:r>
      <w:r>
        <w:t xml:space="preserve"> trabajan en el país, así como a</w:t>
      </w:r>
      <w:r w:rsidRPr="00D71918">
        <w:t xml:space="preserve">l público en general. El Comité </w:t>
      </w:r>
      <w:r>
        <w:t>p</w:t>
      </w:r>
      <w:r w:rsidRPr="00D71918">
        <w:t xml:space="preserve">ropone que el informe y las observaciones finales se traduzcan al idioma oficial del Estado parte. Además, pide al Estado parte que, cuando prepare su séptimo informe periódico, </w:t>
      </w:r>
      <w:r>
        <w:t xml:space="preserve">celebre amplias consultas con </w:t>
      </w:r>
      <w:r w:rsidRPr="00D71918">
        <w:t>la sociedad civil y las organizaciones no gubernamentales.</w:t>
      </w:r>
    </w:p>
    <w:p w:rsidR="00091011" w:rsidRPr="00D71918" w:rsidRDefault="00091011" w:rsidP="00091011">
      <w:pPr>
        <w:pStyle w:val="SingleTxtG"/>
      </w:pPr>
      <w:r w:rsidRPr="00D71918">
        <w:t>1</w:t>
      </w:r>
      <w:r>
        <w:t>7</w:t>
      </w:r>
      <w:r w:rsidRPr="00D71918">
        <w:t>.</w:t>
      </w:r>
      <w:r w:rsidRPr="00D71918">
        <w:tab/>
        <w:t>De conformidad con el artículo 71</w:t>
      </w:r>
      <w:r>
        <w:t xml:space="preserve">, </w:t>
      </w:r>
      <w:r w:rsidRPr="00D71918">
        <w:t>párrafo 5</w:t>
      </w:r>
      <w:r>
        <w:t>,</w:t>
      </w:r>
      <w:r w:rsidRPr="00D71918">
        <w:t xml:space="preserve"> del reglamento del Comité, el Estado parte debería presentar, en el plazo de un año, información pertinente sobre su aplicación de las recomendaciones formuladas por el Comité en los párrafos </w:t>
      </w:r>
      <w:r>
        <w:t>5, 10 y 12</w:t>
      </w:r>
      <w:r w:rsidRPr="00D71918">
        <w:t xml:space="preserve"> </w:t>
      </w:r>
      <w:r w:rsidRPr="00D71918">
        <w:rPr>
          <w:i/>
        </w:rPr>
        <w:t>supra</w:t>
      </w:r>
      <w:r w:rsidRPr="00D71918">
        <w:t>.</w:t>
      </w:r>
    </w:p>
    <w:p w:rsidR="00091011" w:rsidRDefault="00091011" w:rsidP="00091011">
      <w:pPr>
        <w:pStyle w:val="SingleTxtG"/>
      </w:pPr>
      <w:r>
        <w:t>18</w:t>
      </w:r>
      <w:r w:rsidRPr="00D71918">
        <w:t>.</w:t>
      </w:r>
      <w:r w:rsidRPr="00D71918">
        <w:tab/>
        <w:t xml:space="preserve">El Comité pide al Estado parte que, en su próximo informe periódico, que deberá presentarse el </w:t>
      </w:r>
      <w:r>
        <w:t xml:space="preserve">2 de noviembre </w:t>
      </w:r>
      <w:r w:rsidRPr="00D71918">
        <w:t>de 2016, proporcione información concreta y actualizada sobre todas sus recomendacio</w:t>
      </w:r>
      <w:r>
        <w:t>nes y sobre el Pacto en general.</w:t>
      </w:r>
    </w:p>
    <w:p w:rsidR="00091011" w:rsidRPr="00555572" w:rsidRDefault="00091011" w:rsidP="00091011">
      <w:pPr>
        <w:pStyle w:val="SingleTxtG"/>
        <w:spacing w:before="240" w:after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91011" w:rsidRPr="00555572" w:rsidSect="0009101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FA9" w:rsidRDefault="00DC0FA9">
      <w:r>
        <w:separator/>
      </w:r>
    </w:p>
  </w:endnote>
  <w:endnote w:type="continuationSeparator" w:id="0">
    <w:p w:rsidR="00DC0FA9" w:rsidRDefault="00DC0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011" w:rsidRPr="00091011" w:rsidRDefault="00091011" w:rsidP="00091011">
    <w:pPr>
      <w:pStyle w:val="Footer"/>
      <w:tabs>
        <w:tab w:val="right" w:pos="9638"/>
      </w:tabs>
    </w:pPr>
    <w:r w:rsidRPr="00091011">
      <w:rPr>
        <w:b/>
        <w:sz w:val="18"/>
      </w:rPr>
      <w:fldChar w:fldCharType="begin"/>
    </w:r>
    <w:r w:rsidRPr="00091011">
      <w:rPr>
        <w:b/>
        <w:sz w:val="18"/>
      </w:rPr>
      <w:instrText xml:space="preserve"> PAGE  \* MERGEFORMAT </w:instrText>
    </w:r>
    <w:r w:rsidRPr="00091011">
      <w:rPr>
        <w:b/>
        <w:sz w:val="18"/>
      </w:rPr>
      <w:fldChar w:fldCharType="separate"/>
    </w:r>
    <w:r w:rsidR="007969B7">
      <w:rPr>
        <w:b/>
        <w:noProof/>
        <w:sz w:val="18"/>
      </w:rPr>
      <w:t>4</w:t>
    </w:r>
    <w:r w:rsidRPr="00091011">
      <w:rPr>
        <w:b/>
        <w:sz w:val="18"/>
      </w:rPr>
      <w:fldChar w:fldCharType="end"/>
    </w:r>
    <w:r>
      <w:rPr>
        <w:b/>
        <w:sz w:val="18"/>
      </w:rPr>
      <w:tab/>
    </w:r>
    <w:r>
      <w:t>GE.11-47126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011" w:rsidRPr="00091011" w:rsidRDefault="00091011" w:rsidP="00091011">
    <w:pPr>
      <w:pStyle w:val="Footer"/>
      <w:tabs>
        <w:tab w:val="right" w:pos="9638"/>
      </w:tabs>
      <w:rPr>
        <w:b/>
        <w:sz w:val="18"/>
      </w:rPr>
    </w:pPr>
    <w:r>
      <w:t>GE.11-47126</w:t>
    </w:r>
    <w:r>
      <w:tab/>
    </w:r>
    <w:r w:rsidRPr="00091011">
      <w:rPr>
        <w:b/>
        <w:sz w:val="18"/>
      </w:rPr>
      <w:fldChar w:fldCharType="begin"/>
    </w:r>
    <w:r w:rsidRPr="00091011">
      <w:rPr>
        <w:b/>
        <w:sz w:val="18"/>
      </w:rPr>
      <w:instrText xml:space="preserve"> PAGE  \* MERGEFORMAT </w:instrText>
    </w:r>
    <w:r w:rsidRPr="00091011">
      <w:rPr>
        <w:b/>
        <w:sz w:val="18"/>
      </w:rPr>
      <w:fldChar w:fldCharType="separate"/>
    </w:r>
    <w:r w:rsidR="007969B7">
      <w:rPr>
        <w:b/>
        <w:noProof/>
        <w:sz w:val="18"/>
      </w:rPr>
      <w:t>3</w:t>
    </w:r>
    <w:r w:rsidRPr="0009101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C6" w:rsidRPr="00091011" w:rsidRDefault="00091011">
    <w:pPr>
      <w:pStyle w:val="Footer"/>
      <w:rPr>
        <w:sz w:val="20"/>
      </w:rPr>
    </w:pPr>
    <w:r>
      <w:rPr>
        <w:sz w:val="20"/>
      </w:rPr>
      <w:t>GE.</w:t>
    </w:r>
    <w:r w:rsidR="00475BC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4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11-47126  (S)    281111    071211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FA9" w:rsidRPr="001075E9" w:rsidRDefault="00DC0FA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C0FA9" w:rsidRDefault="00DC0FA9" w:rsidP="00AE0E02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011" w:rsidRPr="00091011" w:rsidRDefault="00091011">
    <w:pPr>
      <w:pStyle w:val="Header"/>
    </w:pPr>
    <w:r>
      <w:t>CCPR/C/NOR/CO/6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011" w:rsidRPr="00091011" w:rsidRDefault="00091011" w:rsidP="00091011">
    <w:pPr>
      <w:pStyle w:val="Header"/>
      <w:jc w:val="right"/>
    </w:pPr>
    <w:r>
      <w:t>CCPR/C/NOR/CO/6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5BC6"/>
    <w:rsid w:val="00006BB9"/>
    <w:rsid w:val="0005274F"/>
    <w:rsid w:val="00091011"/>
    <w:rsid w:val="000A36A2"/>
    <w:rsid w:val="000B57E7"/>
    <w:rsid w:val="000F09DF"/>
    <w:rsid w:val="000F61B2"/>
    <w:rsid w:val="001075E9"/>
    <w:rsid w:val="00160FF7"/>
    <w:rsid w:val="00180183"/>
    <w:rsid w:val="00196389"/>
    <w:rsid w:val="001C7A89"/>
    <w:rsid w:val="0022765D"/>
    <w:rsid w:val="002A061F"/>
    <w:rsid w:val="002A2EFC"/>
    <w:rsid w:val="002A6FA7"/>
    <w:rsid w:val="002C0E18"/>
    <w:rsid w:val="002C33BB"/>
    <w:rsid w:val="002D5AAC"/>
    <w:rsid w:val="002D7C8D"/>
    <w:rsid w:val="002F13FE"/>
    <w:rsid w:val="00301299"/>
    <w:rsid w:val="00322004"/>
    <w:rsid w:val="003402C2"/>
    <w:rsid w:val="00381C24"/>
    <w:rsid w:val="003958D0"/>
    <w:rsid w:val="003E1F6E"/>
    <w:rsid w:val="00454E07"/>
    <w:rsid w:val="00475BC6"/>
    <w:rsid w:val="004875CF"/>
    <w:rsid w:val="004E4B46"/>
    <w:rsid w:val="0050108D"/>
    <w:rsid w:val="00572E19"/>
    <w:rsid w:val="005F0B42"/>
    <w:rsid w:val="00614642"/>
    <w:rsid w:val="00655A21"/>
    <w:rsid w:val="006808A9"/>
    <w:rsid w:val="006F35EE"/>
    <w:rsid w:val="007021FF"/>
    <w:rsid w:val="007076CB"/>
    <w:rsid w:val="00721764"/>
    <w:rsid w:val="007967DF"/>
    <w:rsid w:val="007969B7"/>
    <w:rsid w:val="00834B71"/>
    <w:rsid w:val="0086445C"/>
    <w:rsid w:val="008975DD"/>
    <w:rsid w:val="008A08D7"/>
    <w:rsid w:val="008A13F9"/>
    <w:rsid w:val="008D5DB6"/>
    <w:rsid w:val="00906890"/>
    <w:rsid w:val="00916396"/>
    <w:rsid w:val="00951972"/>
    <w:rsid w:val="00963777"/>
    <w:rsid w:val="009B452A"/>
    <w:rsid w:val="009B4E5E"/>
    <w:rsid w:val="00A17DFD"/>
    <w:rsid w:val="00A917B3"/>
    <w:rsid w:val="00AB4B51"/>
    <w:rsid w:val="00AE0E02"/>
    <w:rsid w:val="00AE4CC4"/>
    <w:rsid w:val="00B10CC7"/>
    <w:rsid w:val="00B511D3"/>
    <w:rsid w:val="00B62458"/>
    <w:rsid w:val="00BD33EE"/>
    <w:rsid w:val="00C33381"/>
    <w:rsid w:val="00C56FC7"/>
    <w:rsid w:val="00C60F0C"/>
    <w:rsid w:val="00C76505"/>
    <w:rsid w:val="00C805C9"/>
    <w:rsid w:val="00CA1679"/>
    <w:rsid w:val="00D5042C"/>
    <w:rsid w:val="00D809C0"/>
    <w:rsid w:val="00D80BBB"/>
    <w:rsid w:val="00D90138"/>
    <w:rsid w:val="00DC0FA9"/>
    <w:rsid w:val="00DE44AD"/>
    <w:rsid w:val="00E73F76"/>
    <w:rsid w:val="00EF1360"/>
    <w:rsid w:val="00EF3220"/>
    <w:rsid w:val="00F44B33"/>
    <w:rsid w:val="00F9415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C7650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76505"/>
  </w:style>
  <w:style w:type="character" w:styleId="FootnoteReferenc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semiHidden/>
    <w:rsid w:val="00C76505"/>
    <w:rPr>
      <w:i/>
      <w:iCs/>
    </w:rPr>
  </w:style>
  <w:style w:type="character" w:styleId="HTMLCode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qFormat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semiHidden/>
    <w:rsid w:val="00C76505"/>
    <w:rPr>
      <w:color w:val="0000FF"/>
      <w:u w:val="single"/>
    </w:rPr>
  </w:style>
  <w:style w:type="character" w:styleId="FollowedHyperlink">
    <w:name w:val="FollowedHyperlink"/>
    <w:semiHidden/>
    <w:rsid w:val="00C76505"/>
    <w:rPr>
      <w:color w:val="800080"/>
      <w:u w:val="singl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rsid w:val="00C76505"/>
    <w:rPr>
      <w:b/>
      <w:sz w:val="18"/>
    </w:rPr>
  </w:style>
  <w:style w:type="character" w:styleId="EndnoteReference">
    <w:name w:val="endnote reference"/>
    <w:aliases w:val="1_G"/>
    <w:basedOn w:val="FootnoteReference"/>
    <w:rsid w:val="00C7650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qFormat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4</Pages>
  <Words>1662</Words>
  <Characters>9146</Characters>
  <Application>Microsoft Office Word</Application>
  <DocSecurity>4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CCPR/C/NOR/CO/6  -  11-47126</vt:lpstr>
    </vt:vector>
  </TitlesOfParts>
  <Company/>
  <LinksUpToDate>false</LinksUpToDate>
  <CharactersWithSpaces>10787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CCPR/C/NOR/CO/6  -  11-47126</dc:title>
  <dc:subject>4</dc:subject>
  <dc:creator>Tomero</dc:creator>
  <cp:keywords/>
  <dc:description/>
  <cp:lastModifiedBy>Tomero</cp:lastModifiedBy>
  <cp:revision>2</cp:revision>
  <cp:lastPrinted>2011-12-07T08:51:00Z</cp:lastPrinted>
  <dcterms:created xsi:type="dcterms:W3CDTF">2011-12-07T08:57:00Z</dcterms:created>
  <dcterms:modified xsi:type="dcterms:W3CDTF">2011-12-07T08:57:00Z</dcterms:modified>
</cp:coreProperties>
</file>