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33C9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033C9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33C98" w:rsidP="00033C98">
            <w:pPr>
              <w:jc w:val="right"/>
            </w:pPr>
            <w:r w:rsidRPr="00033C98">
              <w:rPr>
                <w:sz w:val="40"/>
              </w:rPr>
              <w:t>CERD</w:t>
            </w:r>
            <w:r>
              <w:t>/C/JOR/Q/18-20</w:t>
            </w:r>
          </w:p>
        </w:tc>
      </w:tr>
      <w:tr w:rsidR="002D5AAC" w:rsidTr="00033C9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33C98" w:rsidP="00213632">
            <w:pPr>
              <w:spacing w:before="240"/>
            </w:pPr>
            <w:r>
              <w:t>Distr. general</w:t>
            </w:r>
          </w:p>
          <w:p w:rsidR="00033C98" w:rsidRDefault="00033C98" w:rsidP="00033C98">
            <w:pPr>
              <w:spacing w:line="240" w:lineRule="exact"/>
            </w:pPr>
            <w:r>
              <w:t>26 de septiembre de 2017</w:t>
            </w:r>
          </w:p>
          <w:p w:rsidR="00033C98" w:rsidRDefault="00033C98" w:rsidP="00033C98">
            <w:pPr>
              <w:spacing w:line="240" w:lineRule="exact"/>
            </w:pPr>
            <w:r>
              <w:t>Español</w:t>
            </w:r>
          </w:p>
          <w:p w:rsidR="00033C98" w:rsidRDefault="00033C98" w:rsidP="00033C98">
            <w:pPr>
              <w:spacing w:line="240" w:lineRule="exact"/>
            </w:pPr>
            <w:r>
              <w:t>Original: inglés</w:t>
            </w:r>
          </w:p>
          <w:p w:rsidR="00033C98" w:rsidRDefault="00033C98" w:rsidP="00033C98">
            <w:pPr>
              <w:spacing w:line="240" w:lineRule="exact"/>
            </w:pPr>
            <w:r>
              <w:t>Árabe, español, francés e inglés únicamente</w:t>
            </w:r>
          </w:p>
        </w:tc>
      </w:tr>
    </w:tbl>
    <w:p w:rsidR="00033C98" w:rsidRPr="00033C98" w:rsidRDefault="00033C98" w:rsidP="00033C98">
      <w:pPr>
        <w:spacing w:before="120"/>
        <w:rPr>
          <w:b/>
          <w:sz w:val="24"/>
        </w:rPr>
      </w:pPr>
      <w:r w:rsidRPr="00033C98">
        <w:rPr>
          <w:b/>
          <w:sz w:val="24"/>
        </w:rPr>
        <w:t>Comité para la Eliminación de la Discriminación Racial</w:t>
      </w:r>
    </w:p>
    <w:p w:rsidR="00033C98" w:rsidRPr="00033C98" w:rsidRDefault="00033C98" w:rsidP="00033C98">
      <w:pPr>
        <w:rPr>
          <w:b/>
        </w:rPr>
      </w:pPr>
      <w:r w:rsidRPr="00033C98">
        <w:rPr>
          <w:b/>
        </w:rPr>
        <w:t>94º período de sesiones</w:t>
      </w:r>
    </w:p>
    <w:p w:rsidR="00033C98" w:rsidRPr="00033C98" w:rsidRDefault="00033C98" w:rsidP="00033C98">
      <w:r w:rsidRPr="00033C98">
        <w:t>20 de noviembre a 8 de diciembre de 2017</w:t>
      </w:r>
    </w:p>
    <w:p w:rsidR="00033C98" w:rsidRPr="00033C98" w:rsidRDefault="00033C98" w:rsidP="00033C98">
      <w:r w:rsidRPr="00033C98">
        <w:t>Tema 4 del programa provisional</w:t>
      </w:r>
    </w:p>
    <w:p w:rsidR="00033C98" w:rsidRDefault="00033C98" w:rsidP="00033C98">
      <w:pPr>
        <w:rPr>
          <w:b/>
        </w:rPr>
      </w:pPr>
      <w:r w:rsidRPr="00033C98">
        <w:rPr>
          <w:b/>
        </w:rPr>
        <w:t xml:space="preserve">Examen de los informes, las </w:t>
      </w:r>
      <w:r>
        <w:rPr>
          <w:b/>
        </w:rPr>
        <w:t>observaciones y la información</w:t>
      </w:r>
    </w:p>
    <w:p w:rsidR="00033C98" w:rsidRDefault="00033C98" w:rsidP="00033C98">
      <w:pPr>
        <w:rPr>
          <w:b/>
        </w:rPr>
      </w:pPr>
      <w:r w:rsidRPr="00033C98">
        <w:rPr>
          <w:b/>
        </w:rPr>
        <w:t xml:space="preserve">presentados por los Estados </w:t>
      </w:r>
      <w:r>
        <w:rPr>
          <w:b/>
        </w:rPr>
        <w:t>partes en virtud del artículo 9</w:t>
      </w:r>
    </w:p>
    <w:p w:rsidR="00033C98" w:rsidRPr="00033C98" w:rsidRDefault="00033C98" w:rsidP="00033C98">
      <w:pPr>
        <w:rPr>
          <w:b/>
        </w:rPr>
      </w:pPr>
      <w:r w:rsidRPr="00033C98">
        <w:rPr>
          <w:b/>
        </w:rPr>
        <w:t>de la Convención</w:t>
      </w:r>
    </w:p>
    <w:p w:rsidR="00033C98" w:rsidRPr="00033C98" w:rsidRDefault="00033C98" w:rsidP="00033C98">
      <w:pPr>
        <w:pStyle w:val="HChG"/>
      </w:pPr>
      <w:r w:rsidRPr="00033C98">
        <w:tab/>
      </w:r>
      <w:r w:rsidRPr="00033C98">
        <w:tab/>
        <w:t xml:space="preserve">Lista de temas relativa a los informes periódicos </w:t>
      </w:r>
      <w:r>
        <w:t>18º a 20º </w:t>
      </w:r>
      <w:r w:rsidRPr="00033C98">
        <w:t>combinados de Jordania</w:t>
      </w:r>
    </w:p>
    <w:p w:rsidR="00033C98" w:rsidRPr="00033C98" w:rsidRDefault="00033C98" w:rsidP="00033C98">
      <w:pPr>
        <w:pStyle w:val="H1G"/>
      </w:pPr>
      <w:r w:rsidRPr="00033C98">
        <w:tab/>
      </w:r>
      <w:r w:rsidRPr="00033C98">
        <w:tab/>
        <w:t>Nota del Relator para el país</w:t>
      </w:r>
    </w:p>
    <w:p w:rsidR="00033C98" w:rsidRPr="00033C98" w:rsidRDefault="00033C98" w:rsidP="00033C98">
      <w:pPr>
        <w:pStyle w:val="SingleTxtG"/>
      </w:pPr>
      <w:r w:rsidRPr="00033C98">
        <w:t>1.</w:t>
      </w:r>
      <w:r w:rsidRPr="00033C98">
        <w:tab/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:rsidR="00033C98" w:rsidRPr="00033C98" w:rsidRDefault="00033C98" w:rsidP="00033C98">
      <w:pPr>
        <w:pStyle w:val="H23G"/>
      </w:pPr>
      <w:r w:rsidRPr="00033C98">
        <w:tab/>
      </w:r>
      <w:r w:rsidRPr="00033C98">
        <w:tab/>
        <w:t>La Convención en el derecho interno y el marco in</w:t>
      </w:r>
      <w:r>
        <w:t>stitucional y normativo para su </w:t>
      </w:r>
      <w:r w:rsidRPr="00033C98">
        <w:t>aplicación (arts. 1, 2, 4 y 6)</w:t>
      </w:r>
    </w:p>
    <w:p w:rsidR="00033C98" w:rsidRPr="00033C98" w:rsidRDefault="00033C98" w:rsidP="00033C98">
      <w:pPr>
        <w:pStyle w:val="SingleTxtG"/>
      </w:pPr>
      <w:r w:rsidRPr="00033C98">
        <w:t>2.</w:t>
      </w:r>
      <w:r w:rsidRPr="00033C98">
        <w:tab/>
        <w:t>Datos estadísticos desglosados sobre la composición étnica de la población; información y datos estadísticos detallados sobre el disfrute de los derechos económicos, sociales y culturales por los grupos étnicos y étnico-religiosos minoritarios (CERD/C/JOR/CO/13-17, párr. 7).</w:t>
      </w:r>
    </w:p>
    <w:p w:rsidR="00033C98" w:rsidRPr="00033C98" w:rsidRDefault="00033C98" w:rsidP="00033C98">
      <w:pPr>
        <w:pStyle w:val="SingleTxtG"/>
      </w:pPr>
      <w:r w:rsidRPr="00033C98">
        <w:t>3.</w:t>
      </w:r>
      <w:r w:rsidRPr="00033C98">
        <w:tab/>
        <w:t>Información actualizada sobre las medidas adoptadas para reforzar el marco jurídico relativo a la discriminación racial y sobre los efectos de esas medidas (CERD/C/JOR/CO/13-17, párr. 8; CERD/C/JOR/18-20, párr. 23).</w:t>
      </w:r>
    </w:p>
    <w:p w:rsidR="00033C98" w:rsidRPr="00033C98" w:rsidRDefault="00033C98" w:rsidP="00033C98">
      <w:pPr>
        <w:pStyle w:val="SingleTxtG"/>
      </w:pPr>
      <w:r w:rsidRPr="00033C98">
        <w:t>4.</w:t>
      </w:r>
      <w:r w:rsidRPr="00033C98">
        <w:tab/>
        <w:t>Información detallada sobre la aplicación y los efectos de las disposiciones legislativas que, de conformidad con el artículo 4 de la Convención, prohíban la difusión de ideas basadas en la superioridad o el odio racial, la incitación a la discriminación racial o los actos de violencia y las organizaciones que promuevan la discriminación racial e inciten a ella (CERD/C/JOR/18-20, párrs. 54 a 62).</w:t>
      </w:r>
    </w:p>
    <w:p w:rsidR="00033C98" w:rsidRPr="00033C98" w:rsidRDefault="00033C98" w:rsidP="00033C98">
      <w:pPr>
        <w:pStyle w:val="SingleTxtG"/>
      </w:pPr>
      <w:r w:rsidRPr="00033C98">
        <w:t>5.</w:t>
      </w:r>
      <w:r w:rsidRPr="00033C98">
        <w:tab/>
        <w:t>Información detallada y datos estadísticos sobre las denuncias de discriminación racial, delitos motivados por prejuicios y discurso de odio registradas en el Estado parte, así como sobre el número de investigaciones, enjuiciamientos y condenas de los autores de esos actos; información sobre las causas juzgadas por los tribunales nacionales en las que se invoca directamente la Convención (CERD/C/JOR/18-20, párr. 38).</w:t>
      </w:r>
    </w:p>
    <w:p w:rsidR="00033C98" w:rsidRPr="00033C98" w:rsidRDefault="00033C98" w:rsidP="00E37A5C">
      <w:pPr>
        <w:pStyle w:val="SingleTxtG"/>
        <w:keepNext/>
        <w:keepLines/>
      </w:pPr>
      <w:r w:rsidRPr="00033C98">
        <w:lastRenderedPageBreak/>
        <w:t>6.</w:t>
      </w:r>
      <w:r w:rsidRPr="00033C98">
        <w:tab/>
        <w:t>Información actualizada sobre las medidas adoptadas para dotar al Centro Nacional de Derechos Humanos de recursos suficientes, así como de un mecanismo específico para el seguimiento y la evaluación de los progresos realizados en la aplicación de la Convención (CERD/C/JOR/CO/13-17, párr. 16; CERD/C/JOR/18-20, párrs. 41 y 42).</w:t>
      </w:r>
    </w:p>
    <w:p w:rsidR="00033C98" w:rsidRPr="00033C98" w:rsidRDefault="00033C98" w:rsidP="00033C98">
      <w:pPr>
        <w:pStyle w:val="H23G"/>
      </w:pPr>
      <w:r w:rsidRPr="00033C98">
        <w:tab/>
      </w:r>
      <w:r w:rsidRPr="00033C98">
        <w:tab/>
        <w:t>Situación de las minorías étnicas y étnico-religiosas (arts. 2 y 4 a 6)</w:t>
      </w:r>
    </w:p>
    <w:p w:rsidR="00033C98" w:rsidRPr="00033C98" w:rsidRDefault="00033C98" w:rsidP="00033C98">
      <w:pPr>
        <w:pStyle w:val="SingleTxtG"/>
      </w:pPr>
      <w:r w:rsidRPr="00033C98">
        <w:t>7.</w:t>
      </w:r>
      <w:r w:rsidRPr="00033C98">
        <w:tab/>
        <w:t>Información sobre la situación de las minorías étnicas y étnico-religiosas, en particular la drusa, la chechena, la circasiana, la armenia y la kurda, así como sobre las posibilidades que tienen de acceder sin discriminación al empleo, la vivienda, la atención de la salud y la educación (CERD/C/JOR/18-20, párrs. 142, 147 y 148).</w:t>
      </w:r>
    </w:p>
    <w:p w:rsidR="00033C98" w:rsidRPr="00033C98" w:rsidRDefault="00033C98" w:rsidP="00033C98">
      <w:pPr>
        <w:pStyle w:val="SingleTxtG"/>
      </w:pPr>
      <w:r w:rsidRPr="00033C98">
        <w:t>8.</w:t>
      </w:r>
      <w:r w:rsidRPr="00033C98">
        <w:tab/>
        <w:t>Información sobre las medidas adoptadas para garantizar que las minorías étnicas y étnico-religiosas puedan acceder a recursos judiciales cuando se vulneren los derechos que les reconoce la Convención (CERD/C/JOR/18-20, párrs. 134 a 140).</w:t>
      </w:r>
    </w:p>
    <w:p w:rsidR="00033C98" w:rsidRPr="00033C98" w:rsidRDefault="00033C98" w:rsidP="00033C98">
      <w:pPr>
        <w:pStyle w:val="SingleTxtG"/>
      </w:pPr>
      <w:r w:rsidRPr="00033C98">
        <w:t>9.</w:t>
      </w:r>
      <w:r w:rsidRPr="00033C98">
        <w:tab/>
        <w:t>Información sobre las medidas adoptadas para que se deje de retirar la nacionalidad a los ciudadanos de origen palestino; información sobre la situación de las personas de origen palestino a las que se ha retirado la nacionalidad, en particular respecto de su condición jurídica y las posibilidades que tienen de disfrutar de los derechos reconocidos en la Convención (CERD/C/JOR/CO/13-17, párr. 12; CERD/C/JOR/18-20, párrs. 28 a 31).</w:t>
      </w:r>
    </w:p>
    <w:p w:rsidR="00033C98" w:rsidRPr="00033C98" w:rsidRDefault="00033C98" w:rsidP="00033C98">
      <w:pPr>
        <w:pStyle w:val="SingleTxtG"/>
      </w:pPr>
      <w:r w:rsidRPr="00033C98">
        <w:t>10.</w:t>
      </w:r>
      <w:r w:rsidRPr="00033C98">
        <w:tab/>
        <w:t>Información sobre el acceso de las personas de origen palestino al disfrute sin discriminación de sus derechos a la vivienda, la atención de la salud, la educación, el empleo y los servicios básicos.</w:t>
      </w:r>
    </w:p>
    <w:p w:rsidR="00033C98" w:rsidRPr="00033C98" w:rsidRDefault="00033C98" w:rsidP="00033C98">
      <w:pPr>
        <w:pStyle w:val="SingleTxtG"/>
      </w:pPr>
      <w:r w:rsidRPr="00033C98">
        <w:t>11.</w:t>
      </w:r>
      <w:r w:rsidRPr="00033C98">
        <w:tab/>
        <w:t>Información sobre la aplicación y los efectos de la Ley Electoral (núm. 6/2016) en la representación de las minorías étnicas y étnico-religiosas en la esfera política; datos estadísticos sobre la representación de las minorías étnicas y étnico-religiosas en la vida política y pública, en particular en las instituciones estatales y en todos los niveles de la administración (CERD/C/JOR/CO/13-17, párr. 13; CERD/C/JOR/18-20, párrs. 32 y 33).</w:t>
      </w:r>
    </w:p>
    <w:p w:rsidR="00033C98" w:rsidRPr="00033C98" w:rsidRDefault="00033C98" w:rsidP="00033C98">
      <w:pPr>
        <w:pStyle w:val="SingleTxtG"/>
      </w:pPr>
      <w:r w:rsidRPr="00033C98">
        <w:t>12.</w:t>
      </w:r>
      <w:r w:rsidRPr="00033C98">
        <w:tab/>
        <w:t>Información sobre la situación de los romaníes en el Estado parte.</w:t>
      </w:r>
    </w:p>
    <w:p w:rsidR="00033C98" w:rsidRPr="00033C98" w:rsidRDefault="00033C98" w:rsidP="00033C98">
      <w:pPr>
        <w:pStyle w:val="H23G"/>
      </w:pPr>
      <w:r w:rsidRPr="00033C98">
        <w:tab/>
      </w:r>
      <w:r w:rsidRPr="00033C98">
        <w:tab/>
        <w:t>Situación de los no ciudadanos (arts. 1, 2 y 5)</w:t>
      </w:r>
    </w:p>
    <w:p w:rsidR="00033C98" w:rsidRPr="00033C98" w:rsidRDefault="00033C98" w:rsidP="00033C98">
      <w:pPr>
        <w:pStyle w:val="SingleTxtG"/>
      </w:pPr>
      <w:r w:rsidRPr="00033C98">
        <w:t>13.</w:t>
      </w:r>
      <w:r w:rsidRPr="00033C98">
        <w:tab/>
        <w:t>Datos estadísticos desglosados sobre el número de no ciudadanos presentes en el Estado parte, incluidos los apátridas, los migrantes, los refugiados y los solicitantes de asilo (CERD/C/JOR/18-20, párrs. 4 y 31).</w:t>
      </w:r>
    </w:p>
    <w:p w:rsidR="00033C98" w:rsidRPr="00033C98" w:rsidRDefault="00033C98" w:rsidP="00033C98">
      <w:pPr>
        <w:pStyle w:val="SingleTxtG"/>
      </w:pPr>
      <w:r w:rsidRPr="00033C98">
        <w:t>14.</w:t>
      </w:r>
      <w:r w:rsidRPr="00033C98">
        <w:tab/>
        <w:t>Información sobre las medidas adoptadas para garantizar que los no ciudadanos puedan disfrutar sin discriminación de los derechos reconocidos en la Convención, y sobre la aplicación y los efectos de esas medidas (CERD/C/JOR/CO/13-17, párrs. 9 y 10; CERD/C/JOR/18-20, párrs. 24 y 25).</w:t>
      </w:r>
    </w:p>
    <w:p w:rsidR="00033C98" w:rsidRPr="00033C98" w:rsidRDefault="00033C98" w:rsidP="00033C98">
      <w:pPr>
        <w:pStyle w:val="SingleTxtG"/>
      </w:pPr>
      <w:r w:rsidRPr="00033C98">
        <w:t>15.</w:t>
      </w:r>
      <w:r w:rsidRPr="00033C98">
        <w:tab/>
        <w:t xml:space="preserve">Información sobre las medidas adoptadas para poner fin al sistema de patrocinio </w:t>
      </w:r>
      <w:r w:rsidRPr="00466211">
        <w:rPr>
          <w:i/>
        </w:rPr>
        <w:t>(kafala)</w:t>
      </w:r>
      <w:r w:rsidRPr="00033C98">
        <w:t>; información sobre la aplicación y los efectos de las medidas adoptadas para garantizar a los trabajadores migratorios todos los derechos reconocidos en la Convención y para proteger a esos trabajadores de la explotación (CERD/C/JOR/CO/13-17, párr. 14; CERD/C/JOR/18-20, párr. 43).</w:t>
      </w:r>
    </w:p>
    <w:p w:rsidR="00033C98" w:rsidRPr="00033C98" w:rsidRDefault="00033C98" w:rsidP="00033C98">
      <w:pPr>
        <w:pStyle w:val="SingleTxtG"/>
      </w:pPr>
      <w:r w:rsidRPr="00033C98">
        <w:t>16.</w:t>
      </w:r>
      <w:r w:rsidRPr="00033C98">
        <w:tab/>
        <w:t>Información sobre la aplicación y los efectos de las leyes de protección de los derechos de los trabajadores domésticos migratorios, e información sobre las medidas adoptadas para proteger a esos trabajadores de las prácticas abusivas y para garantizar el disfrute de todos los derechos reconocidos en la Convención, incluido el derecho a circular libremente (CERD/C/JOR/CO/13-17, párr. 14; CERD/C/JOR/18-20, párrs. 34 a 36).</w:t>
      </w:r>
    </w:p>
    <w:p w:rsidR="00033C98" w:rsidRPr="00033C98" w:rsidRDefault="00033C98" w:rsidP="00033C98">
      <w:pPr>
        <w:pStyle w:val="SingleTxtG"/>
      </w:pPr>
      <w:r w:rsidRPr="00033C98">
        <w:t>17.</w:t>
      </w:r>
      <w:r w:rsidRPr="00033C98">
        <w:tab/>
        <w:t>Información actualizada sobre la situación de los refugiados y los solicitantes de asilo en el Estado parte y sobre las medidas adoptadas para garantizar su acceso sin discriminación a la atención de la salud, la educación y el empleo (CERD/C/JOR/18-20, párr. 31).</w:t>
      </w:r>
    </w:p>
    <w:p w:rsidR="00033C98" w:rsidRPr="00033C98" w:rsidRDefault="00033C98" w:rsidP="00033C98">
      <w:pPr>
        <w:pStyle w:val="SingleTxtG"/>
      </w:pPr>
      <w:r w:rsidRPr="00033C98">
        <w:t>18.</w:t>
      </w:r>
      <w:r w:rsidRPr="00033C98">
        <w:tab/>
        <w:t>Información sobre las medidas adoptadas para poner fin a la violencia doméstica y a la práctica del matrimonio forzado de las que al parecer son víctimas las mujeres y las niñas refugiadas sirias.</w:t>
      </w:r>
    </w:p>
    <w:p w:rsidR="00033C98" w:rsidRPr="00033C98" w:rsidRDefault="00033C98" w:rsidP="00033C98">
      <w:pPr>
        <w:pStyle w:val="SingleTxtG"/>
      </w:pPr>
      <w:r w:rsidRPr="00033C98">
        <w:lastRenderedPageBreak/>
        <w:t>19.</w:t>
      </w:r>
      <w:r w:rsidRPr="00033C98">
        <w:tab/>
        <w:t>Información sobre las medidas adoptadas para modificar la Ley de la Nacionalidad Jordana (Ley núm. 6/1954) a fin de permitir que los hijos de mujeres jordanas casadas con no nacionales adquieran la nacionalidad jordana al nacer (CERD/C/JOR</w:t>
      </w:r>
      <w:r w:rsidR="00466211">
        <w:t>/CO/13-17, párr. </w:t>
      </w:r>
      <w:r w:rsidRPr="00033C98">
        <w:t>11; CERD/C/JOR/18-20, párrs. 26 y 27).</w:t>
      </w:r>
    </w:p>
    <w:p w:rsidR="00033C98" w:rsidRPr="00033C98" w:rsidRDefault="00033C98" w:rsidP="00033C98">
      <w:pPr>
        <w:pStyle w:val="SingleTxtG"/>
      </w:pPr>
      <w:r w:rsidRPr="00033C98">
        <w:t>20.</w:t>
      </w:r>
      <w:r w:rsidRPr="00033C98">
        <w:tab/>
        <w:t>Información sobre las medidas destinadas a eliminar de la Ley de la Nacionalidad Jordana las disposiciones discriminatorias para la adquisición de la nacionalidad jordana en función del origen étnico (CERD/C/JOR/18-20, párrs. 81 y 82).</w:t>
      </w:r>
    </w:p>
    <w:p w:rsidR="00033C98" w:rsidRPr="00033C98" w:rsidRDefault="00033C98" w:rsidP="00033C98">
      <w:pPr>
        <w:pStyle w:val="SingleTxtG"/>
      </w:pPr>
      <w:r w:rsidRPr="00033C98">
        <w:t>21.</w:t>
      </w:r>
      <w:r w:rsidRPr="00033C98">
        <w:tab/>
        <w:t>Información sobre el cierre ocasional de las fronteras a los refugiados y solicitantes de asilo del que se ha informado, y sobre el respeto del principio de no devolución en la práctica. Información sobre la actual política relativa a la admisión de refugiados palestinos procedentes de la República Árabe Siria en el Estado parte.</w:t>
      </w:r>
    </w:p>
    <w:p w:rsidR="00033C98" w:rsidRPr="00033C98" w:rsidRDefault="00033C98" w:rsidP="00033C98">
      <w:pPr>
        <w:pStyle w:val="SingleTxtG"/>
      </w:pPr>
      <w:r w:rsidRPr="00033C98">
        <w:t>22.</w:t>
      </w:r>
      <w:r w:rsidRPr="00033C98">
        <w:tab/>
        <w:t>Información sobre las medidas adoptadas por el Estado parte para poner fin a la apatridia.</w:t>
      </w:r>
    </w:p>
    <w:p w:rsidR="00033C98" w:rsidRPr="00033C98" w:rsidRDefault="00033C98" w:rsidP="00033C98">
      <w:pPr>
        <w:pStyle w:val="SingleTxtG"/>
      </w:pPr>
      <w:r w:rsidRPr="00033C98">
        <w:t>23.</w:t>
      </w:r>
      <w:r w:rsidRPr="00033C98">
        <w:tab/>
        <w:t>Información sobre las medidas adoptadas para prevenir la trata de personas y para proteger a las víctimas en el Estado parte, incluidos datos sobre la investigación de las denuncias, los enjuiciamientos y las condenas impuestas a los declarados culpables.</w:t>
      </w:r>
    </w:p>
    <w:p w:rsidR="00033C98" w:rsidRPr="00033C98" w:rsidRDefault="00033C98" w:rsidP="00033C98">
      <w:pPr>
        <w:pStyle w:val="H23G"/>
      </w:pPr>
      <w:r w:rsidRPr="00033C98">
        <w:tab/>
      </w:r>
      <w:r w:rsidRPr="00033C98">
        <w:tab/>
        <w:t>Formación, educación y otras medidas para combatir l</w:t>
      </w:r>
      <w:r>
        <w:t>os prejuicios y la intolerancia </w:t>
      </w:r>
      <w:r w:rsidRPr="00033C98">
        <w:t>(art. 7)</w:t>
      </w:r>
    </w:p>
    <w:p w:rsidR="00033C98" w:rsidRPr="00033C98" w:rsidRDefault="00033C98" w:rsidP="00033C98">
      <w:pPr>
        <w:pStyle w:val="SingleTxtG"/>
      </w:pPr>
      <w:r w:rsidRPr="00033C98">
        <w:t>24.</w:t>
      </w:r>
      <w:r w:rsidRPr="00033C98">
        <w:tab/>
        <w:t>Información actualizada sobre la integración de la erradicación de la discriminación racial en los currículos escolares, las actividades educativas y los programas de formación, y sobre los efectos de esa medida en la situación de las minorías étnicas y étnico-religiosas en el Estado parte (CERD/C/JOR/18-20, párrs. 144 a 146).</w:t>
      </w:r>
    </w:p>
    <w:p w:rsidR="00033C98" w:rsidRDefault="00033C98" w:rsidP="00033C98">
      <w:pPr>
        <w:pStyle w:val="SingleTxtG"/>
      </w:pPr>
      <w:r w:rsidRPr="00033C98">
        <w:t>25.</w:t>
      </w:r>
      <w:r w:rsidRPr="00033C98">
        <w:tab/>
        <w:t>Información relativa a los programas de formación sobre la prevención de la discriminación racial y los derechos consagrados en la Convención destinados a agentes del orden, jueces y abogados, así como a representantes de órganos estatales, entidades de la administración local y asociaciones.</w:t>
      </w:r>
    </w:p>
    <w:p w:rsidR="00033C98" w:rsidRPr="00033C98" w:rsidRDefault="00033C98" w:rsidP="00033C98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33C98" w:rsidRPr="00033C98" w:rsidSect="00033C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4EE0" w:rsidRPr="00D43FF0" w:rsidRDefault="008C4EE0" w:rsidP="00D43FF0">
      <w:pPr>
        <w:pStyle w:val="Piedepgina"/>
      </w:pPr>
    </w:p>
  </w:endnote>
  <w:endnote w:type="continuationSeparator" w:id="0">
    <w:p w:rsidR="008C4EE0" w:rsidRPr="00D43FF0" w:rsidRDefault="008C4EE0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C98" w:rsidRPr="00033C98" w:rsidRDefault="00033C98" w:rsidP="00033C98">
    <w:pPr>
      <w:pStyle w:val="Piedepgina"/>
      <w:tabs>
        <w:tab w:val="right" w:pos="9638"/>
      </w:tabs>
    </w:pPr>
    <w:r w:rsidRPr="00033C98">
      <w:rPr>
        <w:b/>
        <w:sz w:val="18"/>
      </w:rPr>
      <w:fldChar w:fldCharType="begin"/>
    </w:r>
    <w:r w:rsidRPr="00033C98">
      <w:rPr>
        <w:b/>
        <w:sz w:val="18"/>
      </w:rPr>
      <w:instrText xml:space="preserve"> PAGE  \* MERGEFORMAT </w:instrText>
    </w:r>
    <w:r w:rsidRPr="00033C98">
      <w:rPr>
        <w:b/>
        <w:sz w:val="18"/>
      </w:rPr>
      <w:fldChar w:fldCharType="separate"/>
    </w:r>
    <w:r w:rsidR="003B27E3">
      <w:rPr>
        <w:b/>
        <w:noProof/>
        <w:sz w:val="18"/>
      </w:rPr>
      <w:t>2</w:t>
    </w:r>
    <w:r w:rsidRPr="00033C98">
      <w:rPr>
        <w:b/>
        <w:sz w:val="18"/>
      </w:rPr>
      <w:fldChar w:fldCharType="end"/>
    </w:r>
    <w:r>
      <w:rPr>
        <w:b/>
        <w:sz w:val="18"/>
      </w:rPr>
      <w:tab/>
    </w:r>
    <w:r>
      <w:t>GE.17-16887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C98" w:rsidRPr="00033C98" w:rsidRDefault="00033C98" w:rsidP="00033C98">
    <w:pPr>
      <w:pStyle w:val="Piedepgina"/>
      <w:tabs>
        <w:tab w:val="right" w:pos="9638"/>
      </w:tabs>
      <w:rPr>
        <w:b/>
        <w:sz w:val="18"/>
      </w:rPr>
    </w:pPr>
    <w:r>
      <w:t>GE.17-16887</w:t>
    </w:r>
    <w:r>
      <w:tab/>
    </w:r>
    <w:r w:rsidRPr="00033C98">
      <w:rPr>
        <w:b/>
        <w:sz w:val="18"/>
      </w:rPr>
      <w:fldChar w:fldCharType="begin"/>
    </w:r>
    <w:r w:rsidRPr="00033C98">
      <w:rPr>
        <w:b/>
        <w:sz w:val="18"/>
      </w:rPr>
      <w:instrText xml:space="preserve"> PAGE  \* MERGEFORMAT </w:instrText>
    </w:r>
    <w:r w:rsidRPr="00033C98">
      <w:rPr>
        <w:b/>
        <w:sz w:val="18"/>
      </w:rPr>
      <w:fldChar w:fldCharType="separate"/>
    </w:r>
    <w:r w:rsidR="003B27E3">
      <w:rPr>
        <w:b/>
        <w:noProof/>
        <w:sz w:val="18"/>
      </w:rPr>
      <w:t>3</w:t>
    </w:r>
    <w:r w:rsidRPr="00033C9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033C98" w:rsidRDefault="00033C98" w:rsidP="00600BC4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  <w:lang w:eastAsia="zh-CN"/>
      </w:rPr>
      <w:drawing>
        <wp:anchor distT="0" distB="0" distL="114300" distR="114300" simplePos="0" relativeHeight="251659264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17-16887  (S)    121017    1</w:t>
    </w:r>
    <w:r w:rsidR="00600BC4">
      <w:rPr>
        <w:sz w:val="20"/>
      </w:rPr>
      <w:t>7</w:t>
    </w:r>
    <w:r>
      <w:rPr>
        <w:sz w:val="20"/>
      </w:rPr>
      <w:t>1017</w:t>
    </w:r>
    <w:r>
      <w:rPr>
        <w:sz w:val="20"/>
      </w:rPr>
      <w:br/>
    </w:r>
    <w:r w:rsidRPr="00033C98">
      <w:rPr>
        <w:rFonts w:ascii="C39T30Lfz" w:hAnsi="C39T30Lfz"/>
        <w:sz w:val="56"/>
      </w:rPr>
      <w:t></w:t>
    </w:r>
    <w:r w:rsidRPr="00033C98">
      <w:rPr>
        <w:rFonts w:ascii="C39T30Lfz" w:hAnsi="C39T30Lfz"/>
        <w:sz w:val="56"/>
      </w:rPr>
      <w:t></w:t>
    </w:r>
    <w:r w:rsidRPr="00033C98">
      <w:rPr>
        <w:rFonts w:ascii="C39T30Lfz" w:hAnsi="C39T30Lfz"/>
        <w:sz w:val="56"/>
      </w:rPr>
      <w:t></w:t>
    </w:r>
    <w:r w:rsidRPr="00033C98">
      <w:rPr>
        <w:rFonts w:ascii="C39T30Lfz" w:hAnsi="C39T30Lfz"/>
        <w:sz w:val="56"/>
      </w:rPr>
      <w:t></w:t>
    </w:r>
    <w:r w:rsidRPr="00033C98">
      <w:rPr>
        <w:rFonts w:ascii="C39T30Lfz" w:hAnsi="C39T30Lfz"/>
        <w:sz w:val="56"/>
      </w:rPr>
      <w:t></w:t>
    </w:r>
    <w:r w:rsidRPr="00033C98">
      <w:rPr>
        <w:rFonts w:ascii="C39T30Lfz" w:hAnsi="C39T30Lfz"/>
        <w:sz w:val="56"/>
      </w:rPr>
      <w:t></w:t>
    </w:r>
    <w:r w:rsidRPr="00033C98">
      <w:rPr>
        <w:rFonts w:ascii="C39T30Lfz" w:hAnsi="C39T30Lfz"/>
        <w:sz w:val="56"/>
      </w:rPr>
      <w:t></w:t>
    </w:r>
    <w:r w:rsidRPr="00033C98">
      <w:rPr>
        <w:rFonts w:ascii="C39T30Lfz" w:hAnsi="C39T30Lfz"/>
        <w:sz w:val="56"/>
      </w:rPr>
      <w:t></w:t>
    </w:r>
    <w:r w:rsidRPr="00033C98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JOR/Q/18-20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JOR/Q/18-20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4EE0" w:rsidRPr="001075E9" w:rsidRDefault="008C4EE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C4EE0" w:rsidRDefault="008C4EE0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C98" w:rsidRPr="00033C98" w:rsidRDefault="00600BC4">
    <w:pPr>
      <w:pStyle w:val="Encabezado"/>
    </w:pPr>
    <w:fldSimple w:instr=" TITLE  \* MERGEFORMAT ">
      <w:r w:rsidR="003B27E3">
        <w:t>CERD/C/JOR/Q/18-20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C98" w:rsidRPr="00033C98" w:rsidRDefault="00600BC4" w:rsidP="00033C98">
    <w:pPr>
      <w:pStyle w:val="Encabezado"/>
      <w:jc w:val="right"/>
    </w:pPr>
    <w:fldSimple w:instr=" TITLE  \* MERGEFORMAT ">
      <w:r w:rsidR="003B27E3">
        <w:t>CERD/C/JOR/Q/18-20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BC4" w:rsidRDefault="00600B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EE0"/>
    <w:rsid w:val="00006BB9"/>
    <w:rsid w:val="000107A1"/>
    <w:rsid w:val="0002339D"/>
    <w:rsid w:val="00033C98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3B27E3"/>
    <w:rsid w:val="004031F0"/>
    <w:rsid w:val="00454E07"/>
    <w:rsid w:val="0046342A"/>
    <w:rsid w:val="00466211"/>
    <w:rsid w:val="00471CB3"/>
    <w:rsid w:val="0050108D"/>
    <w:rsid w:val="0051740C"/>
    <w:rsid w:val="00572E19"/>
    <w:rsid w:val="005F0B42"/>
    <w:rsid w:val="00600BC4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5FDF"/>
    <w:rsid w:val="007967DF"/>
    <w:rsid w:val="00826588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8C4EE0"/>
    <w:rsid w:val="00906890"/>
    <w:rsid w:val="00951972"/>
    <w:rsid w:val="00954E65"/>
    <w:rsid w:val="009E4213"/>
    <w:rsid w:val="00A17DFD"/>
    <w:rsid w:val="00A414EF"/>
    <w:rsid w:val="00A4674B"/>
    <w:rsid w:val="00A917B3"/>
    <w:rsid w:val="00AB05C4"/>
    <w:rsid w:val="00AB4B51"/>
    <w:rsid w:val="00B066FC"/>
    <w:rsid w:val="00B10CC7"/>
    <w:rsid w:val="00B62458"/>
    <w:rsid w:val="00B778C8"/>
    <w:rsid w:val="00B95C90"/>
    <w:rsid w:val="00BA3587"/>
    <w:rsid w:val="00BB36EA"/>
    <w:rsid w:val="00BC7C9D"/>
    <w:rsid w:val="00BD33EE"/>
    <w:rsid w:val="00C60F0C"/>
    <w:rsid w:val="00C63C2A"/>
    <w:rsid w:val="00C76CDB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2656E"/>
    <w:rsid w:val="00E37A5C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66251D1-5901-4479-816B-97733904B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1319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CERD/C/JOR/Q/18-20</dc:title>
  <dc:subject/>
  <dc:creator>Angel Angel MORENO TORRES</dc:creator>
  <cp:keywords/>
  <cp:lastModifiedBy>Generic TPSSPA1</cp:lastModifiedBy>
  <cp:revision>3</cp:revision>
  <cp:lastPrinted>2017-10-17T09:35:00Z</cp:lastPrinted>
  <dcterms:created xsi:type="dcterms:W3CDTF">2017-10-17T09:35:00Z</dcterms:created>
  <dcterms:modified xsi:type="dcterms:W3CDTF">2017-10-17T09:35:00Z</dcterms:modified>
</cp:coreProperties>
</file>